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D189A" w14:textId="2D03188C" w:rsidR="00040C3A" w:rsidRPr="006D1C74" w:rsidRDefault="00977580" w:rsidP="00627C9F">
      <w:pPr>
        <w:jc w:val="both"/>
        <w:rPr>
          <w:rFonts w:asciiTheme="majorHAnsi" w:hAnsiTheme="majorHAnsi" w:cs="Univers"/>
          <w:b/>
          <w:bCs/>
          <w:sz w:val="22"/>
          <w:szCs w:val="22"/>
          <w:lang w:val="pt-BR"/>
        </w:rPr>
      </w:pPr>
      <w:r w:rsidRPr="00E63AC6">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048BE85" wp14:editId="66F5D0C8">
                <wp:simplePos x="0" y="0"/>
                <wp:positionH relativeFrom="column">
                  <wp:posOffset>-419100</wp:posOffset>
                </wp:positionH>
                <wp:positionV relativeFrom="paragraph">
                  <wp:posOffset>-438150</wp:posOffset>
                </wp:positionV>
                <wp:extent cx="1409700" cy="8911989"/>
                <wp:effectExtent l="0" t="0" r="0" b="3810"/>
                <wp:wrapNone/>
                <wp:docPr id="13" name="Rectangle 13"/>
                <wp:cNvGraphicFramePr/>
                <a:graphic xmlns:a="http://schemas.openxmlformats.org/drawingml/2006/main">
                  <a:graphicData uri="http://schemas.microsoft.com/office/word/2010/wordprocessingShape">
                    <wps:wsp>
                      <wps:cNvSpPr/>
                      <wps:spPr>
                        <a:xfrm>
                          <a:off x="0" y="0"/>
                          <a:ext cx="1409700" cy="891198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7FB93" id="Rectangle 13" o:spid="_x0000_s1026" style="position:absolute;margin-left:-33pt;margin-top:-34.5pt;width:111pt;height:70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" fillcolor="#ffc000" stroked="f" strokeweight="2pt"/>
            </w:pict>
          </mc:Fallback>
        </mc:AlternateContent>
      </w:r>
      <w:r w:rsidR="003E6CA1" w:rsidRPr="006D1C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49AF76F" wp14:editId="48130CC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7D9C2" w14:textId="77777777" w:rsidR="00977580" w:rsidRDefault="00977580" w:rsidP="00AE5488">
                            <w:r>
                              <w:rPr>
                                <w:noProof/>
                              </w:rPr>
                              <w:drawing>
                                <wp:inline distT="0" distB="0" distL="0" distR="0" wp14:anchorId="4D8C842F" wp14:editId="22B7CB5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AF76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FF7D9C2" w14:textId="77777777" w:rsidR="00977580" w:rsidRDefault="00977580" w:rsidP="00AE5488">
                      <w:r>
                        <w:rPr>
                          <w:noProof/>
                        </w:rPr>
                        <w:drawing>
                          <wp:inline distT="0" distB="0" distL="0" distR="0" wp14:anchorId="4D8C842F" wp14:editId="22B7CB5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1D75CEC6" w14:textId="77777777" w:rsidR="00040C3A" w:rsidRPr="006D1C74" w:rsidRDefault="00040C3A" w:rsidP="00040C3A">
      <w:pPr>
        <w:tabs>
          <w:tab w:val="center" w:pos="5400"/>
        </w:tabs>
        <w:suppressAutoHyphens/>
        <w:jc w:val="both"/>
        <w:rPr>
          <w:rFonts w:asciiTheme="majorHAnsi" w:hAnsiTheme="majorHAnsi"/>
          <w:sz w:val="22"/>
          <w:szCs w:val="22"/>
          <w:lang w:val="pt-BR"/>
        </w:rPr>
      </w:pPr>
    </w:p>
    <w:p w14:paraId="4B8A3B19" w14:textId="77777777" w:rsidR="00040C3A" w:rsidRPr="006D1C74" w:rsidRDefault="00040C3A" w:rsidP="00040C3A">
      <w:pPr>
        <w:tabs>
          <w:tab w:val="center" w:pos="5400"/>
        </w:tabs>
        <w:suppressAutoHyphens/>
        <w:jc w:val="both"/>
        <w:rPr>
          <w:rFonts w:asciiTheme="majorHAnsi" w:hAnsiTheme="majorHAnsi"/>
          <w:sz w:val="22"/>
          <w:szCs w:val="22"/>
          <w:lang w:val="pt-BR"/>
        </w:rPr>
      </w:pPr>
    </w:p>
    <w:p w14:paraId="110A1EA1" w14:textId="4811873D" w:rsidR="005128E4" w:rsidRPr="006D1C74" w:rsidRDefault="005128E4" w:rsidP="00040C3A">
      <w:pPr>
        <w:tabs>
          <w:tab w:val="center" w:pos="5400"/>
        </w:tabs>
        <w:suppressAutoHyphens/>
        <w:rPr>
          <w:rFonts w:asciiTheme="majorHAnsi" w:hAnsiTheme="majorHAnsi"/>
          <w:sz w:val="22"/>
          <w:szCs w:val="22"/>
          <w:lang w:val="pt-BR"/>
        </w:rPr>
      </w:pPr>
    </w:p>
    <w:p w14:paraId="4C45B338" w14:textId="7621B41E" w:rsidR="005128E4" w:rsidRPr="006D1C74" w:rsidRDefault="005128E4" w:rsidP="00040C3A">
      <w:pPr>
        <w:tabs>
          <w:tab w:val="center" w:pos="5400"/>
        </w:tabs>
        <w:suppressAutoHyphens/>
        <w:rPr>
          <w:rFonts w:asciiTheme="majorHAnsi" w:hAnsiTheme="majorHAnsi"/>
          <w:sz w:val="22"/>
          <w:szCs w:val="22"/>
          <w:lang w:val="pt-BR"/>
        </w:rPr>
      </w:pPr>
    </w:p>
    <w:p w14:paraId="28F9560B" w14:textId="4822E40B" w:rsidR="005128E4" w:rsidRPr="006D1C74" w:rsidRDefault="004216F3" w:rsidP="00040C3A">
      <w:pPr>
        <w:tabs>
          <w:tab w:val="center" w:pos="5400"/>
        </w:tabs>
        <w:suppressAutoHyphens/>
        <w:rPr>
          <w:rFonts w:asciiTheme="majorHAnsi" w:hAnsiTheme="majorHAnsi"/>
          <w:sz w:val="22"/>
          <w:szCs w:val="22"/>
          <w:lang w:val="pt-BR"/>
        </w:rPr>
      </w:pPr>
      <w:r w:rsidRPr="006D1C74">
        <w:rPr>
          <w:rFonts w:asciiTheme="majorHAnsi" w:hAnsiTheme="majorHAnsi"/>
          <w:sz w:val="22"/>
          <w:szCs w:val="22"/>
          <w:lang w:val="pt-BR"/>
        </w:rPr>
        <w:t>ss</w:t>
      </w:r>
    </w:p>
    <w:p w14:paraId="0066B0A7" w14:textId="1E95FE39" w:rsidR="00040C3A" w:rsidRPr="006D1C74" w:rsidRDefault="00040C3A" w:rsidP="005128E4">
      <w:pPr>
        <w:tabs>
          <w:tab w:val="center" w:pos="5400"/>
        </w:tabs>
        <w:suppressAutoHyphens/>
        <w:jc w:val="center"/>
        <w:rPr>
          <w:rFonts w:asciiTheme="majorHAnsi" w:hAnsiTheme="majorHAnsi"/>
          <w:sz w:val="22"/>
          <w:szCs w:val="22"/>
          <w:lang w:val="pt-BR"/>
        </w:rPr>
      </w:pPr>
    </w:p>
    <w:p w14:paraId="7E93A32C" w14:textId="123B0EAA" w:rsidR="00040C3A" w:rsidRPr="006D1C74" w:rsidRDefault="00040C3A" w:rsidP="005128E4">
      <w:pPr>
        <w:tabs>
          <w:tab w:val="center" w:pos="5400"/>
        </w:tabs>
        <w:suppressAutoHyphens/>
        <w:jc w:val="center"/>
        <w:rPr>
          <w:rFonts w:asciiTheme="majorHAnsi" w:hAnsiTheme="majorHAnsi"/>
          <w:sz w:val="22"/>
          <w:szCs w:val="22"/>
          <w:lang w:val="pt-BR"/>
        </w:rPr>
      </w:pPr>
    </w:p>
    <w:p w14:paraId="00E7CB25" w14:textId="257FC805" w:rsidR="005B52B0" w:rsidRPr="006D1C74" w:rsidRDefault="005B52B0" w:rsidP="005128E4">
      <w:pPr>
        <w:tabs>
          <w:tab w:val="center" w:pos="5400"/>
        </w:tabs>
        <w:suppressAutoHyphens/>
        <w:jc w:val="center"/>
        <w:rPr>
          <w:rFonts w:asciiTheme="majorHAnsi" w:hAnsiTheme="majorHAnsi"/>
          <w:sz w:val="22"/>
          <w:szCs w:val="22"/>
          <w:lang w:val="pt-BR"/>
        </w:rPr>
      </w:pPr>
    </w:p>
    <w:p w14:paraId="57690B8E" w14:textId="0D9D4DC3" w:rsidR="005B52B0" w:rsidRPr="006D1C74" w:rsidRDefault="005B52B0" w:rsidP="005128E4">
      <w:pPr>
        <w:tabs>
          <w:tab w:val="center" w:pos="5400"/>
        </w:tabs>
        <w:suppressAutoHyphens/>
        <w:jc w:val="center"/>
        <w:rPr>
          <w:rFonts w:asciiTheme="majorHAnsi" w:hAnsiTheme="majorHAnsi"/>
          <w:sz w:val="22"/>
          <w:szCs w:val="22"/>
          <w:lang w:val="pt-BR"/>
        </w:rPr>
      </w:pPr>
    </w:p>
    <w:p w14:paraId="73ED1A81" w14:textId="5DB5E58E" w:rsidR="005B52B0" w:rsidRPr="006D1C74" w:rsidRDefault="005B52B0" w:rsidP="005128E4">
      <w:pPr>
        <w:tabs>
          <w:tab w:val="center" w:pos="5400"/>
        </w:tabs>
        <w:suppressAutoHyphens/>
        <w:jc w:val="center"/>
        <w:rPr>
          <w:rFonts w:asciiTheme="majorHAnsi" w:hAnsiTheme="majorHAnsi"/>
          <w:sz w:val="22"/>
          <w:szCs w:val="22"/>
          <w:lang w:val="pt-BR"/>
        </w:rPr>
      </w:pPr>
    </w:p>
    <w:p w14:paraId="6A1EBCF3" w14:textId="07129A8D" w:rsidR="00040C3A" w:rsidRPr="006D1C74" w:rsidRDefault="00040C3A" w:rsidP="00040C3A">
      <w:pPr>
        <w:tabs>
          <w:tab w:val="center" w:pos="5400"/>
        </w:tabs>
        <w:suppressAutoHyphens/>
        <w:jc w:val="center"/>
        <w:rPr>
          <w:rFonts w:asciiTheme="majorHAnsi" w:hAnsiTheme="majorHAnsi"/>
          <w:sz w:val="22"/>
          <w:szCs w:val="22"/>
          <w:lang w:val="pt-BR"/>
        </w:rPr>
      </w:pPr>
    </w:p>
    <w:p w14:paraId="38439A4F" w14:textId="6904E93C" w:rsidR="00040C3A" w:rsidRPr="006D1C74" w:rsidRDefault="00040C3A" w:rsidP="00040C3A">
      <w:pPr>
        <w:tabs>
          <w:tab w:val="center" w:pos="5400"/>
        </w:tabs>
        <w:suppressAutoHyphens/>
        <w:jc w:val="center"/>
        <w:rPr>
          <w:rFonts w:asciiTheme="majorHAnsi" w:hAnsiTheme="majorHAnsi"/>
          <w:sz w:val="22"/>
          <w:szCs w:val="22"/>
          <w:lang w:val="pt-BR"/>
        </w:rPr>
      </w:pPr>
    </w:p>
    <w:p w14:paraId="14838EFC" w14:textId="65AFB383" w:rsidR="00040C3A" w:rsidRPr="006D1C74" w:rsidRDefault="003D3BC2" w:rsidP="00040C3A">
      <w:pPr>
        <w:tabs>
          <w:tab w:val="center" w:pos="5400"/>
        </w:tabs>
        <w:suppressAutoHyphens/>
        <w:jc w:val="center"/>
        <w:rPr>
          <w:rFonts w:asciiTheme="majorHAnsi" w:hAnsiTheme="majorHAnsi"/>
          <w:sz w:val="22"/>
          <w:szCs w:val="22"/>
          <w:lang w:val="pt-BR"/>
        </w:rPr>
      </w:pPr>
      <w:r w:rsidRPr="006D1C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DDD2121" wp14:editId="65C78AC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1BF1B" w14:textId="1C11A5CF" w:rsidR="00977580" w:rsidRPr="003D3B11" w:rsidRDefault="00977580" w:rsidP="00997BC5">
                            <w:pPr>
                              <w:spacing w:line="276" w:lineRule="auto"/>
                              <w:rPr>
                                <w:rFonts w:asciiTheme="majorHAnsi" w:hAnsiTheme="majorHAnsi" w:cs="Arial"/>
                                <w:b/>
                                <w:bCs/>
                                <w:color w:val="0D0D0D" w:themeColor="text1" w:themeTint="F2"/>
                                <w:sz w:val="36"/>
                                <w:szCs w:val="22"/>
                                <w:lang w:val="pt-BR"/>
                              </w:rPr>
                            </w:pPr>
                            <w:r w:rsidRPr="003D3B11">
                              <w:rPr>
                                <w:rFonts w:asciiTheme="majorHAnsi" w:hAnsiTheme="majorHAnsi" w:cs="Arial"/>
                                <w:b/>
                                <w:bCs/>
                                <w:color w:val="0D0D0D" w:themeColor="text1" w:themeTint="F2"/>
                                <w:sz w:val="36"/>
                                <w:szCs w:val="22"/>
                                <w:lang w:val="pt-BR"/>
                              </w:rPr>
                              <w:t xml:space="preserve">RELATÓRIO </w:t>
                            </w:r>
                            <w:r w:rsidRPr="003D3B11">
                              <w:rPr>
                                <w:rFonts w:asciiTheme="majorHAnsi" w:hAnsiTheme="majorHAnsi" w:cs="Arial"/>
                                <w:b/>
                                <w:bCs/>
                                <w:color w:val="0D0D0D" w:themeColor="text1" w:themeTint="F2"/>
                                <w:sz w:val="36"/>
                                <w:szCs w:val="40"/>
                                <w:lang w:val="pt-BR"/>
                              </w:rPr>
                              <w:t>No.</w:t>
                            </w:r>
                            <w:r w:rsidRPr="003D3B11">
                              <w:rPr>
                                <w:rFonts w:asciiTheme="majorHAnsi" w:hAnsiTheme="majorHAnsi" w:cs="Arial"/>
                                <w:b/>
                                <w:bCs/>
                                <w:color w:val="0D0D0D" w:themeColor="text1" w:themeTint="F2"/>
                                <w:sz w:val="36"/>
                                <w:szCs w:val="22"/>
                                <w:lang w:val="pt-BR"/>
                              </w:rPr>
                              <w:t xml:space="preserve"> </w:t>
                            </w:r>
                            <w:r>
                              <w:rPr>
                                <w:rFonts w:asciiTheme="majorHAnsi" w:hAnsiTheme="majorHAnsi" w:cs="Arial"/>
                                <w:b/>
                                <w:bCs/>
                                <w:color w:val="0D0D0D" w:themeColor="text1" w:themeTint="F2"/>
                                <w:sz w:val="36"/>
                                <w:szCs w:val="22"/>
                                <w:lang w:val="pt-BR"/>
                              </w:rPr>
                              <w:t>6</w:t>
                            </w:r>
                            <w:r w:rsidRPr="003D3B11">
                              <w:rPr>
                                <w:rFonts w:asciiTheme="majorHAnsi" w:hAnsiTheme="majorHAnsi" w:cs="Arial"/>
                                <w:b/>
                                <w:bCs/>
                                <w:color w:val="0D0D0D" w:themeColor="text1" w:themeTint="F2"/>
                                <w:sz w:val="36"/>
                                <w:szCs w:val="22"/>
                                <w:lang w:val="pt-BR"/>
                              </w:rPr>
                              <w:t>/20</w:t>
                            </w:r>
                          </w:p>
                          <w:p w14:paraId="374D3086" w14:textId="77777777" w:rsidR="00977580" w:rsidRPr="003D3B11" w:rsidRDefault="00977580" w:rsidP="00997BC5">
                            <w:pPr>
                              <w:spacing w:line="276" w:lineRule="auto"/>
                              <w:rPr>
                                <w:rFonts w:asciiTheme="majorHAnsi" w:hAnsiTheme="majorHAnsi" w:cs="Arial"/>
                                <w:b/>
                                <w:color w:val="0D0D0D" w:themeColor="text1" w:themeTint="F2"/>
                                <w:sz w:val="36"/>
                                <w:szCs w:val="22"/>
                                <w:lang w:val="pt-BR"/>
                              </w:rPr>
                            </w:pPr>
                            <w:r w:rsidRPr="003D3B11">
                              <w:rPr>
                                <w:rFonts w:asciiTheme="majorHAnsi" w:hAnsiTheme="majorHAnsi" w:cs="Arial"/>
                                <w:b/>
                                <w:color w:val="0D0D0D" w:themeColor="text1" w:themeTint="F2"/>
                                <w:sz w:val="36"/>
                                <w:szCs w:val="22"/>
                                <w:lang w:val="pt-BR"/>
                              </w:rPr>
                              <w:t>CASO 12.727</w:t>
                            </w:r>
                          </w:p>
                          <w:p w14:paraId="274B5AA0" w14:textId="77777777" w:rsidR="00977580" w:rsidRPr="003D3B11" w:rsidRDefault="00977580" w:rsidP="00AD0C98">
                            <w:pPr>
                              <w:spacing w:line="276" w:lineRule="auto"/>
                              <w:rPr>
                                <w:rFonts w:asciiTheme="majorHAnsi" w:hAnsiTheme="majorHAnsi" w:cs="Arial"/>
                                <w:color w:val="0D0D0D" w:themeColor="text1" w:themeTint="F2"/>
                                <w:szCs w:val="22"/>
                                <w:lang w:val="pt-BR"/>
                              </w:rPr>
                            </w:pPr>
                            <w:r w:rsidRPr="003D3B11">
                              <w:rPr>
                                <w:rFonts w:asciiTheme="majorHAnsi" w:hAnsiTheme="majorHAnsi" w:cs="Arial"/>
                                <w:color w:val="0D0D0D" w:themeColor="text1" w:themeTint="F2"/>
                                <w:szCs w:val="22"/>
                                <w:lang w:val="pt-BR"/>
                              </w:rPr>
                              <w:t>RELATÓRIO DE MÉRITO</w:t>
                            </w:r>
                          </w:p>
                          <w:p w14:paraId="10E06CB7" w14:textId="77777777" w:rsidR="00977580" w:rsidRPr="003D3B11" w:rsidRDefault="00977580" w:rsidP="00997BC5">
                            <w:pPr>
                              <w:spacing w:line="276" w:lineRule="auto"/>
                              <w:rPr>
                                <w:rFonts w:asciiTheme="majorHAnsi" w:hAnsiTheme="majorHAnsi" w:cs="Arial"/>
                                <w:color w:val="0D0D0D" w:themeColor="text1" w:themeTint="F2"/>
                                <w:szCs w:val="22"/>
                                <w:lang w:val="pt-BR"/>
                              </w:rPr>
                            </w:pPr>
                            <w:bookmarkStart w:id="0" w:name="_ftnref1"/>
                          </w:p>
                          <w:bookmarkEnd w:id="0"/>
                          <w:p w14:paraId="0CB771FD" w14:textId="77777777" w:rsidR="00977580" w:rsidRPr="003D3B11" w:rsidRDefault="00977580" w:rsidP="00997BC5">
                            <w:pPr>
                              <w:spacing w:line="276" w:lineRule="auto"/>
                              <w:rPr>
                                <w:rFonts w:asciiTheme="majorHAnsi" w:hAnsiTheme="majorHAnsi" w:cs="Arial"/>
                                <w:color w:val="0D0D0D" w:themeColor="text1" w:themeTint="F2"/>
                                <w:szCs w:val="22"/>
                                <w:lang w:val="pt-BR"/>
                              </w:rPr>
                            </w:pPr>
                            <w:r w:rsidRPr="003D3B11">
                              <w:rPr>
                                <w:rFonts w:asciiTheme="majorHAnsi" w:hAnsiTheme="majorHAnsi" w:cs="Arial"/>
                                <w:color w:val="0D0D0D" w:themeColor="text1" w:themeTint="F2"/>
                                <w:szCs w:val="22"/>
                                <w:lang w:val="pt-BR"/>
                              </w:rPr>
                              <w:t>ANTONIO TAVARES PEREIRA E OUTROS</w:t>
                            </w:r>
                          </w:p>
                          <w:p w14:paraId="749CB1A7" w14:textId="77777777" w:rsidR="00977580" w:rsidRPr="003D3B11" w:rsidRDefault="00977580" w:rsidP="00997BC5">
                            <w:pPr>
                              <w:spacing w:line="276" w:lineRule="auto"/>
                              <w:rPr>
                                <w:rFonts w:asciiTheme="majorHAnsi" w:hAnsiTheme="majorHAnsi" w:cs="Arial"/>
                                <w:color w:val="0D0D0D" w:themeColor="text1" w:themeTint="F2"/>
                                <w:szCs w:val="22"/>
                                <w:lang w:val="pt-BR"/>
                              </w:rPr>
                            </w:pPr>
                            <w:r w:rsidRPr="003D3B11">
                              <w:rPr>
                                <w:rFonts w:asciiTheme="majorHAnsi" w:hAnsiTheme="majorHAnsi" w:cs="Arial"/>
                                <w:color w:val="0D0D0D" w:themeColor="text1" w:themeTint="F2"/>
                                <w:szCs w:val="22"/>
                                <w:lang w:val="pt-BR"/>
                              </w:rPr>
                              <w:t xml:space="preserve">BRASIL </w:t>
                            </w:r>
                          </w:p>
                          <w:p w14:paraId="3A583D18" w14:textId="77777777" w:rsidR="00977580" w:rsidRPr="003D3B11" w:rsidRDefault="00977580" w:rsidP="00997BC5">
                            <w:pPr>
                              <w:spacing w:line="276" w:lineRule="auto"/>
                              <w:rPr>
                                <w:rFonts w:asciiTheme="majorHAnsi" w:hAnsiTheme="majorHAnsi" w:cs="Arial"/>
                                <w:color w:val="0D0D0D" w:themeColor="text1" w:themeTint="F2"/>
                                <w:szCs w:val="22"/>
                                <w:lang w:val="pt-BR"/>
                              </w:rPr>
                            </w:pPr>
                          </w:p>
                          <w:p w14:paraId="662C8B12" w14:textId="77777777" w:rsidR="00977580" w:rsidRPr="003D3B11" w:rsidRDefault="0097758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D2121"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A41BF1B" w14:textId="1C11A5CF" w:rsidR="00977580" w:rsidRPr="003D3B11" w:rsidRDefault="00977580" w:rsidP="00997BC5">
                      <w:pPr>
                        <w:spacing w:line="276" w:lineRule="auto"/>
                        <w:rPr>
                          <w:rFonts w:asciiTheme="majorHAnsi" w:hAnsiTheme="majorHAnsi" w:cs="Arial"/>
                          <w:b/>
                          <w:bCs/>
                          <w:color w:val="0D0D0D" w:themeColor="text1" w:themeTint="F2"/>
                          <w:sz w:val="36"/>
                          <w:szCs w:val="22"/>
                          <w:lang w:val="pt-BR"/>
                        </w:rPr>
                      </w:pPr>
                      <w:r w:rsidRPr="003D3B11">
                        <w:rPr>
                          <w:rFonts w:asciiTheme="majorHAnsi" w:hAnsiTheme="majorHAnsi" w:cs="Arial"/>
                          <w:b/>
                          <w:bCs/>
                          <w:color w:val="0D0D0D" w:themeColor="text1" w:themeTint="F2"/>
                          <w:sz w:val="36"/>
                          <w:szCs w:val="22"/>
                          <w:lang w:val="pt-BR"/>
                        </w:rPr>
                        <w:t xml:space="preserve">RELATÓRIO </w:t>
                      </w:r>
                      <w:r w:rsidRPr="003D3B11">
                        <w:rPr>
                          <w:rFonts w:asciiTheme="majorHAnsi" w:hAnsiTheme="majorHAnsi" w:cs="Arial"/>
                          <w:b/>
                          <w:bCs/>
                          <w:color w:val="0D0D0D" w:themeColor="text1" w:themeTint="F2"/>
                          <w:sz w:val="36"/>
                          <w:szCs w:val="40"/>
                          <w:lang w:val="pt-BR"/>
                        </w:rPr>
                        <w:t>No.</w:t>
                      </w:r>
                      <w:r w:rsidRPr="003D3B11">
                        <w:rPr>
                          <w:rFonts w:asciiTheme="majorHAnsi" w:hAnsiTheme="majorHAnsi" w:cs="Arial"/>
                          <w:b/>
                          <w:bCs/>
                          <w:color w:val="0D0D0D" w:themeColor="text1" w:themeTint="F2"/>
                          <w:sz w:val="36"/>
                          <w:szCs w:val="22"/>
                          <w:lang w:val="pt-BR"/>
                        </w:rPr>
                        <w:t xml:space="preserve"> </w:t>
                      </w:r>
                      <w:r>
                        <w:rPr>
                          <w:rFonts w:asciiTheme="majorHAnsi" w:hAnsiTheme="majorHAnsi" w:cs="Arial"/>
                          <w:b/>
                          <w:bCs/>
                          <w:color w:val="0D0D0D" w:themeColor="text1" w:themeTint="F2"/>
                          <w:sz w:val="36"/>
                          <w:szCs w:val="22"/>
                          <w:lang w:val="pt-BR"/>
                        </w:rPr>
                        <w:t>6</w:t>
                      </w:r>
                      <w:r w:rsidRPr="003D3B11">
                        <w:rPr>
                          <w:rFonts w:asciiTheme="majorHAnsi" w:hAnsiTheme="majorHAnsi" w:cs="Arial"/>
                          <w:b/>
                          <w:bCs/>
                          <w:color w:val="0D0D0D" w:themeColor="text1" w:themeTint="F2"/>
                          <w:sz w:val="36"/>
                          <w:szCs w:val="22"/>
                          <w:lang w:val="pt-BR"/>
                        </w:rPr>
                        <w:t>/20</w:t>
                      </w:r>
                    </w:p>
                    <w:p w14:paraId="374D3086" w14:textId="77777777" w:rsidR="00977580" w:rsidRPr="003D3B11" w:rsidRDefault="00977580" w:rsidP="00997BC5">
                      <w:pPr>
                        <w:spacing w:line="276" w:lineRule="auto"/>
                        <w:rPr>
                          <w:rFonts w:asciiTheme="majorHAnsi" w:hAnsiTheme="majorHAnsi" w:cs="Arial"/>
                          <w:b/>
                          <w:color w:val="0D0D0D" w:themeColor="text1" w:themeTint="F2"/>
                          <w:sz w:val="36"/>
                          <w:szCs w:val="22"/>
                          <w:lang w:val="pt-BR"/>
                        </w:rPr>
                      </w:pPr>
                      <w:r w:rsidRPr="003D3B11">
                        <w:rPr>
                          <w:rFonts w:asciiTheme="majorHAnsi" w:hAnsiTheme="majorHAnsi" w:cs="Arial"/>
                          <w:b/>
                          <w:color w:val="0D0D0D" w:themeColor="text1" w:themeTint="F2"/>
                          <w:sz w:val="36"/>
                          <w:szCs w:val="22"/>
                          <w:lang w:val="pt-BR"/>
                        </w:rPr>
                        <w:t>CASO 12.727</w:t>
                      </w:r>
                    </w:p>
                    <w:p w14:paraId="274B5AA0" w14:textId="77777777" w:rsidR="00977580" w:rsidRPr="003D3B11" w:rsidRDefault="00977580" w:rsidP="00AD0C98">
                      <w:pPr>
                        <w:spacing w:line="276" w:lineRule="auto"/>
                        <w:rPr>
                          <w:rFonts w:asciiTheme="majorHAnsi" w:hAnsiTheme="majorHAnsi" w:cs="Arial"/>
                          <w:color w:val="0D0D0D" w:themeColor="text1" w:themeTint="F2"/>
                          <w:szCs w:val="22"/>
                          <w:lang w:val="pt-BR"/>
                        </w:rPr>
                      </w:pPr>
                      <w:r w:rsidRPr="003D3B11">
                        <w:rPr>
                          <w:rFonts w:asciiTheme="majorHAnsi" w:hAnsiTheme="majorHAnsi" w:cs="Arial"/>
                          <w:color w:val="0D0D0D" w:themeColor="text1" w:themeTint="F2"/>
                          <w:szCs w:val="22"/>
                          <w:lang w:val="pt-BR"/>
                        </w:rPr>
                        <w:t>RELATÓRIO DE MÉRITO</w:t>
                      </w:r>
                    </w:p>
                    <w:p w14:paraId="10E06CB7" w14:textId="77777777" w:rsidR="00977580" w:rsidRPr="003D3B11" w:rsidRDefault="00977580" w:rsidP="00997BC5">
                      <w:pPr>
                        <w:spacing w:line="276" w:lineRule="auto"/>
                        <w:rPr>
                          <w:rFonts w:asciiTheme="majorHAnsi" w:hAnsiTheme="majorHAnsi" w:cs="Arial"/>
                          <w:color w:val="0D0D0D" w:themeColor="text1" w:themeTint="F2"/>
                          <w:szCs w:val="22"/>
                          <w:lang w:val="pt-BR"/>
                        </w:rPr>
                      </w:pPr>
                      <w:bookmarkStart w:id="1" w:name="_ftnref1"/>
                    </w:p>
                    <w:bookmarkEnd w:id="1"/>
                    <w:p w14:paraId="0CB771FD" w14:textId="77777777" w:rsidR="00977580" w:rsidRPr="003D3B11" w:rsidRDefault="00977580" w:rsidP="00997BC5">
                      <w:pPr>
                        <w:spacing w:line="276" w:lineRule="auto"/>
                        <w:rPr>
                          <w:rFonts w:asciiTheme="majorHAnsi" w:hAnsiTheme="majorHAnsi" w:cs="Arial"/>
                          <w:color w:val="0D0D0D" w:themeColor="text1" w:themeTint="F2"/>
                          <w:szCs w:val="22"/>
                          <w:lang w:val="pt-BR"/>
                        </w:rPr>
                      </w:pPr>
                      <w:r w:rsidRPr="003D3B11">
                        <w:rPr>
                          <w:rFonts w:asciiTheme="majorHAnsi" w:hAnsiTheme="majorHAnsi" w:cs="Arial"/>
                          <w:color w:val="0D0D0D" w:themeColor="text1" w:themeTint="F2"/>
                          <w:szCs w:val="22"/>
                          <w:lang w:val="pt-BR"/>
                        </w:rPr>
                        <w:t>ANTONIO TAVARES PEREIRA E OUTROS</w:t>
                      </w:r>
                    </w:p>
                    <w:p w14:paraId="749CB1A7" w14:textId="77777777" w:rsidR="00977580" w:rsidRPr="003D3B11" w:rsidRDefault="00977580" w:rsidP="00997BC5">
                      <w:pPr>
                        <w:spacing w:line="276" w:lineRule="auto"/>
                        <w:rPr>
                          <w:rFonts w:asciiTheme="majorHAnsi" w:hAnsiTheme="majorHAnsi" w:cs="Arial"/>
                          <w:color w:val="0D0D0D" w:themeColor="text1" w:themeTint="F2"/>
                          <w:szCs w:val="22"/>
                          <w:lang w:val="pt-BR"/>
                        </w:rPr>
                      </w:pPr>
                      <w:r w:rsidRPr="003D3B11">
                        <w:rPr>
                          <w:rFonts w:asciiTheme="majorHAnsi" w:hAnsiTheme="majorHAnsi" w:cs="Arial"/>
                          <w:color w:val="0D0D0D" w:themeColor="text1" w:themeTint="F2"/>
                          <w:szCs w:val="22"/>
                          <w:lang w:val="pt-BR"/>
                        </w:rPr>
                        <w:t xml:space="preserve">BRASIL </w:t>
                      </w:r>
                    </w:p>
                    <w:p w14:paraId="3A583D18" w14:textId="77777777" w:rsidR="00977580" w:rsidRPr="003D3B11" w:rsidRDefault="00977580" w:rsidP="00997BC5">
                      <w:pPr>
                        <w:spacing w:line="276" w:lineRule="auto"/>
                        <w:rPr>
                          <w:rFonts w:asciiTheme="majorHAnsi" w:hAnsiTheme="majorHAnsi" w:cs="Arial"/>
                          <w:color w:val="0D0D0D" w:themeColor="text1" w:themeTint="F2"/>
                          <w:szCs w:val="22"/>
                          <w:lang w:val="pt-BR"/>
                        </w:rPr>
                      </w:pPr>
                    </w:p>
                    <w:p w14:paraId="662C8B12" w14:textId="77777777" w:rsidR="00977580" w:rsidRPr="003D3B11" w:rsidRDefault="00977580" w:rsidP="007A5817">
                      <w:pPr>
                        <w:rPr>
                          <w:color w:val="0D0D0D" w:themeColor="text1" w:themeTint="F2"/>
                          <w:lang w:val="pt-BR"/>
                        </w:rPr>
                      </w:pPr>
                    </w:p>
                  </w:txbxContent>
                </v:textbox>
              </v:shape>
            </w:pict>
          </mc:Fallback>
        </mc:AlternateContent>
      </w:r>
      <w:r w:rsidR="004E2649" w:rsidRPr="006D1C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68ACCA7" wp14:editId="75DA132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14335" w14:textId="77777777" w:rsidR="00977580" w:rsidRPr="004E2649" w:rsidRDefault="0097758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43DC10C9" w14:textId="77777777" w:rsidR="00977580" w:rsidRPr="004E2649" w:rsidRDefault="0097758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 XX</w:t>
                            </w:r>
                          </w:p>
                          <w:p w14:paraId="6C7CC243" w14:textId="77777777" w:rsidR="00977580" w:rsidRPr="00927E16" w:rsidRDefault="00977580" w:rsidP="007A5817">
                            <w:pPr>
                              <w:spacing w:line="276" w:lineRule="auto"/>
                              <w:jc w:val="right"/>
                              <w:rPr>
                                <w:rFonts w:asciiTheme="minorHAnsi" w:hAnsiTheme="minorHAnsi"/>
                                <w:color w:val="FFFFFF" w:themeColor="background1"/>
                                <w:sz w:val="22"/>
                                <w:lang w:val="pt-BR"/>
                              </w:rPr>
                            </w:pPr>
                            <w:r w:rsidRPr="00927E16">
                              <w:rPr>
                                <w:rFonts w:asciiTheme="minorHAnsi" w:hAnsiTheme="minorHAnsi"/>
                                <w:color w:val="FFFFFF" w:themeColor="background1"/>
                                <w:sz w:val="22"/>
                                <w:lang w:val="pt-BR"/>
                              </w:rPr>
                              <w:t>dia mês 202X</w:t>
                            </w:r>
                          </w:p>
                          <w:p w14:paraId="09357CFA" w14:textId="77777777" w:rsidR="00977580" w:rsidRPr="00927E16" w:rsidRDefault="00977580" w:rsidP="007A5817">
                            <w:pPr>
                              <w:spacing w:line="276" w:lineRule="auto"/>
                              <w:jc w:val="right"/>
                              <w:rPr>
                                <w:rFonts w:asciiTheme="minorHAnsi" w:hAnsiTheme="minorHAnsi"/>
                                <w:color w:val="FFFFFF" w:themeColor="background1"/>
                                <w:sz w:val="22"/>
                                <w:lang w:val="pt-BR"/>
                              </w:rPr>
                            </w:pPr>
                            <w:r w:rsidRPr="00927E16">
                              <w:rPr>
                                <w:rFonts w:asciiTheme="minorHAnsi" w:hAnsiTheme="minorHAnsi"/>
                                <w:color w:val="FFFFFF" w:themeColor="background1"/>
                                <w:sz w:val="22"/>
                                <w:lang w:val="pt-BR"/>
                              </w:rPr>
                              <w:t>Original: espanhol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ACCA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3E14335" w14:textId="77777777" w:rsidR="00977580" w:rsidRPr="004E2649" w:rsidRDefault="0097758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43DC10C9" w14:textId="77777777" w:rsidR="00977580" w:rsidRPr="004E2649" w:rsidRDefault="0097758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 XX</w:t>
                      </w:r>
                    </w:p>
                    <w:p w14:paraId="6C7CC243" w14:textId="77777777" w:rsidR="00977580" w:rsidRPr="00927E16" w:rsidRDefault="00977580" w:rsidP="007A5817">
                      <w:pPr>
                        <w:spacing w:line="276" w:lineRule="auto"/>
                        <w:jc w:val="right"/>
                        <w:rPr>
                          <w:rFonts w:asciiTheme="minorHAnsi" w:hAnsiTheme="minorHAnsi"/>
                          <w:color w:val="FFFFFF" w:themeColor="background1"/>
                          <w:sz w:val="22"/>
                          <w:lang w:val="pt-BR"/>
                        </w:rPr>
                      </w:pPr>
                      <w:r w:rsidRPr="00927E16">
                        <w:rPr>
                          <w:rFonts w:asciiTheme="minorHAnsi" w:hAnsiTheme="minorHAnsi"/>
                          <w:color w:val="FFFFFF" w:themeColor="background1"/>
                          <w:sz w:val="22"/>
                          <w:lang w:val="pt-BR"/>
                        </w:rPr>
                        <w:t>dia mês 202X</w:t>
                      </w:r>
                    </w:p>
                    <w:p w14:paraId="09357CFA" w14:textId="77777777" w:rsidR="00977580" w:rsidRPr="00927E16" w:rsidRDefault="00977580" w:rsidP="007A5817">
                      <w:pPr>
                        <w:spacing w:line="276" w:lineRule="auto"/>
                        <w:jc w:val="right"/>
                        <w:rPr>
                          <w:rFonts w:asciiTheme="minorHAnsi" w:hAnsiTheme="minorHAnsi"/>
                          <w:color w:val="FFFFFF" w:themeColor="background1"/>
                          <w:sz w:val="22"/>
                          <w:lang w:val="pt-BR"/>
                        </w:rPr>
                      </w:pPr>
                      <w:r w:rsidRPr="00927E16">
                        <w:rPr>
                          <w:rFonts w:asciiTheme="minorHAnsi" w:hAnsiTheme="minorHAnsi"/>
                          <w:color w:val="FFFFFF" w:themeColor="background1"/>
                          <w:sz w:val="22"/>
                          <w:lang w:val="pt-BR"/>
                        </w:rPr>
                        <w:t>Original: espanhol</w:t>
                      </w:r>
                    </w:p>
                  </w:txbxContent>
                </v:textbox>
              </v:shape>
            </w:pict>
          </mc:Fallback>
        </mc:AlternateContent>
      </w:r>
    </w:p>
    <w:p w14:paraId="16111B90" w14:textId="5822AF61" w:rsidR="00040C3A" w:rsidRPr="006D1C74" w:rsidRDefault="00977580" w:rsidP="00040C3A">
      <w:pPr>
        <w:tabs>
          <w:tab w:val="center" w:pos="5400"/>
        </w:tabs>
        <w:suppressAutoHyphens/>
        <w:jc w:val="center"/>
        <w:rPr>
          <w:rFonts w:asciiTheme="majorHAnsi" w:hAnsiTheme="majorHAnsi"/>
          <w:sz w:val="22"/>
          <w:szCs w:val="22"/>
          <w:lang w:val="pt-BR"/>
        </w:rPr>
      </w:pPr>
      <w:r w:rsidRPr="00E63AC6">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4362305" wp14:editId="1957D409">
                <wp:simplePos x="0" y="0"/>
                <wp:positionH relativeFrom="margin">
                  <wp:posOffset>-381000</wp:posOffset>
                </wp:positionH>
                <wp:positionV relativeFrom="paragraph">
                  <wp:posOffset>154940</wp:posOffset>
                </wp:positionV>
                <wp:extent cx="1352550" cy="12573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52550"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D9278" w14:textId="77777777" w:rsidR="00977580" w:rsidRPr="00DA1159" w:rsidRDefault="00977580" w:rsidP="00977580">
                            <w:pPr>
                              <w:jc w:val="right"/>
                              <w:rPr>
                                <w:rFonts w:asciiTheme="minorHAnsi" w:hAnsiTheme="minorHAnsi"/>
                                <w:sz w:val="22"/>
                                <w:lang w:val="pt-BR"/>
                              </w:rPr>
                            </w:pPr>
                            <w:r w:rsidRPr="00DA1159">
                              <w:rPr>
                                <w:rFonts w:asciiTheme="minorHAnsi" w:hAnsiTheme="minorHAnsi"/>
                                <w:sz w:val="22"/>
                                <w:lang w:val="pt-BR"/>
                              </w:rPr>
                              <w:t>OEA/Ser.L/V/II.</w:t>
                            </w:r>
                            <w:r>
                              <w:rPr>
                                <w:rFonts w:asciiTheme="minorHAnsi" w:hAnsiTheme="minorHAnsi"/>
                                <w:sz w:val="22"/>
                                <w:lang w:val="pt-BR"/>
                              </w:rPr>
                              <w:t>175</w:t>
                            </w:r>
                          </w:p>
                          <w:p w14:paraId="2228C596" w14:textId="7C3E1BBB" w:rsidR="00977580" w:rsidRPr="00DA1159" w:rsidRDefault="00977580" w:rsidP="00977580">
                            <w:pPr>
                              <w:jc w:val="right"/>
                              <w:rPr>
                                <w:rFonts w:asciiTheme="minorHAnsi" w:hAnsiTheme="minorHAnsi"/>
                                <w:sz w:val="22"/>
                                <w:lang w:val="pt-BR"/>
                              </w:rPr>
                            </w:pPr>
                            <w:r w:rsidRPr="00DA1159">
                              <w:rPr>
                                <w:rFonts w:asciiTheme="minorHAnsi" w:hAnsiTheme="minorHAnsi"/>
                                <w:sz w:val="22"/>
                                <w:lang w:val="pt-BR"/>
                              </w:rPr>
                              <w:t xml:space="preserve">Doc. </w:t>
                            </w:r>
                            <w:r>
                              <w:rPr>
                                <w:rFonts w:asciiTheme="minorHAnsi" w:hAnsiTheme="minorHAnsi"/>
                                <w:sz w:val="22"/>
                                <w:lang w:val="pt-BR"/>
                              </w:rPr>
                              <w:t>12</w:t>
                            </w:r>
                          </w:p>
                          <w:p w14:paraId="1130C39E" w14:textId="77777777" w:rsidR="00977580" w:rsidRPr="00BF53BE" w:rsidRDefault="00977580" w:rsidP="00977580">
                            <w:pPr>
                              <w:jc w:val="right"/>
                              <w:rPr>
                                <w:rFonts w:ascii="Times" w:eastAsia="Times New Roman" w:hAnsi="Times"/>
                                <w:sz w:val="20"/>
                                <w:szCs w:val="20"/>
                                <w:bdr w:val="none" w:sz="0" w:space="0" w:color="auto"/>
                              </w:rPr>
                            </w:pPr>
                            <w:r>
                              <w:rPr>
                                <w:rFonts w:asciiTheme="minorHAnsi" w:hAnsiTheme="minorHAnsi"/>
                                <w:sz w:val="22"/>
                                <w:lang w:val="pt-BR"/>
                              </w:rPr>
                              <w:t>3 mar</w:t>
                            </w:r>
                            <w:r w:rsidRPr="00BF53BE">
                              <w:rPr>
                                <w:rFonts w:asciiTheme="minorHAnsi" w:hAnsiTheme="minorHAnsi"/>
                                <w:sz w:val="22"/>
                                <w:lang w:val="pt-BR"/>
                              </w:rPr>
                              <w:t>ç</w:t>
                            </w:r>
                            <w:r>
                              <w:rPr>
                                <w:rFonts w:asciiTheme="minorHAnsi" w:hAnsiTheme="minorHAnsi"/>
                                <w:sz w:val="22"/>
                                <w:lang w:val="pt-BR"/>
                              </w:rPr>
                              <w:t>o</w:t>
                            </w:r>
                            <w:r w:rsidRPr="00DA1159">
                              <w:rPr>
                                <w:rFonts w:asciiTheme="minorHAnsi" w:hAnsiTheme="minorHAnsi"/>
                                <w:sz w:val="22"/>
                                <w:lang w:val="pt-BR"/>
                              </w:rPr>
                              <w:t xml:space="preserve"> 20</w:t>
                            </w:r>
                            <w:r>
                              <w:rPr>
                                <w:rFonts w:asciiTheme="minorHAnsi" w:hAnsiTheme="minorHAnsi"/>
                                <w:sz w:val="22"/>
                                <w:lang w:val="pt-BR"/>
                              </w:rPr>
                              <w:t>20</w:t>
                            </w:r>
                          </w:p>
                          <w:p w14:paraId="16CD39C0" w14:textId="77777777" w:rsidR="00977580" w:rsidRPr="00DA1159" w:rsidRDefault="00977580" w:rsidP="00977580">
                            <w:pPr>
                              <w:jc w:val="right"/>
                              <w:rPr>
                                <w:rFonts w:asciiTheme="minorHAnsi" w:hAnsiTheme="minorHAnsi"/>
                                <w:sz w:val="22"/>
                                <w:lang w:val="pt-BR"/>
                              </w:rPr>
                            </w:pPr>
                            <w:r w:rsidRPr="00DA1159">
                              <w:rPr>
                                <w:rFonts w:asciiTheme="minorHAnsi" w:hAnsiTheme="minorHAnsi"/>
                                <w:sz w:val="22"/>
                                <w:lang w:val="pt-BR"/>
                              </w:rPr>
                              <w:t xml:space="preserve">Original: </w:t>
                            </w:r>
                            <w:r>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62305" id="Text Box 14" o:spid="_x0000_s1029" type="#_x0000_t202" style="position:absolute;left:0;text-align:left;margin-left:-30pt;margin-top:12.2pt;width:106.5pt;height:9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" filled="f" stroked="f" strokeweight=".5pt">
                <v:textbox>
                  <w:txbxContent>
                    <w:p w14:paraId="313D9278" w14:textId="77777777" w:rsidR="00977580" w:rsidRPr="00DA1159" w:rsidRDefault="00977580" w:rsidP="00977580">
                      <w:pPr>
                        <w:jc w:val="right"/>
                        <w:rPr>
                          <w:rFonts w:asciiTheme="minorHAnsi" w:hAnsiTheme="minorHAnsi"/>
                          <w:sz w:val="22"/>
                          <w:lang w:val="pt-BR"/>
                        </w:rPr>
                      </w:pPr>
                      <w:r w:rsidRPr="00DA1159">
                        <w:rPr>
                          <w:rFonts w:asciiTheme="minorHAnsi" w:hAnsiTheme="minorHAnsi"/>
                          <w:sz w:val="22"/>
                          <w:lang w:val="pt-BR"/>
                        </w:rPr>
                        <w:t>OEA/Ser.L/V/II.</w:t>
                      </w:r>
                      <w:r>
                        <w:rPr>
                          <w:rFonts w:asciiTheme="minorHAnsi" w:hAnsiTheme="minorHAnsi"/>
                          <w:sz w:val="22"/>
                          <w:lang w:val="pt-BR"/>
                        </w:rPr>
                        <w:t>175</w:t>
                      </w:r>
                    </w:p>
                    <w:p w14:paraId="2228C596" w14:textId="7C3E1BBB" w:rsidR="00977580" w:rsidRPr="00DA1159" w:rsidRDefault="00977580" w:rsidP="00977580">
                      <w:pPr>
                        <w:jc w:val="right"/>
                        <w:rPr>
                          <w:rFonts w:asciiTheme="minorHAnsi" w:hAnsiTheme="minorHAnsi"/>
                          <w:sz w:val="22"/>
                          <w:lang w:val="pt-BR"/>
                        </w:rPr>
                      </w:pPr>
                      <w:r w:rsidRPr="00DA1159">
                        <w:rPr>
                          <w:rFonts w:asciiTheme="minorHAnsi" w:hAnsiTheme="minorHAnsi"/>
                          <w:sz w:val="22"/>
                          <w:lang w:val="pt-BR"/>
                        </w:rPr>
                        <w:t xml:space="preserve">Doc. </w:t>
                      </w:r>
                      <w:r>
                        <w:rPr>
                          <w:rFonts w:asciiTheme="minorHAnsi" w:hAnsiTheme="minorHAnsi"/>
                          <w:sz w:val="22"/>
                          <w:lang w:val="pt-BR"/>
                        </w:rPr>
                        <w:t>12</w:t>
                      </w:r>
                    </w:p>
                    <w:p w14:paraId="1130C39E" w14:textId="77777777" w:rsidR="00977580" w:rsidRPr="00BF53BE" w:rsidRDefault="00977580" w:rsidP="00977580">
                      <w:pPr>
                        <w:jc w:val="right"/>
                        <w:rPr>
                          <w:rFonts w:ascii="Times" w:eastAsia="Times New Roman" w:hAnsi="Times"/>
                          <w:sz w:val="20"/>
                          <w:szCs w:val="20"/>
                          <w:bdr w:val="none" w:sz="0" w:space="0" w:color="auto"/>
                        </w:rPr>
                      </w:pPr>
                      <w:r>
                        <w:rPr>
                          <w:rFonts w:asciiTheme="minorHAnsi" w:hAnsiTheme="minorHAnsi"/>
                          <w:sz w:val="22"/>
                          <w:lang w:val="pt-BR"/>
                        </w:rPr>
                        <w:t>3 mar</w:t>
                      </w:r>
                      <w:r w:rsidRPr="00BF53BE">
                        <w:rPr>
                          <w:rFonts w:asciiTheme="minorHAnsi" w:hAnsiTheme="minorHAnsi"/>
                          <w:sz w:val="22"/>
                          <w:lang w:val="pt-BR"/>
                        </w:rPr>
                        <w:t>ç</w:t>
                      </w:r>
                      <w:r>
                        <w:rPr>
                          <w:rFonts w:asciiTheme="minorHAnsi" w:hAnsiTheme="minorHAnsi"/>
                          <w:sz w:val="22"/>
                          <w:lang w:val="pt-BR"/>
                        </w:rPr>
                        <w:t>o</w:t>
                      </w:r>
                      <w:r w:rsidRPr="00DA1159">
                        <w:rPr>
                          <w:rFonts w:asciiTheme="minorHAnsi" w:hAnsiTheme="minorHAnsi"/>
                          <w:sz w:val="22"/>
                          <w:lang w:val="pt-BR"/>
                        </w:rPr>
                        <w:t xml:space="preserve"> 20</w:t>
                      </w:r>
                      <w:r>
                        <w:rPr>
                          <w:rFonts w:asciiTheme="minorHAnsi" w:hAnsiTheme="minorHAnsi"/>
                          <w:sz w:val="22"/>
                          <w:lang w:val="pt-BR"/>
                        </w:rPr>
                        <w:t>20</w:t>
                      </w:r>
                    </w:p>
                    <w:p w14:paraId="16CD39C0" w14:textId="77777777" w:rsidR="00977580" w:rsidRPr="00DA1159" w:rsidRDefault="00977580" w:rsidP="00977580">
                      <w:pPr>
                        <w:jc w:val="right"/>
                        <w:rPr>
                          <w:rFonts w:asciiTheme="minorHAnsi" w:hAnsiTheme="minorHAnsi"/>
                          <w:sz w:val="22"/>
                          <w:lang w:val="pt-BR"/>
                        </w:rPr>
                      </w:pPr>
                      <w:r w:rsidRPr="00DA1159">
                        <w:rPr>
                          <w:rFonts w:asciiTheme="minorHAnsi" w:hAnsiTheme="minorHAnsi"/>
                          <w:sz w:val="22"/>
                          <w:lang w:val="pt-BR"/>
                        </w:rPr>
                        <w:t xml:space="preserve">Original: </w:t>
                      </w:r>
                      <w:r>
                        <w:rPr>
                          <w:rFonts w:asciiTheme="minorHAnsi" w:hAnsiTheme="minorHAnsi"/>
                          <w:sz w:val="22"/>
                          <w:lang w:val="pt-BR"/>
                        </w:rPr>
                        <w:t>português</w:t>
                      </w:r>
                    </w:p>
                  </w:txbxContent>
                </v:textbox>
                <w10:wrap anchorx="margin"/>
              </v:shape>
            </w:pict>
          </mc:Fallback>
        </mc:AlternateContent>
      </w:r>
    </w:p>
    <w:p w14:paraId="295B17C4" w14:textId="77777777" w:rsidR="00040C3A" w:rsidRPr="006D1C74" w:rsidRDefault="00040C3A" w:rsidP="00040C3A">
      <w:pPr>
        <w:tabs>
          <w:tab w:val="center" w:pos="5400"/>
        </w:tabs>
        <w:suppressAutoHyphens/>
        <w:jc w:val="center"/>
        <w:rPr>
          <w:rFonts w:asciiTheme="majorHAnsi" w:hAnsiTheme="majorHAnsi"/>
          <w:sz w:val="22"/>
          <w:szCs w:val="22"/>
          <w:lang w:val="pt-BR"/>
        </w:rPr>
      </w:pPr>
    </w:p>
    <w:p w14:paraId="26AB7360" w14:textId="77777777" w:rsidR="00040C3A" w:rsidRPr="006D1C74" w:rsidRDefault="00040C3A" w:rsidP="00040C3A">
      <w:pPr>
        <w:tabs>
          <w:tab w:val="center" w:pos="5400"/>
        </w:tabs>
        <w:suppressAutoHyphens/>
        <w:jc w:val="center"/>
        <w:rPr>
          <w:rFonts w:asciiTheme="majorHAnsi" w:hAnsiTheme="majorHAnsi" w:cs="Arial"/>
          <w:sz w:val="22"/>
          <w:szCs w:val="22"/>
          <w:lang w:val="pt-BR"/>
        </w:rPr>
      </w:pPr>
    </w:p>
    <w:p w14:paraId="1A75F40E" w14:textId="14EE7268" w:rsidR="00040C3A" w:rsidRPr="006D1C74" w:rsidRDefault="00040C3A" w:rsidP="00040C3A">
      <w:pPr>
        <w:tabs>
          <w:tab w:val="center" w:pos="5400"/>
        </w:tabs>
        <w:suppressAutoHyphens/>
        <w:jc w:val="center"/>
        <w:rPr>
          <w:rFonts w:asciiTheme="majorHAnsi" w:hAnsiTheme="majorHAnsi"/>
          <w:sz w:val="22"/>
          <w:szCs w:val="22"/>
          <w:lang w:val="pt-BR"/>
        </w:rPr>
      </w:pPr>
    </w:p>
    <w:p w14:paraId="3A20902F" w14:textId="22371A58" w:rsidR="00040C3A" w:rsidRPr="006D1C74" w:rsidRDefault="00040C3A" w:rsidP="00040C3A">
      <w:pPr>
        <w:tabs>
          <w:tab w:val="center" w:pos="5400"/>
        </w:tabs>
        <w:suppressAutoHyphens/>
        <w:jc w:val="center"/>
        <w:rPr>
          <w:rFonts w:asciiTheme="majorHAnsi" w:hAnsiTheme="majorHAnsi"/>
          <w:sz w:val="22"/>
          <w:szCs w:val="22"/>
          <w:lang w:val="pt-BR"/>
        </w:rPr>
      </w:pPr>
    </w:p>
    <w:p w14:paraId="0E481F6A" w14:textId="30116DCF" w:rsidR="00040C3A" w:rsidRPr="006D1C74" w:rsidRDefault="00040C3A" w:rsidP="00040C3A">
      <w:pPr>
        <w:tabs>
          <w:tab w:val="center" w:pos="5400"/>
        </w:tabs>
        <w:suppressAutoHyphens/>
        <w:jc w:val="center"/>
        <w:rPr>
          <w:rFonts w:asciiTheme="majorHAnsi" w:hAnsiTheme="majorHAnsi"/>
          <w:sz w:val="22"/>
          <w:szCs w:val="22"/>
          <w:lang w:val="pt-BR"/>
        </w:rPr>
      </w:pPr>
    </w:p>
    <w:p w14:paraId="7FE9CBCB" w14:textId="065A2CCB" w:rsidR="00040C3A" w:rsidRPr="006D1C74" w:rsidRDefault="00040C3A" w:rsidP="00040C3A">
      <w:pPr>
        <w:tabs>
          <w:tab w:val="center" w:pos="5400"/>
        </w:tabs>
        <w:suppressAutoHyphens/>
        <w:jc w:val="center"/>
        <w:rPr>
          <w:rFonts w:asciiTheme="majorHAnsi" w:hAnsiTheme="majorHAnsi"/>
          <w:sz w:val="22"/>
          <w:szCs w:val="22"/>
          <w:lang w:val="pt-BR"/>
        </w:rPr>
      </w:pPr>
    </w:p>
    <w:p w14:paraId="473C23FB" w14:textId="7FA1D933" w:rsidR="005128E4" w:rsidRPr="006D1C74" w:rsidRDefault="005128E4" w:rsidP="00040C3A">
      <w:pPr>
        <w:tabs>
          <w:tab w:val="center" w:pos="5400"/>
        </w:tabs>
        <w:suppressAutoHyphens/>
        <w:jc w:val="center"/>
        <w:rPr>
          <w:rFonts w:asciiTheme="majorHAnsi" w:hAnsiTheme="majorHAnsi"/>
          <w:sz w:val="22"/>
          <w:szCs w:val="22"/>
          <w:lang w:val="pt-BR"/>
        </w:rPr>
      </w:pPr>
    </w:p>
    <w:p w14:paraId="693D2A20" w14:textId="67EA97BB" w:rsidR="00040C3A" w:rsidRPr="006D1C74" w:rsidRDefault="00040C3A" w:rsidP="00040C3A">
      <w:pPr>
        <w:tabs>
          <w:tab w:val="center" w:pos="5400"/>
        </w:tabs>
        <w:suppressAutoHyphens/>
        <w:jc w:val="center"/>
        <w:rPr>
          <w:rFonts w:asciiTheme="majorHAnsi" w:hAnsiTheme="majorHAnsi"/>
          <w:sz w:val="22"/>
          <w:szCs w:val="22"/>
          <w:lang w:val="pt-BR"/>
        </w:rPr>
      </w:pPr>
    </w:p>
    <w:p w14:paraId="6A85F493" w14:textId="289B09D3" w:rsidR="005128E4" w:rsidRPr="006D1C74" w:rsidRDefault="005128E4" w:rsidP="00040C3A">
      <w:pPr>
        <w:tabs>
          <w:tab w:val="center" w:pos="5400"/>
        </w:tabs>
        <w:suppressAutoHyphens/>
        <w:jc w:val="center"/>
        <w:rPr>
          <w:rFonts w:asciiTheme="majorHAnsi" w:hAnsiTheme="majorHAnsi"/>
          <w:sz w:val="22"/>
          <w:szCs w:val="22"/>
          <w:lang w:val="pt-BR"/>
        </w:rPr>
      </w:pPr>
    </w:p>
    <w:p w14:paraId="30049B46" w14:textId="77777777" w:rsidR="005128E4" w:rsidRPr="006D1C74" w:rsidRDefault="005128E4" w:rsidP="00040C3A">
      <w:pPr>
        <w:tabs>
          <w:tab w:val="center" w:pos="5400"/>
        </w:tabs>
        <w:suppressAutoHyphens/>
        <w:jc w:val="center"/>
        <w:rPr>
          <w:rFonts w:asciiTheme="majorHAnsi" w:hAnsiTheme="majorHAnsi"/>
          <w:sz w:val="22"/>
          <w:szCs w:val="22"/>
          <w:lang w:val="pt-BR"/>
        </w:rPr>
      </w:pPr>
    </w:p>
    <w:p w14:paraId="3BC5872D" w14:textId="0E3B4EB8" w:rsidR="005128E4" w:rsidRPr="006D1C74" w:rsidRDefault="005128E4" w:rsidP="00040C3A">
      <w:pPr>
        <w:tabs>
          <w:tab w:val="center" w:pos="5400"/>
        </w:tabs>
        <w:suppressAutoHyphens/>
        <w:jc w:val="center"/>
        <w:rPr>
          <w:rFonts w:asciiTheme="majorHAnsi" w:hAnsiTheme="majorHAnsi"/>
          <w:sz w:val="22"/>
          <w:szCs w:val="22"/>
          <w:lang w:val="pt-BR"/>
        </w:rPr>
      </w:pPr>
    </w:p>
    <w:p w14:paraId="23DF8C69" w14:textId="6390C8BC" w:rsidR="00040C3A" w:rsidRPr="006D1C74" w:rsidRDefault="00040C3A" w:rsidP="00040C3A">
      <w:pPr>
        <w:tabs>
          <w:tab w:val="center" w:pos="5400"/>
        </w:tabs>
        <w:suppressAutoHyphens/>
        <w:jc w:val="center"/>
        <w:rPr>
          <w:rFonts w:asciiTheme="majorHAnsi" w:hAnsiTheme="majorHAnsi"/>
          <w:sz w:val="22"/>
          <w:szCs w:val="22"/>
          <w:lang w:val="pt-BR"/>
        </w:rPr>
      </w:pPr>
    </w:p>
    <w:p w14:paraId="521A616C" w14:textId="4C923DCD" w:rsidR="00040C3A" w:rsidRPr="006D1C74" w:rsidRDefault="00040C3A" w:rsidP="00040C3A">
      <w:pPr>
        <w:tabs>
          <w:tab w:val="center" w:pos="5400"/>
        </w:tabs>
        <w:suppressAutoHyphens/>
        <w:jc w:val="center"/>
        <w:rPr>
          <w:rFonts w:asciiTheme="majorHAnsi" w:hAnsiTheme="majorHAnsi"/>
          <w:sz w:val="22"/>
          <w:szCs w:val="22"/>
          <w:lang w:val="pt-BR"/>
        </w:rPr>
      </w:pPr>
    </w:p>
    <w:p w14:paraId="59185ECC" w14:textId="32457216" w:rsidR="00A50FCF" w:rsidRPr="006D1C74" w:rsidRDefault="00A50FCF" w:rsidP="00040C3A">
      <w:pPr>
        <w:tabs>
          <w:tab w:val="center" w:pos="5400"/>
        </w:tabs>
        <w:suppressAutoHyphens/>
        <w:jc w:val="center"/>
        <w:rPr>
          <w:rFonts w:asciiTheme="majorHAnsi" w:hAnsiTheme="majorHAnsi"/>
          <w:sz w:val="18"/>
          <w:szCs w:val="22"/>
          <w:lang w:val="pt-BR"/>
        </w:rPr>
      </w:pPr>
    </w:p>
    <w:p w14:paraId="16F9ADE6" w14:textId="5FDDF324" w:rsidR="00A50FCF" w:rsidRPr="006D1C74" w:rsidRDefault="00A50FCF" w:rsidP="00040C3A">
      <w:pPr>
        <w:tabs>
          <w:tab w:val="center" w:pos="5400"/>
        </w:tabs>
        <w:suppressAutoHyphens/>
        <w:jc w:val="center"/>
        <w:rPr>
          <w:rFonts w:asciiTheme="majorHAnsi" w:hAnsiTheme="majorHAnsi"/>
          <w:sz w:val="18"/>
          <w:szCs w:val="22"/>
          <w:lang w:val="pt-BR"/>
        </w:rPr>
      </w:pPr>
    </w:p>
    <w:p w14:paraId="039118B7" w14:textId="2D92F3E2" w:rsidR="00A50FCF" w:rsidRPr="006D1C74" w:rsidRDefault="00A50FCF" w:rsidP="00040C3A">
      <w:pPr>
        <w:tabs>
          <w:tab w:val="center" w:pos="5400"/>
        </w:tabs>
        <w:suppressAutoHyphens/>
        <w:jc w:val="center"/>
        <w:rPr>
          <w:rFonts w:asciiTheme="majorHAnsi" w:hAnsiTheme="majorHAnsi"/>
          <w:sz w:val="18"/>
          <w:szCs w:val="22"/>
          <w:lang w:val="pt-BR"/>
        </w:rPr>
      </w:pPr>
    </w:p>
    <w:p w14:paraId="706DD4E2" w14:textId="61ABB43F" w:rsidR="00A50FCF" w:rsidRPr="006D1C74" w:rsidRDefault="00A50FCF" w:rsidP="00040C3A">
      <w:pPr>
        <w:tabs>
          <w:tab w:val="center" w:pos="5400"/>
        </w:tabs>
        <w:suppressAutoHyphens/>
        <w:jc w:val="center"/>
        <w:rPr>
          <w:rFonts w:asciiTheme="majorHAnsi" w:hAnsiTheme="majorHAnsi"/>
          <w:sz w:val="18"/>
          <w:szCs w:val="22"/>
          <w:lang w:val="pt-BR"/>
        </w:rPr>
      </w:pPr>
    </w:p>
    <w:p w14:paraId="408CC8FA" w14:textId="6FB167DF" w:rsidR="00A50FCF" w:rsidRPr="006D1C74" w:rsidRDefault="00A50FCF" w:rsidP="00040C3A">
      <w:pPr>
        <w:tabs>
          <w:tab w:val="center" w:pos="5400"/>
        </w:tabs>
        <w:suppressAutoHyphens/>
        <w:jc w:val="center"/>
        <w:rPr>
          <w:rFonts w:asciiTheme="majorHAnsi" w:hAnsiTheme="majorHAnsi"/>
          <w:sz w:val="18"/>
          <w:szCs w:val="22"/>
          <w:lang w:val="pt-BR"/>
        </w:rPr>
      </w:pPr>
    </w:p>
    <w:p w14:paraId="740707CB" w14:textId="77777777" w:rsidR="00A50FCF" w:rsidRPr="006D1C74" w:rsidRDefault="00A50FCF" w:rsidP="00040C3A">
      <w:pPr>
        <w:tabs>
          <w:tab w:val="center" w:pos="5400"/>
        </w:tabs>
        <w:suppressAutoHyphens/>
        <w:jc w:val="center"/>
        <w:rPr>
          <w:rFonts w:asciiTheme="majorHAnsi" w:hAnsiTheme="majorHAnsi"/>
          <w:sz w:val="18"/>
          <w:szCs w:val="22"/>
          <w:lang w:val="pt-BR"/>
        </w:rPr>
      </w:pPr>
    </w:p>
    <w:p w14:paraId="4CC2E2F1" w14:textId="4F46E479" w:rsidR="00A50FCF" w:rsidRPr="006D1C74" w:rsidRDefault="00A50FCF" w:rsidP="00040C3A">
      <w:pPr>
        <w:tabs>
          <w:tab w:val="center" w:pos="5400"/>
        </w:tabs>
        <w:suppressAutoHyphens/>
        <w:jc w:val="center"/>
        <w:rPr>
          <w:rFonts w:asciiTheme="majorHAnsi" w:hAnsiTheme="majorHAnsi"/>
          <w:sz w:val="18"/>
          <w:szCs w:val="22"/>
          <w:lang w:val="pt-BR"/>
        </w:rPr>
      </w:pPr>
    </w:p>
    <w:p w14:paraId="6B891C7A" w14:textId="132774C0" w:rsidR="00A50FCF" w:rsidRPr="006D1C74" w:rsidRDefault="00A50FCF" w:rsidP="00040C3A">
      <w:pPr>
        <w:tabs>
          <w:tab w:val="center" w:pos="5400"/>
        </w:tabs>
        <w:suppressAutoHyphens/>
        <w:jc w:val="center"/>
        <w:rPr>
          <w:rFonts w:asciiTheme="majorHAnsi" w:hAnsiTheme="majorHAnsi"/>
          <w:sz w:val="18"/>
          <w:szCs w:val="22"/>
          <w:lang w:val="pt-BR"/>
        </w:rPr>
      </w:pPr>
    </w:p>
    <w:p w14:paraId="061667DD" w14:textId="6C6D0E1E" w:rsidR="00A50FCF" w:rsidRPr="006D1C74" w:rsidRDefault="00A50FCF" w:rsidP="00040C3A">
      <w:pPr>
        <w:tabs>
          <w:tab w:val="center" w:pos="5400"/>
        </w:tabs>
        <w:suppressAutoHyphens/>
        <w:jc w:val="center"/>
        <w:rPr>
          <w:rFonts w:asciiTheme="majorHAnsi" w:hAnsiTheme="majorHAnsi"/>
          <w:sz w:val="18"/>
          <w:szCs w:val="22"/>
          <w:lang w:val="pt-BR"/>
        </w:rPr>
      </w:pPr>
    </w:p>
    <w:p w14:paraId="249B405C" w14:textId="00C77764" w:rsidR="00A50FCF" w:rsidRPr="006D1C74" w:rsidRDefault="00A50FCF" w:rsidP="00040C3A">
      <w:pPr>
        <w:tabs>
          <w:tab w:val="center" w:pos="5400"/>
        </w:tabs>
        <w:suppressAutoHyphens/>
        <w:jc w:val="center"/>
        <w:rPr>
          <w:rFonts w:asciiTheme="majorHAnsi" w:hAnsiTheme="majorHAnsi"/>
          <w:sz w:val="18"/>
          <w:szCs w:val="22"/>
          <w:lang w:val="pt-BR"/>
        </w:rPr>
      </w:pPr>
    </w:p>
    <w:p w14:paraId="7300D04D" w14:textId="5C489A88" w:rsidR="00A50FCF" w:rsidRPr="006D1C74" w:rsidRDefault="00A50FCF" w:rsidP="00040C3A">
      <w:pPr>
        <w:tabs>
          <w:tab w:val="center" w:pos="5400"/>
        </w:tabs>
        <w:suppressAutoHyphens/>
        <w:jc w:val="center"/>
        <w:rPr>
          <w:rFonts w:asciiTheme="majorHAnsi" w:hAnsiTheme="majorHAnsi"/>
          <w:sz w:val="18"/>
          <w:szCs w:val="22"/>
          <w:lang w:val="pt-BR"/>
        </w:rPr>
      </w:pPr>
    </w:p>
    <w:p w14:paraId="014413BC" w14:textId="0A236F68" w:rsidR="00A50FCF" w:rsidRPr="006D1C74" w:rsidRDefault="00A50FCF" w:rsidP="00040C3A">
      <w:pPr>
        <w:tabs>
          <w:tab w:val="center" w:pos="5400"/>
        </w:tabs>
        <w:suppressAutoHyphens/>
        <w:jc w:val="center"/>
        <w:rPr>
          <w:rFonts w:asciiTheme="majorHAnsi" w:hAnsiTheme="majorHAnsi"/>
          <w:sz w:val="18"/>
          <w:szCs w:val="22"/>
          <w:lang w:val="pt-BR"/>
        </w:rPr>
      </w:pPr>
    </w:p>
    <w:p w14:paraId="2BB5CD38" w14:textId="10A9CD5B" w:rsidR="00A50FCF" w:rsidRPr="006D1C74" w:rsidRDefault="00A50FCF" w:rsidP="00040C3A">
      <w:pPr>
        <w:tabs>
          <w:tab w:val="center" w:pos="5400"/>
        </w:tabs>
        <w:suppressAutoHyphens/>
        <w:jc w:val="center"/>
        <w:rPr>
          <w:rFonts w:asciiTheme="majorHAnsi" w:hAnsiTheme="majorHAnsi"/>
          <w:sz w:val="18"/>
          <w:szCs w:val="22"/>
          <w:lang w:val="pt-BR"/>
        </w:rPr>
      </w:pPr>
    </w:p>
    <w:p w14:paraId="788EA07A" w14:textId="0BBF5420" w:rsidR="00A50FCF" w:rsidRPr="006D1C74" w:rsidRDefault="00A50FCF" w:rsidP="00040C3A">
      <w:pPr>
        <w:tabs>
          <w:tab w:val="center" w:pos="5400"/>
        </w:tabs>
        <w:suppressAutoHyphens/>
        <w:jc w:val="center"/>
        <w:rPr>
          <w:rFonts w:asciiTheme="majorHAnsi" w:hAnsiTheme="majorHAnsi"/>
          <w:sz w:val="18"/>
          <w:szCs w:val="22"/>
          <w:lang w:val="pt-BR"/>
        </w:rPr>
      </w:pPr>
    </w:p>
    <w:p w14:paraId="12AF6A70" w14:textId="17D367E6" w:rsidR="00A50FCF" w:rsidRPr="006D1C74" w:rsidRDefault="0090270B" w:rsidP="00040C3A">
      <w:pPr>
        <w:tabs>
          <w:tab w:val="center" w:pos="5400"/>
        </w:tabs>
        <w:suppressAutoHyphens/>
        <w:jc w:val="center"/>
        <w:rPr>
          <w:rFonts w:asciiTheme="majorHAnsi" w:hAnsiTheme="majorHAnsi"/>
          <w:sz w:val="18"/>
          <w:szCs w:val="22"/>
          <w:lang w:val="pt-BR"/>
        </w:rPr>
      </w:pPr>
      <w:r w:rsidRPr="006D1C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A1CF1D7" wp14:editId="5376B3E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D0E7E" w14:textId="77777777" w:rsidR="00977580" w:rsidRDefault="00977580" w:rsidP="00247403">
                            <w:pPr>
                              <w:tabs>
                                <w:tab w:val="center" w:pos="5400"/>
                              </w:tabs>
                              <w:suppressAutoHyphens/>
                              <w:spacing w:before="60"/>
                              <w:rPr>
                                <w:rFonts w:ascii="Cambria" w:hAnsi="Cambria"/>
                                <w:color w:val="0D0D0D"/>
                                <w:sz w:val="18"/>
                                <w:szCs w:val="20"/>
                                <w:lang w:val="pt-BR"/>
                              </w:rPr>
                            </w:pPr>
                            <w:r w:rsidRPr="00F673C7">
                              <w:rPr>
                                <w:rFonts w:asciiTheme="majorHAnsi" w:hAnsiTheme="majorHAnsi"/>
                                <w:color w:val="0D0D0D" w:themeColor="text1" w:themeTint="F2"/>
                                <w:sz w:val="18"/>
                                <w:szCs w:val="20"/>
                                <w:lang w:val="pt-BR"/>
                              </w:rPr>
                              <w:t>Aprovado p</w:t>
                            </w:r>
                            <w:r>
                              <w:rPr>
                                <w:rFonts w:asciiTheme="majorHAnsi" w:hAnsiTheme="majorHAnsi"/>
                                <w:color w:val="0D0D0D" w:themeColor="text1" w:themeTint="F2"/>
                                <w:sz w:val="18"/>
                                <w:szCs w:val="20"/>
                                <w:lang w:val="pt-BR"/>
                              </w:rPr>
                              <w:t>el</w:t>
                            </w:r>
                            <w:r w:rsidRPr="00F673C7">
                              <w:rPr>
                                <w:rFonts w:asciiTheme="majorHAnsi" w:hAnsiTheme="majorHAnsi"/>
                                <w:color w:val="0D0D0D" w:themeColor="text1" w:themeTint="F2"/>
                                <w:sz w:val="18"/>
                                <w:szCs w:val="20"/>
                                <w:lang w:val="pt-BR"/>
                              </w:rPr>
                              <w:t>a Comissão e</w:t>
                            </w:r>
                            <w:r>
                              <w:rPr>
                                <w:rFonts w:asciiTheme="majorHAnsi" w:hAnsiTheme="majorHAnsi"/>
                                <w:color w:val="0D0D0D" w:themeColor="text1" w:themeTint="F2"/>
                                <w:sz w:val="18"/>
                                <w:szCs w:val="20"/>
                                <w:lang w:val="pt-BR"/>
                              </w:rPr>
                              <w:t xml:space="preserve">m </w:t>
                            </w:r>
                            <w:r w:rsidRPr="00F673C7">
                              <w:rPr>
                                <w:rFonts w:asciiTheme="majorHAnsi" w:hAnsiTheme="majorHAnsi"/>
                                <w:color w:val="0D0D0D" w:themeColor="text1" w:themeTint="F2"/>
                                <w:sz w:val="18"/>
                                <w:szCs w:val="20"/>
                                <w:lang w:val="pt-BR"/>
                              </w:rPr>
                              <w:t>su</w:t>
                            </w:r>
                            <w:r>
                              <w:rPr>
                                <w:rFonts w:asciiTheme="majorHAnsi" w:hAnsiTheme="majorHAnsi"/>
                                <w:color w:val="0D0D0D" w:themeColor="text1" w:themeTint="F2"/>
                                <w:sz w:val="18"/>
                                <w:szCs w:val="20"/>
                                <w:lang w:val="pt-BR"/>
                              </w:rPr>
                              <w:t>a S</w:t>
                            </w:r>
                            <w:r w:rsidRPr="00F673C7">
                              <w:rPr>
                                <w:rFonts w:asciiTheme="majorHAnsi" w:hAnsiTheme="majorHAnsi"/>
                                <w:color w:val="0D0D0D" w:themeColor="text1" w:themeTint="F2"/>
                                <w:sz w:val="18"/>
                                <w:szCs w:val="20"/>
                                <w:lang w:val="pt-BR"/>
                              </w:rPr>
                              <w:t>es</w:t>
                            </w:r>
                            <w:r>
                              <w:rPr>
                                <w:rFonts w:asciiTheme="majorHAnsi" w:hAnsiTheme="majorHAnsi"/>
                                <w:color w:val="0D0D0D" w:themeColor="text1" w:themeTint="F2"/>
                                <w:sz w:val="18"/>
                                <w:szCs w:val="20"/>
                                <w:lang w:val="pt-BR"/>
                              </w:rPr>
                              <w:t>são No. 2165</w:t>
                            </w:r>
                            <w:r w:rsidRPr="00F673C7">
                              <w:rPr>
                                <w:rFonts w:asciiTheme="majorHAnsi" w:hAnsiTheme="majorHAnsi"/>
                                <w:color w:val="0D0D0D" w:themeColor="text1" w:themeTint="F2"/>
                                <w:sz w:val="18"/>
                                <w:szCs w:val="20"/>
                                <w:lang w:val="pt-BR"/>
                              </w:rPr>
                              <w:t xml:space="preserve"> </w:t>
                            </w:r>
                            <w:r>
                              <w:rPr>
                                <w:rFonts w:asciiTheme="majorHAnsi" w:hAnsiTheme="majorHAnsi"/>
                                <w:color w:val="0D0D0D" w:themeColor="text1" w:themeTint="F2"/>
                                <w:sz w:val="18"/>
                                <w:szCs w:val="20"/>
                                <w:lang w:val="pt-BR"/>
                              </w:rPr>
                              <w:t>realiz</w:t>
                            </w:r>
                            <w:r w:rsidRPr="00F673C7">
                              <w:rPr>
                                <w:rFonts w:asciiTheme="majorHAnsi" w:hAnsiTheme="majorHAnsi"/>
                                <w:color w:val="0D0D0D" w:themeColor="text1" w:themeTint="F2"/>
                                <w:sz w:val="18"/>
                                <w:szCs w:val="20"/>
                                <w:lang w:val="pt-BR"/>
                              </w:rPr>
                              <w:t xml:space="preserve">ada </w:t>
                            </w:r>
                            <w:r>
                              <w:rPr>
                                <w:rFonts w:asciiTheme="majorHAnsi" w:hAnsiTheme="majorHAnsi"/>
                                <w:color w:val="0D0D0D" w:themeColor="text1" w:themeTint="F2"/>
                                <w:sz w:val="18"/>
                                <w:szCs w:val="20"/>
                                <w:lang w:val="pt-BR"/>
                              </w:rPr>
                              <w:t>em</w:t>
                            </w:r>
                            <w:r w:rsidRPr="00F673C7">
                              <w:rPr>
                                <w:rFonts w:asciiTheme="majorHAnsi" w:hAnsiTheme="majorHAnsi"/>
                                <w:color w:val="0D0D0D" w:themeColor="text1" w:themeTint="F2"/>
                                <w:sz w:val="18"/>
                                <w:szCs w:val="20"/>
                                <w:lang w:val="pt-BR"/>
                              </w:rPr>
                              <w:t xml:space="preserve"> </w:t>
                            </w:r>
                            <w:r>
                              <w:rPr>
                                <w:rFonts w:asciiTheme="majorHAnsi" w:hAnsiTheme="majorHAnsi"/>
                                <w:color w:val="0D0D0D" w:themeColor="text1" w:themeTint="F2"/>
                                <w:sz w:val="18"/>
                                <w:szCs w:val="20"/>
                                <w:lang w:val="pt-BR"/>
                              </w:rPr>
                              <w:t xml:space="preserve">3 </w:t>
                            </w:r>
                            <w:r w:rsidRPr="00F673C7">
                              <w:rPr>
                                <w:rFonts w:asciiTheme="majorHAnsi" w:hAnsiTheme="majorHAnsi"/>
                                <w:color w:val="0D0D0D" w:themeColor="text1" w:themeTint="F2"/>
                                <w:sz w:val="18"/>
                                <w:szCs w:val="20"/>
                                <w:lang w:val="pt-BR"/>
                              </w:rPr>
                              <w:t xml:space="preserve">de </w:t>
                            </w:r>
                            <w:r>
                              <w:rPr>
                                <w:rFonts w:ascii="Cambria" w:hAnsi="Cambria"/>
                                <w:color w:val="0D0D0D"/>
                                <w:sz w:val="18"/>
                                <w:szCs w:val="20"/>
                                <w:lang w:val="pt-BR"/>
                              </w:rPr>
                              <w:t>mar</w:t>
                            </w:r>
                            <w:r w:rsidRPr="002315D2">
                              <w:rPr>
                                <w:rFonts w:ascii="Cambria" w:hAnsi="Cambria"/>
                                <w:color w:val="0D0D0D"/>
                                <w:sz w:val="18"/>
                                <w:szCs w:val="20"/>
                                <w:lang w:val="pt-BR"/>
                              </w:rPr>
                              <w:t>ç</w:t>
                            </w:r>
                            <w:r>
                              <w:rPr>
                                <w:rFonts w:ascii="Cambria" w:hAnsi="Cambria"/>
                                <w:color w:val="0D0D0D"/>
                                <w:sz w:val="18"/>
                                <w:szCs w:val="20"/>
                                <w:lang w:val="pt-BR"/>
                              </w:rPr>
                              <w:t>o</w:t>
                            </w:r>
                            <w:r w:rsidRPr="00623ED1">
                              <w:rPr>
                                <w:rFonts w:ascii="Cambria" w:hAnsi="Cambria"/>
                                <w:color w:val="0D0D0D"/>
                                <w:sz w:val="18"/>
                                <w:szCs w:val="20"/>
                                <w:lang w:val="pt-BR"/>
                              </w:rPr>
                              <w:t xml:space="preserve"> de 20</w:t>
                            </w:r>
                            <w:r>
                              <w:rPr>
                                <w:rFonts w:ascii="Cambria" w:hAnsi="Cambria"/>
                                <w:color w:val="0D0D0D"/>
                                <w:sz w:val="18"/>
                                <w:szCs w:val="20"/>
                                <w:lang w:val="pt-BR"/>
                              </w:rPr>
                              <w:t>20</w:t>
                            </w:r>
                          </w:p>
                          <w:p w14:paraId="2CA735CC" w14:textId="685B821B" w:rsidR="00977580" w:rsidRPr="00F673C7" w:rsidRDefault="00977580" w:rsidP="00247403">
                            <w:pPr>
                              <w:tabs>
                                <w:tab w:val="center" w:pos="5400"/>
                              </w:tabs>
                              <w:suppressAutoHyphens/>
                              <w:spacing w:before="60"/>
                              <w:rPr>
                                <w:rFonts w:asciiTheme="majorHAnsi" w:hAnsiTheme="majorHAnsi" w:cs="Univers"/>
                                <w:color w:val="0D0D0D" w:themeColor="text1" w:themeTint="F2"/>
                                <w:sz w:val="18"/>
                                <w:szCs w:val="20"/>
                                <w:lang w:val="pt-BR"/>
                              </w:rPr>
                            </w:pPr>
                            <w:r>
                              <w:rPr>
                                <w:rFonts w:asciiTheme="majorHAnsi" w:hAnsiTheme="majorHAnsi" w:cs="Univers"/>
                                <w:color w:val="0D0D0D" w:themeColor="text1" w:themeTint="F2"/>
                                <w:sz w:val="18"/>
                                <w:szCs w:val="20"/>
                                <w:lang w:val="pt-BR"/>
                              </w:rPr>
                              <w:t>175 P</w:t>
                            </w:r>
                            <w:r w:rsidRPr="00F673C7">
                              <w:rPr>
                                <w:rFonts w:asciiTheme="majorHAnsi" w:hAnsiTheme="majorHAnsi" w:cs="Univers"/>
                                <w:color w:val="0D0D0D" w:themeColor="text1" w:themeTint="F2"/>
                                <w:sz w:val="18"/>
                                <w:szCs w:val="20"/>
                                <w:lang w:val="pt-BR"/>
                              </w:rPr>
                              <w:t xml:space="preserve">eríodo de </w:t>
                            </w:r>
                            <w:r>
                              <w:rPr>
                                <w:rFonts w:asciiTheme="majorHAnsi" w:hAnsiTheme="majorHAnsi" w:cs="Univers"/>
                                <w:color w:val="0D0D0D" w:themeColor="text1" w:themeTint="F2"/>
                                <w:sz w:val="18"/>
                                <w:szCs w:val="20"/>
                                <w:lang w:val="pt-BR"/>
                              </w:rPr>
                              <w:t>S</w:t>
                            </w:r>
                            <w:r w:rsidRPr="00F673C7">
                              <w:rPr>
                                <w:rFonts w:asciiTheme="majorHAnsi" w:hAnsiTheme="majorHAnsi" w:cs="Univers"/>
                                <w:color w:val="0D0D0D" w:themeColor="text1" w:themeTint="F2"/>
                                <w:sz w:val="18"/>
                                <w:szCs w:val="20"/>
                                <w:lang w:val="pt-BR"/>
                              </w:rPr>
                              <w:t>es</w:t>
                            </w:r>
                            <w:r>
                              <w:rPr>
                                <w:rFonts w:asciiTheme="majorHAnsi" w:hAnsiTheme="majorHAnsi" w:cs="Univers"/>
                                <w:color w:val="0D0D0D" w:themeColor="text1" w:themeTint="F2"/>
                                <w:sz w:val="18"/>
                                <w:szCs w:val="20"/>
                                <w:lang w:val="pt-BR"/>
                              </w:rPr>
                              <w:t>sõ</w:t>
                            </w:r>
                            <w:r w:rsidRPr="00F673C7">
                              <w:rPr>
                                <w:rFonts w:asciiTheme="majorHAnsi" w:hAnsiTheme="majorHAnsi" w:cs="Univers"/>
                                <w:color w:val="0D0D0D" w:themeColor="text1" w:themeTint="F2"/>
                                <w:sz w:val="18"/>
                                <w:szCs w:val="20"/>
                                <w:lang w:val="pt-BR"/>
                              </w:rPr>
                              <w:t>es</w:t>
                            </w:r>
                          </w:p>
                          <w:p w14:paraId="25C7999E" w14:textId="77777777" w:rsidR="00977580" w:rsidRPr="003D3B11" w:rsidRDefault="00977580" w:rsidP="00247403">
                            <w:pPr>
                              <w:tabs>
                                <w:tab w:val="center" w:pos="5400"/>
                              </w:tabs>
                              <w:suppressAutoHyphens/>
                              <w:spacing w:before="60"/>
                              <w:rPr>
                                <w:rFonts w:asciiTheme="minorHAnsi" w:hAnsiTheme="minorHAnsi" w:cs="Univers"/>
                                <w:color w:val="0D0D0D" w:themeColor="text1" w:themeTint="F2"/>
                                <w:sz w:val="20"/>
                                <w:szCs w:val="20"/>
                                <w:lang w:val="pt-BR"/>
                              </w:rPr>
                            </w:pPr>
                          </w:p>
                          <w:p w14:paraId="755D1950" w14:textId="77777777" w:rsidR="00977580" w:rsidRPr="003D3B11" w:rsidRDefault="0097758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CF1D7"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14:paraId="4F6D0E7E" w14:textId="77777777" w:rsidR="00977580" w:rsidRDefault="00977580" w:rsidP="00247403">
                      <w:pPr>
                        <w:tabs>
                          <w:tab w:val="center" w:pos="5400"/>
                        </w:tabs>
                        <w:suppressAutoHyphens/>
                        <w:spacing w:before="60"/>
                        <w:rPr>
                          <w:rFonts w:ascii="Cambria" w:hAnsi="Cambria"/>
                          <w:color w:val="0D0D0D"/>
                          <w:sz w:val="18"/>
                          <w:szCs w:val="20"/>
                          <w:lang w:val="pt-BR"/>
                        </w:rPr>
                      </w:pPr>
                      <w:r w:rsidRPr="00F673C7">
                        <w:rPr>
                          <w:rFonts w:asciiTheme="majorHAnsi" w:hAnsiTheme="majorHAnsi"/>
                          <w:color w:val="0D0D0D" w:themeColor="text1" w:themeTint="F2"/>
                          <w:sz w:val="18"/>
                          <w:szCs w:val="20"/>
                          <w:lang w:val="pt-BR"/>
                        </w:rPr>
                        <w:t>Aprovado p</w:t>
                      </w:r>
                      <w:r>
                        <w:rPr>
                          <w:rFonts w:asciiTheme="majorHAnsi" w:hAnsiTheme="majorHAnsi"/>
                          <w:color w:val="0D0D0D" w:themeColor="text1" w:themeTint="F2"/>
                          <w:sz w:val="18"/>
                          <w:szCs w:val="20"/>
                          <w:lang w:val="pt-BR"/>
                        </w:rPr>
                        <w:t>el</w:t>
                      </w:r>
                      <w:r w:rsidRPr="00F673C7">
                        <w:rPr>
                          <w:rFonts w:asciiTheme="majorHAnsi" w:hAnsiTheme="majorHAnsi"/>
                          <w:color w:val="0D0D0D" w:themeColor="text1" w:themeTint="F2"/>
                          <w:sz w:val="18"/>
                          <w:szCs w:val="20"/>
                          <w:lang w:val="pt-BR"/>
                        </w:rPr>
                        <w:t>a Comissão e</w:t>
                      </w:r>
                      <w:r>
                        <w:rPr>
                          <w:rFonts w:asciiTheme="majorHAnsi" w:hAnsiTheme="majorHAnsi"/>
                          <w:color w:val="0D0D0D" w:themeColor="text1" w:themeTint="F2"/>
                          <w:sz w:val="18"/>
                          <w:szCs w:val="20"/>
                          <w:lang w:val="pt-BR"/>
                        </w:rPr>
                        <w:t xml:space="preserve">m </w:t>
                      </w:r>
                      <w:r w:rsidRPr="00F673C7">
                        <w:rPr>
                          <w:rFonts w:asciiTheme="majorHAnsi" w:hAnsiTheme="majorHAnsi"/>
                          <w:color w:val="0D0D0D" w:themeColor="text1" w:themeTint="F2"/>
                          <w:sz w:val="18"/>
                          <w:szCs w:val="20"/>
                          <w:lang w:val="pt-BR"/>
                        </w:rPr>
                        <w:t>su</w:t>
                      </w:r>
                      <w:r>
                        <w:rPr>
                          <w:rFonts w:asciiTheme="majorHAnsi" w:hAnsiTheme="majorHAnsi"/>
                          <w:color w:val="0D0D0D" w:themeColor="text1" w:themeTint="F2"/>
                          <w:sz w:val="18"/>
                          <w:szCs w:val="20"/>
                          <w:lang w:val="pt-BR"/>
                        </w:rPr>
                        <w:t>a S</w:t>
                      </w:r>
                      <w:r w:rsidRPr="00F673C7">
                        <w:rPr>
                          <w:rFonts w:asciiTheme="majorHAnsi" w:hAnsiTheme="majorHAnsi"/>
                          <w:color w:val="0D0D0D" w:themeColor="text1" w:themeTint="F2"/>
                          <w:sz w:val="18"/>
                          <w:szCs w:val="20"/>
                          <w:lang w:val="pt-BR"/>
                        </w:rPr>
                        <w:t>es</w:t>
                      </w:r>
                      <w:r>
                        <w:rPr>
                          <w:rFonts w:asciiTheme="majorHAnsi" w:hAnsiTheme="majorHAnsi"/>
                          <w:color w:val="0D0D0D" w:themeColor="text1" w:themeTint="F2"/>
                          <w:sz w:val="18"/>
                          <w:szCs w:val="20"/>
                          <w:lang w:val="pt-BR"/>
                        </w:rPr>
                        <w:t>são No. 2165</w:t>
                      </w:r>
                      <w:r w:rsidRPr="00F673C7">
                        <w:rPr>
                          <w:rFonts w:asciiTheme="majorHAnsi" w:hAnsiTheme="majorHAnsi"/>
                          <w:color w:val="0D0D0D" w:themeColor="text1" w:themeTint="F2"/>
                          <w:sz w:val="18"/>
                          <w:szCs w:val="20"/>
                          <w:lang w:val="pt-BR"/>
                        </w:rPr>
                        <w:t xml:space="preserve"> </w:t>
                      </w:r>
                      <w:r>
                        <w:rPr>
                          <w:rFonts w:asciiTheme="majorHAnsi" w:hAnsiTheme="majorHAnsi"/>
                          <w:color w:val="0D0D0D" w:themeColor="text1" w:themeTint="F2"/>
                          <w:sz w:val="18"/>
                          <w:szCs w:val="20"/>
                          <w:lang w:val="pt-BR"/>
                        </w:rPr>
                        <w:t>realiz</w:t>
                      </w:r>
                      <w:r w:rsidRPr="00F673C7">
                        <w:rPr>
                          <w:rFonts w:asciiTheme="majorHAnsi" w:hAnsiTheme="majorHAnsi"/>
                          <w:color w:val="0D0D0D" w:themeColor="text1" w:themeTint="F2"/>
                          <w:sz w:val="18"/>
                          <w:szCs w:val="20"/>
                          <w:lang w:val="pt-BR"/>
                        </w:rPr>
                        <w:t xml:space="preserve">ada </w:t>
                      </w:r>
                      <w:r>
                        <w:rPr>
                          <w:rFonts w:asciiTheme="majorHAnsi" w:hAnsiTheme="majorHAnsi"/>
                          <w:color w:val="0D0D0D" w:themeColor="text1" w:themeTint="F2"/>
                          <w:sz w:val="18"/>
                          <w:szCs w:val="20"/>
                          <w:lang w:val="pt-BR"/>
                        </w:rPr>
                        <w:t>em</w:t>
                      </w:r>
                      <w:r w:rsidRPr="00F673C7">
                        <w:rPr>
                          <w:rFonts w:asciiTheme="majorHAnsi" w:hAnsiTheme="majorHAnsi"/>
                          <w:color w:val="0D0D0D" w:themeColor="text1" w:themeTint="F2"/>
                          <w:sz w:val="18"/>
                          <w:szCs w:val="20"/>
                          <w:lang w:val="pt-BR"/>
                        </w:rPr>
                        <w:t xml:space="preserve"> </w:t>
                      </w:r>
                      <w:r>
                        <w:rPr>
                          <w:rFonts w:asciiTheme="majorHAnsi" w:hAnsiTheme="majorHAnsi"/>
                          <w:color w:val="0D0D0D" w:themeColor="text1" w:themeTint="F2"/>
                          <w:sz w:val="18"/>
                          <w:szCs w:val="20"/>
                          <w:lang w:val="pt-BR"/>
                        </w:rPr>
                        <w:t xml:space="preserve">3 </w:t>
                      </w:r>
                      <w:r w:rsidRPr="00F673C7">
                        <w:rPr>
                          <w:rFonts w:asciiTheme="majorHAnsi" w:hAnsiTheme="majorHAnsi"/>
                          <w:color w:val="0D0D0D" w:themeColor="text1" w:themeTint="F2"/>
                          <w:sz w:val="18"/>
                          <w:szCs w:val="20"/>
                          <w:lang w:val="pt-BR"/>
                        </w:rPr>
                        <w:t xml:space="preserve">de </w:t>
                      </w:r>
                      <w:r>
                        <w:rPr>
                          <w:rFonts w:ascii="Cambria" w:hAnsi="Cambria"/>
                          <w:color w:val="0D0D0D"/>
                          <w:sz w:val="18"/>
                          <w:szCs w:val="20"/>
                          <w:lang w:val="pt-BR"/>
                        </w:rPr>
                        <w:t>mar</w:t>
                      </w:r>
                      <w:r w:rsidRPr="002315D2">
                        <w:rPr>
                          <w:rFonts w:ascii="Cambria" w:hAnsi="Cambria"/>
                          <w:color w:val="0D0D0D"/>
                          <w:sz w:val="18"/>
                          <w:szCs w:val="20"/>
                          <w:lang w:val="pt-BR"/>
                        </w:rPr>
                        <w:t>ç</w:t>
                      </w:r>
                      <w:r>
                        <w:rPr>
                          <w:rFonts w:ascii="Cambria" w:hAnsi="Cambria"/>
                          <w:color w:val="0D0D0D"/>
                          <w:sz w:val="18"/>
                          <w:szCs w:val="20"/>
                          <w:lang w:val="pt-BR"/>
                        </w:rPr>
                        <w:t>o</w:t>
                      </w:r>
                      <w:r w:rsidRPr="00623ED1">
                        <w:rPr>
                          <w:rFonts w:ascii="Cambria" w:hAnsi="Cambria"/>
                          <w:color w:val="0D0D0D"/>
                          <w:sz w:val="18"/>
                          <w:szCs w:val="20"/>
                          <w:lang w:val="pt-BR"/>
                        </w:rPr>
                        <w:t xml:space="preserve"> de 20</w:t>
                      </w:r>
                      <w:r>
                        <w:rPr>
                          <w:rFonts w:ascii="Cambria" w:hAnsi="Cambria"/>
                          <w:color w:val="0D0D0D"/>
                          <w:sz w:val="18"/>
                          <w:szCs w:val="20"/>
                          <w:lang w:val="pt-BR"/>
                        </w:rPr>
                        <w:t>20</w:t>
                      </w:r>
                    </w:p>
                    <w:p w14:paraId="2CA735CC" w14:textId="685B821B" w:rsidR="00977580" w:rsidRPr="00F673C7" w:rsidRDefault="00977580" w:rsidP="00247403">
                      <w:pPr>
                        <w:tabs>
                          <w:tab w:val="center" w:pos="5400"/>
                        </w:tabs>
                        <w:suppressAutoHyphens/>
                        <w:spacing w:before="60"/>
                        <w:rPr>
                          <w:rFonts w:asciiTheme="majorHAnsi" w:hAnsiTheme="majorHAnsi" w:cs="Univers"/>
                          <w:color w:val="0D0D0D" w:themeColor="text1" w:themeTint="F2"/>
                          <w:sz w:val="18"/>
                          <w:szCs w:val="20"/>
                          <w:lang w:val="pt-BR"/>
                        </w:rPr>
                      </w:pPr>
                      <w:r>
                        <w:rPr>
                          <w:rFonts w:asciiTheme="majorHAnsi" w:hAnsiTheme="majorHAnsi" w:cs="Univers"/>
                          <w:color w:val="0D0D0D" w:themeColor="text1" w:themeTint="F2"/>
                          <w:sz w:val="18"/>
                          <w:szCs w:val="20"/>
                          <w:lang w:val="pt-BR"/>
                        </w:rPr>
                        <w:t>175 P</w:t>
                      </w:r>
                      <w:r w:rsidRPr="00F673C7">
                        <w:rPr>
                          <w:rFonts w:asciiTheme="majorHAnsi" w:hAnsiTheme="majorHAnsi" w:cs="Univers"/>
                          <w:color w:val="0D0D0D" w:themeColor="text1" w:themeTint="F2"/>
                          <w:sz w:val="18"/>
                          <w:szCs w:val="20"/>
                          <w:lang w:val="pt-BR"/>
                        </w:rPr>
                        <w:t xml:space="preserve">eríodo de </w:t>
                      </w:r>
                      <w:r>
                        <w:rPr>
                          <w:rFonts w:asciiTheme="majorHAnsi" w:hAnsiTheme="majorHAnsi" w:cs="Univers"/>
                          <w:color w:val="0D0D0D" w:themeColor="text1" w:themeTint="F2"/>
                          <w:sz w:val="18"/>
                          <w:szCs w:val="20"/>
                          <w:lang w:val="pt-BR"/>
                        </w:rPr>
                        <w:t>S</w:t>
                      </w:r>
                      <w:r w:rsidRPr="00F673C7">
                        <w:rPr>
                          <w:rFonts w:asciiTheme="majorHAnsi" w:hAnsiTheme="majorHAnsi" w:cs="Univers"/>
                          <w:color w:val="0D0D0D" w:themeColor="text1" w:themeTint="F2"/>
                          <w:sz w:val="18"/>
                          <w:szCs w:val="20"/>
                          <w:lang w:val="pt-BR"/>
                        </w:rPr>
                        <w:t>es</w:t>
                      </w:r>
                      <w:r>
                        <w:rPr>
                          <w:rFonts w:asciiTheme="majorHAnsi" w:hAnsiTheme="majorHAnsi" w:cs="Univers"/>
                          <w:color w:val="0D0D0D" w:themeColor="text1" w:themeTint="F2"/>
                          <w:sz w:val="18"/>
                          <w:szCs w:val="20"/>
                          <w:lang w:val="pt-BR"/>
                        </w:rPr>
                        <w:t>sõ</w:t>
                      </w:r>
                      <w:r w:rsidRPr="00F673C7">
                        <w:rPr>
                          <w:rFonts w:asciiTheme="majorHAnsi" w:hAnsiTheme="majorHAnsi" w:cs="Univers"/>
                          <w:color w:val="0D0D0D" w:themeColor="text1" w:themeTint="F2"/>
                          <w:sz w:val="18"/>
                          <w:szCs w:val="20"/>
                          <w:lang w:val="pt-BR"/>
                        </w:rPr>
                        <w:t>es</w:t>
                      </w:r>
                    </w:p>
                    <w:p w14:paraId="25C7999E" w14:textId="77777777" w:rsidR="00977580" w:rsidRPr="003D3B11" w:rsidRDefault="00977580" w:rsidP="00247403">
                      <w:pPr>
                        <w:tabs>
                          <w:tab w:val="center" w:pos="5400"/>
                        </w:tabs>
                        <w:suppressAutoHyphens/>
                        <w:spacing w:before="60"/>
                        <w:rPr>
                          <w:rFonts w:asciiTheme="minorHAnsi" w:hAnsiTheme="minorHAnsi" w:cs="Univers"/>
                          <w:color w:val="0D0D0D" w:themeColor="text1" w:themeTint="F2"/>
                          <w:sz w:val="20"/>
                          <w:szCs w:val="20"/>
                          <w:lang w:val="pt-BR"/>
                        </w:rPr>
                      </w:pPr>
                    </w:p>
                    <w:p w14:paraId="755D1950" w14:textId="77777777" w:rsidR="00977580" w:rsidRPr="003D3B11" w:rsidRDefault="0097758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6E92FB2A" w14:textId="355B03D0" w:rsidR="00A50FCF" w:rsidRPr="006D1C74" w:rsidRDefault="00A50FCF" w:rsidP="00040C3A">
      <w:pPr>
        <w:tabs>
          <w:tab w:val="center" w:pos="5400"/>
        </w:tabs>
        <w:suppressAutoHyphens/>
        <w:jc w:val="center"/>
        <w:rPr>
          <w:rFonts w:asciiTheme="majorHAnsi" w:hAnsiTheme="majorHAnsi"/>
          <w:sz w:val="18"/>
          <w:szCs w:val="22"/>
          <w:lang w:val="pt-BR"/>
        </w:rPr>
      </w:pPr>
    </w:p>
    <w:p w14:paraId="17BA681B" w14:textId="43545B15" w:rsidR="00A50FCF" w:rsidRPr="006D1C74" w:rsidRDefault="00A50FCF" w:rsidP="00040C3A">
      <w:pPr>
        <w:tabs>
          <w:tab w:val="center" w:pos="5400"/>
        </w:tabs>
        <w:suppressAutoHyphens/>
        <w:jc w:val="center"/>
        <w:rPr>
          <w:rFonts w:asciiTheme="majorHAnsi" w:hAnsiTheme="majorHAnsi"/>
          <w:sz w:val="18"/>
          <w:szCs w:val="22"/>
          <w:lang w:val="pt-BR"/>
        </w:rPr>
      </w:pPr>
    </w:p>
    <w:p w14:paraId="6538925F" w14:textId="73DA4A70" w:rsidR="00A50FCF" w:rsidRPr="006D1C74" w:rsidRDefault="00A50FCF" w:rsidP="00040C3A">
      <w:pPr>
        <w:tabs>
          <w:tab w:val="center" w:pos="5400"/>
        </w:tabs>
        <w:suppressAutoHyphens/>
        <w:jc w:val="center"/>
        <w:rPr>
          <w:rFonts w:asciiTheme="majorHAnsi" w:hAnsiTheme="majorHAnsi"/>
          <w:sz w:val="18"/>
          <w:szCs w:val="22"/>
          <w:lang w:val="pt-BR"/>
        </w:rPr>
      </w:pPr>
    </w:p>
    <w:p w14:paraId="46543A0D" w14:textId="0F04523F" w:rsidR="00A50FCF" w:rsidRPr="006D1C74" w:rsidRDefault="00A50FCF" w:rsidP="00040C3A">
      <w:pPr>
        <w:tabs>
          <w:tab w:val="center" w:pos="5400"/>
        </w:tabs>
        <w:suppressAutoHyphens/>
        <w:jc w:val="center"/>
        <w:rPr>
          <w:rFonts w:asciiTheme="majorHAnsi" w:hAnsiTheme="majorHAnsi"/>
          <w:sz w:val="18"/>
          <w:szCs w:val="22"/>
          <w:lang w:val="pt-BR"/>
        </w:rPr>
      </w:pPr>
    </w:p>
    <w:p w14:paraId="2843E203" w14:textId="77777777" w:rsidR="00A50FCF" w:rsidRPr="006D1C74" w:rsidRDefault="0090270B" w:rsidP="00040C3A">
      <w:pPr>
        <w:tabs>
          <w:tab w:val="center" w:pos="5400"/>
        </w:tabs>
        <w:suppressAutoHyphens/>
        <w:jc w:val="center"/>
        <w:rPr>
          <w:rFonts w:asciiTheme="majorHAnsi" w:hAnsiTheme="majorHAnsi"/>
          <w:sz w:val="18"/>
          <w:szCs w:val="22"/>
          <w:lang w:val="pt-BR"/>
        </w:rPr>
      </w:pPr>
      <w:r w:rsidRPr="006D1C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BE15761" wp14:editId="5EE1D44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1A01C" w14:textId="219CCFB9" w:rsidR="00977580" w:rsidRPr="007E78B1" w:rsidRDefault="00977580"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F673C7">
                              <w:rPr>
                                <w:rFonts w:asciiTheme="majorHAnsi" w:hAnsiTheme="majorHAnsi"/>
                                <w:color w:val="595959" w:themeColor="text1" w:themeTint="A6"/>
                                <w:sz w:val="18"/>
                                <w:szCs w:val="18"/>
                                <w:lang w:val="pt-BR"/>
                              </w:rPr>
                              <w:t xml:space="preserve">CIDH, Relatório No. </w:t>
                            </w:r>
                            <w:r>
                              <w:rPr>
                                <w:rFonts w:asciiTheme="majorHAnsi" w:hAnsiTheme="majorHAnsi"/>
                                <w:color w:val="595959" w:themeColor="text1" w:themeTint="A6"/>
                                <w:sz w:val="18"/>
                                <w:szCs w:val="18"/>
                                <w:lang w:val="pt-BR"/>
                              </w:rPr>
                              <w:t>6/20</w:t>
                            </w:r>
                            <w:r w:rsidRPr="00F673C7">
                              <w:rPr>
                                <w:rFonts w:asciiTheme="majorHAnsi" w:hAnsiTheme="majorHAnsi"/>
                                <w:color w:val="595959" w:themeColor="text1" w:themeTint="A6"/>
                                <w:sz w:val="18"/>
                                <w:szCs w:val="18"/>
                                <w:lang w:val="pt-BR"/>
                              </w:rPr>
                              <w:t>. Caso 12.727. Mérito. Antonio Tavares Pereira e outros. Brasil.</w:t>
                            </w:r>
                            <w:r w:rsidRPr="00977580">
                              <w:rPr>
                                <w:rFonts w:asciiTheme="majorHAnsi" w:hAnsiTheme="majorHAnsi"/>
                                <w:color w:val="0D0D0D" w:themeColor="text1" w:themeTint="F2"/>
                                <w:sz w:val="18"/>
                                <w:szCs w:val="20"/>
                                <w:lang w:val="pt-BR"/>
                              </w:rPr>
                              <w:t xml:space="preserve"> </w:t>
                            </w:r>
                            <w:r>
                              <w:rPr>
                                <w:rFonts w:asciiTheme="majorHAnsi" w:hAnsiTheme="majorHAnsi"/>
                                <w:color w:val="0D0D0D" w:themeColor="text1" w:themeTint="F2"/>
                                <w:sz w:val="18"/>
                                <w:szCs w:val="20"/>
                                <w:lang w:val="pt-BR"/>
                              </w:rPr>
                              <w:t xml:space="preserve">3 </w:t>
                            </w:r>
                            <w:r w:rsidRPr="00F673C7">
                              <w:rPr>
                                <w:rFonts w:asciiTheme="majorHAnsi" w:hAnsiTheme="majorHAnsi"/>
                                <w:color w:val="0D0D0D" w:themeColor="text1" w:themeTint="F2"/>
                                <w:sz w:val="18"/>
                                <w:szCs w:val="20"/>
                                <w:lang w:val="pt-BR"/>
                              </w:rPr>
                              <w:t xml:space="preserve">de </w:t>
                            </w:r>
                            <w:r>
                              <w:rPr>
                                <w:rFonts w:ascii="Cambria" w:hAnsi="Cambria"/>
                                <w:color w:val="0D0D0D"/>
                                <w:sz w:val="18"/>
                                <w:szCs w:val="20"/>
                                <w:lang w:val="pt-BR"/>
                              </w:rPr>
                              <w:t>mar</w:t>
                            </w:r>
                            <w:r w:rsidRPr="002315D2">
                              <w:rPr>
                                <w:rFonts w:ascii="Cambria" w:hAnsi="Cambria"/>
                                <w:color w:val="0D0D0D"/>
                                <w:sz w:val="18"/>
                                <w:szCs w:val="20"/>
                                <w:lang w:val="pt-BR"/>
                              </w:rPr>
                              <w:t>ç</w:t>
                            </w:r>
                            <w:r>
                              <w:rPr>
                                <w:rFonts w:ascii="Cambria" w:hAnsi="Cambria"/>
                                <w:color w:val="0D0D0D"/>
                                <w:sz w:val="18"/>
                                <w:szCs w:val="20"/>
                                <w:lang w:val="pt-BR"/>
                              </w:rPr>
                              <w:t>o</w:t>
                            </w:r>
                            <w:r w:rsidRPr="00623ED1">
                              <w:rPr>
                                <w:rFonts w:ascii="Cambria" w:hAnsi="Cambria"/>
                                <w:color w:val="0D0D0D"/>
                                <w:sz w:val="18"/>
                                <w:szCs w:val="20"/>
                                <w:lang w:val="pt-BR"/>
                              </w:rPr>
                              <w:t xml:space="preserve"> de 20</w:t>
                            </w:r>
                            <w:r>
                              <w:rPr>
                                <w:rFonts w:ascii="Cambria" w:hAnsi="Cambria"/>
                                <w:color w:val="0D0D0D"/>
                                <w:sz w:val="18"/>
                                <w:szCs w:val="20"/>
                                <w:lang w:val="pt-BR"/>
                              </w:rPr>
                              <w:t>20</w:t>
                            </w:r>
                            <w:r w:rsidRPr="00AD0C9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15761"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" filled="f" stroked="f" strokeweight=".5pt">
                <v:textbox>
                  <w:txbxContent>
                    <w:p w14:paraId="2F91A01C" w14:textId="219CCFB9" w:rsidR="00977580" w:rsidRPr="007E78B1" w:rsidRDefault="00977580"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F673C7">
                        <w:rPr>
                          <w:rFonts w:asciiTheme="majorHAnsi" w:hAnsiTheme="majorHAnsi"/>
                          <w:color w:val="595959" w:themeColor="text1" w:themeTint="A6"/>
                          <w:sz w:val="18"/>
                          <w:szCs w:val="18"/>
                          <w:lang w:val="pt-BR"/>
                        </w:rPr>
                        <w:t xml:space="preserve">CIDH, Relatório No. </w:t>
                      </w:r>
                      <w:r>
                        <w:rPr>
                          <w:rFonts w:asciiTheme="majorHAnsi" w:hAnsiTheme="majorHAnsi"/>
                          <w:color w:val="595959" w:themeColor="text1" w:themeTint="A6"/>
                          <w:sz w:val="18"/>
                          <w:szCs w:val="18"/>
                          <w:lang w:val="pt-BR"/>
                        </w:rPr>
                        <w:t>6/20</w:t>
                      </w:r>
                      <w:r w:rsidRPr="00F673C7">
                        <w:rPr>
                          <w:rFonts w:asciiTheme="majorHAnsi" w:hAnsiTheme="majorHAnsi"/>
                          <w:color w:val="595959" w:themeColor="text1" w:themeTint="A6"/>
                          <w:sz w:val="18"/>
                          <w:szCs w:val="18"/>
                          <w:lang w:val="pt-BR"/>
                        </w:rPr>
                        <w:t>. Caso 12.727. Mérito. Antonio Tavares Pereira e outros. Brasil.</w:t>
                      </w:r>
                      <w:r w:rsidRPr="00977580">
                        <w:rPr>
                          <w:rFonts w:asciiTheme="majorHAnsi" w:hAnsiTheme="majorHAnsi"/>
                          <w:color w:val="0D0D0D" w:themeColor="text1" w:themeTint="F2"/>
                          <w:sz w:val="18"/>
                          <w:szCs w:val="20"/>
                          <w:lang w:val="pt-BR"/>
                        </w:rPr>
                        <w:t xml:space="preserve"> </w:t>
                      </w:r>
                      <w:r>
                        <w:rPr>
                          <w:rFonts w:asciiTheme="majorHAnsi" w:hAnsiTheme="majorHAnsi"/>
                          <w:color w:val="0D0D0D" w:themeColor="text1" w:themeTint="F2"/>
                          <w:sz w:val="18"/>
                          <w:szCs w:val="20"/>
                          <w:lang w:val="pt-BR"/>
                        </w:rPr>
                        <w:t xml:space="preserve">3 </w:t>
                      </w:r>
                      <w:r w:rsidRPr="00F673C7">
                        <w:rPr>
                          <w:rFonts w:asciiTheme="majorHAnsi" w:hAnsiTheme="majorHAnsi"/>
                          <w:color w:val="0D0D0D" w:themeColor="text1" w:themeTint="F2"/>
                          <w:sz w:val="18"/>
                          <w:szCs w:val="20"/>
                          <w:lang w:val="pt-BR"/>
                        </w:rPr>
                        <w:t xml:space="preserve">de </w:t>
                      </w:r>
                      <w:r>
                        <w:rPr>
                          <w:rFonts w:ascii="Cambria" w:hAnsi="Cambria"/>
                          <w:color w:val="0D0D0D"/>
                          <w:sz w:val="18"/>
                          <w:szCs w:val="20"/>
                          <w:lang w:val="pt-BR"/>
                        </w:rPr>
                        <w:t>mar</w:t>
                      </w:r>
                      <w:r w:rsidRPr="002315D2">
                        <w:rPr>
                          <w:rFonts w:ascii="Cambria" w:hAnsi="Cambria"/>
                          <w:color w:val="0D0D0D"/>
                          <w:sz w:val="18"/>
                          <w:szCs w:val="20"/>
                          <w:lang w:val="pt-BR"/>
                        </w:rPr>
                        <w:t>ç</w:t>
                      </w:r>
                      <w:r>
                        <w:rPr>
                          <w:rFonts w:ascii="Cambria" w:hAnsi="Cambria"/>
                          <w:color w:val="0D0D0D"/>
                          <w:sz w:val="18"/>
                          <w:szCs w:val="20"/>
                          <w:lang w:val="pt-BR"/>
                        </w:rPr>
                        <w:t>o</w:t>
                      </w:r>
                      <w:r w:rsidRPr="00623ED1">
                        <w:rPr>
                          <w:rFonts w:ascii="Cambria" w:hAnsi="Cambria"/>
                          <w:color w:val="0D0D0D"/>
                          <w:sz w:val="18"/>
                          <w:szCs w:val="20"/>
                          <w:lang w:val="pt-BR"/>
                        </w:rPr>
                        <w:t xml:space="preserve"> de 20</w:t>
                      </w:r>
                      <w:r>
                        <w:rPr>
                          <w:rFonts w:ascii="Cambria" w:hAnsi="Cambria"/>
                          <w:color w:val="0D0D0D"/>
                          <w:sz w:val="18"/>
                          <w:szCs w:val="20"/>
                          <w:lang w:val="pt-BR"/>
                        </w:rPr>
                        <w:t>20</w:t>
                      </w:r>
                      <w:r w:rsidRPr="00AD0C98">
                        <w:rPr>
                          <w:rFonts w:asciiTheme="majorHAnsi" w:hAnsiTheme="majorHAnsi"/>
                          <w:color w:val="595959" w:themeColor="text1" w:themeTint="A6"/>
                          <w:sz w:val="18"/>
                          <w:szCs w:val="18"/>
                          <w:lang w:val="es-ES"/>
                        </w:rPr>
                        <w:t>.</w:t>
                      </w:r>
                    </w:p>
                  </w:txbxContent>
                </v:textbox>
              </v:shape>
            </w:pict>
          </mc:Fallback>
        </mc:AlternateContent>
      </w:r>
    </w:p>
    <w:p w14:paraId="4F424609" w14:textId="1F220F28" w:rsidR="00A50FCF" w:rsidRPr="006D1C74" w:rsidRDefault="00A50FCF" w:rsidP="00040C3A">
      <w:pPr>
        <w:tabs>
          <w:tab w:val="center" w:pos="5400"/>
        </w:tabs>
        <w:suppressAutoHyphens/>
        <w:jc w:val="center"/>
        <w:rPr>
          <w:rFonts w:asciiTheme="majorHAnsi" w:hAnsiTheme="majorHAnsi"/>
          <w:sz w:val="18"/>
          <w:szCs w:val="22"/>
          <w:lang w:val="pt-BR"/>
        </w:rPr>
      </w:pPr>
    </w:p>
    <w:p w14:paraId="3C85A2E8" w14:textId="55AEEB31" w:rsidR="0090270B" w:rsidRPr="006D1C74" w:rsidRDefault="00977580" w:rsidP="005516A1">
      <w:pPr>
        <w:tabs>
          <w:tab w:val="center" w:pos="5400"/>
        </w:tabs>
        <w:suppressAutoHyphens/>
        <w:jc w:val="center"/>
        <w:rPr>
          <w:rFonts w:asciiTheme="majorHAnsi" w:hAnsiTheme="majorHAnsi"/>
          <w:b/>
          <w:sz w:val="20"/>
          <w:lang w:val="pt-BR"/>
        </w:rPr>
      </w:pPr>
      <w:r w:rsidRPr="006D1C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8991F1B" wp14:editId="2A75B638">
                <wp:simplePos x="0" y="0"/>
                <wp:positionH relativeFrom="column">
                  <wp:posOffset>1314450</wp:posOffset>
                </wp:positionH>
                <wp:positionV relativeFrom="paragraph">
                  <wp:posOffset>458470</wp:posOffset>
                </wp:positionV>
                <wp:extent cx="4115435" cy="5238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411543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A8200" w14:textId="77777777" w:rsidR="00977580" w:rsidRPr="00D72DC6" w:rsidRDefault="00977580" w:rsidP="00F02AD1">
                            <w:pPr>
                              <w:rPr>
                                <w:color w:val="FFFFFF" w:themeColor="background1"/>
                                <w14:textFill>
                                  <w14:noFill/>
                                </w14:textFill>
                              </w:rPr>
                            </w:pPr>
                            <w:r>
                              <w:rPr>
                                <w:noProof/>
                                <w:color w:val="FFFFFF" w:themeColor="background1"/>
                              </w:rPr>
                              <w:drawing>
                                <wp:inline distT="0" distB="0" distL="0" distR="0" wp14:anchorId="00011218" wp14:editId="03337B62">
                                  <wp:extent cx="1281430" cy="3296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9854" cy="3394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91F1B" id="Text Box 9" o:spid="_x0000_s1032" type="#_x0000_t202" style="position:absolute;left:0;text-align:left;margin-left:103.5pt;margin-top:36.1pt;width:324.05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" fillcolor="white [3201]" stroked="f" strokeweight=".5pt">
                <v:textbox>
                  <w:txbxContent>
                    <w:p w14:paraId="319A8200" w14:textId="77777777" w:rsidR="00977580" w:rsidRPr="00D72DC6" w:rsidRDefault="00977580" w:rsidP="00F02AD1">
                      <w:pPr>
                        <w:rPr>
                          <w:color w:val="FFFFFF" w:themeColor="background1"/>
                          <w14:textFill>
                            <w14:noFill/>
                          </w14:textFill>
                        </w:rPr>
                      </w:pPr>
                      <w:r>
                        <w:rPr>
                          <w:noProof/>
                          <w:color w:val="FFFFFF" w:themeColor="background1"/>
                        </w:rPr>
                        <w:drawing>
                          <wp:inline distT="0" distB="0" distL="0" distR="0" wp14:anchorId="00011218" wp14:editId="03337B62">
                            <wp:extent cx="1281430" cy="3296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9854" cy="339496"/>
                                    </a:xfrm>
                                    <a:prstGeom prst="rect">
                                      <a:avLst/>
                                    </a:prstGeom>
                                  </pic:spPr>
                                </pic:pic>
                              </a:graphicData>
                            </a:graphic>
                          </wp:inline>
                        </w:drawing>
                      </w:r>
                    </w:p>
                  </w:txbxContent>
                </v:textbox>
              </v:shape>
            </w:pict>
          </mc:Fallback>
        </mc:AlternateContent>
      </w:r>
      <w:r w:rsidRPr="00E63AC6">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578E6D3F" wp14:editId="4F140A9F">
                <wp:simplePos x="0" y="0"/>
                <wp:positionH relativeFrom="margin">
                  <wp:posOffset>-247650</wp:posOffset>
                </wp:positionH>
                <wp:positionV relativeFrom="paragraph">
                  <wp:posOffset>544195</wp:posOffset>
                </wp:positionV>
                <wp:extent cx="1190625" cy="2667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1906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F9173" w14:textId="77777777" w:rsidR="00977580" w:rsidRPr="00881636" w:rsidRDefault="00977580" w:rsidP="00977580">
                            <w:pPr>
                              <w:rPr>
                                <w:rFonts w:asciiTheme="minorHAnsi" w:hAnsiTheme="minorHAnsi"/>
                                <w:b/>
                              </w:rPr>
                            </w:pPr>
                            <w:r w:rsidRPr="00881636">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E6D3F" id="Text Box 15" o:spid="_x0000_s1033" type="#_x0000_t202" style="position:absolute;left:0;text-align:left;margin-left:-19.5pt;margin-top:42.85pt;width:93.75pt;height:2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" filled="f" stroked="f" strokeweight=".5pt">
                <v:textbox>
                  <w:txbxContent>
                    <w:p w14:paraId="709F9173" w14:textId="77777777" w:rsidR="00977580" w:rsidRPr="00881636" w:rsidRDefault="00977580" w:rsidP="00977580">
                      <w:pPr>
                        <w:rPr>
                          <w:rFonts w:asciiTheme="minorHAnsi" w:hAnsiTheme="minorHAnsi"/>
                          <w:b/>
                        </w:rPr>
                      </w:pPr>
                      <w:r w:rsidRPr="00881636">
                        <w:rPr>
                          <w:rFonts w:asciiTheme="minorHAnsi" w:hAnsiTheme="minorHAnsi"/>
                          <w:b/>
                          <w:lang w:val="pt-BR"/>
                        </w:rPr>
                        <w:t>www.cidh.org</w:t>
                      </w:r>
                    </w:p>
                  </w:txbxContent>
                </v:textbox>
                <w10:wrap anchorx="margin"/>
              </v:shape>
            </w:pict>
          </mc:Fallback>
        </mc:AlternateContent>
      </w:r>
      <w:r w:rsidR="00D306D1" w:rsidRPr="006D1C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93C00D8" wp14:editId="3DF9592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4F70C" w14:textId="77777777" w:rsidR="00977580" w:rsidRPr="004B7EB6" w:rsidRDefault="0097758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C00D8" id="Text Box 4" o:spid="_x0000_s1034"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5S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Y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a&#10;hB5SgQIAAGkFAAAOAAAAAAAAAAAAAAAAAC4CAABkcnMvZTJvRG9jLnhtbFBLAQItABQABgAIAAAA&#10;IQBdLTBP4gAAAAsBAAAPAAAAAAAAAAAAAAAAANsEAABkcnMvZG93bnJldi54bWxQSwUGAAAAAAQA&#10;BADzAAAA6gUAAAAA&#10;" filled="f" stroked="f" strokeweight=".5pt">
                <v:textbox>
                  <w:txbxContent>
                    <w:p w14:paraId="5704F70C" w14:textId="77777777" w:rsidR="00977580" w:rsidRPr="004B7EB6" w:rsidRDefault="0097758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DC77DBD" w14:textId="77777777" w:rsidR="0070697F" w:rsidRPr="006D1C74" w:rsidRDefault="0070697F" w:rsidP="005516A1">
      <w:pPr>
        <w:tabs>
          <w:tab w:val="center" w:pos="5400"/>
        </w:tabs>
        <w:suppressAutoHyphens/>
        <w:jc w:val="center"/>
        <w:rPr>
          <w:rFonts w:asciiTheme="majorHAnsi" w:hAnsiTheme="majorHAnsi"/>
          <w:b/>
          <w:sz w:val="20"/>
          <w:lang w:val="pt-BR"/>
        </w:rPr>
        <w:sectPr w:rsidR="0070697F" w:rsidRPr="006D1C7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192FA53D" w14:textId="77777777" w:rsidR="00722C9F" w:rsidRPr="006D1C74" w:rsidRDefault="00722C9F" w:rsidP="00722C9F">
      <w:pPr>
        <w:tabs>
          <w:tab w:val="center" w:pos="5400"/>
        </w:tabs>
        <w:suppressAutoHyphens/>
        <w:spacing w:line="276" w:lineRule="auto"/>
        <w:jc w:val="center"/>
        <w:rPr>
          <w:rFonts w:asciiTheme="majorHAnsi" w:hAnsiTheme="majorHAnsi"/>
          <w:b/>
          <w:szCs w:val="20"/>
          <w:lang w:val="pt-BR"/>
        </w:rPr>
      </w:pPr>
      <w:r w:rsidRPr="006D1C74">
        <w:rPr>
          <w:rFonts w:asciiTheme="majorHAnsi" w:hAnsiTheme="majorHAnsi"/>
          <w:b/>
          <w:szCs w:val="20"/>
          <w:lang w:val="pt-BR"/>
        </w:rPr>
        <w:lastRenderedPageBreak/>
        <w:t>ÍNDICE</w:t>
      </w:r>
    </w:p>
    <w:p w14:paraId="53E2C616"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3DD62B49" w14:textId="5DD0F3E1" w:rsidR="00517ACA" w:rsidRDefault="001F0AB1">
      <w:pPr>
        <w:pStyle w:val="TOC1"/>
        <w:rPr>
          <w:rFonts w:asciiTheme="minorHAnsi" w:eastAsiaTheme="minorEastAsia" w:hAnsiTheme="minorHAnsi" w:cstheme="minorBidi"/>
          <w:b w:val="0"/>
          <w:sz w:val="22"/>
          <w:szCs w:val="22"/>
          <w:bdr w:val="none" w:sz="0" w:space="0" w:color="auto"/>
          <w:lang w:val="pt-BR" w:eastAsia="pt-BR"/>
        </w:rPr>
      </w:pPr>
      <w:r w:rsidRPr="006D1C74">
        <w:rPr>
          <w:b w:val="0"/>
          <w:noProof w:val="0"/>
          <w:lang w:val="pt-BR"/>
        </w:rPr>
        <w:fldChar w:fldCharType="begin"/>
      </w:r>
      <w:r w:rsidRPr="006D1C74">
        <w:rPr>
          <w:b w:val="0"/>
          <w:noProof w:val="0"/>
          <w:lang w:val="pt-BR"/>
        </w:rPr>
        <w:instrText xml:space="preserve"> TOC \o "1-3" \h \z \u </w:instrText>
      </w:r>
      <w:r w:rsidRPr="006D1C74">
        <w:rPr>
          <w:b w:val="0"/>
          <w:noProof w:val="0"/>
          <w:lang w:val="pt-BR"/>
        </w:rPr>
        <w:fldChar w:fldCharType="separate"/>
      </w:r>
      <w:hyperlink w:anchor="_Toc43554265" w:history="1">
        <w:r w:rsidR="00517ACA" w:rsidRPr="00061F67">
          <w:rPr>
            <w:rStyle w:val="Hyperlink"/>
            <w:lang w:val="pt-BR"/>
          </w:rPr>
          <w:t>I.</w:t>
        </w:r>
        <w:r w:rsidR="00517ACA">
          <w:rPr>
            <w:rFonts w:asciiTheme="minorHAnsi" w:eastAsiaTheme="minorEastAsia" w:hAnsiTheme="minorHAnsi" w:cstheme="minorBidi"/>
            <w:b w:val="0"/>
            <w:sz w:val="22"/>
            <w:szCs w:val="22"/>
            <w:bdr w:val="none" w:sz="0" w:space="0" w:color="auto"/>
            <w:lang w:val="pt-BR" w:eastAsia="pt-BR"/>
          </w:rPr>
          <w:tab/>
        </w:r>
        <w:r w:rsidR="00517ACA" w:rsidRPr="00061F67">
          <w:rPr>
            <w:rStyle w:val="Hyperlink"/>
            <w:lang w:val="pt-BR"/>
          </w:rPr>
          <w:t>INTRODUÇÃO</w:t>
        </w:r>
        <w:r w:rsidR="00517ACA">
          <w:rPr>
            <w:webHidden/>
          </w:rPr>
          <w:tab/>
        </w:r>
        <w:r w:rsidR="00517ACA">
          <w:rPr>
            <w:webHidden/>
          </w:rPr>
          <w:fldChar w:fldCharType="begin"/>
        </w:r>
        <w:r w:rsidR="00517ACA">
          <w:rPr>
            <w:webHidden/>
          </w:rPr>
          <w:instrText xml:space="preserve"> PAGEREF _Toc43554265 \h </w:instrText>
        </w:r>
        <w:r w:rsidR="00517ACA">
          <w:rPr>
            <w:webHidden/>
          </w:rPr>
        </w:r>
        <w:r w:rsidR="00517ACA">
          <w:rPr>
            <w:webHidden/>
          </w:rPr>
          <w:fldChar w:fldCharType="separate"/>
        </w:r>
        <w:r w:rsidR="004738E5">
          <w:rPr>
            <w:webHidden/>
          </w:rPr>
          <w:t>2</w:t>
        </w:r>
        <w:r w:rsidR="00517ACA">
          <w:rPr>
            <w:webHidden/>
          </w:rPr>
          <w:fldChar w:fldCharType="end"/>
        </w:r>
      </w:hyperlink>
    </w:p>
    <w:p w14:paraId="5C475B92" w14:textId="1C028BCE" w:rsidR="00517ACA" w:rsidRDefault="004738E5">
      <w:pPr>
        <w:pStyle w:val="TOC1"/>
        <w:rPr>
          <w:rFonts w:asciiTheme="minorHAnsi" w:eastAsiaTheme="minorEastAsia" w:hAnsiTheme="minorHAnsi" w:cstheme="minorBidi"/>
          <w:b w:val="0"/>
          <w:sz w:val="22"/>
          <w:szCs w:val="22"/>
          <w:bdr w:val="none" w:sz="0" w:space="0" w:color="auto"/>
          <w:lang w:val="pt-BR" w:eastAsia="pt-BR"/>
        </w:rPr>
      </w:pPr>
      <w:hyperlink w:anchor="_Toc43554266" w:history="1">
        <w:r w:rsidR="00517ACA" w:rsidRPr="00061F67">
          <w:rPr>
            <w:rStyle w:val="Hyperlink"/>
            <w:lang w:val="pt-BR"/>
          </w:rPr>
          <w:t>II.</w:t>
        </w:r>
        <w:r w:rsidR="00517ACA">
          <w:rPr>
            <w:rFonts w:asciiTheme="minorHAnsi" w:eastAsiaTheme="minorEastAsia" w:hAnsiTheme="minorHAnsi" w:cstheme="minorBidi"/>
            <w:b w:val="0"/>
            <w:sz w:val="22"/>
            <w:szCs w:val="22"/>
            <w:bdr w:val="none" w:sz="0" w:space="0" w:color="auto"/>
            <w:lang w:val="pt-BR" w:eastAsia="pt-BR"/>
          </w:rPr>
          <w:tab/>
        </w:r>
        <w:r w:rsidR="00517ACA" w:rsidRPr="00061F67">
          <w:rPr>
            <w:rStyle w:val="Hyperlink"/>
            <w:lang w:val="pt-BR"/>
          </w:rPr>
          <w:t>POSIÇÃO DAS PARTES</w:t>
        </w:r>
        <w:r w:rsidR="00517ACA">
          <w:rPr>
            <w:webHidden/>
          </w:rPr>
          <w:tab/>
        </w:r>
        <w:r w:rsidR="00517ACA">
          <w:rPr>
            <w:webHidden/>
          </w:rPr>
          <w:fldChar w:fldCharType="begin"/>
        </w:r>
        <w:r w:rsidR="00517ACA">
          <w:rPr>
            <w:webHidden/>
          </w:rPr>
          <w:instrText xml:space="preserve"> PAGEREF _Toc43554266 \h </w:instrText>
        </w:r>
        <w:r w:rsidR="00517ACA">
          <w:rPr>
            <w:webHidden/>
          </w:rPr>
        </w:r>
        <w:r w:rsidR="00517ACA">
          <w:rPr>
            <w:webHidden/>
          </w:rPr>
          <w:fldChar w:fldCharType="separate"/>
        </w:r>
        <w:r>
          <w:rPr>
            <w:webHidden/>
          </w:rPr>
          <w:t>2</w:t>
        </w:r>
        <w:r w:rsidR="00517ACA">
          <w:rPr>
            <w:webHidden/>
          </w:rPr>
          <w:fldChar w:fldCharType="end"/>
        </w:r>
      </w:hyperlink>
    </w:p>
    <w:p w14:paraId="3890D7E4" w14:textId="09EB658D" w:rsidR="00517ACA" w:rsidRDefault="004738E5">
      <w:pPr>
        <w:pStyle w:val="TOC2"/>
        <w:rPr>
          <w:rFonts w:asciiTheme="minorHAnsi" w:eastAsiaTheme="minorEastAsia" w:hAnsiTheme="minorHAnsi" w:cstheme="minorBidi"/>
          <w:noProof/>
          <w:sz w:val="22"/>
          <w:szCs w:val="22"/>
          <w:bdr w:val="none" w:sz="0" w:space="0" w:color="auto"/>
          <w:lang w:val="pt-BR" w:eastAsia="pt-BR"/>
        </w:rPr>
      </w:pPr>
      <w:hyperlink w:anchor="_Toc43554267" w:history="1">
        <w:r w:rsidR="00517ACA" w:rsidRPr="00061F67">
          <w:rPr>
            <w:rStyle w:val="Hyperlink"/>
            <w:noProof/>
            <w:lang w:val="pt-BR"/>
          </w:rPr>
          <w:t>A.</w:t>
        </w:r>
        <w:r w:rsidR="00517ACA">
          <w:rPr>
            <w:rFonts w:asciiTheme="minorHAnsi" w:eastAsiaTheme="minorEastAsia" w:hAnsiTheme="minorHAnsi" w:cstheme="minorBidi"/>
            <w:noProof/>
            <w:sz w:val="22"/>
            <w:szCs w:val="22"/>
            <w:bdr w:val="none" w:sz="0" w:space="0" w:color="auto"/>
            <w:lang w:val="pt-BR" w:eastAsia="pt-BR"/>
          </w:rPr>
          <w:tab/>
        </w:r>
        <w:r w:rsidR="00517ACA" w:rsidRPr="00061F67">
          <w:rPr>
            <w:rStyle w:val="Hyperlink"/>
            <w:noProof/>
            <w:lang w:val="pt-BR"/>
          </w:rPr>
          <w:t>Parte peticionária</w:t>
        </w:r>
        <w:r w:rsidR="00517ACA">
          <w:rPr>
            <w:noProof/>
            <w:webHidden/>
          </w:rPr>
          <w:tab/>
        </w:r>
        <w:r w:rsidR="00517ACA">
          <w:rPr>
            <w:noProof/>
            <w:webHidden/>
          </w:rPr>
          <w:fldChar w:fldCharType="begin"/>
        </w:r>
        <w:r w:rsidR="00517ACA">
          <w:rPr>
            <w:noProof/>
            <w:webHidden/>
          </w:rPr>
          <w:instrText xml:space="preserve"> PAGEREF _Toc43554267 \h </w:instrText>
        </w:r>
        <w:r w:rsidR="00517ACA">
          <w:rPr>
            <w:noProof/>
            <w:webHidden/>
          </w:rPr>
        </w:r>
        <w:r w:rsidR="00517ACA">
          <w:rPr>
            <w:noProof/>
            <w:webHidden/>
          </w:rPr>
          <w:fldChar w:fldCharType="separate"/>
        </w:r>
        <w:r>
          <w:rPr>
            <w:noProof/>
            <w:webHidden/>
          </w:rPr>
          <w:t>2</w:t>
        </w:r>
        <w:r w:rsidR="00517ACA">
          <w:rPr>
            <w:noProof/>
            <w:webHidden/>
          </w:rPr>
          <w:fldChar w:fldCharType="end"/>
        </w:r>
      </w:hyperlink>
    </w:p>
    <w:p w14:paraId="27B7163A" w14:textId="6A2D571F" w:rsidR="00517ACA" w:rsidRDefault="004738E5">
      <w:pPr>
        <w:pStyle w:val="TOC2"/>
        <w:rPr>
          <w:rFonts w:asciiTheme="minorHAnsi" w:eastAsiaTheme="minorEastAsia" w:hAnsiTheme="minorHAnsi" w:cstheme="minorBidi"/>
          <w:noProof/>
          <w:sz w:val="22"/>
          <w:szCs w:val="22"/>
          <w:bdr w:val="none" w:sz="0" w:space="0" w:color="auto"/>
          <w:lang w:val="pt-BR" w:eastAsia="pt-BR"/>
        </w:rPr>
      </w:pPr>
      <w:hyperlink w:anchor="_Toc43554268" w:history="1">
        <w:r w:rsidR="00517ACA" w:rsidRPr="00061F67">
          <w:rPr>
            <w:rStyle w:val="Hyperlink"/>
            <w:noProof/>
            <w:lang w:val="pt-BR"/>
          </w:rPr>
          <w:t>B.</w:t>
        </w:r>
        <w:r w:rsidR="00517ACA">
          <w:rPr>
            <w:rFonts w:asciiTheme="minorHAnsi" w:eastAsiaTheme="minorEastAsia" w:hAnsiTheme="minorHAnsi" w:cstheme="minorBidi"/>
            <w:noProof/>
            <w:sz w:val="22"/>
            <w:szCs w:val="22"/>
            <w:bdr w:val="none" w:sz="0" w:space="0" w:color="auto"/>
            <w:lang w:val="pt-BR" w:eastAsia="pt-BR"/>
          </w:rPr>
          <w:tab/>
        </w:r>
        <w:r w:rsidR="00517ACA" w:rsidRPr="00061F67">
          <w:rPr>
            <w:rStyle w:val="Hyperlink"/>
            <w:noProof/>
            <w:lang w:val="pt-BR"/>
          </w:rPr>
          <w:t>Posição do Estado</w:t>
        </w:r>
        <w:r w:rsidR="00517ACA">
          <w:rPr>
            <w:noProof/>
            <w:webHidden/>
          </w:rPr>
          <w:tab/>
        </w:r>
        <w:r w:rsidR="00517ACA">
          <w:rPr>
            <w:noProof/>
            <w:webHidden/>
          </w:rPr>
          <w:fldChar w:fldCharType="begin"/>
        </w:r>
        <w:r w:rsidR="00517ACA">
          <w:rPr>
            <w:noProof/>
            <w:webHidden/>
          </w:rPr>
          <w:instrText xml:space="preserve"> PAGEREF _Toc43554268 \h </w:instrText>
        </w:r>
        <w:r w:rsidR="00517ACA">
          <w:rPr>
            <w:noProof/>
            <w:webHidden/>
          </w:rPr>
        </w:r>
        <w:r w:rsidR="00517ACA">
          <w:rPr>
            <w:noProof/>
            <w:webHidden/>
          </w:rPr>
          <w:fldChar w:fldCharType="separate"/>
        </w:r>
        <w:r>
          <w:rPr>
            <w:noProof/>
            <w:webHidden/>
          </w:rPr>
          <w:t>4</w:t>
        </w:r>
        <w:r w:rsidR="00517ACA">
          <w:rPr>
            <w:noProof/>
            <w:webHidden/>
          </w:rPr>
          <w:fldChar w:fldCharType="end"/>
        </w:r>
      </w:hyperlink>
    </w:p>
    <w:p w14:paraId="35DC8517" w14:textId="4A143DDE" w:rsidR="00517ACA" w:rsidRDefault="004738E5">
      <w:pPr>
        <w:pStyle w:val="TOC1"/>
        <w:rPr>
          <w:rFonts w:asciiTheme="minorHAnsi" w:eastAsiaTheme="minorEastAsia" w:hAnsiTheme="minorHAnsi" w:cstheme="minorBidi"/>
          <w:b w:val="0"/>
          <w:sz w:val="22"/>
          <w:szCs w:val="22"/>
          <w:bdr w:val="none" w:sz="0" w:space="0" w:color="auto"/>
          <w:lang w:val="pt-BR" w:eastAsia="pt-BR"/>
        </w:rPr>
      </w:pPr>
      <w:hyperlink w:anchor="_Toc43554269" w:history="1">
        <w:r w:rsidR="00517ACA" w:rsidRPr="00061F67">
          <w:rPr>
            <w:rStyle w:val="Hyperlink"/>
            <w:lang w:val="pt-BR"/>
          </w:rPr>
          <w:t>III.</w:t>
        </w:r>
        <w:r w:rsidR="00517ACA">
          <w:rPr>
            <w:rFonts w:asciiTheme="minorHAnsi" w:eastAsiaTheme="minorEastAsia" w:hAnsiTheme="minorHAnsi" w:cstheme="minorBidi"/>
            <w:b w:val="0"/>
            <w:sz w:val="22"/>
            <w:szCs w:val="22"/>
            <w:bdr w:val="none" w:sz="0" w:space="0" w:color="auto"/>
            <w:lang w:val="pt-BR" w:eastAsia="pt-BR"/>
          </w:rPr>
          <w:tab/>
        </w:r>
        <w:r w:rsidR="00517ACA" w:rsidRPr="00061F67">
          <w:rPr>
            <w:rStyle w:val="Hyperlink"/>
            <w:lang w:val="pt-BR"/>
          </w:rPr>
          <w:t>DETERMINAÇÕES DE FATO</w:t>
        </w:r>
        <w:r w:rsidR="00517ACA">
          <w:rPr>
            <w:webHidden/>
          </w:rPr>
          <w:tab/>
        </w:r>
        <w:r w:rsidR="00517ACA">
          <w:rPr>
            <w:webHidden/>
          </w:rPr>
          <w:fldChar w:fldCharType="begin"/>
        </w:r>
        <w:r w:rsidR="00517ACA">
          <w:rPr>
            <w:webHidden/>
          </w:rPr>
          <w:instrText xml:space="preserve"> PAGEREF _Toc43554269 \h </w:instrText>
        </w:r>
        <w:r w:rsidR="00517ACA">
          <w:rPr>
            <w:webHidden/>
          </w:rPr>
        </w:r>
        <w:r w:rsidR="00517ACA">
          <w:rPr>
            <w:webHidden/>
          </w:rPr>
          <w:fldChar w:fldCharType="separate"/>
        </w:r>
        <w:r>
          <w:rPr>
            <w:webHidden/>
          </w:rPr>
          <w:t>6</w:t>
        </w:r>
        <w:r w:rsidR="00517ACA">
          <w:rPr>
            <w:webHidden/>
          </w:rPr>
          <w:fldChar w:fldCharType="end"/>
        </w:r>
      </w:hyperlink>
    </w:p>
    <w:p w14:paraId="67EA8AE9" w14:textId="6F334FBF" w:rsidR="00517ACA" w:rsidRDefault="004738E5">
      <w:pPr>
        <w:pStyle w:val="TOC2"/>
        <w:rPr>
          <w:rFonts w:asciiTheme="minorHAnsi" w:eastAsiaTheme="minorEastAsia" w:hAnsiTheme="minorHAnsi" w:cstheme="minorBidi"/>
          <w:noProof/>
          <w:sz w:val="22"/>
          <w:szCs w:val="22"/>
          <w:bdr w:val="none" w:sz="0" w:space="0" w:color="auto"/>
          <w:lang w:val="pt-BR" w:eastAsia="pt-BR"/>
        </w:rPr>
      </w:pPr>
      <w:hyperlink w:anchor="_Toc43554270" w:history="1">
        <w:r w:rsidR="00517ACA" w:rsidRPr="00061F67">
          <w:rPr>
            <w:rStyle w:val="Hyperlink"/>
            <w:noProof/>
            <w:lang w:val="pt-BR"/>
          </w:rPr>
          <w:t>A.</w:t>
        </w:r>
        <w:r w:rsidR="00517ACA">
          <w:rPr>
            <w:rFonts w:asciiTheme="minorHAnsi" w:eastAsiaTheme="minorEastAsia" w:hAnsiTheme="minorHAnsi" w:cstheme="minorBidi"/>
            <w:noProof/>
            <w:sz w:val="22"/>
            <w:szCs w:val="22"/>
            <w:bdr w:val="none" w:sz="0" w:space="0" w:color="auto"/>
            <w:lang w:val="pt-BR" w:eastAsia="pt-BR"/>
          </w:rPr>
          <w:tab/>
        </w:r>
        <w:r w:rsidR="00517ACA" w:rsidRPr="00061F67">
          <w:rPr>
            <w:rStyle w:val="Hyperlink"/>
            <w:noProof/>
            <w:lang w:val="pt-BR"/>
          </w:rPr>
          <w:t>Aspectos contextuais</w:t>
        </w:r>
        <w:r w:rsidR="00517ACA">
          <w:rPr>
            <w:noProof/>
            <w:webHidden/>
          </w:rPr>
          <w:tab/>
        </w:r>
        <w:r w:rsidR="00517ACA">
          <w:rPr>
            <w:noProof/>
            <w:webHidden/>
          </w:rPr>
          <w:fldChar w:fldCharType="begin"/>
        </w:r>
        <w:r w:rsidR="00517ACA">
          <w:rPr>
            <w:noProof/>
            <w:webHidden/>
          </w:rPr>
          <w:instrText xml:space="preserve"> PAGEREF _Toc43554270 \h </w:instrText>
        </w:r>
        <w:r w:rsidR="00517ACA">
          <w:rPr>
            <w:noProof/>
            <w:webHidden/>
          </w:rPr>
        </w:r>
        <w:r w:rsidR="00517ACA">
          <w:rPr>
            <w:noProof/>
            <w:webHidden/>
          </w:rPr>
          <w:fldChar w:fldCharType="separate"/>
        </w:r>
        <w:r>
          <w:rPr>
            <w:noProof/>
            <w:webHidden/>
          </w:rPr>
          <w:t>6</w:t>
        </w:r>
        <w:r w:rsidR="00517ACA">
          <w:rPr>
            <w:noProof/>
            <w:webHidden/>
          </w:rPr>
          <w:fldChar w:fldCharType="end"/>
        </w:r>
      </w:hyperlink>
    </w:p>
    <w:p w14:paraId="2BDFF865" w14:textId="466FF416" w:rsidR="00517ACA" w:rsidRDefault="004738E5">
      <w:pPr>
        <w:pStyle w:val="TOC2"/>
        <w:rPr>
          <w:rFonts w:asciiTheme="minorHAnsi" w:eastAsiaTheme="minorEastAsia" w:hAnsiTheme="minorHAnsi" w:cstheme="minorBidi"/>
          <w:noProof/>
          <w:sz w:val="22"/>
          <w:szCs w:val="22"/>
          <w:bdr w:val="none" w:sz="0" w:space="0" w:color="auto"/>
          <w:lang w:val="pt-BR" w:eastAsia="pt-BR"/>
        </w:rPr>
      </w:pPr>
      <w:hyperlink w:anchor="_Toc43554271" w:history="1">
        <w:r w:rsidR="00517ACA" w:rsidRPr="00061F67">
          <w:rPr>
            <w:rStyle w:val="Hyperlink"/>
            <w:noProof/>
            <w:lang w:val="pt-BR"/>
          </w:rPr>
          <w:t>B.</w:t>
        </w:r>
        <w:r w:rsidR="00517ACA">
          <w:rPr>
            <w:rFonts w:asciiTheme="minorHAnsi" w:eastAsiaTheme="minorEastAsia" w:hAnsiTheme="minorHAnsi" w:cstheme="minorBidi"/>
            <w:noProof/>
            <w:sz w:val="22"/>
            <w:szCs w:val="22"/>
            <w:bdr w:val="none" w:sz="0" w:space="0" w:color="auto"/>
            <w:lang w:val="pt-BR" w:eastAsia="pt-BR"/>
          </w:rPr>
          <w:tab/>
        </w:r>
        <w:r w:rsidR="00517ACA" w:rsidRPr="00061F67">
          <w:rPr>
            <w:rStyle w:val="Hyperlink"/>
            <w:noProof/>
            <w:lang w:val="pt-BR"/>
          </w:rPr>
          <w:t>Sobre os fatos ocorridos em 2 de maio de 2000</w:t>
        </w:r>
        <w:r w:rsidR="00517ACA">
          <w:rPr>
            <w:noProof/>
            <w:webHidden/>
          </w:rPr>
          <w:tab/>
        </w:r>
        <w:r w:rsidR="00517ACA">
          <w:rPr>
            <w:noProof/>
            <w:webHidden/>
          </w:rPr>
          <w:fldChar w:fldCharType="begin"/>
        </w:r>
        <w:r w:rsidR="00517ACA">
          <w:rPr>
            <w:noProof/>
            <w:webHidden/>
          </w:rPr>
          <w:instrText xml:space="preserve"> PAGEREF _Toc43554271 \h </w:instrText>
        </w:r>
        <w:r w:rsidR="00517ACA">
          <w:rPr>
            <w:noProof/>
            <w:webHidden/>
          </w:rPr>
        </w:r>
        <w:r w:rsidR="00517ACA">
          <w:rPr>
            <w:noProof/>
            <w:webHidden/>
          </w:rPr>
          <w:fldChar w:fldCharType="separate"/>
        </w:r>
        <w:r>
          <w:rPr>
            <w:noProof/>
            <w:webHidden/>
          </w:rPr>
          <w:t>7</w:t>
        </w:r>
        <w:r w:rsidR="00517ACA">
          <w:rPr>
            <w:noProof/>
            <w:webHidden/>
          </w:rPr>
          <w:fldChar w:fldCharType="end"/>
        </w:r>
      </w:hyperlink>
    </w:p>
    <w:p w14:paraId="4A48F5CF" w14:textId="5564EFA1" w:rsidR="00517ACA" w:rsidRDefault="004738E5">
      <w:pPr>
        <w:pStyle w:val="TOC2"/>
        <w:rPr>
          <w:rFonts w:asciiTheme="minorHAnsi" w:eastAsiaTheme="minorEastAsia" w:hAnsiTheme="minorHAnsi" w:cstheme="minorBidi"/>
          <w:noProof/>
          <w:sz w:val="22"/>
          <w:szCs w:val="22"/>
          <w:bdr w:val="none" w:sz="0" w:space="0" w:color="auto"/>
          <w:lang w:val="pt-BR" w:eastAsia="pt-BR"/>
        </w:rPr>
      </w:pPr>
      <w:hyperlink w:anchor="_Toc43554272" w:history="1">
        <w:r w:rsidR="00517ACA" w:rsidRPr="00061F67">
          <w:rPr>
            <w:rStyle w:val="Hyperlink"/>
            <w:noProof/>
            <w:lang w:val="pt-BR"/>
          </w:rPr>
          <w:t>C.</w:t>
        </w:r>
        <w:r w:rsidR="00517ACA">
          <w:rPr>
            <w:rFonts w:asciiTheme="minorHAnsi" w:eastAsiaTheme="minorEastAsia" w:hAnsiTheme="minorHAnsi" w:cstheme="minorBidi"/>
            <w:noProof/>
            <w:sz w:val="22"/>
            <w:szCs w:val="22"/>
            <w:bdr w:val="none" w:sz="0" w:space="0" w:color="auto"/>
            <w:lang w:val="pt-BR" w:eastAsia="pt-BR"/>
          </w:rPr>
          <w:tab/>
        </w:r>
        <w:r w:rsidR="00517ACA" w:rsidRPr="00061F67">
          <w:rPr>
            <w:rStyle w:val="Hyperlink"/>
            <w:noProof/>
            <w:lang w:val="pt-BR"/>
          </w:rPr>
          <w:t>Investigação da polícia militar</w:t>
        </w:r>
        <w:r w:rsidR="00517ACA">
          <w:rPr>
            <w:noProof/>
            <w:webHidden/>
          </w:rPr>
          <w:tab/>
        </w:r>
        <w:r w:rsidR="00517ACA">
          <w:rPr>
            <w:noProof/>
            <w:webHidden/>
          </w:rPr>
          <w:fldChar w:fldCharType="begin"/>
        </w:r>
        <w:r w:rsidR="00517ACA">
          <w:rPr>
            <w:noProof/>
            <w:webHidden/>
          </w:rPr>
          <w:instrText xml:space="preserve"> PAGEREF _Toc43554272 \h </w:instrText>
        </w:r>
        <w:r w:rsidR="00517ACA">
          <w:rPr>
            <w:noProof/>
            <w:webHidden/>
          </w:rPr>
        </w:r>
        <w:r w:rsidR="00517ACA">
          <w:rPr>
            <w:noProof/>
            <w:webHidden/>
          </w:rPr>
          <w:fldChar w:fldCharType="separate"/>
        </w:r>
        <w:r>
          <w:rPr>
            <w:noProof/>
            <w:webHidden/>
          </w:rPr>
          <w:t>9</w:t>
        </w:r>
        <w:r w:rsidR="00517ACA">
          <w:rPr>
            <w:noProof/>
            <w:webHidden/>
          </w:rPr>
          <w:fldChar w:fldCharType="end"/>
        </w:r>
      </w:hyperlink>
    </w:p>
    <w:p w14:paraId="6C0AEC19" w14:textId="57E0AF78" w:rsidR="00517ACA" w:rsidRDefault="004738E5">
      <w:pPr>
        <w:pStyle w:val="TOC2"/>
        <w:rPr>
          <w:rFonts w:asciiTheme="minorHAnsi" w:eastAsiaTheme="minorEastAsia" w:hAnsiTheme="minorHAnsi" w:cstheme="minorBidi"/>
          <w:noProof/>
          <w:sz w:val="22"/>
          <w:szCs w:val="22"/>
          <w:bdr w:val="none" w:sz="0" w:space="0" w:color="auto"/>
          <w:lang w:val="pt-BR" w:eastAsia="pt-BR"/>
        </w:rPr>
      </w:pPr>
      <w:hyperlink w:anchor="_Toc43554273" w:history="1">
        <w:r w:rsidR="00517ACA" w:rsidRPr="00061F67">
          <w:rPr>
            <w:rStyle w:val="Hyperlink"/>
            <w:noProof/>
            <w:lang w:val="pt-BR"/>
          </w:rPr>
          <w:t>D.</w:t>
        </w:r>
        <w:r w:rsidR="00517ACA">
          <w:rPr>
            <w:rFonts w:asciiTheme="minorHAnsi" w:eastAsiaTheme="minorEastAsia" w:hAnsiTheme="minorHAnsi" w:cstheme="minorBidi"/>
            <w:noProof/>
            <w:sz w:val="22"/>
            <w:szCs w:val="22"/>
            <w:bdr w:val="none" w:sz="0" w:space="0" w:color="auto"/>
            <w:lang w:val="pt-BR" w:eastAsia="pt-BR"/>
          </w:rPr>
          <w:tab/>
        </w:r>
        <w:r w:rsidR="00517ACA" w:rsidRPr="00061F67">
          <w:rPr>
            <w:rStyle w:val="Hyperlink"/>
            <w:noProof/>
            <w:lang w:val="pt-BR"/>
          </w:rPr>
          <w:t>Investigação policial e processo penal na justiça comum</w:t>
        </w:r>
        <w:r w:rsidR="00517ACA">
          <w:rPr>
            <w:noProof/>
            <w:webHidden/>
          </w:rPr>
          <w:tab/>
        </w:r>
        <w:r w:rsidR="00517ACA">
          <w:rPr>
            <w:noProof/>
            <w:webHidden/>
          </w:rPr>
          <w:fldChar w:fldCharType="begin"/>
        </w:r>
        <w:r w:rsidR="00517ACA">
          <w:rPr>
            <w:noProof/>
            <w:webHidden/>
          </w:rPr>
          <w:instrText xml:space="preserve"> PAGEREF _Toc43554273 \h </w:instrText>
        </w:r>
        <w:r w:rsidR="00517ACA">
          <w:rPr>
            <w:noProof/>
            <w:webHidden/>
          </w:rPr>
        </w:r>
        <w:r w:rsidR="00517ACA">
          <w:rPr>
            <w:noProof/>
            <w:webHidden/>
          </w:rPr>
          <w:fldChar w:fldCharType="separate"/>
        </w:r>
        <w:r>
          <w:rPr>
            <w:noProof/>
            <w:webHidden/>
          </w:rPr>
          <w:t>10</w:t>
        </w:r>
        <w:r w:rsidR="00517ACA">
          <w:rPr>
            <w:noProof/>
            <w:webHidden/>
          </w:rPr>
          <w:fldChar w:fldCharType="end"/>
        </w:r>
      </w:hyperlink>
    </w:p>
    <w:p w14:paraId="7A107C7B" w14:textId="7C1ACA04" w:rsidR="00517ACA" w:rsidRDefault="004738E5">
      <w:pPr>
        <w:pStyle w:val="TOC2"/>
        <w:rPr>
          <w:rFonts w:asciiTheme="minorHAnsi" w:eastAsiaTheme="minorEastAsia" w:hAnsiTheme="minorHAnsi" w:cstheme="minorBidi"/>
          <w:noProof/>
          <w:sz w:val="22"/>
          <w:szCs w:val="22"/>
          <w:bdr w:val="none" w:sz="0" w:space="0" w:color="auto"/>
          <w:lang w:val="pt-BR" w:eastAsia="pt-BR"/>
        </w:rPr>
      </w:pPr>
      <w:hyperlink w:anchor="_Toc43554274" w:history="1">
        <w:r w:rsidR="00517ACA" w:rsidRPr="00061F67">
          <w:rPr>
            <w:rStyle w:val="Hyperlink"/>
            <w:noProof/>
            <w:lang w:val="pt-BR"/>
          </w:rPr>
          <w:t>E.</w:t>
        </w:r>
        <w:r w:rsidR="00517ACA">
          <w:rPr>
            <w:rFonts w:asciiTheme="minorHAnsi" w:eastAsiaTheme="minorEastAsia" w:hAnsiTheme="minorHAnsi" w:cstheme="minorBidi"/>
            <w:noProof/>
            <w:sz w:val="22"/>
            <w:szCs w:val="22"/>
            <w:bdr w:val="none" w:sz="0" w:space="0" w:color="auto"/>
            <w:lang w:val="pt-BR" w:eastAsia="pt-BR"/>
          </w:rPr>
          <w:tab/>
        </w:r>
        <w:r w:rsidR="00517ACA" w:rsidRPr="00061F67">
          <w:rPr>
            <w:rStyle w:val="Hyperlink"/>
            <w:noProof/>
            <w:lang w:val="pt-BR"/>
          </w:rPr>
          <w:t>Reparação civil</w:t>
        </w:r>
        <w:r w:rsidR="00517ACA">
          <w:rPr>
            <w:noProof/>
            <w:webHidden/>
          </w:rPr>
          <w:tab/>
        </w:r>
        <w:r w:rsidR="00517ACA">
          <w:rPr>
            <w:noProof/>
            <w:webHidden/>
          </w:rPr>
          <w:fldChar w:fldCharType="begin"/>
        </w:r>
        <w:r w:rsidR="00517ACA">
          <w:rPr>
            <w:noProof/>
            <w:webHidden/>
          </w:rPr>
          <w:instrText xml:space="preserve"> PAGEREF _Toc43554274 \h </w:instrText>
        </w:r>
        <w:r w:rsidR="00517ACA">
          <w:rPr>
            <w:noProof/>
            <w:webHidden/>
          </w:rPr>
        </w:r>
        <w:r w:rsidR="00517ACA">
          <w:rPr>
            <w:noProof/>
            <w:webHidden/>
          </w:rPr>
          <w:fldChar w:fldCharType="separate"/>
        </w:r>
        <w:r>
          <w:rPr>
            <w:noProof/>
            <w:webHidden/>
          </w:rPr>
          <w:t>10</w:t>
        </w:r>
        <w:r w:rsidR="00517ACA">
          <w:rPr>
            <w:noProof/>
            <w:webHidden/>
          </w:rPr>
          <w:fldChar w:fldCharType="end"/>
        </w:r>
      </w:hyperlink>
    </w:p>
    <w:p w14:paraId="65846F32" w14:textId="624A89F3" w:rsidR="00517ACA" w:rsidRDefault="004738E5">
      <w:pPr>
        <w:pStyle w:val="TOC1"/>
        <w:rPr>
          <w:rFonts w:asciiTheme="minorHAnsi" w:eastAsiaTheme="minorEastAsia" w:hAnsiTheme="minorHAnsi" w:cstheme="minorBidi"/>
          <w:b w:val="0"/>
          <w:sz w:val="22"/>
          <w:szCs w:val="22"/>
          <w:bdr w:val="none" w:sz="0" w:space="0" w:color="auto"/>
          <w:lang w:val="pt-BR" w:eastAsia="pt-BR"/>
        </w:rPr>
      </w:pPr>
      <w:hyperlink w:anchor="_Toc43554275" w:history="1">
        <w:r w:rsidR="00517ACA" w:rsidRPr="00061F67">
          <w:rPr>
            <w:rStyle w:val="Hyperlink"/>
            <w:lang w:val="pt-BR"/>
          </w:rPr>
          <w:t>IV.</w:t>
        </w:r>
        <w:r w:rsidR="00517ACA">
          <w:rPr>
            <w:rFonts w:asciiTheme="minorHAnsi" w:eastAsiaTheme="minorEastAsia" w:hAnsiTheme="minorHAnsi" w:cstheme="minorBidi"/>
            <w:b w:val="0"/>
            <w:sz w:val="22"/>
            <w:szCs w:val="22"/>
            <w:bdr w:val="none" w:sz="0" w:space="0" w:color="auto"/>
            <w:lang w:val="pt-BR" w:eastAsia="pt-BR"/>
          </w:rPr>
          <w:tab/>
        </w:r>
        <w:r w:rsidR="00517ACA" w:rsidRPr="00061F67">
          <w:rPr>
            <w:rStyle w:val="Hyperlink"/>
            <w:lang w:val="pt-BR"/>
          </w:rPr>
          <w:t>ANÁLISE DE DIREITO</w:t>
        </w:r>
        <w:r w:rsidR="00517ACA">
          <w:rPr>
            <w:webHidden/>
          </w:rPr>
          <w:tab/>
        </w:r>
        <w:r w:rsidR="00517ACA">
          <w:rPr>
            <w:webHidden/>
          </w:rPr>
          <w:fldChar w:fldCharType="begin"/>
        </w:r>
        <w:r w:rsidR="00517ACA">
          <w:rPr>
            <w:webHidden/>
          </w:rPr>
          <w:instrText xml:space="preserve"> PAGEREF _Toc43554275 \h </w:instrText>
        </w:r>
        <w:r w:rsidR="00517ACA">
          <w:rPr>
            <w:webHidden/>
          </w:rPr>
        </w:r>
        <w:r w:rsidR="00517ACA">
          <w:rPr>
            <w:webHidden/>
          </w:rPr>
          <w:fldChar w:fldCharType="separate"/>
        </w:r>
        <w:r>
          <w:rPr>
            <w:webHidden/>
          </w:rPr>
          <w:t>11</w:t>
        </w:r>
        <w:r w:rsidR="00517ACA">
          <w:rPr>
            <w:webHidden/>
          </w:rPr>
          <w:fldChar w:fldCharType="end"/>
        </w:r>
      </w:hyperlink>
    </w:p>
    <w:p w14:paraId="24AABC63" w14:textId="3BBE7BC3" w:rsidR="00517ACA" w:rsidRDefault="004738E5">
      <w:pPr>
        <w:pStyle w:val="TOC2"/>
        <w:rPr>
          <w:rFonts w:asciiTheme="minorHAnsi" w:eastAsiaTheme="minorEastAsia" w:hAnsiTheme="minorHAnsi" w:cstheme="minorBidi"/>
          <w:noProof/>
          <w:sz w:val="22"/>
          <w:szCs w:val="22"/>
          <w:bdr w:val="none" w:sz="0" w:space="0" w:color="auto"/>
          <w:lang w:val="pt-BR" w:eastAsia="pt-BR"/>
        </w:rPr>
      </w:pPr>
      <w:hyperlink w:anchor="_Toc43554276" w:history="1">
        <w:r w:rsidR="00517ACA" w:rsidRPr="00061F67">
          <w:rPr>
            <w:rStyle w:val="Hyperlink"/>
            <w:noProof/>
            <w:lang w:val="pt-BR"/>
          </w:rPr>
          <w:t>A.</w:t>
        </w:r>
        <w:r w:rsidR="00517ACA">
          <w:rPr>
            <w:rFonts w:asciiTheme="minorHAnsi" w:eastAsiaTheme="minorEastAsia" w:hAnsiTheme="minorHAnsi" w:cstheme="minorBidi"/>
            <w:noProof/>
            <w:sz w:val="22"/>
            <w:szCs w:val="22"/>
            <w:bdr w:val="none" w:sz="0" w:space="0" w:color="auto"/>
            <w:lang w:val="pt-BR" w:eastAsia="pt-BR"/>
          </w:rPr>
          <w:tab/>
        </w:r>
        <w:r w:rsidR="00517ACA" w:rsidRPr="00061F67">
          <w:rPr>
            <w:rStyle w:val="Hyperlink"/>
            <w:noProof/>
            <w:lang w:val="pt-BR"/>
          </w:rPr>
          <w:t>Direito à vida e à integridade pessoal</w:t>
        </w:r>
        <w:r w:rsidR="00517ACA">
          <w:rPr>
            <w:noProof/>
            <w:webHidden/>
          </w:rPr>
          <w:tab/>
        </w:r>
        <w:r w:rsidR="00517ACA">
          <w:rPr>
            <w:noProof/>
            <w:webHidden/>
          </w:rPr>
          <w:fldChar w:fldCharType="begin"/>
        </w:r>
        <w:r w:rsidR="00517ACA">
          <w:rPr>
            <w:noProof/>
            <w:webHidden/>
          </w:rPr>
          <w:instrText xml:space="preserve"> PAGEREF _Toc43554276 \h </w:instrText>
        </w:r>
        <w:r w:rsidR="00517ACA">
          <w:rPr>
            <w:noProof/>
            <w:webHidden/>
          </w:rPr>
        </w:r>
        <w:r w:rsidR="00517ACA">
          <w:rPr>
            <w:noProof/>
            <w:webHidden/>
          </w:rPr>
          <w:fldChar w:fldCharType="separate"/>
        </w:r>
        <w:r>
          <w:rPr>
            <w:noProof/>
            <w:webHidden/>
          </w:rPr>
          <w:t>11</w:t>
        </w:r>
        <w:r w:rsidR="00517ACA">
          <w:rPr>
            <w:noProof/>
            <w:webHidden/>
          </w:rPr>
          <w:fldChar w:fldCharType="end"/>
        </w:r>
      </w:hyperlink>
    </w:p>
    <w:p w14:paraId="4509F908" w14:textId="064DE3D4" w:rsidR="00517ACA" w:rsidRDefault="004738E5">
      <w:pPr>
        <w:pStyle w:val="TOC2"/>
        <w:rPr>
          <w:rFonts w:asciiTheme="minorHAnsi" w:eastAsiaTheme="minorEastAsia" w:hAnsiTheme="minorHAnsi" w:cstheme="minorBidi"/>
          <w:noProof/>
          <w:sz w:val="22"/>
          <w:szCs w:val="22"/>
          <w:bdr w:val="none" w:sz="0" w:space="0" w:color="auto"/>
          <w:lang w:val="pt-BR" w:eastAsia="pt-BR"/>
        </w:rPr>
      </w:pPr>
      <w:hyperlink w:anchor="_Toc43554277" w:history="1">
        <w:r w:rsidR="00517ACA" w:rsidRPr="00061F67">
          <w:rPr>
            <w:rStyle w:val="Hyperlink"/>
            <w:rFonts w:cs="Calibri"/>
            <w:noProof/>
            <w:lang w:val="pt-BR"/>
          </w:rPr>
          <w:t>B.</w:t>
        </w:r>
        <w:r w:rsidR="00517ACA">
          <w:rPr>
            <w:rFonts w:asciiTheme="minorHAnsi" w:eastAsiaTheme="minorEastAsia" w:hAnsiTheme="minorHAnsi" w:cstheme="minorBidi"/>
            <w:noProof/>
            <w:sz w:val="22"/>
            <w:szCs w:val="22"/>
            <w:bdr w:val="none" w:sz="0" w:space="0" w:color="auto"/>
            <w:lang w:val="pt-BR" w:eastAsia="pt-BR"/>
          </w:rPr>
          <w:tab/>
        </w:r>
        <w:r w:rsidR="00517ACA" w:rsidRPr="00061F67">
          <w:rPr>
            <w:rStyle w:val="Hyperlink"/>
            <w:noProof/>
            <w:lang w:val="pt-BR"/>
          </w:rPr>
          <w:t>Direito de reunião, direito à liberdade de pensamento e de expressão e direito de circulação</w:t>
        </w:r>
        <w:r w:rsidR="00517ACA">
          <w:rPr>
            <w:noProof/>
            <w:webHidden/>
          </w:rPr>
          <w:tab/>
        </w:r>
        <w:r w:rsidR="00517ACA">
          <w:rPr>
            <w:noProof/>
            <w:webHidden/>
          </w:rPr>
          <w:fldChar w:fldCharType="begin"/>
        </w:r>
        <w:r w:rsidR="00517ACA">
          <w:rPr>
            <w:noProof/>
            <w:webHidden/>
          </w:rPr>
          <w:instrText xml:space="preserve"> PAGEREF _Toc43554277 \h </w:instrText>
        </w:r>
        <w:r w:rsidR="00517ACA">
          <w:rPr>
            <w:noProof/>
            <w:webHidden/>
          </w:rPr>
        </w:r>
        <w:r w:rsidR="00517ACA">
          <w:rPr>
            <w:noProof/>
            <w:webHidden/>
          </w:rPr>
          <w:fldChar w:fldCharType="separate"/>
        </w:r>
        <w:r>
          <w:rPr>
            <w:noProof/>
            <w:webHidden/>
          </w:rPr>
          <w:t>14</w:t>
        </w:r>
        <w:r w:rsidR="00517ACA">
          <w:rPr>
            <w:noProof/>
            <w:webHidden/>
          </w:rPr>
          <w:fldChar w:fldCharType="end"/>
        </w:r>
      </w:hyperlink>
    </w:p>
    <w:p w14:paraId="2AA3844B" w14:textId="628840F5" w:rsidR="00517ACA" w:rsidRDefault="004738E5">
      <w:pPr>
        <w:pStyle w:val="TOC2"/>
        <w:rPr>
          <w:rFonts w:asciiTheme="minorHAnsi" w:eastAsiaTheme="minorEastAsia" w:hAnsiTheme="minorHAnsi" w:cstheme="minorBidi"/>
          <w:noProof/>
          <w:sz w:val="22"/>
          <w:szCs w:val="22"/>
          <w:bdr w:val="none" w:sz="0" w:space="0" w:color="auto"/>
          <w:lang w:val="pt-BR" w:eastAsia="pt-BR"/>
        </w:rPr>
      </w:pPr>
      <w:hyperlink w:anchor="_Toc43554278" w:history="1">
        <w:r w:rsidR="00517ACA" w:rsidRPr="00061F67">
          <w:rPr>
            <w:rStyle w:val="Hyperlink"/>
            <w:noProof/>
            <w:lang w:val="pt-BR"/>
          </w:rPr>
          <w:t>C.</w:t>
        </w:r>
        <w:r w:rsidR="00517ACA">
          <w:rPr>
            <w:rFonts w:asciiTheme="minorHAnsi" w:eastAsiaTheme="minorEastAsia" w:hAnsiTheme="minorHAnsi" w:cstheme="minorBidi"/>
            <w:noProof/>
            <w:sz w:val="22"/>
            <w:szCs w:val="22"/>
            <w:bdr w:val="none" w:sz="0" w:space="0" w:color="auto"/>
            <w:lang w:val="pt-BR" w:eastAsia="pt-BR"/>
          </w:rPr>
          <w:tab/>
        </w:r>
        <w:r w:rsidR="00517ACA" w:rsidRPr="00061F67">
          <w:rPr>
            <w:rStyle w:val="Hyperlink"/>
            <w:noProof/>
            <w:lang w:val="pt-BR"/>
          </w:rPr>
          <w:t>Direito às garantias judiciais e à proteção judicial</w:t>
        </w:r>
        <w:r w:rsidR="00517ACA">
          <w:rPr>
            <w:noProof/>
            <w:webHidden/>
          </w:rPr>
          <w:tab/>
        </w:r>
        <w:r w:rsidR="00517ACA">
          <w:rPr>
            <w:noProof/>
            <w:webHidden/>
          </w:rPr>
          <w:fldChar w:fldCharType="begin"/>
        </w:r>
        <w:r w:rsidR="00517ACA">
          <w:rPr>
            <w:noProof/>
            <w:webHidden/>
          </w:rPr>
          <w:instrText xml:space="preserve"> PAGEREF _Toc43554278 \h </w:instrText>
        </w:r>
        <w:r w:rsidR="00517ACA">
          <w:rPr>
            <w:noProof/>
            <w:webHidden/>
          </w:rPr>
        </w:r>
        <w:r w:rsidR="00517ACA">
          <w:rPr>
            <w:noProof/>
            <w:webHidden/>
          </w:rPr>
          <w:fldChar w:fldCharType="separate"/>
        </w:r>
        <w:r>
          <w:rPr>
            <w:noProof/>
            <w:webHidden/>
          </w:rPr>
          <w:t>16</w:t>
        </w:r>
        <w:r w:rsidR="00517ACA">
          <w:rPr>
            <w:noProof/>
            <w:webHidden/>
          </w:rPr>
          <w:fldChar w:fldCharType="end"/>
        </w:r>
      </w:hyperlink>
    </w:p>
    <w:p w14:paraId="5E1709A9" w14:textId="0BD9FF5E" w:rsidR="00517ACA" w:rsidRDefault="004738E5">
      <w:pPr>
        <w:pStyle w:val="TOC2"/>
        <w:rPr>
          <w:rFonts w:asciiTheme="minorHAnsi" w:eastAsiaTheme="minorEastAsia" w:hAnsiTheme="minorHAnsi" w:cstheme="minorBidi"/>
          <w:noProof/>
          <w:sz w:val="22"/>
          <w:szCs w:val="22"/>
          <w:bdr w:val="none" w:sz="0" w:space="0" w:color="auto"/>
          <w:lang w:val="pt-BR" w:eastAsia="pt-BR"/>
        </w:rPr>
      </w:pPr>
      <w:hyperlink w:anchor="_Toc43554279" w:history="1">
        <w:r w:rsidR="00517ACA" w:rsidRPr="00061F67">
          <w:rPr>
            <w:rStyle w:val="Hyperlink"/>
            <w:noProof/>
            <w:lang w:val="pt-BR"/>
          </w:rPr>
          <w:t>D.</w:t>
        </w:r>
        <w:r w:rsidR="00517ACA">
          <w:rPr>
            <w:rFonts w:asciiTheme="minorHAnsi" w:eastAsiaTheme="minorEastAsia" w:hAnsiTheme="minorHAnsi" w:cstheme="minorBidi"/>
            <w:noProof/>
            <w:sz w:val="22"/>
            <w:szCs w:val="22"/>
            <w:bdr w:val="none" w:sz="0" w:space="0" w:color="auto"/>
            <w:lang w:val="pt-BR" w:eastAsia="pt-BR"/>
          </w:rPr>
          <w:tab/>
        </w:r>
        <w:r w:rsidR="00517ACA" w:rsidRPr="00061F67">
          <w:rPr>
            <w:rStyle w:val="Hyperlink"/>
            <w:noProof/>
            <w:lang w:val="pt-BR"/>
          </w:rPr>
          <w:t>O direito à integridade pessoal dos familiares de Antonio Tavares Pereira (artigo 5.1) com relação ao artigo 1.1 da Convenção Americana.</w:t>
        </w:r>
        <w:r w:rsidR="00517ACA">
          <w:rPr>
            <w:noProof/>
            <w:webHidden/>
          </w:rPr>
          <w:tab/>
        </w:r>
        <w:r w:rsidR="00517ACA">
          <w:rPr>
            <w:noProof/>
            <w:webHidden/>
          </w:rPr>
          <w:fldChar w:fldCharType="begin"/>
        </w:r>
        <w:r w:rsidR="00517ACA">
          <w:rPr>
            <w:noProof/>
            <w:webHidden/>
          </w:rPr>
          <w:instrText xml:space="preserve"> PAGEREF _Toc43554279 \h </w:instrText>
        </w:r>
        <w:r w:rsidR="00517ACA">
          <w:rPr>
            <w:noProof/>
            <w:webHidden/>
          </w:rPr>
        </w:r>
        <w:r w:rsidR="00517ACA">
          <w:rPr>
            <w:noProof/>
            <w:webHidden/>
          </w:rPr>
          <w:fldChar w:fldCharType="separate"/>
        </w:r>
        <w:r>
          <w:rPr>
            <w:noProof/>
            <w:webHidden/>
          </w:rPr>
          <w:t>20</w:t>
        </w:r>
        <w:r w:rsidR="00517ACA">
          <w:rPr>
            <w:noProof/>
            <w:webHidden/>
          </w:rPr>
          <w:fldChar w:fldCharType="end"/>
        </w:r>
      </w:hyperlink>
    </w:p>
    <w:p w14:paraId="34DA7F1F" w14:textId="701BF108" w:rsidR="00517ACA" w:rsidRDefault="004738E5">
      <w:pPr>
        <w:pStyle w:val="TOC1"/>
        <w:rPr>
          <w:rFonts w:asciiTheme="minorHAnsi" w:eastAsiaTheme="minorEastAsia" w:hAnsiTheme="minorHAnsi" w:cstheme="minorBidi"/>
          <w:b w:val="0"/>
          <w:sz w:val="22"/>
          <w:szCs w:val="22"/>
          <w:bdr w:val="none" w:sz="0" w:space="0" w:color="auto"/>
          <w:lang w:val="pt-BR" w:eastAsia="pt-BR"/>
        </w:rPr>
      </w:pPr>
      <w:hyperlink w:anchor="_Toc43554280" w:history="1">
        <w:r w:rsidR="00517ACA" w:rsidRPr="00061F67">
          <w:rPr>
            <w:rStyle w:val="Hyperlink"/>
            <w:lang w:val="pt-BR"/>
          </w:rPr>
          <w:t>V.</w:t>
        </w:r>
        <w:r w:rsidR="00517ACA">
          <w:rPr>
            <w:rFonts w:asciiTheme="minorHAnsi" w:eastAsiaTheme="minorEastAsia" w:hAnsiTheme="minorHAnsi" w:cstheme="minorBidi"/>
            <w:b w:val="0"/>
            <w:sz w:val="22"/>
            <w:szCs w:val="22"/>
            <w:bdr w:val="none" w:sz="0" w:space="0" w:color="auto"/>
            <w:lang w:val="pt-BR" w:eastAsia="pt-BR"/>
          </w:rPr>
          <w:tab/>
        </w:r>
        <w:r w:rsidR="00517ACA" w:rsidRPr="00061F67">
          <w:rPr>
            <w:rStyle w:val="Hyperlink"/>
            <w:lang w:val="pt-BR"/>
          </w:rPr>
          <w:t>CONCLUSÕES E RECOMENDAÇÕES</w:t>
        </w:r>
        <w:r w:rsidR="00517ACA">
          <w:rPr>
            <w:webHidden/>
          </w:rPr>
          <w:tab/>
        </w:r>
        <w:r w:rsidR="00517ACA">
          <w:rPr>
            <w:webHidden/>
          </w:rPr>
          <w:fldChar w:fldCharType="begin"/>
        </w:r>
        <w:r w:rsidR="00517ACA">
          <w:rPr>
            <w:webHidden/>
          </w:rPr>
          <w:instrText xml:space="preserve"> PAGEREF _Toc43554280 \h </w:instrText>
        </w:r>
        <w:r w:rsidR="00517ACA">
          <w:rPr>
            <w:webHidden/>
          </w:rPr>
        </w:r>
        <w:r w:rsidR="00517ACA">
          <w:rPr>
            <w:webHidden/>
          </w:rPr>
          <w:fldChar w:fldCharType="separate"/>
        </w:r>
        <w:r>
          <w:rPr>
            <w:webHidden/>
          </w:rPr>
          <w:t>21</w:t>
        </w:r>
        <w:r w:rsidR="00517ACA">
          <w:rPr>
            <w:webHidden/>
          </w:rPr>
          <w:fldChar w:fldCharType="end"/>
        </w:r>
      </w:hyperlink>
    </w:p>
    <w:p w14:paraId="3D4BA33A" w14:textId="77777777" w:rsidR="002649F0" w:rsidRPr="006D1C74" w:rsidRDefault="001F0AB1" w:rsidP="00F01FF6">
      <w:pPr>
        <w:tabs>
          <w:tab w:val="center" w:pos="5400"/>
        </w:tabs>
        <w:suppressAutoHyphens/>
        <w:spacing w:line="276" w:lineRule="auto"/>
        <w:ind w:hanging="720"/>
        <w:jc w:val="center"/>
        <w:rPr>
          <w:rFonts w:asciiTheme="majorHAnsi" w:hAnsiTheme="majorHAnsi"/>
          <w:b/>
          <w:sz w:val="20"/>
          <w:szCs w:val="20"/>
          <w:lang w:val="pt-BR"/>
        </w:rPr>
      </w:pPr>
      <w:r w:rsidRPr="006D1C74">
        <w:rPr>
          <w:rFonts w:asciiTheme="majorHAnsi" w:hAnsiTheme="majorHAnsi"/>
          <w:b/>
          <w:sz w:val="20"/>
          <w:szCs w:val="20"/>
          <w:lang w:val="pt-BR"/>
        </w:rPr>
        <w:fldChar w:fldCharType="end"/>
      </w:r>
    </w:p>
    <w:p w14:paraId="19C1AF2E" w14:textId="77777777" w:rsidR="002649F0" w:rsidRPr="006D1C74" w:rsidRDefault="002649F0" w:rsidP="00C474BD">
      <w:pPr>
        <w:tabs>
          <w:tab w:val="center" w:pos="5400"/>
        </w:tabs>
        <w:suppressAutoHyphens/>
        <w:spacing w:line="276" w:lineRule="auto"/>
        <w:ind w:hanging="720"/>
        <w:jc w:val="center"/>
        <w:rPr>
          <w:rFonts w:asciiTheme="majorHAnsi" w:hAnsiTheme="majorHAnsi"/>
          <w:b/>
          <w:sz w:val="20"/>
          <w:szCs w:val="20"/>
          <w:lang w:val="pt-BR"/>
        </w:rPr>
      </w:pPr>
    </w:p>
    <w:p w14:paraId="366A39A6"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24326927"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3CF8BA76"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2D160AAC"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41A43F1A"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5515A162"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39DD1DBE"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72CAE680"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6CF9AC97"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415F12DE"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7763ABC8"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45C20F64"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40D5535C"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52EBB6B4"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37CCFFC4"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4E7CDD04"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2737C1FD"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2119D117"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76773273"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55D75079" w14:textId="77777777" w:rsidR="002649F0" w:rsidRPr="006D1C74" w:rsidRDefault="002649F0" w:rsidP="00722C9F">
      <w:pPr>
        <w:tabs>
          <w:tab w:val="center" w:pos="5400"/>
        </w:tabs>
        <w:suppressAutoHyphens/>
        <w:spacing w:line="276" w:lineRule="auto"/>
        <w:jc w:val="center"/>
        <w:rPr>
          <w:rFonts w:asciiTheme="majorHAnsi" w:hAnsiTheme="majorHAnsi"/>
          <w:b/>
          <w:sz w:val="20"/>
          <w:szCs w:val="20"/>
          <w:lang w:val="pt-BR"/>
        </w:rPr>
      </w:pPr>
    </w:p>
    <w:p w14:paraId="403724F9" w14:textId="2BC62360" w:rsidR="00C474BD" w:rsidRPr="006D1C74" w:rsidRDefault="00C474BD">
      <w:pPr>
        <w:rPr>
          <w:rFonts w:asciiTheme="majorHAnsi" w:hAnsiTheme="majorHAnsi"/>
          <w:b/>
          <w:sz w:val="20"/>
          <w:szCs w:val="20"/>
          <w:lang w:val="pt-BR"/>
        </w:rPr>
      </w:pPr>
      <w:bookmarkStart w:id="2" w:name="_Toc506225817"/>
    </w:p>
    <w:p w14:paraId="1E923755" w14:textId="13AACA3E" w:rsidR="002649F0" w:rsidRPr="006D1C74" w:rsidRDefault="00927E16" w:rsidP="002649F0">
      <w:pPr>
        <w:tabs>
          <w:tab w:val="center" w:pos="5400"/>
        </w:tabs>
        <w:suppressAutoHyphens/>
        <w:spacing w:line="276" w:lineRule="auto"/>
        <w:jc w:val="center"/>
        <w:rPr>
          <w:rFonts w:asciiTheme="majorHAnsi" w:hAnsiTheme="majorHAnsi"/>
          <w:b/>
          <w:sz w:val="20"/>
          <w:szCs w:val="20"/>
          <w:lang w:val="pt-BR"/>
        </w:rPr>
      </w:pPr>
      <w:r w:rsidRPr="006D1C74">
        <w:rPr>
          <w:rFonts w:asciiTheme="majorHAnsi" w:hAnsiTheme="majorHAnsi"/>
          <w:b/>
          <w:sz w:val="20"/>
          <w:szCs w:val="20"/>
          <w:lang w:val="pt-BR"/>
        </w:rPr>
        <w:t>RELATÓRIO</w:t>
      </w:r>
      <w:r w:rsidR="00BD5C64">
        <w:rPr>
          <w:rFonts w:asciiTheme="majorHAnsi" w:hAnsiTheme="majorHAnsi"/>
          <w:b/>
          <w:sz w:val="20"/>
          <w:szCs w:val="20"/>
          <w:lang w:val="pt-BR"/>
        </w:rPr>
        <w:t xml:space="preserve"> No. 6</w:t>
      </w:r>
      <w:r w:rsidR="002649F0" w:rsidRPr="006D1C74">
        <w:rPr>
          <w:rFonts w:asciiTheme="majorHAnsi" w:hAnsiTheme="majorHAnsi"/>
          <w:b/>
          <w:sz w:val="20"/>
          <w:szCs w:val="20"/>
          <w:lang w:val="pt-BR"/>
        </w:rPr>
        <w:t>/20</w:t>
      </w:r>
    </w:p>
    <w:p w14:paraId="6A61674E" w14:textId="77777777" w:rsidR="002649F0" w:rsidRPr="006D1C74" w:rsidRDefault="002649F0" w:rsidP="002649F0">
      <w:pPr>
        <w:tabs>
          <w:tab w:val="center" w:pos="5400"/>
        </w:tabs>
        <w:suppressAutoHyphens/>
        <w:spacing w:line="276" w:lineRule="auto"/>
        <w:jc w:val="center"/>
        <w:rPr>
          <w:rFonts w:asciiTheme="majorHAnsi" w:hAnsiTheme="majorHAnsi"/>
          <w:b/>
          <w:sz w:val="20"/>
          <w:szCs w:val="20"/>
          <w:lang w:val="pt-BR"/>
        </w:rPr>
      </w:pPr>
      <w:r w:rsidRPr="006D1C74">
        <w:rPr>
          <w:rFonts w:asciiTheme="majorHAnsi" w:hAnsiTheme="majorHAnsi"/>
          <w:b/>
          <w:sz w:val="20"/>
          <w:szCs w:val="20"/>
          <w:lang w:val="pt-BR"/>
        </w:rPr>
        <w:t>CASO 12. 727</w:t>
      </w:r>
    </w:p>
    <w:p w14:paraId="35C51AB7" w14:textId="77777777" w:rsidR="002649F0" w:rsidRPr="006D1C74" w:rsidRDefault="00927E16" w:rsidP="002649F0">
      <w:pPr>
        <w:tabs>
          <w:tab w:val="center" w:pos="5400"/>
        </w:tabs>
        <w:suppressAutoHyphens/>
        <w:spacing w:line="276" w:lineRule="auto"/>
        <w:jc w:val="center"/>
        <w:rPr>
          <w:rFonts w:asciiTheme="majorHAnsi" w:hAnsiTheme="majorHAnsi"/>
          <w:sz w:val="20"/>
          <w:szCs w:val="20"/>
          <w:lang w:val="pt-BR"/>
        </w:rPr>
      </w:pPr>
      <w:r w:rsidRPr="006D1C74">
        <w:rPr>
          <w:rFonts w:asciiTheme="majorHAnsi" w:hAnsiTheme="majorHAnsi"/>
          <w:sz w:val="20"/>
          <w:szCs w:val="20"/>
          <w:lang w:val="pt-BR"/>
        </w:rPr>
        <w:t>RELATÓRIO</w:t>
      </w:r>
      <w:r w:rsidR="002649F0" w:rsidRPr="006D1C74">
        <w:rPr>
          <w:rFonts w:asciiTheme="majorHAnsi" w:hAnsiTheme="majorHAnsi"/>
          <w:sz w:val="20"/>
          <w:szCs w:val="20"/>
          <w:lang w:val="pt-BR"/>
        </w:rPr>
        <w:t xml:space="preserve"> DE </w:t>
      </w:r>
      <w:r w:rsidRPr="006D1C74">
        <w:rPr>
          <w:rFonts w:asciiTheme="majorHAnsi" w:hAnsiTheme="majorHAnsi"/>
          <w:sz w:val="20"/>
          <w:szCs w:val="20"/>
          <w:lang w:val="pt-BR"/>
        </w:rPr>
        <w:t>MÉRITO</w:t>
      </w:r>
    </w:p>
    <w:p w14:paraId="659EB03A" w14:textId="77777777" w:rsidR="002649F0" w:rsidRPr="006D1C74" w:rsidRDefault="002649F0" w:rsidP="002649F0">
      <w:pPr>
        <w:tabs>
          <w:tab w:val="center" w:pos="5400"/>
        </w:tabs>
        <w:suppressAutoHyphens/>
        <w:spacing w:line="276" w:lineRule="auto"/>
        <w:jc w:val="center"/>
        <w:rPr>
          <w:rFonts w:asciiTheme="majorHAnsi" w:hAnsiTheme="majorHAnsi"/>
          <w:sz w:val="20"/>
          <w:szCs w:val="20"/>
          <w:lang w:val="pt-BR"/>
        </w:rPr>
      </w:pPr>
      <w:r w:rsidRPr="006D1C74">
        <w:rPr>
          <w:rFonts w:asciiTheme="majorHAnsi" w:hAnsiTheme="majorHAnsi"/>
          <w:sz w:val="20"/>
          <w:szCs w:val="20"/>
          <w:lang w:val="pt-BR"/>
        </w:rPr>
        <w:t xml:space="preserve">ANTONIO TAVARES PEREIRA </w:t>
      </w:r>
      <w:r w:rsidR="00CF037E" w:rsidRPr="006D1C74">
        <w:rPr>
          <w:rFonts w:asciiTheme="majorHAnsi" w:hAnsiTheme="majorHAnsi"/>
          <w:sz w:val="20"/>
          <w:szCs w:val="20"/>
          <w:lang w:val="pt-BR"/>
        </w:rPr>
        <w:t>E</w:t>
      </w:r>
      <w:r w:rsidRPr="006D1C74">
        <w:rPr>
          <w:rFonts w:asciiTheme="majorHAnsi" w:hAnsiTheme="majorHAnsi"/>
          <w:sz w:val="20"/>
          <w:szCs w:val="20"/>
          <w:lang w:val="pt-BR"/>
        </w:rPr>
        <w:t xml:space="preserve"> </w:t>
      </w:r>
      <w:r w:rsidR="00CF037E" w:rsidRPr="006D1C74">
        <w:rPr>
          <w:rFonts w:asciiTheme="majorHAnsi" w:hAnsiTheme="majorHAnsi"/>
          <w:sz w:val="20"/>
          <w:szCs w:val="20"/>
          <w:lang w:val="pt-BR"/>
        </w:rPr>
        <w:t>OUTR</w:t>
      </w:r>
      <w:r w:rsidRPr="006D1C74">
        <w:rPr>
          <w:rFonts w:asciiTheme="majorHAnsi" w:hAnsiTheme="majorHAnsi"/>
          <w:sz w:val="20"/>
          <w:szCs w:val="20"/>
          <w:lang w:val="pt-BR"/>
        </w:rPr>
        <w:t>OS</w:t>
      </w:r>
    </w:p>
    <w:p w14:paraId="13DB816E" w14:textId="77777777" w:rsidR="002649F0" w:rsidRPr="006D1C74" w:rsidRDefault="002649F0" w:rsidP="002649F0">
      <w:pPr>
        <w:tabs>
          <w:tab w:val="center" w:pos="5400"/>
        </w:tabs>
        <w:suppressAutoHyphens/>
        <w:spacing w:line="276" w:lineRule="auto"/>
        <w:jc w:val="center"/>
        <w:rPr>
          <w:rFonts w:asciiTheme="majorHAnsi" w:hAnsiTheme="majorHAnsi"/>
          <w:sz w:val="20"/>
          <w:szCs w:val="20"/>
          <w:lang w:val="pt-BR"/>
        </w:rPr>
      </w:pPr>
      <w:r w:rsidRPr="006D1C74">
        <w:rPr>
          <w:rFonts w:asciiTheme="majorHAnsi" w:hAnsiTheme="majorHAnsi"/>
          <w:sz w:val="20"/>
          <w:szCs w:val="20"/>
          <w:lang w:val="pt-BR"/>
        </w:rPr>
        <w:t>BRASIL</w:t>
      </w:r>
      <w:r w:rsidRPr="006D1C74">
        <w:rPr>
          <w:rFonts w:asciiTheme="majorHAnsi" w:hAnsiTheme="majorHAnsi"/>
          <w:bCs/>
          <w:sz w:val="20"/>
          <w:szCs w:val="20"/>
          <w:vertAlign w:val="superscript"/>
          <w:lang w:val="pt-BR"/>
        </w:rPr>
        <w:footnoteReference w:id="2"/>
      </w:r>
    </w:p>
    <w:p w14:paraId="67012310" w14:textId="520E73C5" w:rsidR="002649F0" w:rsidRPr="00BD5C64" w:rsidRDefault="00BD5C64" w:rsidP="00BD5C64">
      <w:pPr>
        <w:tabs>
          <w:tab w:val="center" w:pos="5400"/>
        </w:tabs>
        <w:suppressAutoHyphens/>
        <w:spacing w:line="276" w:lineRule="auto"/>
        <w:jc w:val="center"/>
        <w:rPr>
          <w:rFonts w:asciiTheme="majorHAnsi" w:hAnsiTheme="majorHAnsi"/>
          <w:sz w:val="20"/>
          <w:szCs w:val="20"/>
          <w:lang w:val="pt-BR"/>
        </w:rPr>
      </w:pPr>
      <w:r w:rsidRPr="00BD5C64">
        <w:rPr>
          <w:rFonts w:asciiTheme="majorHAnsi" w:hAnsiTheme="majorHAnsi"/>
          <w:color w:val="0D0D0D" w:themeColor="text1" w:themeTint="F2"/>
          <w:sz w:val="18"/>
          <w:szCs w:val="20"/>
          <w:lang w:val="pt-BR"/>
        </w:rPr>
        <w:t xml:space="preserve">3 de </w:t>
      </w:r>
      <w:r w:rsidRPr="00BD5C64">
        <w:rPr>
          <w:rFonts w:ascii="Cambria" w:hAnsi="Cambria"/>
          <w:color w:val="0D0D0D"/>
          <w:sz w:val="18"/>
          <w:szCs w:val="20"/>
          <w:lang w:val="pt-BR"/>
        </w:rPr>
        <w:t>março de 2020</w:t>
      </w:r>
    </w:p>
    <w:p w14:paraId="0A76EBCC" w14:textId="77777777" w:rsidR="002649F0" w:rsidRPr="006D1C74" w:rsidRDefault="002649F0" w:rsidP="002649F0">
      <w:pPr>
        <w:keepNext/>
        <w:keepLines/>
        <w:ind w:left="720"/>
        <w:outlineLvl w:val="0"/>
        <w:rPr>
          <w:rFonts w:asciiTheme="majorHAnsi" w:eastAsia="Batang" w:hAnsiTheme="majorHAnsi" w:cstheme="majorBidi"/>
          <w:b/>
          <w:bCs/>
          <w:sz w:val="20"/>
          <w:szCs w:val="20"/>
          <w:bdr w:val="none" w:sz="0" w:space="0" w:color="auto"/>
          <w:lang w:val="pt-BR" w:eastAsia="es-ES"/>
        </w:rPr>
      </w:pPr>
    </w:p>
    <w:p w14:paraId="0F409707" w14:textId="77777777" w:rsidR="002649F0" w:rsidRPr="006D1C74" w:rsidRDefault="002649F0" w:rsidP="00E46227">
      <w:pPr>
        <w:pStyle w:val="Heading1"/>
        <w:rPr>
          <w:lang w:val="pt-BR"/>
        </w:rPr>
      </w:pPr>
      <w:bookmarkStart w:id="3" w:name="_Toc7618496"/>
      <w:bookmarkStart w:id="4" w:name="_Toc43554265"/>
      <w:bookmarkEnd w:id="2"/>
      <w:r w:rsidRPr="006D1C74">
        <w:rPr>
          <w:lang w:val="pt-BR"/>
        </w:rPr>
        <w:t>INTRODU</w:t>
      </w:r>
      <w:bookmarkEnd w:id="3"/>
      <w:r w:rsidR="00CF037E" w:rsidRPr="006D1C74">
        <w:rPr>
          <w:lang w:val="pt-BR"/>
        </w:rPr>
        <w:t>ÇÃO</w:t>
      </w:r>
      <w:bookmarkEnd w:id="4"/>
    </w:p>
    <w:p w14:paraId="3BEE9793"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cs="Arial"/>
          <w:bCs/>
          <w:sz w:val="20"/>
          <w:szCs w:val="20"/>
          <w:bdr w:val="none" w:sz="0" w:space="0" w:color="auto"/>
          <w:lang w:val="pt-BR"/>
        </w:rPr>
      </w:pPr>
    </w:p>
    <w:p w14:paraId="4B39A670" w14:textId="77777777" w:rsidR="002649F0" w:rsidRPr="006D1C74" w:rsidRDefault="00B65A5D"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pt-BR"/>
        </w:rPr>
      </w:pPr>
      <w:r w:rsidRPr="006D1C74">
        <w:rPr>
          <w:rFonts w:asciiTheme="majorHAnsi" w:eastAsia="Batang" w:hAnsiTheme="majorHAnsi"/>
          <w:sz w:val="20"/>
          <w:szCs w:val="20"/>
          <w:bdr w:val="none" w:sz="0" w:space="0" w:color="auto"/>
          <w:lang w:val="pt-BR"/>
        </w:rPr>
        <w:t>Em</w:t>
      </w:r>
      <w:r w:rsidR="002649F0" w:rsidRPr="006D1C74">
        <w:rPr>
          <w:rFonts w:asciiTheme="majorHAnsi" w:eastAsia="Batang" w:hAnsiTheme="majorHAnsi"/>
          <w:sz w:val="20"/>
          <w:szCs w:val="20"/>
          <w:bdr w:val="none" w:sz="0" w:space="0" w:color="auto"/>
          <w:lang w:val="pt-BR"/>
        </w:rPr>
        <w:t xml:space="preserve"> </w:t>
      </w:r>
      <w:r w:rsidR="002649F0" w:rsidRPr="006D1C74">
        <w:rPr>
          <w:rFonts w:asciiTheme="majorHAnsi" w:hAnsiTheme="majorHAnsi"/>
          <w:color w:val="000000"/>
          <w:sz w:val="20"/>
          <w:szCs w:val="20"/>
          <w:lang w:val="pt-BR"/>
        </w:rPr>
        <w:t>1</w:t>
      </w:r>
      <w:r w:rsidR="00055622" w:rsidRPr="006D1C74">
        <w:rPr>
          <w:rFonts w:asciiTheme="majorHAnsi" w:hAnsiTheme="majorHAnsi"/>
          <w:color w:val="000000"/>
          <w:sz w:val="20"/>
          <w:szCs w:val="20"/>
          <w:lang w:val="pt-BR"/>
        </w:rPr>
        <w:t>º</w:t>
      </w:r>
      <w:r w:rsidR="002649F0" w:rsidRPr="006D1C74">
        <w:rPr>
          <w:rFonts w:asciiTheme="majorHAnsi" w:hAnsiTheme="majorHAnsi"/>
          <w:color w:val="000000"/>
          <w:sz w:val="20"/>
          <w:szCs w:val="20"/>
          <w:lang w:val="pt-BR"/>
        </w:rPr>
        <w:t xml:space="preserve"> de </w:t>
      </w:r>
      <w:r w:rsidR="00F37852" w:rsidRPr="006D1C74">
        <w:rPr>
          <w:rFonts w:asciiTheme="majorHAnsi" w:hAnsiTheme="majorHAnsi"/>
          <w:color w:val="000000"/>
          <w:sz w:val="20"/>
          <w:szCs w:val="20"/>
          <w:lang w:val="pt-BR"/>
        </w:rPr>
        <w:t>ja</w:t>
      </w:r>
      <w:r w:rsidR="002649F0" w:rsidRPr="006D1C74">
        <w:rPr>
          <w:rFonts w:asciiTheme="majorHAnsi" w:hAnsiTheme="majorHAnsi"/>
          <w:color w:val="000000"/>
          <w:sz w:val="20"/>
          <w:szCs w:val="20"/>
          <w:lang w:val="pt-BR"/>
        </w:rPr>
        <w:t>ne</w:t>
      </w:r>
      <w:r w:rsidR="00055622" w:rsidRPr="006D1C74">
        <w:rPr>
          <w:rFonts w:asciiTheme="majorHAnsi" w:hAnsiTheme="majorHAnsi"/>
          <w:color w:val="000000"/>
          <w:sz w:val="20"/>
          <w:szCs w:val="20"/>
          <w:lang w:val="pt-BR"/>
        </w:rPr>
        <w:t>i</w:t>
      </w:r>
      <w:r w:rsidR="002649F0" w:rsidRPr="006D1C74">
        <w:rPr>
          <w:rFonts w:asciiTheme="majorHAnsi" w:hAnsiTheme="majorHAnsi"/>
          <w:color w:val="000000"/>
          <w:sz w:val="20"/>
          <w:szCs w:val="20"/>
          <w:lang w:val="pt-BR"/>
        </w:rPr>
        <w:t>ro de 2004,</w:t>
      </w:r>
      <w:r w:rsidR="00700267" w:rsidRPr="006D1C74">
        <w:rPr>
          <w:rFonts w:asciiTheme="majorHAnsi" w:eastAsia="Batang" w:hAnsiTheme="majorHAnsi"/>
          <w:sz w:val="20"/>
          <w:szCs w:val="20"/>
          <w:bdr w:val="none" w:sz="0" w:space="0" w:color="auto"/>
          <w:lang w:val="pt-BR"/>
        </w:rPr>
        <w:t xml:space="preserve"> a </w:t>
      </w:r>
      <w:r w:rsidR="00417BE8" w:rsidRPr="006D1C74">
        <w:rPr>
          <w:rFonts w:asciiTheme="majorHAnsi" w:eastAsia="Batang" w:hAnsiTheme="majorHAnsi"/>
          <w:sz w:val="20"/>
          <w:szCs w:val="20"/>
          <w:bdr w:val="none" w:sz="0" w:space="0" w:color="auto"/>
          <w:lang w:val="pt-BR"/>
        </w:rPr>
        <w:t>Comissão</w:t>
      </w:r>
      <w:r w:rsidR="002649F0" w:rsidRPr="006D1C74">
        <w:rPr>
          <w:rFonts w:asciiTheme="majorHAnsi" w:eastAsia="Batang" w:hAnsiTheme="majorHAnsi"/>
          <w:sz w:val="20"/>
          <w:szCs w:val="20"/>
          <w:bdr w:val="none" w:sz="0" w:space="0" w:color="auto"/>
          <w:lang w:val="pt-BR"/>
        </w:rPr>
        <w:t xml:space="preserve"> Interamericana de </w:t>
      </w:r>
      <w:r w:rsidR="00417BE8" w:rsidRPr="006D1C74">
        <w:rPr>
          <w:rFonts w:asciiTheme="majorHAnsi" w:eastAsia="Batang" w:hAnsiTheme="majorHAnsi"/>
          <w:sz w:val="20"/>
          <w:szCs w:val="20"/>
          <w:bdr w:val="none" w:sz="0" w:space="0" w:color="auto"/>
          <w:lang w:val="pt-BR"/>
        </w:rPr>
        <w:t>Direito</w:t>
      </w:r>
      <w:r w:rsidR="002649F0" w:rsidRPr="006D1C74">
        <w:rPr>
          <w:rFonts w:asciiTheme="majorHAnsi" w:eastAsia="Batang" w:hAnsiTheme="majorHAnsi"/>
          <w:sz w:val="20"/>
          <w:szCs w:val="20"/>
          <w:bdr w:val="none" w:sz="0" w:space="0" w:color="auto"/>
          <w:lang w:val="pt-BR"/>
        </w:rPr>
        <w:t>s Humanos (</w:t>
      </w:r>
      <w:r w:rsidR="00795010" w:rsidRPr="006D1C74">
        <w:rPr>
          <w:rFonts w:asciiTheme="majorHAnsi" w:eastAsia="Batang" w:hAnsiTheme="majorHAnsi"/>
          <w:sz w:val="20"/>
          <w:szCs w:val="20"/>
          <w:bdr w:val="none" w:sz="0" w:space="0" w:color="auto"/>
          <w:lang w:val="pt-BR"/>
        </w:rPr>
        <w:t>dorav</w:t>
      </w:r>
      <w:r w:rsidR="002649F0" w:rsidRPr="006D1C74">
        <w:rPr>
          <w:rFonts w:asciiTheme="majorHAnsi" w:eastAsia="Batang" w:hAnsiTheme="majorHAnsi"/>
          <w:sz w:val="20"/>
          <w:szCs w:val="20"/>
          <w:bdr w:val="none" w:sz="0" w:space="0" w:color="auto"/>
          <w:lang w:val="pt-BR"/>
        </w:rPr>
        <w:t>ante “</w:t>
      </w:r>
      <w:r w:rsidR="00417BE8" w:rsidRPr="006D1C74">
        <w:rPr>
          <w:rFonts w:asciiTheme="majorHAnsi" w:eastAsia="Batang" w:hAnsiTheme="majorHAnsi"/>
          <w:sz w:val="20"/>
          <w:szCs w:val="20"/>
          <w:bdr w:val="none" w:sz="0" w:space="0" w:color="auto"/>
          <w:lang w:val="pt-BR"/>
        </w:rPr>
        <w:t>Comissão</w:t>
      </w:r>
      <w:r w:rsidR="002649F0" w:rsidRPr="006D1C74">
        <w:rPr>
          <w:rFonts w:asciiTheme="majorHAnsi" w:eastAsia="Batang" w:hAnsiTheme="majorHAnsi"/>
          <w:sz w:val="20"/>
          <w:szCs w:val="20"/>
          <w:bdr w:val="none" w:sz="0" w:space="0" w:color="auto"/>
          <w:lang w:val="pt-BR"/>
        </w:rPr>
        <w:t xml:space="preserve"> Interamericana”, “</w:t>
      </w:r>
      <w:r w:rsidR="00417BE8" w:rsidRPr="006D1C74">
        <w:rPr>
          <w:rFonts w:asciiTheme="majorHAnsi" w:eastAsia="Batang" w:hAnsiTheme="majorHAnsi"/>
          <w:sz w:val="20"/>
          <w:szCs w:val="20"/>
          <w:bdr w:val="none" w:sz="0" w:space="0" w:color="auto"/>
          <w:lang w:val="pt-BR"/>
        </w:rPr>
        <w:t>Comissão</w:t>
      </w:r>
      <w:r w:rsidR="002649F0" w:rsidRPr="006D1C74">
        <w:rPr>
          <w:rFonts w:asciiTheme="majorHAnsi" w:eastAsia="Batang" w:hAnsiTheme="majorHAnsi"/>
          <w:sz w:val="20"/>
          <w:szCs w:val="20"/>
          <w:bdr w:val="none" w:sz="0" w:space="0" w:color="auto"/>
          <w:lang w:val="pt-BR"/>
        </w:rPr>
        <w:t>” o</w:t>
      </w:r>
      <w:r w:rsidR="00795010" w:rsidRPr="006D1C74">
        <w:rPr>
          <w:rFonts w:asciiTheme="majorHAnsi" w:eastAsia="Batang" w:hAnsiTheme="majorHAnsi"/>
          <w:sz w:val="20"/>
          <w:szCs w:val="20"/>
          <w:bdr w:val="none" w:sz="0" w:space="0" w:color="auto"/>
          <w:lang w:val="pt-BR"/>
        </w:rPr>
        <w:t>u</w:t>
      </w:r>
      <w:r w:rsidR="002649F0" w:rsidRPr="006D1C74">
        <w:rPr>
          <w:rFonts w:asciiTheme="majorHAnsi" w:eastAsia="Batang" w:hAnsiTheme="majorHAnsi"/>
          <w:sz w:val="20"/>
          <w:szCs w:val="20"/>
          <w:bdr w:val="none" w:sz="0" w:space="0" w:color="auto"/>
          <w:lang w:val="pt-BR"/>
        </w:rPr>
        <w:t xml:space="preserve"> “CIDH”) rec</w:t>
      </w:r>
      <w:r w:rsidR="00055622" w:rsidRPr="006D1C74">
        <w:rPr>
          <w:rFonts w:asciiTheme="majorHAnsi" w:eastAsia="Batang" w:hAnsiTheme="majorHAnsi"/>
          <w:sz w:val="20"/>
          <w:szCs w:val="20"/>
          <w:bdr w:val="none" w:sz="0" w:space="0" w:color="auto"/>
          <w:lang w:val="pt-BR"/>
        </w:rPr>
        <w:t>e</w:t>
      </w:r>
      <w:r w:rsidR="002649F0" w:rsidRPr="006D1C74">
        <w:rPr>
          <w:rFonts w:asciiTheme="majorHAnsi" w:eastAsia="Batang" w:hAnsiTheme="majorHAnsi"/>
          <w:sz w:val="20"/>
          <w:szCs w:val="20"/>
          <w:bdr w:val="none" w:sz="0" w:space="0" w:color="auto"/>
          <w:lang w:val="pt-BR"/>
        </w:rPr>
        <w:t>b</w:t>
      </w:r>
      <w:r w:rsidR="00F37852" w:rsidRPr="006D1C74">
        <w:rPr>
          <w:rFonts w:asciiTheme="majorHAnsi" w:eastAsia="Batang" w:hAnsiTheme="majorHAnsi"/>
          <w:sz w:val="20"/>
          <w:szCs w:val="20"/>
          <w:bdr w:val="none" w:sz="0" w:space="0" w:color="auto"/>
          <w:lang w:val="pt-BR"/>
        </w:rPr>
        <w:t>eu</w:t>
      </w:r>
      <w:r w:rsidR="00030019" w:rsidRPr="006D1C74">
        <w:rPr>
          <w:rFonts w:asciiTheme="majorHAnsi" w:eastAsia="Batang" w:hAnsiTheme="majorHAnsi"/>
          <w:sz w:val="20"/>
          <w:szCs w:val="20"/>
          <w:bdr w:val="none" w:sz="0" w:space="0" w:color="auto"/>
          <w:lang w:val="pt-BR"/>
        </w:rPr>
        <w:t xml:space="preserve"> uma </w:t>
      </w:r>
      <w:r w:rsidR="002649F0" w:rsidRPr="006D1C74">
        <w:rPr>
          <w:rFonts w:asciiTheme="majorHAnsi" w:eastAsia="Batang" w:hAnsiTheme="majorHAnsi"/>
          <w:sz w:val="20"/>
          <w:szCs w:val="20"/>
          <w:bdr w:val="none" w:sz="0" w:space="0" w:color="auto"/>
          <w:lang w:val="pt-BR"/>
        </w:rPr>
        <w:t>peti</w:t>
      </w:r>
      <w:r w:rsidR="00CF037E" w:rsidRPr="006D1C74">
        <w:rPr>
          <w:rFonts w:asciiTheme="majorHAnsi" w:eastAsia="Batang" w:hAnsiTheme="majorHAnsi"/>
          <w:sz w:val="20"/>
          <w:szCs w:val="20"/>
          <w:bdr w:val="none" w:sz="0" w:space="0" w:color="auto"/>
          <w:lang w:val="pt-BR"/>
        </w:rPr>
        <w:t>ção</w:t>
      </w:r>
      <w:r w:rsidR="00F673C7" w:rsidRPr="006D1C74">
        <w:rPr>
          <w:rFonts w:asciiTheme="majorHAnsi" w:eastAsia="Batang" w:hAnsiTheme="majorHAnsi"/>
          <w:sz w:val="20"/>
          <w:szCs w:val="20"/>
          <w:bdr w:val="none" w:sz="0" w:space="0" w:color="auto"/>
          <w:lang w:val="pt-BR"/>
        </w:rPr>
        <w:t xml:space="preserve"> na </w:t>
      </w:r>
      <w:r w:rsidR="00055622" w:rsidRPr="006D1C74">
        <w:rPr>
          <w:rFonts w:asciiTheme="majorHAnsi" w:eastAsia="Batang" w:hAnsiTheme="majorHAnsi"/>
          <w:sz w:val="20"/>
          <w:szCs w:val="20"/>
          <w:bdr w:val="none" w:sz="0" w:space="0" w:color="auto"/>
          <w:lang w:val="pt-BR"/>
        </w:rPr>
        <w:t>q</w:t>
      </w:r>
      <w:r w:rsidR="002649F0" w:rsidRPr="006D1C74">
        <w:rPr>
          <w:rFonts w:asciiTheme="majorHAnsi" w:eastAsia="Batang" w:hAnsiTheme="majorHAnsi"/>
          <w:sz w:val="20"/>
          <w:szCs w:val="20"/>
          <w:bdr w:val="none" w:sz="0" w:space="0" w:color="auto"/>
          <w:lang w:val="pt-BR"/>
        </w:rPr>
        <w:t>ual se alega</w:t>
      </w:r>
      <w:r w:rsidR="00700267" w:rsidRPr="006D1C74">
        <w:rPr>
          <w:rFonts w:asciiTheme="majorHAnsi" w:eastAsia="Batang" w:hAnsiTheme="majorHAnsi"/>
          <w:sz w:val="20"/>
          <w:szCs w:val="20"/>
          <w:bdr w:val="none" w:sz="0" w:space="0" w:color="auto"/>
          <w:lang w:val="pt-BR"/>
        </w:rPr>
        <w:t xml:space="preserve"> a </w:t>
      </w:r>
      <w:r w:rsidR="002649F0" w:rsidRPr="006D1C74">
        <w:rPr>
          <w:rFonts w:asciiTheme="majorHAnsi" w:eastAsia="Batang" w:hAnsiTheme="majorHAnsi"/>
          <w:sz w:val="20"/>
          <w:szCs w:val="20"/>
          <w:bdr w:val="none" w:sz="0" w:space="0" w:color="auto"/>
          <w:lang w:val="pt-BR"/>
        </w:rPr>
        <w:t>responsabili</w:t>
      </w:r>
      <w:r w:rsidR="00F673C7" w:rsidRPr="006D1C74">
        <w:rPr>
          <w:rFonts w:asciiTheme="majorHAnsi" w:eastAsia="Batang" w:hAnsiTheme="majorHAnsi"/>
          <w:sz w:val="20"/>
          <w:szCs w:val="20"/>
          <w:bdr w:val="none" w:sz="0" w:space="0" w:color="auto"/>
          <w:lang w:val="pt-BR"/>
        </w:rPr>
        <w:t xml:space="preserve">dade </w:t>
      </w:r>
      <w:r w:rsidR="002649F0" w:rsidRPr="006D1C74">
        <w:rPr>
          <w:rFonts w:asciiTheme="majorHAnsi" w:eastAsia="Batang" w:hAnsiTheme="majorHAnsi"/>
          <w:sz w:val="20"/>
          <w:szCs w:val="20"/>
          <w:bdr w:val="none" w:sz="0" w:space="0" w:color="auto"/>
          <w:lang w:val="pt-BR"/>
        </w:rPr>
        <w:t>internacional</w:t>
      </w:r>
      <w:r w:rsidR="00795010" w:rsidRPr="006D1C74">
        <w:rPr>
          <w:rFonts w:asciiTheme="majorHAnsi" w:eastAsia="Batang" w:hAnsiTheme="majorHAnsi"/>
          <w:sz w:val="20"/>
          <w:szCs w:val="20"/>
          <w:bdr w:val="none" w:sz="0" w:space="0" w:color="auto"/>
          <w:lang w:val="pt-BR"/>
        </w:rPr>
        <w:t xml:space="preserve"> da </w:t>
      </w:r>
      <w:r w:rsidR="002649F0" w:rsidRPr="006D1C74">
        <w:rPr>
          <w:rFonts w:asciiTheme="majorHAnsi" w:eastAsia="Batang" w:hAnsiTheme="majorHAnsi"/>
          <w:sz w:val="20"/>
          <w:szCs w:val="20"/>
          <w:bdr w:val="none" w:sz="0" w:space="0" w:color="auto"/>
          <w:lang w:val="pt-BR"/>
        </w:rPr>
        <w:t>República Federativa d</w:t>
      </w:r>
      <w:r w:rsidR="00F37852" w:rsidRPr="006D1C74">
        <w:rPr>
          <w:rFonts w:asciiTheme="majorHAnsi" w:eastAsia="Batang" w:hAnsiTheme="majorHAnsi"/>
          <w:sz w:val="20"/>
          <w:szCs w:val="20"/>
          <w:bdr w:val="none" w:sz="0" w:space="0" w:color="auto"/>
          <w:lang w:val="pt-BR"/>
        </w:rPr>
        <w:t>o</w:t>
      </w:r>
      <w:r w:rsidR="002649F0" w:rsidRPr="006D1C74">
        <w:rPr>
          <w:rFonts w:asciiTheme="majorHAnsi" w:eastAsia="Batang" w:hAnsiTheme="majorHAnsi"/>
          <w:sz w:val="20"/>
          <w:szCs w:val="20"/>
          <w:bdr w:val="none" w:sz="0" w:space="0" w:color="auto"/>
          <w:lang w:val="pt-BR"/>
        </w:rPr>
        <w:t xml:space="preserve"> Brasil (“Estado”, “Estado </w:t>
      </w:r>
      <w:r w:rsidR="00795010" w:rsidRPr="006D1C74">
        <w:rPr>
          <w:rFonts w:asciiTheme="majorHAnsi" w:eastAsia="Batang" w:hAnsiTheme="majorHAnsi"/>
          <w:sz w:val="20"/>
          <w:szCs w:val="20"/>
          <w:bdr w:val="none" w:sz="0" w:space="0" w:color="auto"/>
          <w:lang w:val="pt-BR"/>
        </w:rPr>
        <w:t>brasileiro</w:t>
      </w:r>
      <w:r w:rsidR="002649F0" w:rsidRPr="006D1C74">
        <w:rPr>
          <w:rFonts w:asciiTheme="majorHAnsi" w:eastAsia="Batang" w:hAnsiTheme="majorHAnsi"/>
          <w:sz w:val="20"/>
          <w:szCs w:val="20"/>
          <w:bdr w:val="none" w:sz="0" w:space="0" w:color="auto"/>
          <w:lang w:val="pt-BR"/>
        </w:rPr>
        <w:t>” o</w:t>
      </w:r>
      <w:r w:rsidR="00795010" w:rsidRPr="006D1C74">
        <w:rPr>
          <w:rFonts w:asciiTheme="majorHAnsi" w:eastAsia="Batang" w:hAnsiTheme="majorHAnsi"/>
          <w:sz w:val="20"/>
          <w:szCs w:val="20"/>
          <w:bdr w:val="none" w:sz="0" w:space="0" w:color="auto"/>
          <w:lang w:val="pt-BR"/>
        </w:rPr>
        <w:t>u</w:t>
      </w:r>
      <w:r w:rsidR="002649F0" w:rsidRPr="006D1C74">
        <w:rPr>
          <w:rFonts w:asciiTheme="majorHAnsi" w:eastAsia="Batang" w:hAnsiTheme="majorHAnsi"/>
          <w:sz w:val="20"/>
          <w:szCs w:val="20"/>
          <w:bdr w:val="none" w:sz="0" w:space="0" w:color="auto"/>
          <w:lang w:val="pt-BR"/>
        </w:rPr>
        <w:t xml:space="preserve"> “Brasil”)</w:t>
      </w:r>
      <w:r w:rsidR="00700267" w:rsidRPr="006D1C74">
        <w:rPr>
          <w:rFonts w:asciiTheme="majorHAnsi" w:eastAsia="Batang" w:hAnsiTheme="majorHAnsi"/>
          <w:sz w:val="20"/>
          <w:szCs w:val="20"/>
          <w:bdr w:val="none" w:sz="0" w:space="0" w:color="auto"/>
          <w:lang w:val="pt-BR"/>
        </w:rPr>
        <w:t xml:space="preserve"> pelo </w:t>
      </w:r>
      <w:r w:rsidR="00F37852" w:rsidRPr="006D1C74">
        <w:rPr>
          <w:rFonts w:asciiTheme="majorHAnsi" w:hAnsiTheme="majorHAnsi"/>
          <w:sz w:val="20"/>
          <w:szCs w:val="20"/>
          <w:lang w:val="pt-BR"/>
        </w:rPr>
        <w:t>assassinato</w:t>
      </w:r>
      <w:r w:rsidR="00030019" w:rsidRPr="006D1C74">
        <w:rPr>
          <w:rFonts w:asciiTheme="majorHAnsi" w:hAnsiTheme="majorHAnsi"/>
          <w:sz w:val="20"/>
          <w:szCs w:val="20"/>
          <w:lang w:val="pt-BR"/>
        </w:rPr>
        <w:t xml:space="preserve"> do </w:t>
      </w:r>
      <w:r w:rsidR="00700267" w:rsidRPr="006D1C74">
        <w:rPr>
          <w:rFonts w:asciiTheme="majorHAnsi" w:hAnsiTheme="majorHAnsi"/>
          <w:color w:val="000000"/>
          <w:sz w:val="20"/>
          <w:szCs w:val="20"/>
          <w:lang w:val="pt-BR"/>
        </w:rPr>
        <w:t>trabalh</w:t>
      </w:r>
      <w:r w:rsidR="002649F0" w:rsidRPr="006D1C74">
        <w:rPr>
          <w:rFonts w:asciiTheme="majorHAnsi" w:hAnsiTheme="majorHAnsi"/>
          <w:color w:val="000000"/>
          <w:sz w:val="20"/>
          <w:szCs w:val="20"/>
          <w:lang w:val="pt-BR"/>
        </w:rPr>
        <w:t xml:space="preserve">ador rural Antonio Tavares Pereira, </w:t>
      </w:r>
      <w:r w:rsidR="00F37852" w:rsidRPr="006D1C74">
        <w:rPr>
          <w:rFonts w:asciiTheme="majorHAnsi" w:hAnsiTheme="majorHAnsi"/>
          <w:color w:val="000000"/>
          <w:sz w:val="20"/>
          <w:szCs w:val="20"/>
          <w:lang w:val="pt-BR"/>
        </w:rPr>
        <w:t>bem</w:t>
      </w:r>
      <w:r w:rsidR="002649F0" w:rsidRPr="006D1C74">
        <w:rPr>
          <w:rFonts w:asciiTheme="majorHAnsi" w:hAnsiTheme="majorHAnsi"/>
          <w:color w:val="000000"/>
          <w:sz w:val="20"/>
          <w:szCs w:val="20"/>
          <w:lang w:val="pt-BR"/>
        </w:rPr>
        <w:t xml:space="preserve"> como</w:t>
      </w:r>
      <w:r w:rsidR="00F37852" w:rsidRPr="006D1C74">
        <w:rPr>
          <w:rFonts w:asciiTheme="majorHAnsi" w:hAnsiTheme="majorHAnsi"/>
          <w:color w:val="000000"/>
          <w:sz w:val="20"/>
          <w:szCs w:val="20"/>
          <w:lang w:val="pt-BR"/>
        </w:rPr>
        <w:t xml:space="preserve"> pelas </w:t>
      </w:r>
      <w:r w:rsidR="002649F0" w:rsidRPr="006D1C74">
        <w:rPr>
          <w:rFonts w:asciiTheme="majorHAnsi" w:hAnsiTheme="majorHAnsi"/>
          <w:color w:val="000000"/>
          <w:sz w:val="20"/>
          <w:szCs w:val="20"/>
          <w:lang w:val="pt-BR"/>
        </w:rPr>
        <w:t>les</w:t>
      </w:r>
      <w:r w:rsidR="00F37852" w:rsidRPr="006D1C74">
        <w:rPr>
          <w:rFonts w:asciiTheme="majorHAnsi" w:hAnsiTheme="majorHAnsi"/>
          <w:color w:val="000000"/>
          <w:sz w:val="20"/>
          <w:szCs w:val="20"/>
          <w:lang w:val="pt-BR"/>
        </w:rPr>
        <w:t>õ</w:t>
      </w:r>
      <w:r w:rsidR="002649F0" w:rsidRPr="006D1C74">
        <w:rPr>
          <w:rFonts w:asciiTheme="majorHAnsi" w:hAnsiTheme="majorHAnsi"/>
          <w:color w:val="000000"/>
          <w:sz w:val="20"/>
          <w:szCs w:val="20"/>
          <w:lang w:val="pt-BR"/>
        </w:rPr>
        <w:t>es corpor</w:t>
      </w:r>
      <w:r w:rsidR="00700267" w:rsidRPr="006D1C74">
        <w:rPr>
          <w:rFonts w:asciiTheme="majorHAnsi" w:hAnsiTheme="majorHAnsi"/>
          <w:color w:val="000000"/>
          <w:sz w:val="20"/>
          <w:szCs w:val="20"/>
          <w:lang w:val="pt-BR"/>
        </w:rPr>
        <w:t>ais</w:t>
      </w:r>
      <w:r w:rsidR="002649F0" w:rsidRPr="006D1C74">
        <w:rPr>
          <w:rFonts w:asciiTheme="majorHAnsi" w:hAnsiTheme="majorHAnsi"/>
          <w:color w:val="000000"/>
          <w:sz w:val="20"/>
          <w:szCs w:val="20"/>
          <w:lang w:val="pt-BR"/>
        </w:rPr>
        <w:t xml:space="preserve"> s</w:t>
      </w:r>
      <w:r w:rsidR="00055622" w:rsidRPr="006D1C74">
        <w:rPr>
          <w:rFonts w:asciiTheme="majorHAnsi" w:hAnsiTheme="majorHAnsi"/>
          <w:color w:val="000000"/>
          <w:sz w:val="20"/>
          <w:szCs w:val="20"/>
          <w:lang w:val="pt-BR"/>
        </w:rPr>
        <w:t>o</w:t>
      </w:r>
      <w:r w:rsidR="002649F0" w:rsidRPr="006D1C74">
        <w:rPr>
          <w:rFonts w:asciiTheme="majorHAnsi" w:hAnsiTheme="majorHAnsi"/>
          <w:color w:val="000000"/>
          <w:sz w:val="20"/>
          <w:szCs w:val="20"/>
          <w:lang w:val="pt-BR"/>
        </w:rPr>
        <w:t xml:space="preserve">fridas por </w:t>
      </w:r>
      <w:r w:rsidR="00CF037E" w:rsidRPr="006D1C74">
        <w:rPr>
          <w:rFonts w:asciiTheme="majorHAnsi" w:hAnsiTheme="majorHAnsi"/>
          <w:color w:val="000000"/>
          <w:sz w:val="20"/>
          <w:szCs w:val="20"/>
          <w:lang w:val="pt-BR"/>
        </w:rPr>
        <w:t>outr</w:t>
      </w:r>
      <w:r w:rsidR="002649F0" w:rsidRPr="006D1C74">
        <w:rPr>
          <w:rFonts w:asciiTheme="majorHAnsi" w:hAnsiTheme="majorHAnsi"/>
          <w:color w:val="000000"/>
          <w:sz w:val="20"/>
          <w:szCs w:val="20"/>
          <w:lang w:val="pt-BR"/>
        </w:rPr>
        <w:t xml:space="preserve">os 185 </w:t>
      </w:r>
      <w:r w:rsidR="00700267" w:rsidRPr="006D1C74">
        <w:rPr>
          <w:rFonts w:asciiTheme="majorHAnsi" w:hAnsiTheme="majorHAnsi"/>
          <w:color w:val="000000"/>
          <w:sz w:val="20"/>
          <w:szCs w:val="20"/>
          <w:lang w:val="pt-BR"/>
        </w:rPr>
        <w:t>trabalh</w:t>
      </w:r>
      <w:r w:rsidR="002649F0" w:rsidRPr="006D1C74">
        <w:rPr>
          <w:rFonts w:asciiTheme="majorHAnsi" w:hAnsiTheme="majorHAnsi"/>
          <w:color w:val="000000"/>
          <w:sz w:val="20"/>
          <w:szCs w:val="20"/>
          <w:lang w:val="pt-BR"/>
        </w:rPr>
        <w:t>adores rur</w:t>
      </w:r>
      <w:r w:rsidR="00700267" w:rsidRPr="006D1C74">
        <w:rPr>
          <w:rFonts w:asciiTheme="majorHAnsi" w:hAnsiTheme="majorHAnsi"/>
          <w:color w:val="000000"/>
          <w:sz w:val="20"/>
          <w:szCs w:val="20"/>
          <w:lang w:val="pt-BR"/>
        </w:rPr>
        <w:t>ais</w:t>
      </w:r>
      <w:r w:rsidR="002649F0" w:rsidRPr="006D1C74">
        <w:rPr>
          <w:rFonts w:asciiTheme="majorHAnsi" w:hAnsiTheme="majorHAnsi"/>
          <w:color w:val="000000"/>
          <w:sz w:val="20"/>
          <w:szCs w:val="20"/>
          <w:lang w:val="pt-BR"/>
        </w:rPr>
        <w:t xml:space="preserve"> (“</w:t>
      </w:r>
      <w:r w:rsidR="00795010" w:rsidRPr="006D1C74">
        <w:rPr>
          <w:rFonts w:asciiTheme="majorHAnsi" w:hAnsiTheme="majorHAnsi"/>
          <w:color w:val="000000"/>
          <w:sz w:val="20"/>
          <w:szCs w:val="20"/>
          <w:lang w:val="pt-BR"/>
        </w:rPr>
        <w:t>suposta</w:t>
      </w:r>
      <w:r w:rsidR="002649F0" w:rsidRPr="006D1C74">
        <w:rPr>
          <w:rFonts w:asciiTheme="majorHAnsi" w:hAnsiTheme="majorHAnsi"/>
          <w:color w:val="000000"/>
          <w:sz w:val="20"/>
          <w:szCs w:val="20"/>
          <w:lang w:val="pt-BR"/>
        </w:rPr>
        <w:t xml:space="preserve">s </w:t>
      </w:r>
      <w:r w:rsidR="00795010" w:rsidRPr="006D1C74">
        <w:rPr>
          <w:rFonts w:asciiTheme="majorHAnsi" w:hAnsiTheme="majorHAnsi"/>
          <w:color w:val="000000"/>
          <w:sz w:val="20"/>
          <w:szCs w:val="20"/>
          <w:lang w:val="pt-BR"/>
        </w:rPr>
        <w:t>vítima</w:t>
      </w:r>
      <w:r w:rsidR="002649F0" w:rsidRPr="006D1C74">
        <w:rPr>
          <w:rFonts w:asciiTheme="majorHAnsi" w:hAnsiTheme="majorHAnsi"/>
          <w:color w:val="000000"/>
          <w:sz w:val="20"/>
          <w:szCs w:val="20"/>
          <w:lang w:val="pt-BR"/>
        </w:rPr>
        <w:t>s”) —</w:t>
      </w:r>
      <w:r w:rsidR="00795010" w:rsidRPr="006D1C74">
        <w:rPr>
          <w:rFonts w:asciiTheme="majorHAnsi" w:hAnsiTheme="majorHAnsi"/>
          <w:color w:val="000000"/>
          <w:sz w:val="20"/>
          <w:szCs w:val="20"/>
          <w:lang w:val="pt-BR"/>
        </w:rPr>
        <w:t xml:space="preserve"> </w:t>
      </w:r>
      <w:r w:rsidR="002649F0" w:rsidRPr="006D1C74">
        <w:rPr>
          <w:rFonts w:asciiTheme="majorHAnsi" w:hAnsiTheme="majorHAnsi"/>
          <w:color w:val="000000"/>
          <w:sz w:val="20"/>
          <w:szCs w:val="20"/>
          <w:lang w:val="pt-BR"/>
        </w:rPr>
        <w:t>sup</w:t>
      </w:r>
      <w:r w:rsidR="00055622" w:rsidRPr="006D1C74">
        <w:rPr>
          <w:rFonts w:asciiTheme="majorHAnsi" w:hAnsiTheme="majorHAnsi"/>
          <w:color w:val="000000"/>
          <w:sz w:val="20"/>
          <w:szCs w:val="20"/>
          <w:lang w:val="pt-BR"/>
        </w:rPr>
        <w:t>o</w:t>
      </w:r>
      <w:r w:rsidR="002649F0" w:rsidRPr="006D1C74">
        <w:rPr>
          <w:rFonts w:asciiTheme="majorHAnsi" w:hAnsiTheme="majorHAnsi"/>
          <w:color w:val="000000"/>
          <w:sz w:val="20"/>
          <w:szCs w:val="20"/>
          <w:lang w:val="pt-BR"/>
        </w:rPr>
        <w:t>stamente infligidas por agentes</w:t>
      </w:r>
      <w:r w:rsidR="00795010" w:rsidRPr="006D1C74">
        <w:rPr>
          <w:rFonts w:asciiTheme="majorHAnsi" w:hAnsiTheme="majorHAnsi"/>
          <w:color w:val="000000"/>
          <w:sz w:val="20"/>
          <w:szCs w:val="20"/>
          <w:lang w:val="pt-BR"/>
        </w:rPr>
        <w:t xml:space="preserve"> da </w:t>
      </w:r>
      <w:r w:rsidR="00F37852" w:rsidRPr="006D1C74">
        <w:rPr>
          <w:rFonts w:asciiTheme="majorHAnsi" w:hAnsiTheme="majorHAnsi"/>
          <w:color w:val="000000"/>
          <w:sz w:val="20"/>
          <w:szCs w:val="20"/>
          <w:lang w:val="pt-BR"/>
        </w:rPr>
        <w:t>polícia</w:t>
      </w:r>
      <w:r w:rsidR="002649F0" w:rsidRPr="006D1C74">
        <w:rPr>
          <w:rFonts w:asciiTheme="majorHAnsi" w:hAnsiTheme="majorHAnsi"/>
          <w:color w:val="000000"/>
          <w:sz w:val="20"/>
          <w:szCs w:val="20"/>
          <w:lang w:val="pt-BR"/>
        </w:rPr>
        <w:t xml:space="preserve"> militar</w:t>
      </w:r>
      <w:r w:rsidR="00030019" w:rsidRPr="006D1C74">
        <w:rPr>
          <w:rFonts w:asciiTheme="majorHAnsi" w:hAnsiTheme="majorHAnsi"/>
          <w:color w:val="000000"/>
          <w:sz w:val="20"/>
          <w:szCs w:val="20"/>
          <w:lang w:val="pt-BR"/>
        </w:rPr>
        <w:t xml:space="preserve"> do </w:t>
      </w:r>
      <w:r w:rsidR="002649F0" w:rsidRPr="006D1C74">
        <w:rPr>
          <w:rFonts w:asciiTheme="majorHAnsi" w:hAnsiTheme="majorHAnsi"/>
          <w:color w:val="000000"/>
          <w:sz w:val="20"/>
          <w:szCs w:val="20"/>
          <w:lang w:val="pt-BR"/>
        </w:rPr>
        <w:t>estado d</w:t>
      </w:r>
      <w:r w:rsidR="00F37852" w:rsidRPr="006D1C74">
        <w:rPr>
          <w:rFonts w:asciiTheme="majorHAnsi" w:hAnsiTheme="majorHAnsi"/>
          <w:color w:val="000000"/>
          <w:sz w:val="20"/>
          <w:szCs w:val="20"/>
          <w:lang w:val="pt-BR"/>
        </w:rPr>
        <w:t>o</w:t>
      </w:r>
      <w:r w:rsidR="002649F0" w:rsidRPr="006D1C74">
        <w:rPr>
          <w:rFonts w:asciiTheme="majorHAnsi" w:hAnsiTheme="majorHAnsi"/>
          <w:color w:val="000000"/>
          <w:sz w:val="20"/>
          <w:szCs w:val="20"/>
          <w:lang w:val="pt-BR"/>
        </w:rPr>
        <w:t xml:space="preserve"> Paraná, durante</w:t>
      </w:r>
      <w:r w:rsidR="00700267" w:rsidRPr="006D1C74">
        <w:rPr>
          <w:rFonts w:asciiTheme="majorHAnsi" w:hAnsiTheme="majorHAnsi"/>
          <w:color w:val="000000"/>
          <w:sz w:val="20"/>
          <w:szCs w:val="20"/>
          <w:lang w:val="pt-BR"/>
        </w:rPr>
        <w:t xml:space="preserve"> a </w:t>
      </w:r>
      <w:r w:rsidR="002649F0" w:rsidRPr="006D1C74">
        <w:rPr>
          <w:rFonts w:asciiTheme="majorHAnsi" w:hAnsiTheme="majorHAnsi"/>
          <w:color w:val="000000"/>
          <w:sz w:val="20"/>
          <w:szCs w:val="20"/>
          <w:lang w:val="pt-BR"/>
        </w:rPr>
        <w:t>repres</w:t>
      </w:r>
      <w:r w:rsidR="00F37852" w:rsidRPr="006D1C74">
        <w:rPr>
          <w:rFonts w:asciiTheme="majorHAnsi" w:hAnsiTheme="majorHAnsi"/>
          <w:color w:val="000000"/>
          <w:sz w:val="20"/>
          <w:szCs w:val="20"/>
          <w:lang w:val="pt-BR"/>
        </w:rPr>
        <w:t>são</w:t>
      </w:r>
      <w:r w:rsidR="002649F0" w:rsidRPr="006D1C74">
        <w:rPr>
          <w:rFonts w:asciiTheme="majorHAnsi" w:hAnsiTheme="majorHAnsi"/>
          <w:color w:val="000000"/>
          <w:sz w:val="20"/>
          <w:szCs w:val="20"/>
          <w:lang w:val="pt-BR"/>
        </w:rPr>
        <w:t xml:space="preserve"> de</w:t>
      </w:r>
      <w:r w:rsidR="00030019" w:rsidRPr="006D1C74">
        <w:rPr>
          <w:rFonts w:asciiTheme="majorHAnsi" w:hAnsiTheme="majorHAnsi"/>
          <w:color w:val="000000"/>
          <w:sz w:val="20"/>
          <w:szCs w:val="20"/>
          <w:lang w:val="pt-BR"/>
        </w:rPr>
        <w:t xml:space="preserve"> uma </w:t>
      </w:r>
      <w:r w:rsidR="002649F0" w:rsidRPr="006D1C74">
        <w:rPr>
          <w:rFonts w:asciiTheme="majorHAnsi" w:hAnsiTheme="majorHAnsi"/>
          <w:color w:val="000000"/>
          <w:sz w:val="20"/>
          <w:szCs w:val="20"/>
          <w:lang w:val="pt-BR"/>
        </w:rPr>
        <w:t>marcha</w:t>
      </w:r>
      <w:r w:rsidR="00F37852" w:rsidRPr="006D1C74">
        <w:rPr>
          <w:rFonts w:asciiTheme="majorHAnsi" w:hAnsiTheme="majorHAnsi"/>
          <w:color w:val="000000"/>
          <w:sz w:val="20"/>
          <w:szCs w:val="20"/>
          <w:lang w:val="pt-BR"/>
        </w:rPr>
        <w:t xml:space="preserve"> pela </w:t>
      </w:r>
      <w:r w:rsidR="002649F0" w:rsidRPr="006D1C74">
        <w:rPr>
          <w:rFonts w:asciiTheme="majorHAnsi" w:hAnsiTheme="majorHAnsi"/>
          <w:color w:val="000000"/>
          <w:sz w:val="20"/>
          <w:szCs w:val="20"/>
          <w:lang w:val="pt-BR"/>
        </w:rPr>
        <w:t>reforma agr</w:t>
      </w:r>
      <w:r w:rsidR="00055622" w:rsidRPr="006D1C74">
        <w:rPr>
          <w:rFonts w:asciiTheme="majorHAnsi" w:hAnsiTheme="majorHAnsi"/>
          <w:color w:val="000000"/>
          <w:sz w:val="20"/>
          <w:szCs w:val="20"/>
          <w:lang w:val="pt-BR"/>
        </w:rPr>
        <w:t>á</w:t>
      </w:r>
      <w:r w:rsidR="002649F0" w:rsidRPr="006D1C74">
        <w:rPr>
          <w:rFonts w:asciiTheme="majorHAnsi" w:hAnsiTheme="majorHAnsi"/>
          <w:color w:val="000000"/>
          <w:sz w:val="20"/>
          <w:szCs w:val="20"/>
          <w:lang w:val="pt-BR"/>
        </w:rPr>
        <w:t>ria realizada</w:t>
      </w:r>
      <w:r w:rsidR="00700267" w:rsidRPr="006D1C74">
        <w:rPr>
          <w:rFonts w:asciiTheme="majorHAnsi" w:hAnsiTheme="majorHAnsi"/>
          <w:color w:val="000000"/>
          <w:sz w:val="20"/>
          <w:szCs w:val="20"/>
          <w:lang w:val="pt-BR"/>
        </w:rPr>
        <w:t xml:space="preserve"> </w:t>
      </w:r>
      <w:r w:rsidR="00F37852" w:rsidRPr="006D1C74">
        <w:rPr>
          <w:rFonts w:asciiTheme="majorHAnsi" w:hAnsiTheme="majorHAnsi"/>
          <w:color w:val="000000"/>
          <w:sz w:val="20"/>
          <w:szCs w:val="20"/>
          <w:lang w:val="pt-BR"/>
        </w:rPr>
        <w:t>em</w:t>
      </w:r>
      <w:r w:rsidR="00700267" w:rsidRPr="006D1C74">
        <w:rPr>
          <w:rFonts w:asciiTheme="majorHAnsi" w:hAnsiTheme="majorHAnsi"/>
          <w:color w:val="000000"/>
          <w:sz w:val="20"/>
          <w:szCs w:val="20"/>
          <w:lang w:val="pt-BR"/>
        </w:rPr>
        <w:t xml:space="preserve"> </w:t>
      </w:r>
      <w:r w:rsidR="002649F0" w:rsidRPr="006D1C74">
        <w:rPr>
          <w:rFonts w:asciiTheme="majorHAnsi" w:hAnsiTheme="majorHAnsi"/>
          <w:color w:val="000000"/>
          <w:sz w:val="20"/>
          <w:szCs w:val="20"/>
          <w:lang w:val="pt-BR"/>
        </w:rPr>
        <w:t>2 de ma</w:t>
      </w:r>
      <w:r w:rsidR="00055622" w:rsidRPr="006D1C74">
        <w:rPr>
          <w:rFonts w:asciiTheme="majorHAnsi" w:hAnsiTheme="majorHAnsi"/>
          <w:color w:val="000000"/>
          <w:sz w:val="20"/>
          <w:szCs w:val="20"/>
          <w:lang w:val="pt-BR"/>
        </w:rPr>
        <w:t>i</w:t>
      </w:r>
      <w:r w:rsidR="002649F0" w:rsidRPr="006D1C74">
        <w:rPr>
          <w:rFonts w:asciiTheme="majorHAnsi" w:hAnsiTheme="majorHAnsi"/>
          <w:color w:val="000000"/>
          <w:sz w:val="20"/>
          <w:szCs w:val="20"/>
          <w:lang w:val="pt-BR"/>
        </w:rPr>
        <w:t>o de 2000</w:t>
      </w:r>
      <w:r w:rsidR="00795010" w:rsidRPr="006D1C74">
        <w:rPr>
          <w:rFonts w:asciiTheme="majorHAnsi" w:hAnsiTheme="majorHAnsi"/>
          <w:color w:val="000000"/>
          <w:sz w:val="20"/>
          <w:szCs w:val="20"/>
          <w:lang w:val="pt-BR"/>
        </w:rPr>
        <w:t xml:space="preserve"> </w:t>
      </w:r>
      <w:r w:rsidR="002649F0" w:rsidRPr="006D1C74">
        <w:rPr>
          <w:rFonts w:asciiTheme="majorHAnsi" w:hAnsiTheme="majorHAnsi"/>
          <w:color w:val="000000"/>
          <w:sz w:val="20"/>
          <w:szCs w:val="20"/>
          <w:lang w:val="pt-BR"/>
        </w:rPr>
        <w:t>—</w:t>
      </w:r>
      <w:r w:rsidR="00CF037E" w:rsidRPr="006D1C74">
        <w:rPr>
          <w:rFonts w:asciiTheme="majorHAnsi" w:hAnsiTheme="majorHAnsi"/>
          <w:color w:val="000000"/>
          <w:sz w:val="20"/>
          <w:szCs w:val="20"/>
          <w:lang w:val="pt-BR"/>
        </w:rPr>
        <w:t xml:space="preserve"> e</w:t>
      </w:r>
      <w:r w:rsidR="00F37852" w:rsidRPr="006D1C74">
        <w:rPr>
          <w:rFonts w:asciiTheme="majorHAnsi" w:hAnsiTheme="majorHAnsi"/>
          <w:color w:val="000000"/>
          <w:sz w:val="20"/>
          <w:szCs w:val="20"/>
          <w:lang w:val="pt-BR"/>
        </w:rPr>
        <w:t xml:space="preserve"> pela </w:t>
      </w:r>
      <w:r w:rsidR="002649F0" w:rsidRPr="006D1C74">
        <w:rPr>
          <w:rFonts w:asciiTheme="majorHAnsi" w:hAnsiTheme="majorHAnsi"/>
          <w:sz w:val="20"/>
          <w:szCs w:val="20"/>
          <w:lang w:val="pt-BR"/>
        </w:rPr>
        <w:t>impuni</w:t>
      </w:r>
      <w:r w:rsidR="00F673C7" w:rsidRPr="006D1C74">
        <w:rPr>
          <w:rFonts w:asciiTheme="majorHAnsi" w:hAnsiTheme="majorHAnsi"/>
          <w:sz w:val="20"/>
          <w:szCs w:val="20"/>
          <w:lang w:val="pt-BR"/>
        </w:rPr>
        <w:t xml:space="preserve">dade </w:t>
      </w:r>
      <w:r w:rsidR="002649F0" w:rsidRPr="006D1C74">
        <w:rPr>
          <w:rFonts w:asciiTheme="majorHAnsi" w:hAnsiTheme="majorHAnsi"/>
          <w:sz w:val="20"/>
          <w:szCs w:val="20"/>
          <w:lang w:val="pt-BR"/>
        </w:rPr>
        <w:t xml:space="preserve">que </w:t>
      </w:r>
      <w:r w:rsidR="00F37852" w:rsidRPr="006D1C74">
        <w:rPr>
          <w:rFonts w:asciiTheme="majorHAnsi" w:hAnsiTheme="majorHAnsi"/>
          <w:sz w:val="20"/>
          <w:szCs w:val="20"/>
          <w:lang w:val="pt-BR"/>
        </w:rPr>
        <w:t xml:space="preserve">se </w:t>
      </w:r>
      <w:r w:rsidR="002649F0" w:rsidRPr="006D1C74">
        <w:rPr>
          <w:rFonts w:asciiTheme="majorHAnsi" w:hAnsiTheme="majorHAnsi"/>
          <w:sz w:val="20"/>
          <w:szCs w:val="20"/>
          <w:lang w:val="pt-BR"/>
        </w:rPr>
        <w:t>s</w:t>
      </w:r>
      <w:r w:rsidR="00055622" w:rsidRPr="006D1C74">
        <w:rPr>
          <w:rFonts w:asciiTheme="majorHAnsi" w:hAnsiTheme="majorHAnsi"/>
          <w:sz w:val="20"/>
          <w:szCs w:val="20"/>
          <w:lang w:val="pt-BR"/>
        </w:rPr>
        <w:t>e</w:t>
      </w:r>
      <w:r w:rsidR="002649F0" w:rsidRPr="006D1C74">
        <w:rPr>
          <w:rFonts w:asciiTheme="majorHAnsi" w:hAnsiTheme="majorHAnsi"/>
          <w:sz w:val="20"/>
          <w:szCs w:val="20"/>
          <w:lang w:val="pt-BR"/>
        </w:rPr>
        <w:t>gui</w:t>
      </w:r>
      <w:r w:rsidR="00055622" w:rsidRPr="006D1C74">
        <w:rPr>
          <w:rFonts w:asciiTheme="majorHAnsi" w:hAnsiTheme="majorHAnsi"/>
          <w:sz w:val="20"/>
          <w:szCs w:val="20"/>
          <w:lang w:val="pt-BR"/>
        </w:rPr>
        <w:t>u</w:t>
      </w:r>
      <w:r w:rsidR="002649F0" w:rsidRPr="006D1C74">
        <w:rPr>
          <w:rFonts w:asciiTheme="majorHAnsi" w:hAnsiTheme="majorHAnsi"/>
          <w:sz w:val="20"/>
          <w:szCs w:val="20"/>
          <w:lang w:val="pt-BR"/>
        </w:rPr>
        <w:t xml:space="preserve"> a</w:t>
      </w:r>
      <w:r w:rsidR="00700267" w:rsidRPr="006D1C74">
        <w:rPr>
          <w:rFonts w:asciiTheme="majorHAnsi" w:hAnsiTheme="majorHAnsi"/>
          <w:sz w:val="20"/>
          <w:szCs w:val="20"/>
          <w:lang w:val="pt-BR"/>
        </w:rPr>
        <w:t xml:space="preserve">os </w:t>
      </w:r>
      <w:r w:rsidR="00F37852" w:rsidRPr="006D1C74">
        <w:rPr>
          <w:rFonts w:asciiTheme="majorHAnsi" w:hAnsiTheme="majorHAnsi"/>
          <w:sz w:val="20"/>
          <w:szCs w:val="20"/>
          <w:lang w:val="pt-BR"/>
        </w:rPr>
        <w:t>fato</w:t>
      </w:r>
      <w:r w:rsidR="002649F0" w:rsidRPr="006D1C74">
        <w:rPr>
          <w:rFonts w:asciiTheme="majorHAnsi" w:hAnsiTheme="majorHAnsi"/>
          <w:sz w:val="20"/>
          <w:szCs w:val="20"/>
          <w:lang w:val="pt-BR"/>
        </w:rPr>
        <w:t xml:space="preserve">s. </w:t>
      </w:r>
      <w:r w:rsidR="00B42161" w:rsidRPr="006D1C74">
        <w:rPr>
          <w:rFonts w:asciiTheme="majorHAnsi" w:hAnsiTheme="majorHAnsi"/>
          <w:sz w:val="20"/>
          <w:szCs w:val="20"/>
          <w:lang w:val="pt-BR"/>
        </w:rPr>
        <w:t>A</w:t>
      </w:r>
      <w:r w:rsidR="002649F0" w:rsidRPr="006D1C74">
        <w:rPr>
          <w:rFonts w:asciiTheme="majorHAnsi" w:hAnsiTheme="majorHAnsi"/>
          <w:sz w:val="20"/>
          <w:szCs w:val="20"/>
          <w:lang w:val="pt-BR"/>
        </w:rPr>
        <w:t xml:space="preserve"> peti</w:t>
      </w:r>
      <w:r w:rsidR="00CF037E" w:rsidRPr="006D1C74">
        <w:rPr>
          <w:rFonts w:asciiTheme="majorHAnsi" w:hAnsiTheme="majorHAnsi"/>
          <w:sz w:val="20"/>
          <w:szCs w:val="20"/>
          <w:lang w:val="pt-BR"/>
        </w:rPr>
        <w:t>ção</w:t>
      </w:r>
      <w:r w:rsidR="00CA7940" w:rsidRPr="006D1C74">
        <w:rPr>
          <w:rFonts w:asciiTheme="majorHAnsi" w:hAnsiTheme="majorHAnsi"/>
          <w:sz w:val="20"/>
          <w:szCs w:val="20"/>
          <w:lang w:val="pt-BR"/>
        </w:rPr>
        <w:t xml:space="preserve"> foi </w:t>
      </w:r>
      <w:r w:rsidR="00F6370E" w:rsidRPr="006D1C74">
        <w:rPr>
          <w:rFonts w:asciiTheme="majorHAnsi" w:hAnsiTheme="majorHAnsi"/>
          <w:sz w:val="20"/>
          <w:szCs w:val="20"/>
          <w:lang w:val="pt-BR"/>
        </w:rPr>
        <w:t>a</w:t>
      </w:r>
      <w:r w:rsidR="002649F0" w:rsidRPr="006D1C74">
        <w:rPr>
          <w:rFonts w:asciiTheme="majorHAnsi" w:hAnsiTheme="majorHAnsi"/>
          <w:sz w:val="20"/>
          <w:szCs w:val="20"/>
          <w:lang w:val="pt-BR"/>
        </w:rPr>
        <w:t>presentada</w:t>
      </w:r>
      <w:r w:rsidR="00700267" w:rsidRPr="006D1C74">
        <w:rPr>
          <w:rFonts w:asciiTheme="majorHAnsi" w:hAnsiTheme="majorHAnsi"/>
          <w:sz w:val="20"/>
          <w:szCs w:val="20"/>
          <w:lang w:val="pt-BR"/>
        </w:rPr>
        <w:t xml:space="preserve"> pelo </w:t>
      </w:r>
      <w:r w:rsidR="002649F0" w:rsidRPr="006D1C74">
        <w:rPr>
          <w:rFonts w:asciiTheme="majorHAnsi" w:hAnsiTheme="majorHAnsi"/>
          <w:color w:val="000000"/>
          <w:sz w:val="20"/>
          <w:szCs w:val="20"/>
          <w:lang w:val="pt-BR"/>
        </w:rPr>
        <w:t>Movi</w:t>
      </w:r>
      <w:r w:rsidR="00700267" w:rsidRPr="006D1C74">
        <w:rPr>
          <w:rFonts w:asciiTheme="majorHAnsi" w:hAnsiTheme="majorHAnsi"/>
          <w:color w:val="000000"/>
          <w:sz w:val="20"/>
          <w:szCs w:val="20"/>
          <w:lang w:val="pt-BR"/>
        </w:rPr>
        <w:t>mento dos Trabalh</w:t>
      </w:r>
      <w:r w:rsidR="002649F0" w:rsidRPr="006D1C74">
        <w:rPr>
          <w:rFonts w:asciiTheme="majorHAnsi" w:hAnsiTheme="majorHAnsi"/>
          <w:color w:val="000000"/>
          <w:sz w:val="20"/>
          <w:szCs w:val="20"/>
          <w:lang w:val="pt-BR"/>
        </w:rPr>
        <w:t>adores Rur</w:t>
      </w:r>
      <w:r w:rsidR="00700267" w:rsidRPr="006D1C74">
        <w:rPr>
          <w:rFonts w:asciiTheme="majorHAnsi" w:hAnsiTheme="majorHAnsi"/>
          <w:color w:val="000000"/>
          <w:sz w:val="20"/>
          <w:szCs w:val="20"/>
          <w:lang w:val="pt-BR"/>
        </w:rPr>
        <w:t xml:space="preserve">ais </w:t>
      </w:r>
      <w:r w:rsidR="003E3ED6" w:rsidRPr="006D1C74">
        <w:rPr>
          <w:rFonts w:asciiTheme="majorHAnsi" w:hAnsiTheme="majorHAnsi"/>
          <w:color w:val="000000"/>
          <w:sz w:val="20"/>
          <w:szCs w:val="20"/>
          <w:lang w:val="pt-BR"/>
        </w:rPr>
        <w:t>S</w:t>
      </w:r>
      <w:r w:rsidR="00700267" w:rsidRPr="006D1C74">
        <w:rPr>
          <w:rFonts w:asciiTheme="majorHAnsi" w:hAnsiTheme="majorHAnsi"/>
          <w:color w:val="000000"/>
          <w:sz w:val="20"/>
          <w:szCs w:val="20"/>
          <w:lang w:val="pt-BR"/>
        </w:rPr>
        <w:t xml:space="preserve">em </w:t>
      </w:r>
      <w:r w:rsidR="00795010" w:rsidRPr="006D1C74">
        <w:rPr>
          <w:rFonts w:asciiTheme="majorHAnsi" w:hAnsiTheme="majorHAnsi"/>
          <w:color w:val="000000"/>
          <w:sz w:val="20"/>
          <w:szCs w:val="20"/>
          <w:lang w:val="pt-BR"/>
        </w:rPr>
        <w:t>Terra</w:t>
      </w:r>
      <w:r w:rsidR="002649F0" w:rsidRPr="006D1C74">
        <w:rPr>
          <w:rFonts w:asciiTheme="majorHAnsi" w:hAnsiTheme="majorHAnsi"/>
          <w:color w:val="000000"/>
          <w:sz w:val="20"/>
          <w:szCs w:val="20"/>
          <w:lang w:val="pt-BR"/>
        </w:rPr>
        <w:t xml:space="preserve"> </w:t>
      </w:r>
      <w:r w:rsidR="002649F0" w:rsidRPr="006D1C74">
        <w:rPr>
          <w:rFonts w:asciiTheme="majorHAnsi" w:hAnsiTheme="majorHAnsi"/>
          <w:iCs/>
          <w:color w:val="000000"/>
          <w:sz w:val="20"/>
          <w:szCs w:val="20"/>
          <w:lang w:val="pt-BR"/>
        </w:rPr>
        <w:t>(</w:t>
      </w:r>
      <w:r w:rsidR="002649F0" w:rsidRPr="006D1C74">
        <w:rPr>
          <w:rFonts w:asciiTheme="majorHAnsi" w:hAnsiTheme="majorHAnsi"/>
          <w:color w:val="000000"/>
          <w:sz w:val="20"/>
          <w:szCs w:val="20"/>
          <w:lang w:val="pt-BR"/>
        </w:rPr>
        <w:t>MST),</w:t>
      </w:r>
      <w:r w:rsidR="00700267" w:rsidRPr="006D1C74">
        <w:rPr>
          <w:rFonts w:asciiTheme="majorHAnsi" w:hAnsiTheme="majorHAnsi"/>
          <w:color w:val="000000"/>
          <w:sz w:val="20"/>
          <w:szCs w:val="20"/>
          <w:lang w:val="pt-BR"/>
        </w:rPr>
        <w:t xml:space="preserve"> </w:t>
      </w:r>
      <w:r w:rsidR="00417BE8" w:rsidRPr="006D1C74">
        <w:rPr>
          <w:rFonts w:asciiTheme="majorHAnsi" w:hAnsiTheme="majorHAnsi"/>
          <w:sz w:val="20"/>
          <w:szCs w:val="20"/>
          <w:lang w:val="pt-BR"/>
        </w:rPr>
        <w:t>Comissão</w:t>
      </w:r>
      <w:r w:rsidR="002649F0" w:rsidRPr="006D1C74">
        <w:rPr>
          <w:rFonts w:asciiTheme="majorHAnsi" w:hAnsiTheme="majorHAnsi"/>
          <w:color w:val="000000"/>
          <w:sz w:val="20"/>
          <w:szCs w:val="20"/>
          <w:lang w:val="pt-BR"/>
        </w:rPr>
        <w:t xml:space="preserve"> Pastoral</w:t>
      </w:r>
      <w:r w:rsidR="00795010" w:rsidRPr="006D1C74">
        <w:rPr>
          <w:rFonts w:asciiTheme="majorHAnsi" w:hAnsiTheme="majorHAnsi"/>
          <w:color w:val="000000"/>
          <w:sz w:val="20"/>
          <w:szCs w:val="20"/>
          <w:lang w:val="pt-BR"/>
        </w:rPr>
        <w:t xml:space="preserve"> da Terra</w:t>
      </w:r>
      <w:r w:rsidR="002649F0" w:rsidRPr="006D1C74">
        <w:rPr>
          <w:rFonts w:asciiTheme="majorHAnsi" w:hAnsiTheme="majorHAnsi"/>
          <w:color w:val="000000"/>
          <w:sz w:val="20"/>
          <w:szCs w:val="20"/>
          <w:lang w:val="pt-BR"/>
        </w:rPr>
        <w:t xml:space="preserve"> (CPT)</w:t>
      </w:r>
      <w:r w:rsidR="00030019" w:rsidRPr="006D1C74">
        <w:rPr>
          <w:rFonts w:asciiTheme="majorHAnsi" w:hAnsiTheme="majorHAnsi"/>
          <w:color w:val="000000"/>
          <w:sz w:val="20"/>
          <w:szCs w:val="20"/>
          <w:lang w:val="pt-BR"/>
        </w:rPr>
        <w:t>,</w:t>
      </w:r>
      <w:r w:rsidR="00700267" w:rsidRPr="006D1C74">
        <w:rPr>
          <w:rFonts w:asciiTheme="majorHAnsi" w:hAnsiTheme="majorHAnsi"/>
          <w:color w:val="000000"/>
          <w:sz w:val="20"/>
          <w:szCs w:val="20"/>
          <w:lang w:val="pt-BR"/>
        </w:rPr>
        <w:t xml:space="preserve"> </w:t>
      </w:r>
      <w:r w:rsidR="00795010" w:rsidRPr="006D1C74">
        <w:rPr>
          <w:rFonts w:asciiTheme="majorHAnsi" w:hAnsiTheme="majorHAnsi"/>
          <w:color w:val="000000"/>
          <w:sz w:val="20"/>
          <w:szCs w:val="20"/>
          <w:lang w:val="pt-BR"/>
        </w:rPr>
        <w:t>Justiça</w:t>
      </w:r>
      <w:r w:rsidR="002649F0" w:rsidRPr="006D1C74">
        <w:rPr>
          <w:rFonts w:asciiTheme="majorHAnsi" w:hAnsiTheme="majorHAnsi"/>
          <w:color w:val="000000"/>
          <w:sz w:val="20"/>
          <w:szCs w:val="20"/>
          <w:lang w:val="pt-BR"/>
        </w:rPr>
        <w:t xml:space="preserve"> Global</w:t>
      </w:r>
      <w:r w:rsidR="00CF037E" w:rsidRPr="006D1C74">
        <w:rPr>
          <w:rFonts w:asciiTheme="majorHAnsi" w:hAnsiTheme="majorHAnsi"/>
          <w:color w:val="000000"/>
          <w:sz w:val="20"/>
          <w:szCs w:val="20"/>
          <w:lang w:val="pt-BR"/>
        </w:rPr>
        <w:t xml:space="preserve"> e </w:t>
      </w:r>
      <w:r w:rsidR="00795010" w:rsidRPr="006D1C74">
        <w:rPr>
          <w:rFonts w:asciiTheme="majorHAnsi" w:hAnsiTheme="majorHAnsi"/>
          <w:color w:val="000000"/>
          <w:sz w:val="20"/>
          <w:szCs w:val="20"/>
          <w:lang w:val="pt-BR"/>
        </w:rPr>
        <w:t>Terra</w:t>
      </w:r>
      <w:r w:rsidR="002649F0" w:rsidRPr="006D1C74">
        <w:rPr>
          <w:rFonts w:asciiTheme="majorHAnsi" w:hAnsiTheme="majorHAnsi"/>
          <w:color w:val="000000"/>
          <w:sz w:val="20"/>
          <w:szCs w:val="20"/>
          <w:lang w:val="pt-BR"/>
        </w:rPr>
        <w:t xml:space="preserve"> de </w:t>
      </w:r>
      <w:r w:rsidR="00417BE8" w:rsidRPr="006D1C74">
        <w:rPr>
          <w:rFonts w:asciiTheme="majorHAnsi" w:hAnsiTheme="majorHAnsi"/>
          <w:color w:val="000000"/>
          <w:sz w:val="20"/>
          <w:szCs w:val="20"/>
          <w:lang w:val="pt-BR"/>
        </w:rPr>
        <w:t>Direito</w:t>
      </w:r>
      <w:r w:rsidR="002649F0" w:rsidRPr="006D1C74">
        <w:rPr>
          <w:rFonts w:asciiTheme="majorHAnsi" w:hAnsiTheme="majorHAnsi"/>
          <w:color w:val="000000"/>
          <w:sz w:val="20"/>
          <w:szCs w:val="20"/>
          <w:lang w:val="pt-BR"/>
        </w:rPr>
        <w:t>s</w:t>
      </w:r>
      <w:r w:rsidR="002649F0" w:rsidRPr="006D1C74">
        <w:rPr>
          <w:rFonts w:asciiTheme="majorHAnsi" w:hAnsiTheme="majorHAnsi"/>
          <w:sz w:val="20"/>
          <w:szCs w:val="20"/>
          <w:lang w:val="pt-BR"/>
        </w:rPr>
        <w:t xml:space="preserve"> (“parte </w:t>
      </w:r>
      <w:r w:rsidR="00795010" w:rsidRPr="006D1C74">
        <w:rPr>
          <w:rFonts w:asciiTheme="majorHAnsi" w:hAnsiTheme="majorHAnsi"/>
          <w:sz w:val="20"/>
          <w:szCs w:val="20"/>
          <w:lang w:val="pt-BR"/>
        </w:rPr>
        <w:t>peticionária</w:t>
      </w:r>
      <w:r w:rsidR="002649F0" w:rsidRPr="006D1C74">
        <w:rPr>
          <w:rFonts w:asciiTheme="majorHAnsi" w:hAnsiTheme="majorHAnsi"/>
          <w:sz w:val="20"/>
          <w:szCs w:val="20"/>
          <w:lang w:val="pt-BR"/>
        </w:rPr>
        <w:t>”)</w:t>
      </w:r>
      <w:r w:rsidR="002649F0" w:rsidRPr="006D1C74">
        <w:rPr>
          <w:rFonts w:asciiTheme="majorHAnsi" w:hAnsiTheme="majorHAnsi"/>
          <w:sz w:val="20"/>
          <w:szCs w:val="20"/>
          <w:vertAlign w:val="superscript"/>
          <w:lang w:val="pt-BR"/>
        </w:rPr>
        <w:footnoteReference w:id="3"/>
      </w:r>
      <w:r w:rsidR="002649F0" w:rsidRPr="006D1C74">
        <w:rPr>
          <w:rFonts w:asciiTheme="majorHAnsi" w:hAnsiTheme="majorHAnsi"/>
          <w:sz w:val="20"/>
          <w:szCs w:val="20"/>
          <w:lang w:val="pt-BR"/>
        </w:rPr>
        <w:t>.</w:t>
      </w:r>
    </w:p>
    <w:p w14:paraId="7DB2EDD3"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540"/>
        </w:tabs>
        <w:suppressAutoHyphens/>
        <w:jc w:val="both"/>
        <w:rPr>
          <w:rFonts w:asciiTheme="majorHAnsi" w:eastAsia="Batang" w:hAnsiTheme="majorHAnsi"/>
          <w:sz w:val="20"/>
          <w:szCs w:val="20"/>
          <w:bdr w:val="none" w:sz="0" w:space="0" w:color="auto"/>
          <w:lang w:val="pt-BR"/>
        </w:rPr>
      </w:pPr>
    </w:p>
    <w:p w14:paraId="545AC15F" w14:textId="77777777" w:rsidR="002649F0" w:rsidRPr="006D1C74" w:rsidRDefault="00B4216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Batang" w:hAnsiTheme="majorHAnsi"/>
          <w:sz w:val="20"/>
          <w:szCs w:val="20"/>
          <w:bdr w:val="none" w:sz="0" w:space="0" w:color="auto"/>
          <w:lang w:val="pt-BR"/>
        </w:rPr>
      </w:pPr>
      <w:r w:rsidRPr="006D1C74">
        <w:rPr>
          <w:rFonts w:asciiTheme="majorHAnsi" w:eastAsia="Batang" w:hAnsiTheme="majorHAnsi"/>
          <w:sz w:val="20"/>
          <w:szCs w:val="20"/>
          <w:bdr w:val="none" w:sz="0" w:space="0" w:color="auto"/>
          <w:lang w:val="pt-BR"/>
        </w:rPr>
        <w:t>A</w:t>
      </w:r>
      <w:r w:rsidR="002649F0" w:rsidRPr="006D1C74">
        <w:rPr>
          <w:rFonts w:asciiTheme="majorHAnsi" w:eastAsia="Batang" w:hAnsiTheme="majorHAnsi"/>
          <w:sz w:val="20"/>
          <w:szCs w:val="20"/>
          <w:bdr w:val="none" w:sz="0" w:space="0" w:color="auto"/>
          <w:lang w:val="pt-BR"/>
        </w:rPr>
        <w:t xml:space="preserve"> </w:t>
      </w:r>
      <w:r w:rsidR="00417BE8" w:rsidRPr="006D1C74">
        <w:rPr>
          <w:rFonts w:asciiTheme="majorHAnsi" w:eastAsia="Batang" w:hAnsiTheme="majorHAnsi"/>
          <w:sz w:val="20"/>
          <w:szCs w:val="20"/>
          <w:bdr w:val="none" w:sz="0" w:space="0" w:color="auto"/>
          <w:lang w:val="pt-BR"/>
        </w:rPr>
        <w:t>Comissão</w:t>
      </w:r>
      <w:r w:rsidR="002649F0" w:rsidRPr="006D1C74">
        <w:rPr>
          <w:rFonts w:asciiTheme="majorHAnsi" w:eastAsia="Batang" w:hAnsiTheme="majorHAnsi"/>
          <w:sz w:val="20"/>
          <w:szCs w:val="20"/>
          <w:bdr w:val="none" w:sz="0" w:space="0" w:color="auto"/>
          <w:lang w:val="pt-BR"/>
        </w:rPr>
        <w:t xml:space="preserve"> apro</w:t>
      </w:r>
      <w:r w:rsidR="00F37852" w:rsidRPr="006D1C74">
        <w:rPr>
          <w:rFonts w:asciiTheme="majorHAnsi" w:eastAsia="Batang" w:hAnsiTheme="majorHAnsi"/>
          <w:sz w:val="20"/>
          <w:szCs w:val="20"/>
          <w:bdr w:val="none" w:sz="0" w:space="0" w:color="auto"/>
          <w:lang w:val="pt-BR"/>
        </w:rPr>
        <w:t>vou</w:t>
      </w:r>
      <w:r w:rsidR="00700267" w:rsidRPr="006D1C74">
        <w:rPr>
          <w:rFonts w:asciiTheme="majorHAnsi" w:eastAsia="Batang" w:hAnsiTheme="majorHAnsi"/>
          <w:sz w:val="20"/>
          <w:szCs w:val="20"/>
          <w:bdr w:val="none" w:sz="0" w:space="0" w:color="auto"/>
          <w:lang w:val="pt-BR"/>
        </w:rPr>
        <w:t xml:space="preserve"> o </w:t>
      </w:r>
      <w:r w:rsidR="00927E16" w:rsidRPr="006D1C74">
        <w:rPr>
          <w:rFonts w:asciiTheme="majorHAnsi" w:eastAsia="Batang" w:hAnsiTheme="majorHAnsi"/>
          <w:sz w:val="20"/>
          <w:szCs w:val="20"/>
          <w:bdr w:val="none" w:sz="0" w:space="0" w:color="auto"/>
          <w:lang w:val="pt-BR"/>
        </w:rPr>
        <w:t>Relatório</w:t>
      </w:r>
      <w:r w:rsidR="002649F0" w:rsidRPr="006D1C74">
        <w:rPr>
          <w:rFonts w:asciiTheme="majorHAnsi" w:eastAsia="Batang" w:hAnsiTheme="majorHAnsi"/>
          <w:sz w:val="20"/>
          <w:szCs w:val="20"/>
          <w:bdr w:val="none" w:sz="0" w:space="0" w:color="auto"/>
          <w:lang w:val="pt-BR"/>
        </w:rPr>
        <w:t xml:space="preserve"> de </w:t>
      </w:r>
      <w:r w:rsidR="00623C35" w:rsidRPr="006D1C74">
        <w:rPr>
          <w:rFonts w:asciiTheme="majorHAnsi" w:eastAsia="Batang" w:hAnsiTheme="majorHAnsi"/>
          <w:sz w:val="20"/>
          <w:szCs w:val="20"/>
          <w:bdr w:val="none" w:sz="0" w:space="0" w:color="auto"/>
          <w:lang w:val="pt-BR"/>
        </w:rPr>
        <w:t>Admissibilidade</w:t>
      </w:r>
      <w:r w:rsidR="00F673C7" w:rsidRPr="006D1C74">
        <w:rPr>
          <w:rFonts w:asciiTheme="majorHAnsi" w:eastAsia="Batang" w:hAnsiTheme="majorHAnsi"/>
          <w:sz w:val="20"/>
          <w:szCs w:val="20"/>
          <w:bdr w:val="none" w:sz="0" w:space="0" w:color="auto"/>
          <w:lang w:val="pt-BR"/>
        </w:rPr>
        <w:t xml:space="preserve"> </w:t>
      </w:r>
      <w:r w:rsidR="002649F0" w:rsidRPr="006D1C74">
        <w:rPr>
          <w:rFonts w:asciiTheme="majorHAnsi" w:hAnsiTheme="majorHAnsi"/>
          <w:sz w:val="20"/>
          <w:szCs w:val="20"/>
          <w:lang w:val="pt-BR"/>
        </w:rPr>
        <w:t>96/09</w:t>
      </w:r>
      <w:r w:rsidR="00700267" w:rsidRPr="006D1C74">
        <w:rPr>
          <w:rFonts w:asciiTheme="majorHAnsi" w:hAnsiTheme="majorHAnsi"/>
          <w:sz w:val="20"/>
          <w:szCs w:val="20"/>
          <w:lang w:val="pt-BR"/>
        </w:rPr>
        <w:t xml:space="preserve"> </w:t>
      </w:r>
      <w:r w:rsidR="00F37852" w:rsidRPr="006D1C74">
        <w:rPr>
          <w:rFonts w:asciiTheme="majorHAnsi" w:hAnsiTheme="majorHAnsi"/>
          <w:sz w:val="20"/>
          <w:szCs w:val="20"/>
          <w:lang w:val="pt-BR"/>
        </w:rPr>
        <w:t>em</w:t>
      </w:r>
      <w:r w:rsidR="00700267" w:rsidRPr="006D1C74">
        <w:rPr>
          <w:rFonts w:asciiTheme="majorHAnsi" w:hAnsiTheme="majorHAnsi"/>
          <w:sz w:val="20"/>
          <w:szCs w:val="20"/>
          <w:lang w:val="pt-BR"/>
        </w:rPr>
        <w:t xml:space="preserve"> </w:t>
      </w:r>
      <w:r w:rsidR="002649F0" w:rsidRPr="006D1C74">
        <w:rPr>
          <w:rFonts w:asciiTheme="majorHAnsi" w:hAnsiTheme="majorHAnsi"/>
          <w:sz w:val="20"/>
          <w:szCs w:val="20"/>
          <w:lang w:val="pt-BR"/>
        </w:rPr>
        <w:t>29 de o</w:t>
      </w:r>
      <w:r w:rsidR="00055622" w:rsidRPr="006D1C74">
        <w:rPr>
          <w:rFonts w:asciiTheme="majorHAnsi" w:hAnsiTheme="majorHAnsi"/>
          <w:sz w:val="20"/>
          <w:szCs w:val="20"/>
          <w:lang w:val="pt-BR"/>
        </w:rPr>
        <w:t>u</w:t>
      </w:r>
      <w:r w:rsidR="002649F0" w:rsidRPr="006D1C74">
        <w:rPr>
          <w:rFonts w:asciiTheme="majorHAnsi" w:hAnsiTheme="majorHAnsi"/>
          <w:sz w:val="20"/>
          <w:szCs w:val="20"/>
          <w:lang w:val="pt-BR"/>
        </w:rPr>
        <w:t>tubr</w:t>
      </w:r>
      <w:r w:rsidR="00055622" w:rsidRPr="006D1C74">
        <w:rPr>
          <w:rFonts w:asciiTheme="majorHAnsi" w:hAnsiTheme="majorHAnsi"/>
          <w:sz w:val="20"/>
          <w:szCs w:val="20"/>
          <w:lang w:val="pt-BR"/>
        </w:rPr>
        <w:t>o</w:t>
      </w:r>
      <w:r w:rsidR="002649F0" w:rsidRPr="006D1C74">
        <w:rPr>
          <w:rFonts w:asciiTheme="majorHAnsi" w:hAnsiTheme="majorHAnsi"/>
          <w:sz w:val="20"/>
          <w:szCs w:val="20"/>
          <w:lang w:val="pt-BR"/>
        </w:rPr>
        <w:t xml:space="preserve"> de 2009</w:t>
      </w:r>
      <w:r w:rsidR="002649F0" w:rsidRPr="006D1C74">
        <w:rPr>
          <w:rFonts w:asciiTheme="majorHAnsi" w:hAnsiTheme="majorHAnsi"/>
          <w:bCs/>
          <w:sz w:val="20"/>
          <w:szCs w:val="20"/>
          <w:vertAlign w:val="superscript"/>
          <w:lang w:val="pt-BR"/>
        </w:rPr>
        <w:footnoteReference w:id="4"/>
      </w:r>
      <w:r w:rsidR="00CF037E" w:rsidRPr="006D1C74">
        <w:rPr>
          <w:rFonts w:asciiTheme="majorHAnsi" w:hAnsiTheme="majorHAnsi"/>
          <w:sz w:val="20"/>
          <w:szCs w:val="20"/>
          <w:lang w:val="pt-BR"/>
        </w:rPr>
        <w:t xml:space="preserve"> e </w:t>
      </w:r>
      <w:r w:rsidR="002649F0" w:rsidRPr="006D1C74">
        <w:rPr>
          <w:rFonts w:asciiTheme="majorHAnsi" w:hAnsiTheme="majorHAnsi"/>
          <w:sz w:val="20"/>
          <w:szCs w:val="20"/>
          <w:lang w:val="pt-BR"/>
        </w:rPr>
        <w:t>o transmiti</w:t>
      </w:r>
      <w:r w:rsidR="00055622" w:rsidRPr="006D1C74">
        <w:rPr>
          <w:rFonts w:asciiTheme="majorHAnsi" w:hAnsiTheme="majorHAnsi"/>
          <w:sz w:val="20"/>
          <w:szCs w:val="20"/>
          <w:lang w:val="pt-BR"/>
        </w:rPr>
        <w:t>u</w:t>
      </w:r>
      <w:r w:rsidR="00030019" w:rsidRPr="006D1C74">
        <w:rPr>
          <w:rFonts w:asciiTheme="majorHAnsi" w:hAnsiTheme="majorHAnsi"/>
          <w:sz w:val="20"/>
          <w:szCs w:val="20"/>
          <w:lang w:val="pt-BR"/>
        </w:rPr>
        <w:t xml:space="preserve"> às </w:t>
      </w:r>
      <w:r w:rsidR="002649F0" w:rsidRPr="006D1C74">
        <w:rPr>
          <w:rFonts w:asciiTheme="majorHAnsi" w:hAnsiTheme="majorHAnsi"/>
          <w:sz w:val="20"/>
          <w:szCs w:val="20"/>
          <w:lang w:val="pt-BR"/>
        </w:rPr>
        <w:t>partes</w:t>
      </w:r>
      <w:r w:rsidR="00700267" w:rsidRPr="006D1C74">
        <w:rPr>
          <w:rFonts w:asciiTheme="majorHAnsi" w:hAnsiTheme="majorHAnsi"/>
          <w:sz w:val="20"/>
          <w:szCs w:val="20"/>
          <w:lang w:val="pt-BR"/>
        </w:rPr>
        <w:t xml:space="preserve"> </w:t>
      </w:r>
      <w:r w:rsidR="00F37852" w:rsidRPr="006D1C74">
        <w:rPr>
          <w:rFonts w:asciiTheme="majorHAnsi" w:hAnsiTheme="majorHAnsi"/>
          <w:sz w:val="20"/>
          <w:szCs w:val="20"/>
          <w:lang w:val="pt-BR"/>
        </w:rPr>
        <w:t>em</w:t>
      </w:r>
      <w:r w:rsidR="00700267" w:rsidRPr="006D1C74">
        <w:rPr>
          <w:rFonts w:asciiTheme="majorHAnsi" w:hAnsiTheme="majorHAnsi"/>
          <w:sz w:val="20"/>
          <w:szCs w:val="20"/>
          <w:lang w:val="pt-BR"/>
        </w:rPr>
        <w:t xml:space="preserve"> </w:t>
      </w:r>
      <w:r w:rsidR="002649F0" w:rsidRPr="006D1C74">
        <w:rPr>
          <w:rFonts w:asciiTheme="majorHAnsi" w:eastAsia="Batang" w:hAnsiTheme="majorHAnsi"/>
          <w:sz w:val="20"/>
          <w:szCs w:val="20"/>
          <w:bdr w:val="none" w:sz="0" w:space="0" w:color="auto"/>
          <w:lang w:val="pt-BR"/>
        </w:rPr>
        <w:t xml:space="preserve">6 de </w:t>
      </w:r>
      <w:r w:rsidR="00055622" w:rsidRPr="006D1C74">
        <w:rPr>
          <w:rFonts w:asciiTheme="majorHAnsi" w:eastAsia="Batang" w:hAnsiTheme="majorHAnsi"/>
          <w:sz w:val="20"/>
          <w:szCs w:val="20"/>
          <w:bdr w:val="none" w:sz="0" w:space="0" w:color="auto"/>
          <w:lang w:val="pt-BR"/>
        </w:rPr>
        <w:t>ja</w:t>
      </w:r>
      <w:r w:rsidR="002649F0" w:rsidRPr="006D1C74">
        <w:rPr>
          <w:rFonts w:asciiTheme="majorHAnsi" w:eastAsia="Batang" w:hAnsiTheme="majorHAnsi"/>
          <w:sz w:val="20"/>
          <w:szCs w:val="20"/>
          <w:bdr w:val="none" w:sz="0" w:space="0" w:color="auto"/>
          <w:lang w:val="pt-BR"/>
        </w:rPr>
        <w:t>ne</w:t>
      </w:r>
      <w:r w:rsidR="00055622" w:rsidRPr="006D1C74">
        <w:rPr>
          <w:rFonts w:asciiTheme="majorHAnsi" w:eastAsia="Batang" w:hAnsiTheme="majorHAnsi"/>
          <w:sz w:val="20"/>
          <w:szCs w:val="20"/>
          <w:bdr w:val="none" w:sz="0" w:space="0" w:color="auto"/>
          <w:lang w:val="pt-BR"/>
        </w:rPr>
        <w:t>i</w:t>
      </w:r>
      <w:r w:rsidR="002649F0" w:rsidRPr="006D1C74">
        <w:rPr>
          <w:rFonts w:asciiTheme="majorHAnsi" w:eastAsia="Batang" w:hAnsiTheme="majorHAnsi"/>
          <w:sz w:val="20"/>
          <w:szCs w:val="20"/>
          <w:bdr w:val="none" w:sz="0" w:space="0" w:color="auto"/>
          <w:lang w:val="pt-BR"/>
        </w:rPr>
        <w:t>ro de 2010.</w:t>
      </w:r>
      <w:r w:rsidR="003611D8" w:rsidRPr="006D1C74">
        <w:rPr>
          <w:rFonts w:asciiTheme="majorHAnsi" w:eastAsia="Batang" w:hAnsiTheme="majorHAnsi"/>
          <w:sz w:val="20"/>
          <w:szCs w:val="20"/>
          <w:bdr w:val="none" w:sz="0" w:space="0" w:color="auto"/>
          <w:lang w:val="pt-BR"/>
        </w:rPr>
        <w:t xml:space="preserve"> </w:t>
      </w:r>
      <w:r w:rsidRPr="006D1C74">
        <w:rPr>
          <w:rFonts w:asciiTheme="majorHAnsi" w:eastAsia="Batang" w:hAnsiTheme="majorHAnsi"/>
          <w:sz w:val="20"/>
          <w:szCs w:val="20"/>
          <w:bdr w:val="none" w:sz="0" w:space="0" w:color="auto"/>
          <w:lang w:val="pt-BR"/>
        </w:rPr>
        <w:t>A</w:t>
      </w:r>
      <w:r w:rsidR="003611D8" w:rsidRPr="006D1C74">
        <w:rPr>
          <w:rFonts w:asciiTheme="majorHAnsi" w:eastAsia="Batang" w:hAnsiTheme="majorHAnsi"/>
          <w:sz w:val="20"/>
          <w:szCs w:val="20"/>
          <w:bdr w:val="none" w:sz="0" w:space="0" w:color="auto"/>
          <w:lang w:val="pt-BR"/>
        </w:rPr>
        <w:t xml:space="preserve"> </w:t>
      </w:r>
      <w:r w:rsidR="00417BE8" w:rsidRPr="006D1C74">
        <w:rPr>
          <w:rFonts w:asciiTheme="majorHAnsi" w:eastAsia="Batang" w:hAnsiTheme="majorHAnsi"/>
          <w:sz w:val="20"/>
          <w:szCs w:val="20"/>
          <w:bdr w:val="none" w:sz="0" w:space="0" w:color="auto"/>
          <w:lang w:val="pt-BR"/>
        </w:rPr>
        <w:t>Comissão</w:t>
      </w:r>
      <w:r w:rsidR="003611D8" w:rsidRPr="006D1C74">
        <w:rPr>
          <w:rFonts w:asciiTheme="majorHAnsi" w:eastAsia="Batang" w:hAnsiTheme="majorHAnsi"/>
          <w:sz w:val="20"/>
          <w:szCs w:val="20"/>
          <w:bdr w:val="none" w:sz="0" w:space="0" w:color="auto"/>
          <w:lang w:val="pt-BR"/>
        </w:rPr>
        <w:t xml:space="preserve"> </w:t>
      </w:r>
      <w:r w:rsidR="00F37852" w:rsidRPr="006D1C74">
        <w:rPr>
          <w:rFonts w:asciiTheme="majorHAnsi" w:eastAsia="Batang" w:hAnsiTheme="majorHAnsi"/>
          <w:sz w:val="20"/>
          <w:szCs w:val="20"/>
          <w:bdr w:val="none" w:sz="0" w:space="0" w:color="auto"/>
          <w:lang w:val="pt-BR"/>
        </w:rPr>
        <w:t>colocou-</w:t>
      </w:r>
      <w:r w:rsidR="003611D8" w:rsidRPr="006D1C74">
        <w:rPr>
          <w:rFonts w:asciiTheme="majorHAnsi" w:eastAsia="Batang" w:hAnsiTheme="majorHAnsi"/>
          <w:sz w:val="20"/>
          <w:szCs w:val="20"/>
          <w:bdr w:val="none" w:sz="0" w:space="0" w:color="auto"/>
          <w:lang w:val="pt-BR"/>
        </w:rPr>
        <w:t xml:space="preserve">se </w:t>
      </w:r>
      <w:r w:rsidR="00F37852" w:rsidRPr="006D1C74">
        <w:rPr>
          <w:rFonts w:asciiTheme="majorHAnsi" w:eastAsia="Batang" w:hAnsiTheme="majorHAnsi"/>
          <w:sz w:val="20"/>
          <w:szCs w:val="20"/>
          <w:bdr w:val="none" w:sz="0" w:space="0" w:color="auto"/>
          <w:lang w:val="pt-BR"/>
        </w:rPr>
        <w:t>à</w:t>
      </w:r>
      <w:r w:rsidR="003611D8" w:rsidRPr="006D1C74">
        <w:rPr>
          <w:rFonts w:asciiTheme="majorHAnsi" w:eastAsia="Batang" w:hAnsiTheme="majorHAnsi"/>
          <w:sz w:val="20"/>
          <w:szCs w:val="20"/>
          <w:bdr w:val="none" w:sz="0" w:space="0" w:color="auto"/>
          <w:lang w:val="pt-BR"/>
        </w:rPr>
        <w:t xml:space="preserve"> disposi</w:t>
      </w:r>
      <w:r w:rsidR="00CF037E" w:rsidRPr="006D1C74">
        <w:rPr>
          <w:rFonts w:asciiTheme="majorHAnsi" w:eastAsia="Batang" w:hAnsiTheme="majorHAnsi"/>
          <w:sz w:val="20"/>
          <w:szCs w:val="20"/>
          <w:bdr w:val="none" w:sz="0" w:space="0" w:color="auto"/>
          <w:lang w:val="pt-BR"/>
        </w:rPr>
        <w:t>ção</w:t>
      </w:r>
      <w:r w:rsidR="00D74A93" w:rsidRPr="006D1C74">
        <w:rPr>
          <w:rFonts w:asciiTheme="majorHAnsi" w:eastAsia="Batang" w:hAnsiTheme="majorHAnsi"/>
          <w:sz w:val="20"/>
          <w:szCs w:val="20"/>
          <w:bdr w:val="none" w:sz="0" w:space="0" w:color="auto"/>
          <w:lang w:val="pt-BR"/>
        </w:rPr>
        <w:t xml:space="preserve"> das </w:t>
      </w:r>
      <w:r w:rsidR="003611D8" w:rsidRPr="006D1C74">
        <w:rPr>
          <w:rFonts w:asciiTheme="majorHAnsi" w:eastAsia="Batang" w:hAnsiTheme="majorHAnsi"/>
          <w:sz w:val="20"/>
          <w:szCs w:val="20"/>
          <w:bdr w:val="none" w:sz="0" w:space="0" w:color="auto"/>
          <w:lang w:val="pt-BR"/>
        </w:rPr>
        <w:t>partes a</w:t>
      </w:r>
      <w:r w:rsidR="00F673C7" w:rsidRPr="006D1C74">
        <w:rPr>
          <w:rFonts w:asciiTheme="majorHAnsi" w:eastAsia="Batang" w:hAnsiTheme="majorHAnsi"/>
          <w:sz w:val="20"/>
          <w:szCs w:val="20"/>
          <w:bdr w:val="none" w:sz="0" w:space="0" w:color="auto"/>
          <w:lang w:val="pt-BR"/>
        </w:rPr>
        <w:t xml:space="preserve"> fim </w:t>
      </w:r>
      <w:r w:rsidR="003611D8" w:rsidRPr="006D1C74">
        <w:rPr>
          <w:rFonts w:asciiTheme="majorHAnsi" w:eastAsia="Batang" w:hAnsiTheme="majorHAnsi"/>
          <w:sz w:val="20"/>
          <w:szCs w:val="20"/>
          <w:bdr w:val="none" w:sz="0" w:space="0" w:color="auto"/>
          <w:lang w:val="pt-BR"/>
        </w:rPr>
        <w:t xml:space="preserve">de </w:t>
      </w:r>
      <w:r w:rsidR="00D74A93" w:rsidRPr="006D1C74">
        <w:rPr>
          <w:rFonts w:asciiTheme="majorHAnsi" w:eastAsia="Batang" w:hAnsiTheme="majorHAnsi"/>
          <w:sz w:val="20"/>
          <w:szCs w:val="20"/>
          <w:bdr w:val="none" w:sz="0" w:space="0" w:color="auto"/>
          <w:lang w:val="pt-BR"/>
        </w:rPr>
        <w:t>ch</w:t>
      </w:r>
      <w:r w:rsidR="003611D8" w:rsidRPr="006D1C74">
        <w:rPr>
          <w:rFonts w:asciiTheme="majorHAnsi" w:eastAsia="Batang" w:hAnsiTheme="majorHAnsi"/>
          <w:sz w:val="20"/>
          <w:szCs w:val="20"/>
          <w:bdr w:val="none" w:sz="0" w:space="0" w:color="auto"/>
          <w:lang w:val="pt-BR"/>
        </w:rPr>
        <w:t>egar a</w:t>
      </w:r>
      <w:r w:rsidR="00030019" w:rsidRPr="006D1C74">
        <w:rPr>
          <w:rFonts w:asciiTheme="majorHAnsi" w:eastAsia="Batang" w:hAnsiTheme="majorHAnsi"/>
          <w:sz w:val="20"/>
          <w:szCs w:val="20"/>
          <w:bdr w:val="none" w:sz="0" w:space="0" w:color="auto"/>
          <w:lang w:val="pt-BR"/>
        </w:rPr>
        <w:t xml:space="preserve"> uma </w:t>
      </w:r>
      <w:r w:rsidR="003611D8" w:rsidRPr="006D1C74">
        <w:rPr>
          <w:rFonts w:asciiTheme="majorHAnsi" w:eastAsia="Batang" w:hAnsiTheme="majorHAnsi"/>
          <w:sz w:val="20"/>
          <w:szCs w:val="20"/>
          <w:bdr w:val="none" w:sz="0" w:space="0" w:color="auto"/>
          <w:lang w:val="pt-BR"/>
        </w:rPr>
        <w:t>solu</w:t>
      </w:r>
      <w:r w:rsidR="00CF037E" w:rsidRPr="006D1C74">
        <w:rPr>
          <w:rFonts w:asciiTheme="majorHAnsi" w:eastAsia="Batang" w:hAnsiTheme="majorHAnsi"/>
          <w:sz w:val="20"/>
          <w:szCs w:val="20"/>
          <w:bdr w:val="none" w:sz="0" w:space="0" w:color="auto"/>
          <w:lang w:val="pt-BR"/>
        </w:rPr>
        <w:t>ção</w:t>
      </w:r>
      <w:r w:rsidR="003611D8" w:rsidRPr="006D1C74">
        <w:rPr>
          <w:rFonts w:asciiTheme="majorHAnsi" w:eastAsia="Batang" w:hAnsiTheme="majorHAnsi"/>
          <w:sz w:val="20"/>
          <w:szCs w:val="20"/>
          <w:bdr w:val="none" w:sz="0" w:space="0" w:color="auto"/>
          <w:lang w:val="pt-BR"/>
        </w:rPr>
        <w:t xml:space="preserve"> amistosa</w:t>
      </w:r>
      <w:r w:rsidR="00030019" w:rsidRPr="006D1C74">
        <w:rPr>
          <w:rFonts w:asciiTheme="majorHAnsi" w:eastAsia="Batang" w:hAnsiTheme="majorHAnsi"/>
          <w:sz w:val="20"/>
          <w:szCs w:val="20"/>
          <w:bdr w:val="none" w:sz="0" w:space="0" w:color="auto"/>
          <w:lang w:val="pt-BR"/>
        </w:rPr>
        <w:t xml:space="preserve"> do </w:t>
      </w:r>
      <w:r w:rsidR="003611D8" w:rsidRPr="006D1C74">
        <w:rPr>
          <w:rFonts w:asciiTheme="majorHAnsi" w:eastAsia="Batang" w:hAnsiTheme="majorHAnsi"/>
          <w:sz w:val="20"/>
          <w:szCs w:val="20"/>
          <w:bdr w:val="none" w:sz="0" w:space="0" w:color="auto"/>
          <w:lang w:val="pt-BR"/>
        </w:rPr>
        <w:t>a</w:t>
      </w:r>
      <w:r w:rsidR="00055622" w:rsidRPr="006D1C74">
        <w:rPr>
          <w:rFonts w:asciiTheme="majorHAnsi" w:eastAsia="Batang" w:hAnsiTheme="majorHAnsi"/>
          <w:sz w:val="20"/>
          <w:szCs w:val="20"/>
          <w:bdr w:val="none" w:sz="0" w:space="0" w:color="auto"/>
          <w:lang w:val="pt-BR"/>
        </w:rPr>
        <w:t>s</w:t>
      </w:r>
      <w:r w:rsidR="003611D8" w:rsidRPr="006D1C74">
        <w:rPr>
          <w:rFonts w:asciiTheme="majorHAnsi" w:eastAsia="Batang" w:hAnsiTheme="majorHAnsi"/>
          <w:sz w:val="20"/>
          <w:szCs w:val="20"/>
          <w:bdr w:val="none" w:sz="0" w:space="0" w:color="auto"/>
          <w:lang w:val="pt-BR"/>
        </w:rPr>
        <w:t>sunto</w:t>
      </w:r>
      <w:r w:rsidR="003611D8" w:rsidRPr="006D1C74">
        <w:rPr>
          <w:rStyle w:val="FootnoteReference"/>
          <w:rFonts w:asciiTheme="majorHAnsi" w:eastAsia="Batang" w:hAnsiTheme="majorHAnsi"/>
          <w:sz w:val="20"/>
          <w:szCs w:val="20"/>
          <w:bdr w:val="none" w:sz="0" w:space="0" w:color="auto"/>
          <w:lang w:val="pt-BR"/>
        </w:rPr>
        <w:footnoteReference w:id="5"/>
      </w:r>
      <w:r w:rsidR="003611D8" w:rsidRPr="006D1C74">
        <w:rPr>
          <w:rFonts w:asciiTheme="majorHAnsi" w:eastAsia="Batang" w:hAnsiTheme="majorHAnsi"/>
          <w:sz w:val="20"/>
          <w:szCs w:val="20"/>
          <w:bdr w:val="none" w:sz="0" w:space="0" w:color="auto"/>
          <w:lang w:val="pt-BR"/>
        </w:rPr>
        <w:t xml:space="preserve">. </w:t>
      </w:r>
      <w:r w:rsidRPr="006D1C74">
        <w:rPr>
          <w:rFonts w:asciiTheme="majorHAnsi" w:eastAsia="Batang" w:hAnsiTheme="majorHAnsi"/>
          <w:sz w:val="20"/>
          <w:szCs w:val="20"/>
          <w:bdr w:val="none" w:sz="0" w:space="0" w:color="auto"/>
          <w:lang w:val="pt-BR"/>
        </w:rPr>
        <w:t>A</w:t>
      </w:r>
      <w:r w:rsidR="002649F0" w:rsidRPr="006D1C74">
        <w:rPr>
          <w:rFonts w:asciiTheme="majorHAnsi" w:eastAsia="Batang" w:hAnsiTheme="majorHAnsi"/>
          <w:sz w:val="20"/>
          <w:szCs w:val="20"/>
          <w:bdr w:val="none" w:sz="0" w:space="0" w:color="auto"/>
          <w:lang w:val="pt-BR"/>
        </w:rPr>
        <w:t>s partes contar</w:t>
      </w:r>
      <w:r w:rsidR="00055622" w:rsidRPr="006D1C74">
        <w:rPr>
          <w:rFonts w:asciiTheme="majorHAnsi" w:eastAsia="Batang" w:hAnsiTheme="majorHAnsi"/>
          <w:sz w:val="20"/>
          <w:szCs w:val="20"/>
          <w:bdr w:val="none" w:sz="0" w:space="0" w:color="auto"/>
          <w:lang w:val="pt-BR"/>
        </w:rPr>
        <w:t>am</w:t>
      </w:r>
      <w:r w:rsidR="00F673C7" w:rsidRPr="006D1C74">
        <w:rPr>
          <w:rFonts w:asciiTheme="majorHAnsi" w:eastAsia="Batang" w:hAnsiTheme="majorHAnsi"/>
          <w:sz w:val="20"/>
          <w:szCs w:val="20"/>
          <w:bdr w:val="none" w:sz="0" w:space="0" w:color="auto"/>
          <w:lang w:val="pt-BR"/>
        </w:rPr>
        <w:t xml:space="preserve"> com </w:t>
      </w:r>
      <w:r w:rsidR="00700267" w:rsidRPr="006D1C74">
        <w:rPr>
          <w:rFonts w:asciiTheme="majorHAnsi" w:eastAsia="Batang" w:hAnsiTheme="majorHAnsi"/>
          <w:sz w:val="20"/>
          <w:szCs w:val="20"/>
          <w:bdr w:val="none" w:sz="0" w:space="0" w:color="auto"/>
          <w:lang w:val="pt-BR"/>
        </w:rPr>
        <w:t xml:space="preserve">os </w:t>
      </w:r>
      <w:r w:rsidR="00D74A93" w:rsidRPr="006D1C74">
        <w:rPr>
          <w:rFonts w:asciiTheme="majorHAnsi" w:eastAsia="Batang" w:hAnsiTheme="majorHAnsi"/>
          <w:sz w:val="20"/>
          <w:szCs w:val="20"/>
          <w:bdr w:val="none" w:sz="0" w:space="0" w:color="auto"/>
          <w:lang w:val="pt-BR"/>
        </w:rPr>
        <w:t>prazo</w:t>
      </w:r>
      <w:r w:rsidR="002649F0" w:rsidRPr="006D1C74">
        <w:rPr>
          <w:rFonts w:asciiTheme="majorHAnsi" w:eastAsia="Batang" w:hAnsiTheme="majorHAnsi"/>
          <w:sz w:val="20"/>
          <w:szCs w:val="20"/>
          <w:bdr w:val="none" w:sz="0" w:space="0" w:color="auto"/>
          <w:lang w:val="pt-BR"/>
        </w:rPr>
        <w:t>s reg</w:t>
      </w:r>
      <w:r w:rsidR="00055622" w:rsidRPr="006D1C74">
        <w:rPr>
          <w:rFonts w:asciiTheme="majorHAnsi" w:eastAsia="Batang" w:hAnsiTheme="majorHAnsi"/>
          <w:sz w:val="20"/>
          <w:szCs w:val="20"/>
          <w:bdr w:val="none" w:sz="0" w:space="0" w:color="auto"/>
          <w:lang w:val="pt-BR"/>
        </w:rPr>
        <w:t>u</w:t>
      </w:r>
      <w:r w:rsidR="002649F0" w:rsidRPr="006D1C74">
        <w:rPr>
          <w:rFonts w:asciiTheme="majorHAnsi" w:eastAsia="Batang" w:hAnsiTheme="majorHAnsi"/>
          <w:sz w:val="20"/>
          <w:szCs w:val="20"/>
          <w:bdr w:val="none" w:sz="0" w:space="0" w:color="auto"/>
          <w:lang w:val="pt-BR"/>
        </w:rPr>
        <w:t>lamentar</w:t>
      </w:r>
      <w:r w:rsidR="00D74A93" w:rsidRPr="006D1C74">
        <w:rPr>
          <w:rFonts w:asciiTheme="majorHAnsi" w:eastAsia="Batang" w:hAnsiTheme="majorHAnsi"/>
          <w:sz w:val="20"/>
          <w:szCs w:val="20"/>
          <w:bdr w:val="none" w:sz="0" w:space="0" w:color="auto"/>
          <w:lang w:val="pt-BR"/>
        </w:rPr>
        <w:t>e</w:t>
      </w:r>
      <w:r w:rsidR="002649F0" w:rsidRPr="006D1C74">
        <w:rPr>
          <w:rFonts w:asciiTheme="majorHAnsi" w:eastAsia="Batang" w:hAnsiTheme="majorHAnsi"/>
          <w:sz w:val="20"/>
          <w:szCs w:val="20"/>
          <w:bdr w:val="none" w:sz="0" w:space="0" w:color="auto"/>
          <w:lang w:val="pt-BR"/>
        </w:rPr>
        <w:t>s para formular observa</w:t>
      </w:r>
      <w:r w:rsidR="00CF037E" w:rsidRPr="006D1C74">
        <w:rPr>
          <w:rFonts w:asciiTheme="majorHAnsi" w:eastAsia="Batang" w:hAnsiTheme="majorHAnsi"/>
          <w:sz w:val="20"/>
          <w:szCs w:val="20"/>
          <w:bdr w:val="none" w:sz="0" w:space="0" w:color="auto"/>
          <w:lang w:val="pt-BR"/>
        </w:rPr>
        <w:t>ções</w:t>
      </w:r>
      <w:r w:rsidR="002649F0" w:rsidRPr="006D1C74">
        <w:rPr>
          <w:rFonts w:asciiTheme="majorHAnsi" w:eastAsia="Batang" w:hAnsiTheme="majorHAnsi"/>
          <w:sz w:val="20"/>
          <w:szCs w:val="20"/>
          <w:bdr w:val="none" w:sz="0" w:space="0" w:color="auto"/>
          <w:lang w:val="pt-BR"/>
        </w:rPr>
        <w:t xml:space="preserve"> adicion</w:t>
      </w:r>
      <w:r w:rsidR="00700267" w:rsidRPr="006D1C74">
        <w:rPr>
          <w:rFonts w:asciiTheme="majorHAnsi" w:eastAsia="Batang" w:hAnsiTheme="majorHAnsi"/>
          <w:sz w:val="20"/>
          <w:szCs w:val="20"/>
          <w:bdr w:val="none" w:sz="0" w:space="0" w:color="auto"/>
          <w:lang w:val="pt-BR"/>
        </w:rPr>
        <w:t>ais</w:t>
      </w:r>
      <w:r w:rsidR="002649F0" w:rsidRPr="006D1C74">
        <w:rPr>
          <w:rFonts w:asciiTheme="majorHAnsi" w:eastAsia="Batang" w:hAnsiTheme="majorHAnsi"/>
          <w:sz w:val="20"/>
          <w:szCs w:val="20"/>
          <w:bdr w:val="none" w:sz="0" w:space="0" w:color="auto"/>
          <w:lang w:val="pt-BR"/>
        </w:rPr>
        <w:t xml:space="preserve"> sobre</w:t>
      </w:r>
      <w:r w:rsidR="00700267" w:rsidRPr="006D1C74">
        <w:rPr>
          <w:rFonts w:asciiTheme="majorHAnsi" w:eastAsia="Batang" w:hAnsiTheme="majorHAnsi"/>
          <w:sz w:val="20"/>
          <w:szCs w:val="20"/>
          <w:bdr w:val="none" w:sz="0" w:space="0" w:color="auto"/>
          <w:lang w:val="pt-BR"/>
        </w:rPr>
        <w:t xml:space="preserve"> o </w:t>
      </w:r>
      <w:r w:rsidR="00927E16" w:rsidRPr="006D1C74">
        <w:rPr>
          <w:rFonts w:asciiTheme="majorHAnsi" w:eastAsia="Batang" w:hAnsiTheme="majorHAnsi"/>
          <w:sz w:val="20"/>
          <w:szCs w:val="20"/>
          <w:bdr w:val="none" w:sz="0" w:space="0" w:color="auto"/>
          <w:lang w:val="pt-BR"/>
        </w:rPr>
        <w:t>mérito</w:t>
      </w:r>
      <w:r w:rsidR="002649F0" w:rsidRPr="006D1C74">
        <w:rPr>
          <w:rFonts w:asciiTheme="majorHAnsi" w:eastAsia="Batang" w:hAnsiTheme="majorHAnsi"/>
          <w:sz w:val="20"/>
          <w:szCs w:val="20"/>
          <w:bdr w:val="none" w:sz="0" w:space="0" w:color="auto"/>
          <w:lang w:val="pt-BR"/>
        </w:rPr>
        <w:t>. Toda</w:t>
      </w:r>
      <w:r w:rsidR="00055622" w:rsidRPr="006D1C74">
        <w:rPr>
          <w:rFonts w:asciiTheme="majorHAnsi" w:eastAsia="Batang" w:hAnsiTheme="majorHAnsi"/>
          <w:sz w:val="20"/>
          <w:szCs w:val="20"/>
          <w:bdr w:val="none" w:sz="0" w:space="0" w:color="auto"/>
          <w:lang w:val="pt-BR"/>
        </w:rPr>
        <w:t>s</w:t>
      </w:r>
      <w:r w:rsidR="00700267" w:rsidRPr="006D1C74">
        <w:rPr>
          <w:rFonts w:asciiTheme="majorHAnsi" w:eastAsia="Batang" w:hAnsiTheme="majorHAnsi"/>
          <w:sz w:val="20"/>
          <w:szCs w:val="20"/>
          <w:bdr w:val="none" w:sz="0" w:space="0" w:color="auto"/>
          <w:lang w:val="pt-BR"/>
        </w:rPr>
        <w:t xml:space="preserve"> a</w:t>
      </w:r>
      <w:r w:rsidR="00055622" w:rsidRPr="006D1C74">
        <w:rPr>
          <w:rFonts w:asciiTheme="majorHAnsi" w:eastAsia="Batang" w:hAnsiTheme="majorHAnsi"/>
          <w:sz w:val="20"/>
          <w:szCs w:val="20"/>
          <w:bdr w:val="none" w:sz="0" w:space="0" w:color="auto"/>
          <w:lang w:val="pt-BR"/>
        </w:rPr>
        <w:t>s</w:t>
      </w:r>
      <w:r w:rsidR="00700267" w:rsidRPr="006D1C74">
        <w:rPr>
          <w:rFonts w:asciiTheme="majorHAnsi" w:eastAsia="Batang" w:hAnsiTheme="majorHAnsi"/>
          <w:sz w:val="20"/>
          <w:szCs w:val="20"/>
          <w:bdr w:val="none" w:sz="0" w:space="0" w:color="auto"/>
          <w:lang w:val="pt-BR"/>
        </w:rPr>
        <w:t xml:space="preserve"> </w:t>
      </w:r>
      <w:r w:rsidR="002649F0" w:rsidRPr="006D1C74">
        <w:rPr>
          <w:rFonts w:asciiTheme="majorHAnsi" w:eastAsia="Batang" w:hAnsiTheme="majorHAnsi"/>
          <w:sz w:val="20"/>
          <w:szCs w:val="20"/>
          <w:bdr w:val="none" w:sz="0" w:space="0" w:color="auto"/>
          <w:lang w:val="pt-BR"/>
        </w:rPr>
        <w:t>informa</w:t>
      </w:r>
      <w:r w:rsidR="00CF037E" w:rsidRPr="006D1C74">
        <w:rPr>
          <w:rFonts w:asciiTheme="majorHAnsi" w:eastAsia="Batang" w:hAnsiTheme="majorHAnsi"/>
          <w:sz w:val="20"/>
          <w:szCs w:val="20"/>
          <w:bdr w:val="none" w:sz="0" w:space="0" w:color="auto"/>
          <w:lang w:val="pt-BR"/>
        </w:rPr>
        <w:t>ç</w:t>
      </w:r>
      <w:r w:rsidR="00055622" w:rsidRPr="006D1C74">
        <w:rPr>
          <w:rFonts w:asciiTheme="majorHAnsi" w:eastAsia="Batang" w:hAnsiTheme="majorHAnsi"/>
          <w:sz w:val="20"/>
          <w:szCs w:val="20"/>
          <w:bdr w:val="none" w:sz="0" w:space="0" w:color="auto"/>
          <w:lang w:val="pt-BR"/>
        </w:rPr>
        <w:t>ões</w:t>
      </w:r>
      <w:r w:rsidR="002649F0" w:rsidRPr="006D1C74">
        <w:rPr>
          <w:rFonts w:asciiTheme="majorHAnsi" w:eastAsia="Batang" w:hAnsiTheme="majorHAnsi"/>
          <w:sz w:val="20"/>
          <w:szCs w:val="20"/>
          <w:bdr w:val="none" w:sz="0" w:space="0" w:color="auto"/>
          <w:lang w:val="pt-BR"/>
        </w:rPr>
        <w:t xml:space="preserve"> rec</w:t>
      </w:r>
      <w:r w:rsidR="00055622" w:rsidRPr="006D1C74">
        <w:rPr>
          <w:rFonts w:asciiTheme="majorHAnsi" w:eastAsia="Batang" w:hAnsiTheme="majorHAnsi"/>
          <w:sz w:val="20"/>
          <w:szCs w:val="20"/>
          <w:bdr w:val="none" w:sz="0" w:space="0" w:color="auto"/>
          <w:lang w:val="pt-BR"/>
        </w:rPr>
        <w:t>e</w:t>
      </w:r>
      <w:r w:rsidR="002649F0" w:rsidRPr="006D1C74">
        <w:rPr>
          <w:rFonts w:asciiTheme="majorHAnsi" w:eastAsia="Batang" w:hAnsiTheme="majorHAnsi"/>
          <w:sz w:val="20"/>
          <w:szCs w:val="20"/>
          <w:bdr w:val="none" w:sz="0" w:space="0" w:color="auto"/>
          <w:lang w:val="pt-BR"/>
        </w:rPr>
        <w:t>bida</w:t>
      </w:r>
      <w:r w:rsidR="00055622" w:rsidRPr="006D1C74">
        <w:rPr>
          <w:rFonts w:asciiTheme="majorHAnsi" w:eastAsia="Batang" w:hAnsiTheme="majorHAnsi"/>
          <w:sz w:val="20"/>
          <w:szCs w:val="20"/>
          <w:bdr w:val="none" w:sz="0" w:space="0" w:color="auto"/>
          <w:lang w:val="pt-BR"/>
        </w:rPr>
        <w:t>s</w:t>
      </w:r>
      <w:r w:rsidR="002649F0" w:rsidRPr="006D1C74">
        <w:rPr>
          <w:rFonts w:asciiTheme="majorHAnsi" w:eastAsia="Batang" w:hAnsiTheme="majorHAnsi"/>
          <w:sz w:val="20"/>
          <w:szCs w:val="20"/>
          <w:bdr w:val="none" w:sz="0" w:space="0" w:color="auto"/>
          <w:lang w:val="pt-BR"/>
        </w:rPr>
        <w:t xml:space="preserve"> f</w:t>
      </w:r>
      <w:r w:rsidR="00D74A93" w:rsidRPr="006D1C74">
        <w:rPr>
          <w:rFonts w:asciiTheme="majorHAnsi" w:eastAsia="Batang" w:hAnsiTheme="majorHAnsi"/>
          <w:sz w:val="20"/>
          <w:szCs w:val="20"/>
          <w:bdr w:val="none" w:sz="0" w:space="0" w:color="auto"/>
          <w:lang w:val="pt-BR"/>
        </w:rPr>
        <w:t>o</w:t>
      </w:r>
      <w:r w:rsidR="00055622" w:rsidRPr="006D1C74">
        <w:rPr>
          <w:rFonts w:asciiTheme="majorHAnsi" w:eastAsia="Batang" w:hAnsiTheme="majorHAnsi"/>
          <w:sz w:val="20"/>
          <w:szCs w:val="20"/>
          <w:bdr w:val="none" w:sz="0" w:space="0" w:color="auto"/>
          <w:lang w:val="pt-BR"/>
        </w:rPr>
        <w:t>ram</w:t>
      </w:r>
      <w:r w:rsidR="002649F0" w:rsidRPr="006D1C74">
        <w:rPr>
          <w:rFonts w:asciiTheme="majorHAnsi" w:eastAsia="Batang" w:hAnsiTheme="majorHAnsi"/>
          <w:sz w:val="20"/>
          <w:szCs w:val="20"/>
          <w:bdr w:val="none" w:sz="0" w:space="0" w:color="auto"/>
          <w:lang w:val="pt-BR"/>
        </w:rPr>
        <w:t xml:space="preserve"> de</w:t>
      </w:r>
      <w:r w:rsidR="00055622" w:rsidRPr="006D1C74">
        <w:rPr>
          <w:rFonts w:asciiTheme="majorHAnsi" w:eastAsia="Batang" w:hAnsiTheme="majorHAnsi"/>
          <w:sz w:val="20"/>
          <w:szCs w:val="20"/>
          <w:bdr w:val="none" w:sz="0" w:space="0" w:color="auto"/>
          <w:lang w:val="pt-BR"/>
        </w:rPr>
        <w:t>v</w:t>
      </w:r>
      <w:r w:rsidR="002649F0" w:rsidRPr="006D1C74">
        <w:rPr>
          <w:rFonts w:asciiTheme="majorHAnsi" w:eastAsia="Batang" w:hAnsiTheme="majorHAnsi"/>
          <w:sz w:val="20"/>
          <w:szCs w:val="20"/>
          <w:bdr w:val="none" w:sz="0" w:space="0" w:color="auto"/>
          <w:lang w:val="pt-BR"/>
        </w:rPr>
        <w:t>idamente</w:t>
      </w:r>
      <w:r w:rsidR="00030019" w:rsidRPr="006D1C74">
        <w:rPr>
          <w:rFonts w:asciiTheme="majorHAnsi" w:eastAsia="Batang" w:hAnsiTheme="majorHAnsi"/>
          <w:sz w:val="20"/>
          <w:szCs w:val="20"/>
          <w:bdr w:val="none" w:sz="0" w:space="0" w:color="auto"/>
          <w:lang w:val="pt-BR"/>
        </w:rPr>
        <w:t xml:space="preserve"> </w:t>
      </w:r>
      <w:r w:rsidR="00842FD1" w:rsidRPr="006D1C74">
        <w:rPr>
          <w:rFonts w:asciiTheme="majorHAnsi" w:eastAsia="Batang" w:hAnsiTheme="majorHAnsi"/>
          <w:sz w:val="20"/>
          <w:szCs w:val="20"/>
          <w:bdr w:val="none" w:sz="0" w:space="0" w:color="auto"/>
          <w:lang w:val="pt-BR"/>
        </w:rPr>
        <w:t xml:space="preserve">transmitidas </w:t>
      </w:r>
      <w:r w:rsidR="00030019" w:rsidRPr="006D1C74">
        <w:rPr>
          <w:rFonts w:asciiTheme="majorHAnsi" w:eastAsia="Batang" w:hAnsiTheme="majorHAnsi"/>
          <w:sz w:val="20"/>
          <w:szCs w:val="20"/>
          <w:bdr w:val="none" w:sz="0" w:space="0" w:color="auto"/>
          <w:lang w:val="pt-BR"/>
        </w:rPr>
        <w:t xml:space="preserve">às </w:t>
      </w:r>
      <w:r w:rsidR="002649F0" w:rsidRPr="006D1C74">
        <w:rPr>
          <w:rFonts w:asciiTheme="majorHAnsi" w:eastAsia="Batang" w:hAnsiTheme="majorHAnsi"/>
          <w:sz w:val="20"/>
          <w:szCs w:val="20"/>
          <w:bdr w:val="none" w:sz="0" w:space="0" w:color="auto"/>
          <w:lang w:val="pt-BR"/>
        </w:rPr>
        <w:t>partes.</w:t>
      </w:r>
    </w:p>
    <w:p w14:paraId="38B92DF5"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left" w:pos="3609"/>
        </w:tabs>
        <w:suppressAutoHyphens/>
        <w:jc w:val="both"/>
        <w:rPr>
          <w:rFonts w:asciiTheme="majorHAnsi" w:eastAsia="Batang" w:hAnsiTheme="majorHAnsi"/>
          <w:sz w:val="20"/>
          <w:szCs w:val="20"/>
          <w:bdr w:val="none" w:sz="0" w:space="0" w:color="auto"/>
          <w:lang w:val="pt-BR"/>
        </w:rPr>
      </w:pPr>
    </w:p>
    <w:p w14:paraId="3324DEAE" w14:textId="77777777" w:rsidR="002649F0" w:rsidRPr="006D1C74" w:rsidRDefault="002649F0" w:rsidP="00E46227">
      <w:pPr>
        <w:pStyle w:val="Heading1"/>
        <w:rPr>
          <w:lang w:val="pt-BR"/>
        </w:rPr>
      </w:pPr>
      <w:bookmarkStart w:id="5" w:name="_Toc43554266"/>
      <w:r w:rsidRPr="006D1C74">
        <w:rPr>
          <w:lang w:val="pt-BR"/>
        </w:rPr>
        <w:t>POSI</w:t>
      </w:r>
      <w:r w:rsidR="00CF037E" w:rsidRPr="006D1C74">
        <w:rPr>
          <w:lang w:val="pt-BR"/>
        </w:rPr>
        <w:t>ÇÃO</w:t>
      </w:r>
      <w:r w:rsidRPr="006D1C74">
        <w:rPr>
          <w:lang w:val="pt-BR"/>
        </w:rPr>
        <w:t xml:space="preserve"> DAS PARTES</w:t>
      </w:r>
      <w:bookmarkEnd w:id="5"/>
    </w:p>
    <w:p w14:paraId="287F8869" w14:textId="77777777" w:rsidR="002649F0" w:rsidRPr="006D1C74" w:rsidRDefault="002649F0" w:rsidP="002649F0">
      <w:pPr>
        <w:keepNext/>
        <w:keepLines/>
        <w:ind w:left="720"/>
        <w:outlineLvl w:val="0"/>
        <w:rPr>
          <w:rFonts w:asciiTheme="majorHAnsi" w:eastAsia="Batang" w:hAnsiTheme="majorHAnsi" w:cstheme="majorBidi"/>
          <w:b/>
          <w:bCs/>
          <w:sz w:val="20"/>
          <w:szCs w:val="20"/>
          <w:bdr w:val="none" w:sz="0" w:space="0" w:color="auto"/>
          <w:lang w:val="pt-BR" w:eastAsia="es-ES"/>
        </w:rPr>
      </w:pPr>
    </w:p>
    <w:p w14:paraId="3FA0FDC2" w14:textId="77777777" w:rsidR="002649F0" w:rsidRPr="006D1C74" w:rsidRDefault="002649F0" w:rsidP="00E46227">
      <w:pPr>
        <w:pStyle w:val="Heading2"/>
        <w:rPr>
          <w:lang w:val="pt-BR"/>
        </w:rPr>
      </w:pPr>
      <w:bookmarkStart w:id="6" w:name="_Toc506225819"/>
      <w:bookmarkStart w:id="7" w:name="_Toc7618498"/>
      <w:bookmarkStart w:id="8" w:name="_Toc43554267"/>
      <w:r w:rsidRPr="006D1C74">
        <w:rPr>
          <w:lang w:val="pt-BR"/>
        </w:rPr>
        <w:t xml:space="preserve">Parte </w:t>
      </w:r>
      <w:r w:rsidR="00795010" w:rsidRPr="006D1C74">
        <w:rPr>
          <w:lang w:val="pt-BR"/>
        </w:rPr>
        <w:t>peticionária</w:t>
      </w:r>
      <w:bookmarkEnd w:id="6"/>
      <w:bookmarkEnd w:id="7"/>
      <w:bookmarkEnd w:id="8"/>
      <w:r w:rsidRPr="006D1C74">
        <w:rPr>
          <w:lang w:val="pt-BR"/>
        </w:rPr>
        <w:t xml:space="preserve"> </w:t>
      </w:r>
    </w:p>
    <w:p w14:paraId="1E33DE9C"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cs="Arial"/>
          <w:caps/>
          <w:sz w:val="20"/>
          <w:szCs w:val="20"/>
          <w:bdr w:val="none" w:sz="0" w:space="0" w:color="auto"/>
          <w:lang w:val="pt-BR"/>
        </w:rPr>
      </w:pPr>
    </w:p>
    <w:p w14:paraId="46EFC610" w14:textId="77777777" w:rsidR="002649F0" w:rsidRPr="006D1C74" w:rsidRDefault="00B4216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pt-BR"/>
        </w:rPr>
      </w:pPr>
      <w:r w:rsidRPr="006D1C74">
        <w:rPr>
          <w:rFonts w:asciiTheme="majorHAnsi" w:eastAsia="Batang" w:hAnsiTheme="majorHAnsi"/>
          <w:sz w:val="20"/>
          <w:szCs w:val="20"/>
          <w:bdr w:val="none" w:sz="0" w:space="0" w:color="auto"/>
          <w:lang w:val="pt-BR"/>
        </w:rPr>
        <w:t>A</w:t>
      </w:r>
      <w:r w:rsidR="002649F0" w:rsidRPr="006D1C74">
        <w:rPr>
          <w:rFonts w:asciiTheme="majorHAnsi" w:eastAsia="Batang" w:hAnsiTheme="majorHAnsi"/>
          <w:sz w:val="20"/>
          <w:szCs w:val="20"/>
          <w:bdr w:val="none" w:sz="0" w:space="0" w:color="auto"/>
          <w:lang w:val="pt-BR"/>
        </w:rPr>
        <w:t xml:space="preserve"> parte </w:t>
      </w:r>
      <w:r w:rsidR="00795010" w:rsidRPr="006D1C74">
        <w:rPr>
          <w:rFonts w:asciiTheme="majorHAnsi" w:eastAsia="Batang" w:hAnsiTheme="majorHAnsi"/>
          <w:sz w:val="20"/>
          <w:szCs w:val="20"/>
          <w:bdr w:val="none" w:sz="0" w:space="0" w:color="auto"/>
          <w:lang w:val="pt-BR"/>
        </w:rPr>
        <w:t>peticionária</w:t>
      </w:r>
      <w:r w:rsidR="002649F0" w:rsidRPr="006D1C74">
        <w:rPr>
          <w:rFonts w:asciiTheme="majorHAnsi" w:eastAsia="Batang" w:hAnsiTheme="majorHAnsi"/>
          <w:sz w:val="20"/>
          <w:szCs w:val="20"/>
          <w:bdr w:val="none" w:sz="0" w:space="0" w:color="auto"/>
          <w:lang w:val="pt-BR"/>
        </w:rPr>
        <w:t xml:space="preserve"> alega que</w:t>
      </w:r>
      <w:r w:rsidR="00D74A93" w:rsidRPr="006D1C74">
        <w:rPr>
          <w:rFonts w:asciiTheme="majorHAnsi" w:eastAsia="Batang" w:hAnsiTheme="majorHAnsi"/>
          <w:sz w:val="20"/>
          <w:szCs w:val="20"/>
          <w:bdr w:val="none" w:sz="0" w:space="0" w:color="auto"/>
          <w:lang w:val="pt-BR"/>
        </w:rPr>
        <w:t xml:space="preserve"> em</w:t>
      </w:r>
      <w:r w:rsidR="00700267" w:rsidRPr="006D1C74">
        <w:rPr>
          <w:rFonts w:asciiTheme="majorHAnsi" w:eastAsia="Batang" w:hAnsiTheme="majorHAnsi"/>
          <w:sz w:val="20"/>
          <w:szCs w:val="20"/>
          <w:bdr w:val="none" w:sz="0" w:space="0" w:color="auto"/>
          <w:lang w:val="pt-BR"/>
        </w:rPr>
        <w:t xml:space="preserve"> </w:t>
      </w:r>
      <w:r w:rsidR="002649F0" w:rsidRPr="006D1C74">
        <w:rPr>
          <w:rFonts w:asciiTheme="majorHAnsi" w:hAnsiTheme="majorHAnsi"/>
          <w:sz w:val="20"/>
          <w:szCs w:val="20"/>
          <w:lang w:val="pt-BR"/>
        </w:rPr>
        <w:t>2 de ma</w:t>
      </w:r>
      <w:r w:rsidR="00055622" w:rsidRPr="006D1C74">
        <w:rPr>
          <w:rFonts w:asciiTheme="majorHAnsi" w:hAnsiTheme="majorHAnsi"/>
          <w:sz w:val="20"/>
          <w:szCs w:val="20"/>
          <w:lang w:val="pt-BR"/>
        </w:rPr>
        <w:t>i</w:t>
      </w:r>
      <w:r w:rsidR="002649F0" w:rsidRPr="006D1C74">
        <w:rPr>
          <w:rFonts w:asciiTheme="majorHAnsi" w:hAnsiTheme="majorHAnsi"/>
          <w:sz w:val="20"/>
          <w:szCs w:val="20"/>
          <w:lang w:val="pt-BR"/>
        </w:rPr>
        <w:t>o de 2000, durante</w:t>
      </w:r>
      <w:r w:rsidR="00030019" w:rsidRPr="006D1C74">
        <w:rPr>
          <w:rFonts w:asciiTheme="majorHAnsi" w:hAnsiTheme="majorHAnsi"/>
          <w:sz w:val="20"/>
          <w:szCs w:val="20"/>
          <w:lang w:val="pt-BR"/>
        </w:rPr>
        <w:t xml:space="preserve"> um</w:t>
      </w:r>
      <w:r w:rsidR="00F6370E" w:rsidRPr="006D1C74">
        <w:rPr>
          <w:rFonts w:asciiTheme="majorHAnsi" w:hAnsiTheme="majorHAnsi"/>
          <w:sz w:val="20"/>
          <w:szCs w:val="20"/>
          <w:lang w:val="pt-BR"/>
        </w:rPr>
        <w:t>a</w:t>
      </w:r>
      <w:r w:rsidR="00030019" w:rsidRPr="006D1C74">
        <w:rPr>
          <w:rFonts w:asciiTheme="majorHAnsi" w:hAnsiTheme="majorHAnsi"/>
          <w:sz w:val="20"/>
          <w:szCs w:val="20"/>
          <w:lang w:val="pt-BR"/>
        </w:rPr>
        <w:t xml:space="preserve"> </w:t>
      </w:r>
      <w:r w:rsidR="002649F0" w:rsidRPr="006D1C74">
        <w:rPr>
          <w:rFonts w:asciiTheme="majorHAnsi" w:hAnsiTheme="majorHAnsi"/>
          <w:sz w:val="20"/>
          <w:szCs w:val="20"/>
          <w:lang w:val="pt-BR"/>
        </w:rPr>
        <w:t>tent</w:t>
      </w:r>
      <w:r w:rsidR="00F6370E" w:rsidRPr="006D1C74">
        <w:rPr>
          <w:rFonts w:asciiTheme="majorHAnsi" w:hAnsiTheme="majorHAnsi"/>
          <w:sz w:val="20"/>
          <w:szCs w:val="20"/>
          <w:lang w:val="pt-BR"/>
        </w:rPr>
        <w:t>ativa</w:t>
      </w:r>
      <w:r w:rsidR="002649F0" w:rsidRPr="006D1C74">
        <w:rPr>
          <w:rFonts w:asciiTheme="majorHAnsi" w:hAnsiTheme="majorHAnsi"/>
          <w:sz w:val="20"/>
          <w:szCs w:val="20"/>
          <w:lang w:val="pt-BR"/>
        </w:rPr>
        <w:t xml:space="preserve"> de manifesta</w:t>
      </w:r>
      <w:r w:rsidR="00CF037E" w:rsidRPr="006D1C74">
        <w:rPr>
          <w:rFonts w:asciiTheme="majorHAnsi" w:hAnsiTheme="majorHAnsi"/>
          <w:sz w:val="20"/>
          <w:szCs w:val="20"/>
          <w:lang w:val="pt-BR"/>
        </w:rPr>
        <w:t>ção</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Movi</w:t>
      </w:r>
      <w:r w:rsidR="00700267" w:rsidRPr="006D1C74">
        <w:rPr>
          <w:rFonts w:asciiTheme="majorHAnsi" w:hAnsiTheme="majorHAnsi"/>
          <w:sz w:val="20"/>
          <w:szCs w:val="20"/>
          <w:lang w:val="pt-BR"/>
        </w:rPr>
        <w:t>mento dos Trabalh</w:t>
      </w:r>
      <w:r w:rsidR="002649F0" w:rsidRPr="006D1C74">
        <w:rPr>
          <w:rFonts w:asciiTheme="majorHAnsi" w:hAnsiTheme="majorHAnsi"/>
          <w:sz w:val="20"/>
          <w:szCs w:val="20"/>
          <w:lang w:val="pt-BR"/>
        </w:rPr>
        <w:t>adores Rur</w:t>
      </w:r>
      <w:r w:rsidR="00700267" w:rsidRPr="006D1C74">
        <w:rPr>
          <w:rFonts w:asciiTheme="majorHAnsi" w:hAnsiTheme="majorHAnsi"/>
          <w:sz w:val="20"/>
          <w:szCs w:val="20"/>
          <w:lang w:val="pt-BR"/>
        </w:rPr>
        <w:t xml:space="preserve">ais </w:t>
      </w:r>
      <w:r w:rsidR="00F6370E" w:rsidRPr="006D1C74">
        <w:rPr>
          <w:rFonts w:asciiTheme="majorHAnsi" w:hAnsiTheme="majorHAnsi"/>
          <w:sz w:val="20"/>
          <w:szCs w:val="20"/>
          <w:lang w:val="pt-BR"/>
        </w:rPr>
        <w:t>S</w:t>
      </w:r>
      <w:r w:rsidR="00700267" w:rsidRPr="006D1C74">
        <w:rPr>
          <w:rFonts w:asciiTheme="majorHAnsi" w:hAnsiTheme="majorHAnsi"/>
          <w:sz w:val="20"/>
          <w:szCs w:val="20"/>
          <w:lang w:val="pt-BR"/>
        </w:rPr>
        <w:t xml:space="preserve">em </w:t>
      </w:r>
      <w:r w:rsidR="00795010" w:rsidRPr="006D1C74">
        <w:rPr>
          <w:rFonts w:asciiTheme="majorHAnsi" w:hAnsiTheme="majorHAnsi"/>
          <w:sz w:val="20"/>
          <w:szCs w:val="20"/>
          <w:lang w:val="pt-BR"/>
        </w:rPr>
        <w:t>Terra</w:t>
      </w:r>
      <w:r w:rsidR="002649F0" w:rsidRPr="006D1C74">
        <w:rPr>
          <w:rFonts w:asciiTheme="majorHAnsi" w:hAnsiTheme="majorHAnsi"/>
          <w:sz w:val="20"/>
          <w:szCs w:val="20"/>
          <w:lang w:val="pt-BR"/>
        </w:rPr>
        <w:t xml:space="preserve"> (MST)</w:t>
      </w:r>
      <w:r w:rsidR="00F37852" w:rsidRPr="006D1C74">
        <w:rPr>
          <w:rFonts w:asciiTheme="majorHAnsi" w:hAnsiTheme="majorHAnsi"/>
          <w:sz w:val="20"/>
          <w:szCs w:val="20"/>
          <w:lang w:val="pt-BR"/>
        </w:rPr>
        <w:t xml:space="preserve"> pela </w:t>
      </w:r>
      <w:r w:rsidR="002649F0" w:rsidRPr="006D1C74">
        <w:rPr>
          <w:rFonts w:asciiTheme="majorHAnsi" w:hAnsiTheme="majorHAnsi"/>
          <w:sz w:val="20"/>
          <w:szCs w:val="20"/>
          <w:lang w:val="pt-BR"/>
        </w:rPr>
        <w:t>reforma agr</w:t>
      </w:r>
      <w:r w:rsidR="00055622" w:rsidRPr="006D1C74">
        <w:rPr>
          <w:rFonts w:asciiTheme="majorHAnsi" w:hAnsiTheme="majorHAnsi"/>
          <w:sz w:val="20"/>
          <w:szCs w:val="20"/>
          <w:lang w:val="pt-BR"/>
        </w:rPr>
        <w:t>á</w:t>
      </w:r>
      <w:r w:rsidR="002649F0" w:rsidRPr="006D1C74">
        <w:rPr>
          <w:rFonts w:asciiTheme="majorHAnsi" w:hAnsiTheme="majorHAnsi"/>
          <w:sz w:val="20"/>
          <w:szCs w:val="20"/>
          <w:lang w:val="pt-BR"/>
        </w:rPr>
        <w:t xml:space="preserve">ria, </w:t>
      </w:r>
      <w:r w:rsidR="00D74A93" w:rsidRPr="006D1C74">
        <w:rPr>
          <w:rFonts w:asciiTheme="majorHAnsi" w:hAnsiTheme="majorHAnsi"/>
          <w:sz w:val="20"/>
          <w:szCs w:val="20"/>
          <w:lang w:val="pt-BR"/>
        </w:rPr>
        <w:t>mais</w:t>
      </w:r>
      <w:r w:rsidR="002649F0" w:rsidRPr="006D1C74">
        <w:rPr>
          <w:rFonts w:asciiTheme="majorHAnsi" w:hAnsiTheme="majorHAnsi"/>
          <w:sz w:val="20"/>
          <w:szCs w:val="20"/>
          <w:lang w:val="pt-BR"/>
        </w:rPr>
        <w:t xml:space="preserve"> de 1.500 </w:t>
      </w:r>
      <w:r w:rsidR="00700267" w:rsidRPr="006D1C74">
        <w:rPr>
          <w:rFonts w:asciiTheme="majorHAnsi" w:hAnsiTheme="majorHAnsi"/>
          <w:sz w:val="20"/>
          <w:szCs w:val="20"/>
          <w:lang w:val="pt-BR"/>
        </w:rPr>
        <w:t>trabalh</w:t>
      </w:r>
      <w:r w:rsidR="002649F0" w:rsidRPr="006D1C74">
        <w:rPr>
          <w:rFonts w:asciiTheme="majorHAnsi" w:hAnsiTheme="majorHAnsi"/>
          <w:sz w:val="20"/>
          <w:szCs w:val="20"/>
          <w:lang w:val="pt-BR"/>
        </w:rPr>
        <w:t>adores rur</w:t>
      </w:r>
      <w:r w:rsidR="00700267" w:rsidRPr="006D1C74">
        <w:rPr>
          <w:rFonts w:asciiTheme="majorHAnsi" w:hAnsiTheme="majorHAnsi"/>
          <w:sz w:val="20"/>
          <w:szCs w:val="20"/>
          <w:lang w:val="pt-BR"/>
        </w:rPr>
        <w:t>ais</w:t>
      </w:r>
      <w:r w:rsidR="002649F0" w:rsidRPr="006D1C74">
        <w:rPr>
          <w:rFonts w:asciiTheme="majorHAnsi" w:hAnsiTheme="majorHAnsi"/>
          <w:sz w:val="20"/>
          <w:szCs w:val="20"/>
          <w:lang w:val="pt-BR"/>
        </w:rPr>
        <w:t>, entre el</w:t>
      </w:r>
      <w:r w:rsidR="00FC2F62" w:rsidRPr="006D1C74">
        <w:rPr>
          <w:rFonts w:asciiTheme="majorHAnsi" w:hAnsiTheme="majorHAnsi"/>
          <w:sz w:val="20"/>
          <w:szCs w:val="20"/>
          <w:lang w:val="pt-BR"/>
        </w:rPr>
        <w:t>e</w:t>
      </w:r>
      <w:r w:rsidR="002649F0" w:rsidRPr="006D1C74">
        <w:rPr>
          <w:rFonts w:asciiTheme="majorHAnsi" w:hAnsiTheme="majorHAnsi"/>
          <w:sz w:val="20"/>
          <w:szCs w:val="20"/>
          <w:lang w:val="pt-BR"/>
        </w:rPr>
        <w:t xml:space="preserve">s </w:t>
      </w:r>
      <w:r w:rsidR="00FC2F62" w:rsidRPr="006D1C74">
        <w:rPr>
          <w:rFonts w:asciiTheme="majorHAnsi" w:hAnsiTheme="majorHAnsi"/>
          <w:sz w:val="20"/>
          <w:szCs w:val="20"/>
          <w:lang w:val="pt-BR"/>
        </w:rPr>
        <w:t>mulher</w:t>
      </w:r>
      <w:r w:rsidR="002649F0" w:rsidRPr="006D1C74">
        <w:rPr>
          <w:rFonts w:asciiTheme="majorHAnsi" w:hAnsiTheme="majorHAnsi"/>
          <w:sz w:val="20"/>
          <w:szCs w:val="20"/>
          <w:lang w:val="pt-BR"/>
        </w:rPr>
        <w:t>es</w:t>
      </w:r>
      <w:r w:rsidR="00CF037E" w:rsidRPr="006D1C74">
        <w:rPr>
          <w:rFonts w:asciiTheme="majorHAnsi" w:hAnsiTheme="majorHAnsi"/>
          <w:sz w:val="20"/>
          <w:szCs w:val="20"/>
          <w:lang w:val="pt-BR"/>
        </w:rPr>
        <w:t xml:space="preserve"> e </w:t>
      </w:r>
      <w:r w:rsidR="00FC2F62" w:rsidRPr="006D1C74">
        <w:rPr>
          <w:rFonts w:asciiTheme="majorHAnsi" w:hAnsiTheme="majorHAnsi"/>
          <w:sz w:val="20"/>
          <w:szCs w:val="20"/>
          <w:lang w:val="pt-BR"/>
        </w:rPr>
        <w:t>idosos</w:t>
      </w:r>
      <w:r w:rsidR="002649F0" w:rsidRPr="006D1C74">
        <w:rPr>
          <w:rFonts w:asciiTheme="majorHAnsi" w:hAnsiTheme="majorHAnsi"/>
          <w:sz w:val="20"/>
          <w:szCs w:val="20"/>
          <w:lang w:val="pt-BR"/>
        </w:rPr>
        <w:t>, f</w:t>
      </w:r>
      <w:r w:rsidR="00FC2F62" w:rsidRPr="006D1C74">
        <w:rPr>
          <w:rFonts w:asciiTheme="majorHAnsi" w:hAnsiTheme="majorHAnsi"/>
          <w:sz w:val="20"/>
          <w:szCs w:val="20"/>
          <w:lang w:val="pt-BR"/>
        </w:rPr>
        <w:t>oram</w:t>
      </w:r>
      <w:r w:rsidR="002649F0" w:rsidRPr="006D1C74">
        <w:rPr>
          <w:rFonts w:asciiTheme="majorHAnsi" w:hAnsiTheme="majorHAnsi"/>
          <w:sz w:val="20"/>
          <w:szCs w:val="20"/>
          <w:lang w:val="pt-BR"/>
        </w:rPr>
        <w:t xml:space="preserve"> brutalmente reprimidos</w:t>
      </w:r>
      <w:r w:rsidR="00F37852" w:rsidRPr="006D1C74">
        <w:rPr>
          <w:rFonts w:asciiTheme="majorHAnsi" w:hAnsiTheme="majorHAnsi"/>
          <w:sz w:val="20"/>
          <w:szCs w:val="20"/>
          <w:lang w:val="pt-BR"/>
        </w:rPr>
        <w:t xml:space="preserve"> pela polícia</w:t>
      </w:r>
      <w:r w:rsidR="002649F0" w:rsidRPr="006D1C74">
        <w:rPr>
          <w:rFonts w:asciiTheme="majorHAnsi" w:hAnsiTheme="majorHAnsi"/>
          <w:sz w:val="20"/>
          <w:szCs w:val="20"/>
          <w:lang w:val="pt-BR"/>
        </w:rPr>
        <w:t xml:space="preserve"> militar</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estado d</w:t>
      </w:r>
      <w:r w:rsidR="00FC2F62" w:rsidRPr="006D1C74">
        <w:rPr>
          <w:rFonts w:asciiTheme="majorHAnsi" w:hAnsiTheme="majorHAnsi"/>
          <w:sz w:val="20"/>
          <w:szCs w:val="20"/>
          <w:lang w:val="pt-BR"/>
        </w:rPr>
        <w:t>o</w:t>
      </w:r>
      <w:r w:rsidR="002649F0" w:rsidRPr="006D1C74">
        <w:rPr>
          <w:rFonts w:asciiTheme="majorHAnsi" w:hAnsiTheme="majorHAnsi"/>
          <w:sz w:val="20"/>
          <w:szCs w:val="20"/>
          <w:lang w:val="pt-BR"/>
        </w:rPr>
        <w:t xml:space="preserve"> Paraná, o </w:t>
      </w:r>
      <w:r w:rsidR="00FC2F62" w:rsidRPr="006D1C74">
        <w:rPr>
          <w:rFonts w:asciiTheme="majorHAnsi" w:hAnsiTheme="majorHAnsi"/>
          <w:sz w:val="20"/>
          <w:szCs w:val="20"/>
          <w:lang w:val="pt-BR"/>
        </w:rPr>
        <w:t>que</w:t>
      </w:r>
      <w:r w:rsidR="002649F0" w:rsidRPr="006D1C74">
        <w:rPr>
          <w:rFonts w:asciiTheme="majorHAnsi" w:hAnsiTheme="majorHAnsi"/>
          <w:sz w:val="20"/>
          <w:szCs w:val="20"/>
          <w:lang w:val="pt-BR"/>
        </w:rPr>
        <w:t xml:space="preserve"> </w:t>
      </w:r>
      <w:r w:rsidR="00FC2F62" w:rsidRPr="006D1C74">
        <w:rPr>
          <w:rFonts w:asciiTheme="majorHAnsi" w:hAnsiTheme="majorHAnsi"/>
          <w:sz w:val="20"/>
          <w:szCs w:val="20"/>
          <w:lang w:val="pt-BR"/>
        </w:rPr>
        <w:t>te</w:t>
      </w:r>
      <w:r w:rsidR="002649F0" w:rsidRPr="006D1C74">
        <w:rPr>
          <w:rFonts w:asciiTheme="majorHAnsi" w:hAnsiTheme="majorHAnsi"/>
          <w:sz w:val="20"/>
          <w:szCs w:val="20"/>
          <w:lang w:val="pt-BR"/>
        </w:rPr>
        <w:t>r</w:t>
      </w:r>
      <w:r w:rsidR="00055622" w:rsidRPr="006D1C74">
        <w:rPr>
          <w:rFonts w:asciiTheme="majorHAnsi" w:hAnsiTheme="majorHAnsi"/>
          <w:sz w:val="20"/>
          <w:szCs w:val="20"/>
          <w:lang w:val="pt-BR"/>
        </w:rPr>
        <w:t>i</w:t>
      </w:r>
      <w:r w:rsidR="002649F0" w:rsidRPr="006D1C74">
        <w:rPr>
          <w:rFonts w:asciiTheme="majorHAnsi" w:hAnsiTheme="majorHAnsi"/>
          <w:sz w:val="20"/>
          <w:szCs w:val="20"/>
          <w:lang w:val="pt-BR"/>
        </w:rPr>
        <w:t xml:space="preserve">a </w:t>
      </w:r>
      <w:r w:rsidR="00FC2F62" w:rsidRPr="006D1C74">
        <w:rPr>
          <w:rFonts w:asciiTheme="majorHAnsi" w:hAnsiTheme="majorHAnsi"/>
          <w:sz w:val="20"/>
          <w:szCs w:val="20"/>
          <w:lang w:val="pt-BR"/>
        </w:rPr>
        <w:t>provoc</w:t>
      </w:r>
      <w:r w:rsidR="002649F0" w:rsidRPr="006D1C74">
        <w:rPr>
          <w:rFonts w:asciiTheme="majorHAnsi" w:hAnsiTheme="majorHAnsi"/>
          <w:sz w:val="20"/>
          <w:szCs w:val="20"/>
          <w:lang w:val="pt-BR"/>
        </w:rPr>
        <w:t>ado</w:t>
      </w:r>
      <w:r w:rsidR="00700267" w:rsidRPr="006D1C74">
        <w:rPr>
          <w:rFonts w:asciiTheme="majorHAnsi" w:hAnsiTheme="majorHAnsi"/>
          <w:sz w:val="20"/>
          <w:szCs w:val="20"/>
          <w:lang w:val="pt-BR"/>
        </w:rPr>
        <w:t xml:space="preserve"> a </w:t>
      </w:r>
      <w:r w:rsidR="00FC2F62" w:rsidRPr="006D1C74">
        <w:rPr>
          <w:rFonts w:asciiTheme="majorHAnsi" w:hAnsiTheme="majorHAnsi"/>
          <w:sz w:val="20"/>
          <w:szCs w:val="20"/>
          <w:lang w:val="pt-BR"/>
        </w:rPr>
        <w:t>morte</w:t>
      </w:r>
      <w:r w:rsidR="002649F0" w:rsidRPr="006D1C74">
        <w:rPr>
          <w:rFonts w:asciiTheme="majorHAnsi" w:hAnsiTheme="majorHAnsi"/>
          <w:sz w:val="20"/>
          <w:szCs w:val="20"/>
          <w:lang w:val="pt-BR"/>
        </w:rPr>
        <w:t xml:space="preserve"> </w:t>
      </w:r>
      <w:r w:rsidR="00FC2F62" w:rsidRPr="006D1C74">
        <w:rPr>
          <w:rFonts w:asciiTheme="majorHAnsi" w:hAnsiTheme="majorHAnsi"/>
          <w:sz w:val="20"/>
          <w:szCs w:val="20"/>
          <w:lang w:val="pt-BR"/>
        </w:rPr>
        <w:t>de</w:t>
      </w:r>
      <w:r w:rsidR="002649F0" w:rsidRPr="006D1C74">
        <w:rPr>
          <w:rFonts w:asciiTheme="majorHAnsi" w:hAnsiTheme="majorHAnsi"/>
          <w:sz w:val="20"/>
          <w:szCs w:val="20"/>
          <w:lang w:val="pt-BR"/>
        </w:rPr>
        <w:t xml:space="preserve"> Antonio Tavares Pereira</w:t>
      </w:r>
      <w:r w:rsidR="00CF037E" w:rsidRPr="006D1C74">
        <w:rPr>
          <w:rFonts w:asciiTheme="majorHAnsi" w:hAnsiTheme="majorHAnsi"/>
          <w:sz w:val="20"/>
          <w:szCs w:val="20"/>
          <w:lang w:val="pt-BR"/>
        </w:rPr>
        <w:t xml:space="preserve"> e </w:t>
      </w:r>
      <w:r w:rsidR="00D74A93" w:rsidRPr="006D1C74">
        <w:rPr>
          <w:rFonts w:asciiTheme="majorHAnsi" w:hAnsiTheme="majorHAnsi"/>
          <w:sz w:val="20"/>
          <w:szCs w:val="20"/>
          <w:lang w:val="pt-BR"/>
        </w:rPr>
        <w:t>lesões</w:t>
      </w:r>
      <w:r w:rsidR="002649F0" w:rsidRPr="006D1C74">
        <w:rPr>
          <w:rFonts w:asciiTheme="majorHAnsi" w:hAnsiTheme="majorHAnsi"/>
          <w:sz w:val="20"/>
          <w:szCs w:val="20"/>
          <w:lang w:val="pt-BR"/>
        </w:rPr>
        <w:t xml:space="preserve"> corpor</w:t>
      </w:r>
      <w:r w:rsidR="00700267" w:rsidRPr="006D1C74">
        <w:rPr>
          <w:rFonts w:asciiTheme="majorHAnsi" w:hAnsiTheme="majorHAnsi"/>
          <w:sz w:val="20"/>
          <w:szCs w:val="20"/>
          <w:lang w:val="pt-BR"/>
        </w:rPr>
        <w:t>ais</w:t>
      </w:r>
      <w:r w:rsidR="002649F0" w:rsidRPr="006D1C74">
        <w:rPr>
          <w:rFonts w:asciiTheme="majorHAnsi" w:hAnsiTheme="majorHAnsi"/>
          <w:sz w:val="20"/>
          <w:szCs w:val="20"/>
          <w:lang w:val="pt-BR"/>
        </w:rPr>
        <w:t xml:space="preserve"> </w:t>
      </w:r>
      <w:r w:rsidR="00FC2F62" w:rsidRPr="006D1C74">
        <w:rPr>
          <w:rFonts w:asciiTheme="majorHAnsi" w:hAnsiTheme="majorHAnsi"/>
          <w:sz w:val="20"/>
          <w:szCs w:val="20"/>
          <w:lang w:val="pt-BR"/>
        </w:rPr>
        <w:t>em</w:t>
      </w:r>
      <w:r w:rsidR="002649F0" w:rsidRPr="006D1C74">
        <w:rPr>
          <w:rFonts w:asciiTheme="majorHAnsi" w:hAnsiTheme="majorHAnsi"/>
          <w:sz w:val="20"/>
          <w:szCs w:val="20"/>
          <w:lang w:val="pt-BR"/>
        </w:rPr>
        <w:t xml:space="preserve"> </w:t>
      </w:r>
      <w:r w:rsidR="00CF037E" w:rsidRPr="006D1C74">
        <w:rPr>
          <w:rFonts w:asciiTheme="majorHAnsi" w:hAnsiTheme="majorHAnsi"/>
          <w:sz w:val="20"/>
          <w:szCs w:val="20"/>
          <w:lang w:val="pt-BR"/>
        </w:rPr>
        <w:t>outr</w:t>
      </w:r>
      <w:r w:rsidR="002649F0" w:rsidRPr="006D1C74">
        <w:rPr>
          <w:rFonts w:asciiTheme="majorHAnsi" w:hAnsiTheme="majorHAnsi"/>
          <w:sz w:val="20"/>
          <w:szCs w:val="20"/>
          <w:lang w:val="pt-BR"/>
        </w:rPr>
        <w:t>os 185 integrantes</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 xml:space="preserve">MST. </w:t>
      </w:r>
    </w:p>
    <w:p w14:paraId="778E20E9"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p>
    <w:p w14:paraId="22918754" w14:textId="05F493E8"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pt-BR"/>
        </w:rPr>
      </w:pPr>
      <w:r w:rsidRPr="006D1C74">
        <w:rPr>
          <w:rFonts w:asciiTheme="majorHAnsi" w:hAnsiTheme="majorHAnsi"/>
          <w:color w:val="000000" w:themeColor="text1"/>
          <w:sz w:val="20"/>
          <w:szCs w:val="20"/>
          <w:lang w:val="pt-BR"/>
        </w:rPr>
        <w:t>Seg</w:t>
      </w:r>
      <w:r w:rsidR="00055622" w:rsidRPr="006D1C74">
        <w:rPr>
          <w:rFonts w:asciiTheme="majorHAnsi" w:hAnsiTheme="majorHAnsi"/>
          <w:color w:val="000000" w:themeColor="text1"/>
          <w:sz w:val="20"/>
          <w:szCs w:val="20"/>
          <w:lang w:val="pt-BR"/>
        </w:rPr>
        <w:t>u</w:t>
      </w:r>
      <w:r w:rsidRPr="006D1C74">
        <w:rPr>
          <w:rFonts w:asciiTheme="majorHAnsi" w:hAnsiTheme="majorHAnsi"/>
          <w:color w:val="000000" w:themeColor="text1"/>
          <w:sz w:val="20"/>
          <w:szCs w:val="20"/>
          <w:lang w:val="pt-BR"/>
        </w:rPr>
        <w:t>n</w:t>
      </w:r>
      <w:r w:rsidR="00FC2F62" w:rsidRPr="006D1C74">
        <w:rPr>
          <w:rFonts w:asciiTheme="majorHAnsi" w:hAnsiTheme="majorHAnsi"/>
          <w:color w:val="000000" w:themeColor="text1"/>
          <w:sz w:val="20"/>
          <w:szCs w:val="20"/>
          <w:lang w:val="pt-BR"/>
        </w:rPr>
        <w:t>do</w:t>
      </w:r>
      <w:r w:rsidR="00700267" w:rsidRPr="006D1C74">
        <w:rPr>
          <w:rFonts w:asciiTheme="majorHAnsi" w:hAnsiTheme="majorHAnsi"/>
          <w:color w:val="000000" w:themeColor="text1"/>
          <w:sz w:val="20"/>
          <w:szCs w:val="20"/>
          <w:lang w:val="pt-BR"/>
        </w:rPr>
        <w:t xml:space="preserve"> a </w:t>
      </w:r>
      <w:r w:rsidRPr="006D1C74">
        <w:rPr>
          <w:rFonts w:asciiTheme="majorHAnsi" w:hAnsiTheme="majorHAnsi"/>
          <w:color w:val="000000" w:themeColor="text1"/>
          <w:sz w:val="20"/>
          <w:szCs w:val="20"/>
          <w:lang w:val="pt-BR"/>
        </w:rPr>
        <w:t xml:space="preserve">parte </w:t>
      </w:r>
      <w:r w:rsidR="00795010" w:rsidRPr="006D1C74">
        <w:rPr>
          <w:rFonts w:asciiTheme="majorHAnsi" w:hAnsiTheme="majorHAnsi"/>
          <w:color w:val="000000" w:themeColor="text1"/>
          <w:sz w:val="20"/>
          <w:szCs w:val="20"/>
          <w:lang w:val="pt-BR"/>
        </w:rPr>
        <w:t>peticionária</w:t>
      </w:r>
      <w:r w:rsidRPr="006D1C74">
        <w:rPr>
          <w:rFonts w:asciiTheme="majorHAnsi" w:hAnsiTheme="majorHAnsi"/>
          <w:color w:val="000000" w:themeColor="text1"/>
          <w:sz w:val="20"/>
          <w:szCs w:val="20"/>
          <w:lang w:val="pt-BR"/>
        </w:rPr>
        <w:t>,</w:t>
      </w:r>
      <w:r w:rsidR="00700267" w:rsidRPr="006D1C74">
        <w:rPr>
          <w:rFonts w:asciiTheme="majorHAnsi" w:hAnsiTheme="majorHAnsi"/>
          <w:color w:val="000000" w:themeColor="text1"/>
          <w:sz w:val="20"/>
          <w:szCs w:val="20"/>
          <w:lang w:val="pt-BR"/>
        </w:rPr>
        <w:t xml:space="preserve"> a </w:t>
      </w:r>
      <w:r w:rsidRPr="006D1C74">
        <w:rPr>
          <w:rFonts w:asciiTheme="majorHAnsi" w:hAnsiTheme="majorHAnsi"/>
          <w:color w:val="000000" w:themeColor="text1"/>
          <w:sz w:val="20"/>
          <w:szCs w:val="20"/>
          <w:lang w:val="pt-BR"/>
        </w:rPr>
        <w:t xml:space="preserve">caravana de </w:t>
      </w:r>
      <w:r w:rsidR="00FC2F62" w:rsidRPr="006D1C74">
        <w:rPr>
          <w:rFonts w:asciiTheme="majorHAnsi" w:hAnsiTheme="majorHAnsi"/>
          <w:color w:val="000000" w:themeColor="text1"/>
          <w:sz w:val="20"/>
          <w:szCs w:val="20"/>
          <w:lang w:val="pt-BR"/>
        </w:rPr>
        <w:t>cerca</w:t>
      </w:r>
      <w:r w:rsidRPr="006D1C74">
        <w:rPr>
          <w:rFonts w:asciiTheme="majorHAnsi" w:hAnsiTheme="majorHAnsi"/>
          <w:color w:val="000000" w:themeColor="text1"/>
          <w:sz w:val="20"/>
          <w:szCs w:val="20"/>
          <w:lang w:val="pt-BR"/>
        </w:rPr>
        <w:t xml:space="preserve"> de cin</w:t>
      </w:r>
      <w:r w:rsidR="00055622" w:rsidRPr="006D1C74">
        <w:rPr>
          <w:rFonts w:asciiTheme="majorHAnsi" w:hAnsiTheme="majorHAnsi"/>
          <w:color w:val="000000" w:themeColor="text1"/>
          <w:sz w:val="20"/>
          <w:szCs w:val="20"/>
          <w:lang w:val="pt-BR"/>
        </w:rPr>
        <w:t>q</w:t>
      </w:r>
      <w:r w:rsidRPr="006D1C74">
        <w:rPr>
          <w:rFonts w:asciiTheme="majorHAnsi" w:hAnsiTheme="majorHAnsi"/>
          <w:color w:val="000000" w:themeColor="text1"/>
          <w:sz w:val="20"/>
          <w:szCs w:val="20"/>
          <w:lang w:val="pt-BR"/>
        </w:rPr>
        <w:t xml:space="preserve">uenta </w:t>
      </w:r>
      <w:r w:rsidR="00FC2F62" w:rsidRPr="006D1C74">
        <w:rPr>
          <w:rFonts w:asciiTheme="majorHAnsi" w:hAnsiTheme="majorHAnsi"/>
          <w:color w:val="000000" w:themeColor="text1"/>
          <w:sz w:val="20"/>
          <w:szCs w:val="20"/>
          <w:lang w:val="pt-BR"/>
        </w:rPr>
        <w:t>ôni</w:t>
      </w:r>
      <w:r w:rsidRPr="006D1C74">
        <w:rPr>
          <w:rFonts w:asciiTheme="majorHAnsi" w:hAnsiTheme="majorHAnsi"/>
          <w:color w:val="000000" w:themeColor="text1"/>
          <w:sz w:val="20"/>
          <w:szCs w:val="20"/>
          <w:lang w:val="pt-BR"/>
        </w:rPr>
        <w:t>bus</w:t>
      </w:r>
      <w:r w:rsidR="003D3B11">
        <w:rPr>
          <w:rFonts w:asciiTheme="majorHAnsi" w:hAnsiTheme="majorHAnsi"/>
          <w:color w:val="000000" w:themeColor="text1"/>
          <w:sz w:val="20"/>
          <w:szCs w:val="20"/>
          <w:lang w:val="pt-BR"/>
        </w:rPr>
        <w:t>,</w:t>
      </w:r>
      <w:r w:rsidR="00FC2F62" w:rsidRPr="006D1C74">
        <w:rPr>
          <w:rFonts w:asciiTheme="majorHAnsi" w:hAnsiTheme="majorHAnsi"/>
          <w:color w:val="000000" w:themeColor="text1"/>
          <w:sz w:val="20"/>
          <w:szCs w:val="20"/>
          <w:lang w:val="pt-BR"/>
        </w:rPr>
        <w:t xml:space="preserve"> </w:t>
      </w:r>
      <w:r w:rsidR="003D3B11">
        <w:rPr>
          <w:rFonts w:asciiTheme="majorHAnsi" w:hAnsiTheme="majorHAnsi"/>
          <w:color w:val="000000" w:themeColor="text1"/>
          <w:sz w:val="20"/>
          <w:szCs w:val="20"/>
          <w:lang w:val="pt-BR"/>
        </w:rPr>
        <w:t>na qual</w:t>
      </w:r>
      <w:r w:rsidR="00FC2F62" w:rsidRPr="006D1C74">
        <w:rPr>
          <w:rFonts w:asciiTheme="majorHAnsi" w:hAnsiTheme="majorHAnsi"/>
          <w:color w:val="000000" w:themeColor="text1"/>
          <w:sz w:val="20"/>
          <w:szCs w:val="20"/>
          <w:lang w:val="pt-BR"/>
        </w:rPr>
        <w:t xml:space="preserve"> </w:t>
      </w:r>
      <w:r w:rsidRPr="006D1C74">
        <w:rPr>
          <w:rFonts w:asciiTheme="majorHAnsi" w:hAnsiTheme="majorHAnsi"/>
          <w:color w:val="000000" w:themeColor="text1"/>
          <w:sz w:val="20"/>
          <w:szCs w:val="20"/>
          <w:lang w:val="pt-BR"/>
        </w:rPr>
        <w:t>se encontra</w:t>
      </w:r>
      <w:r w:rsidR="00055622" w:rsidRPr="006D1C74">
        <w:rPr>
          <w:rFonts w:asciiTheme="majorHAnsi" w:hAnsiTheme="majorHAnsi"/>
          <w:color w:val="000000" w:themeColor="text1"/>
          <w:sz w:val="20"/>
          <w:szCs w:val="20"/>
          <w:lang w:val="pt-BR"/>
        </w:rPr>
        <w:t>v</w:t>
      </w:r>
      <w:r w:rsidRPr="006D1C74">
        <w:rPr>
          <w:rFonts w:asciiTheme="majorHAnsi" w:hAnsiTheme="majorHAnsi"/>
          <w:color w:val="000000" w:themeColor="text1"/>
          <w:sz w:val="20"/>
          <w:szCs w:val="20"/>
          <w:lang w:val="pt-BR"/>
        </w:rPr>
        <w:t>a Antonio Tavares</w:t>
      </w:r>
      <w:r w:rsidR="003D3B11">
        <w:rPr>
          <w:rFonts w:asciiTheme="majorHAnsi" w:hAnsiTheme="majorHAnsi"/>
          <w:color w:val="000000" w:themeColor="text1"/>
          <w:sz w:val="20"/>
          <w:szCs w:val="20"/>
          <w:lang w:val="pt-BR"/>
        </w:rPr>
        <w:t>,</w:t>
      </w:r>
      <w:r w:rsidRPr="006D1C74">
        <w:rPr>
          <w:rFonts w:asciiTheme="majorHAnsi" w:hAnsiTheme="majorHAnsi"/>
          <w:color w:val="000000" w:themeColor="text1"/>
          <w:sz w:val="20"/>
          <w:szCs w:val="20"/>
          <w:lang w:val="pt-BR"/>
        </w:rPr>
        <w:t xml:space="preserve"> se dirig</w:t>
      </w:r>
      <w:r w:rsidR="00055622" w:rsidRPr="006D1C74">
        <w:rPr>
          <w:rFonts w:asciiTheme="majorHAnsi" w:hAnsiTheme="majorHAnsi"/>
          <w:color w:val="000000" w:themeColor="text1"/>
          <w:sz w:val="20"/>
          <w:szCs w:val="20"/>
          <w:lang w:val="pt-BR"/>
        </w:rPr>
        <w:t>ia</w:t>
      </w:r>
      <w:r w:rsidR="00030019" w:rsidRPr="006D1C74">
        <w:rPr>
          <w:rFonts w:asciiTheme="majorHAnsi" w:hAnsiTheme="majorHAnsi"/>
          <w:color w:val="000000" w:themeColor="text1"/>
          <w:sz w:val="20"/>
          <w:szCs w:val="20"/>
          <w:lang w:val="pt-BR"/>
        </w:rPr>
        <w:t xml:space="preserve"> à </w:t>
      </w:r>
      <w:r w:rsidRPr="006D1C74">
        <w:rPr>
          <w:rFonts w:asciiTheme="majorHAnsi" w:hAnsiTheme="majorHAnsi"/>
          <w:color w:val="000000" w:themeColor="text1"/>
          <w:sz w:val="20"/>
          <w:szCs w:val="20"/>
          <w:lang w:val="pt-BR"/>
        </w:rPr>
        <w:t>ci</w:t>
      </w:r>
      <w:r w:rsidR="00F673C7" w:rsidRPr="006D1C74">
        <w:rPr>
          <w:rFonts w:asciiTheme="majorHAnsi" w:hAnsiTheme="majorHAnsi"/>
          <w:color w:val="000000" w:themeColor="text1"/>
          <w:sz w:val="20"/>
          <w:szCs w:val="20"/>
          <w:lang w:val="pt-BR"/>
        </w:rPr>
        <w:t xml:space="preserve">dade </w:t>
      </w:r>
      <w:r w:rsidRPr="006D1C74">
        <w:rPr>
          <w:rFonts w:asciiTheme="majorHAnsi" w:hAnsiTheme="majorHAnsi"/>
          <w:color w:val="000000" w:themeColor="text1"/>
          <w:sz w:val="20"/>
          <w:szCs w:val="20"/>
          <w:lang w:val="pt-BR"/>
        </w:rPr>
        <w:t>de Curitiba para participar</w:t>
      </w:r>
      <w:r w:rsidR="00F673C7" w:rsidRPr="006D1C74">
        <w:rPr>
          <w:rFonts w:asciiTheme="majorHAnsi" w:hAnsiTheme="majorHAnsi"/>
          <w:color w:val="000000" w:themeColor="text1"/>
          <w:sz w:val="20"/>
          <w:szCs w:val="20"/>
          <w:lang w:val="pt-BR"/>
        </w:rPr>
        <w:t xml:space="preserve"> </w:t>
      </w:r>
      <w:r w:rsidR="00FC2F62" w:rsidRPr="006D1C74">
        <w:rPr>
          <w:rFonts w:asciiTheme="majorHAnsi" w:hAnsiTheme="majorHAnsi"/>
          <w:color w:val="000000" w:themeColor="text1"/>
          <w:sz w:val="20"/>
          <w:szCs w:val="20"/>
          <w:lang w:val="pt-BR"/>
        </w:rPr>
        <w:t>dessa</w:t>
      </w:r>
      <w:r w:rsidRPr="006D1C74">
        <w:rPr>
          <w:rFonts w:asciiTheme="majorHAnsi" w:hAnsiTheme="majorHAnsi"/>
          <w:color w:val="000000" w:themeColor="text1"/>
          <w:sz w:val="20"/>
          <w:szCs w:val="20"/>
          <w:lang w:val="pt-BR"/>
        </w:rPr>
        <w:t xml:space="preserve"> manifesta</w:t>
      </w:r>
      <w:r w:rsidR="00CF037E" w:rsidRPr="006D1C74">
        <w:rPr>
          <w:rFonts w:asciiTheme="majorHAnsi" w:hAnsiTheme="majorHAnsi"/>
          <w:color w:val="000000" w:themeColor="text1"/>
          <w:sz w:val="20"/>
          <w:szCs w:val="20"/>
          <w:lang w:val="pt-BR"/>
        </w:rPr>
        <w:t>ção</w:t>
      </w:r>
      <w:r w:rsidRPr="006D1C74">
        <w:rPr>
          <w:rFonts w:asciiTheme="majorHAnsi" w:hAnsiTheme="majorHAnsi"/>
          <w:color w:val="000000" w:themeColor="text1"/>
          <w:sz w:val="20"/>
          <w:szCs w:val="20"/>
          <w:lang w:val="pt-BR"/>
        </w:rPr>
        <w:t xml:space="preserve"> </w:t>
      </w:r>
      <w:r w:rsidR="00FC2F62" w:rsidRPr="006D1C74">
        <w:rPr>
          <w:rFonts w:asciiTheme="majorHAnsi" w:hAnsiTheme="majorHAnsi"/>
          <w:color w:val="000000" w:themeColor="text1"/>
          <w:sz w:val="20"/>
          <w:szCs w:val="20"/>
          <w:lang w:val="pt-BR"/>
        </w:rPr>
        <w:t>q</w:t>
      </w:r>
      <w:r w:rsidRPr="006D1C74">
        <w:rPr>
          <w:rFonts w:asciiTheme="majorHAnsi" w:hAnsiTheme="majorHAnsi"/>
          <w:color w:val="000000" w:themeColor="text1"/>
          <w:sz w:val="20"/>
          <w:szCs w:val="20"/>
          <w:lang w:val="pt-BR"/>
        </w:rPr>
        <w:t>uando f</w:t>
      </w:r>
      <w:r w:rsidR="00FC2F62" w:rsidRPr="006D1C74">
        <w:rPr>
          <w:rFonts w:asciiTheme="majorHAnsi" w:hAnsiTheme="majorHAnsi"/>
          <w:color w:val="000000" w:themeColor="text1"/>
          <w:sz w:val="20"/>
          <w:szCs w:val="20"/>
          <w:lang w:val="pt-BR"/>
        </w:rPr>
        <w:t>oi</w:t>
      </w:r>
      <w:r w:rsidRPr="006D1C74">
        <w:rPr>
          <w:rFonts w:asciiTheme="majorHAnsi" w:hAnsiTheme="majorHAnsi"/>
          <w:color w:val="000000" w:themeColor="text1"/>
          <w:sz w:val="20"/>
          <w:szCs w:val="20"/>
          <w:lang w:val="pt-BR"/>
        </w:rPr>
        <w:t xml:space="preserve"> detida por</w:t>
      </w:r>
      <w:r w:rsidR="00030019" w:rsidRPr="006D1C74">
        <w:rPr>
          <w:rFonts w:asciiTheme="majorHAnsi" w:hAnsiTheme="majorHAnsi"/>
          <w:color w:val="000000" w:themeColor="text1"/>
          <w:sz w:val="20"/>
          <w:szCs w:val="20"/>
          <w:lang w:val="pt-BR"/>
        </w:rPr>
        <w:t xml:space="preserve"> um </w:t>
      </w:r>
      <w:r w:rsidRPr="006D1C74">
        <w:rPr>
          <w:rFonts w:asciiTheme="majorHAnsi" w:hAnsiTheme="majorHAnsi"/>
          <w:color w:val="000000" w:themeColor="text1"/>
          <w:sz w:val="20"/>
          <w:szCs w:val="20"/>
          <w:lang w:val="pt-BR"/>
        </w:rPr>
        <w:t>grupo de agentes</w:t>
      </w:r>
      <w:r w:rsidR="00795010" w:rsidRPr="006D1C74">
        <w:rPr>
          <w:rFonts w:asciiTheme="majorHAnsi" w:hAnsiTheme="majorHAnsi"/>
          <w:color w:val="000000" w:themeColor="text1"/>
          <w:sz w:val="20"/>
          <w:szCs w:val="20"/>
          <w:lang w:val="pt-BR"/>
        </w:rPr>
        <w:t xml:space="preserve"> da </w:t>
      </w:r>
      <w:r w:rsidR="00F37852" w:rsidRPr="006D1C74">
        <w:rPr>
          <w:rFonts w:asciiTheme="majorHAnsi" w:hAnsiTheme="majorHAnsi"/>
          <w:color w:val="000000" w:themeColor="text1"/>
          <w:sz w:val="20"/>
          <w:szCs w:val="20"/>
          <w:lang w:val="pt-BR"/>
        </w:rPr>
        <w:t>polícia</w:t>
      </w:r>
      <w:r w:rsidRPr="006D1C74">
        <w:rPr>
          <w:rFonts w:asciiTheme="majorHAnsi" w:hAnsiTheme="majorHAnsi"/>
          <w:color w:val="000000" w:themeColor="text1"/>
          <w:sz w:val="20"/>
          <w:szCs w:val="20"/>
          <w:lang w:val="pt-BR"/>
        </w:rPr>
        <w:t xml:space="preserve"> militar. Durante</w:t>
      </w:r>
      <w:r w:rsidR="00700267" w:rsidRPr="006D1C74">
        <w:rPr>
          <w:rFonts w:asciiTheme="majorHAnsi" w:hAnsiTheme="majorHAnsi"/>
          <w:color w:val="000000" w:themeColor="text1"/>
          <w:sz w:val="20"/>
          <w:szCs w:val="20"/>
          <w:lang w:val="pt-BR"/>
        </w:rPr>
        <w:t xml:space="preserve"> o </w:t>
      </w:r>
      <w:r w:rsidRPr="006D1C74">
        <w:rPr>
          <w:rFonts w:asciiTheme="majorHAnsi" w:hAnsiTheme="majorHAnsi"/>
          <w:color w:val="000000" w:themeColor="text1"/>
          <w:sz w:val="20"/>
          <w:szCs w:val="20"/>
          <w:lang w:val="pt-BR"/>
        </w:rPr>
        <w:t>procedi</w:t>
      </w:r>
      <w:r w:rsidR="00700267" w:rsidRPr="006D1C74">
        <w:rPr>
          <w:rFonts w:asciiTheme="majorHAnsi" w:hAnsiTheme="majorHAnsi"/>
          <w:color w:val="000000" w:themeColor="text1"/>
          <w:sz w:val="20"/>
          <w:szCs w:val="20"/>
          <w:lang w:val="pt-BR"/>
        </w:rPr>
        <w:t>mento</w:t>
      </w:r>
      <w:r w:rsidRPr="006D1C74">
        <w:rPr>
          <w:rFonts w:asciiTheme="majorHAnsi" w:hAnsiTheme="majorHAnsi"/>
          <w:color w:val="000000" w:themeColor="text1"/>
          <w:sz w:val="20"/>
          <w:szCs w:val="20"/>
          <w:lang w:val="pt-BR"/>
        </w:rPr>
        <w:t>,</w:t>
      </w:r>
      <w:r w:rsidR="00700267" w:rsidRPr="006D1C74">
        <w:rPr>
          <w:rFonts w:asciiTheme="majorHAnsi" w:hAnsiTheme="majorHAnsi"/>
          <w:color w:val="000000" w:themeColor="text1"/>
          <w:sz w:val="20"/>
          <w:szCs w:val="20"/>
          <w:lang w:val="pt-BR"/>
        </w:rPr>
        <w:t xml:space="preserve"> os </w:t>
      </w:r>
      <w:r w:rsidRPr="006D1C74">
        <w:rPr>
          <w:rFonts w:asciiTheme="majorHAnsi" w:hAnsiTheme="majorHAnsi"/>
          <w:color w:val="000000" w:themeColor="text1"/>
          <w:sz w:val="20"/>
          <w:szCs w:val="20"/>
          <w:lang w:val="pt-BR"/>
        </w:rPr>
        <w:t xml:space="preserve">agentes de </w:t>
      </w:r>
      <w:r w:rsidR="00F37852" w:rsidRPr="006D1C74">
        <w:rPr>
          <w:rFonts w:asciiTheme="majorHAnsi" w:hAnsiTheme="majorHAnsi"/>
          <w:color w:val="000000" w:themeColor="text1"/>
          <w:sz w:val="20"/>
          <w:szCs w:val="20"/>
          <w:lang w:val="pt-BR"/>
        </w:rPr>
        <w:t>polícia</w:t>
      </w:r>
      <w:r w:rsidRPr="006D1C74">
        <w:rPr>
          <w:rFonts w:asciiTheme="majorHAnsi" w:hAnsiTheme="majorHAnsi"/>
          <w:color w:val="000000" w:themeColor="text1"/>
          <w:sz w:val="20"/>
          <w:szCs w:val="20"/>
          <w:lang w:val="pt-BR"/>
        </w:rPr>
        <w:t xml:space="preserve"> </w:t>
      </w:r>
      <w:r w:rsidR="00FC2F62" w:rsidRPr="006D1C74">
        <w:rPr>
          <w:rFonts w:asciiTheme="majorHAnsi" w:hAnsiTheme="majorHAnsi"/>
          <w:color w:val="000000" w:themeColor="text1"/>
          <w:sz w:val="20"/>
          <w:szCs w:val="20"/>
          <w:lang w:val="pt-BR"/>
        </w:rPr>
        <w:t>apreenderam</w:t>
      </w:r>
      <w:r w:rsidR="00700267" w:rsidRPr="006D1C74">
        <w:rPr>
          <w:rFonts w:asciiTheme="majorHAnsi" w:hAnsiTheme="majorHAnsi"/>
          <w:color w:val="000000" w:themeColor="text1"/>
          <w:sz w:val="20"/>
          <w:szCs w:val="20"/>
          <w:lang w:val="pt-BR"/>
        </w:rPr>
        <w:t xml:space="preserve"> os </w:t>
      </w:r>
      <w:r w:rsidRPr="006D1C74">
        <w:rPr>
          <w:rFonts w:asciiTheme="majorHAnsi" w:hAnsiTheme="majorHAnsi"/>
          <w:color w:val="000000" w:themeColor="text1"/>
          <w:sz w:val="20"/>
          <w:szCs w:val="20"/>
          <w:lang w:val="pt-BR"/>
        </w:rPr>
        <w:t>materi</w:t>
      </w:r>
      <w:r w:rsidR="00700267" w:rsidRPr="006D1C74">
        <w:rPr>
          <w:rFonts w:asciiTheme="majorHAnsi" w:hAnsiTheme="majorHAnsi"/>
          <w:color w:val="000000" w:themeColor="text1"/>
          <w:sz w:val="20"/>
          <w:szCs w:val="20"/>
          <w:lang w:val="pt-BR"/>
        </w:rPr>
        <w:t>ais</w:t>
      </w:r>
      <w:r w:rsidRPr="006D1C74">
        <w:rPr>
          <w:rFonts w:asciiTheme="majorHAnsi" w:hAnsiTheme="majorHAnsi"/>
          <w:color w:val="000000" w:themeColor="text1"/>
          <w:sz w:val="20"/>
          <w:szCs w:val="20"/>
          <w:lang w:val="pt-BR"/>
        </w:rPr>
        <w:t xml:space="preserve"> que i</w:t>
      </w:r>
      <w:r w:rsidR="00FC2F62" w:rsidRPr="006D1C74">
        <w:rPr>
          <w:rFonts w:asciiTheme="majorHAnsi" w:hAnsiTheme="majorHAnsi"/>
          <w:color w:val="000000" w:themeColor="text1"/>
          <w:sz w:val="20"/>
          <w:szCs w:val="20"/>
          <w:lang w:val="pt-BR"/>
        </w:rPr>
        <w:t>am</w:t>
      </w:r>
      <w:r w:rsidRPr="006D1C74">
        <w:rPr>
          <w:rFonts w:asciiTheme="majorHAnsi" w:hAnsiTheme="majorHAnsi"/>
          <w:color w:val="000000" w:themeColor="text1"/>
          <w:sz w:val="20"/>
          <w:szCs w:val="20"/>
          <w:lang w:val="pt-BR"/>
        </w:rPr>
        <w:t xml:space="preserve"> </w:t>
      </w:r>
      <w:r w:rsidR="00FC2F62" w:rsidRPr="006D1C74">
        <w:rPr>
          <w:rFonts w:asciiTheme="majorHAnsi" w:hAnsiTheme="majorHAnsi"/>
          <w:color w:val="000000" w:themeColor="text1"/>
          <w:sz w:val="20"/>
          <w:szCs w:val="20"/>
          <w:lang w:val="pt-BR"/>
        </w:rPr>
        <w:t xml:space="preserve">ser </w:t>
      </w:r>
      <w:r w:rsidRPr="006D1C74">
        <w:rPr>
          <w:rFonts w:asciiTheme="majorHAnsi" w:hAnsiTheme="majorHAnsi"/>
          <w:color w:val="000000" w:themeColor="text1"/>
          <w:sz w:val="20"/>
          <w:szCs w:val="20"/>
          <w:lang w:val="pt-BR"/>
        </w:rPr>
        <w:t>usa</w:t>
      </w:r>
      <w:r w:rsidR="00FC2F62" w:rsidRPr="006D1C74">
        <w:rPr>
          <w:rFonts w:asciiTheme="majorHAnsi" w:hAnsiTheme="majorHAnsi"/>
          <w:color w:val="000000" w:themeColor="text1"/>
          <w:sz w:val="20"/>
          <w:szCs w:val="20"/>
          <w:lang w:val="pt-BR"/>
        </w:rPr>
        <w:t>dos</w:t>
      </w:r>
      <w:r w:rsidR="00F673C7" w:rsidRPr="006D1C74">
        <w:rPr>
          <w:rFonts w:asciiTheme="majorHAnsi" w:hAnsiTheme="majorHAnsi"/>
          <w:color w:val="000000" w:themeColor="text1"/>
          <w:sz w:val="20"/>
          <w:szCs w:val="20"/>
          <w:lang w:val="pt-BR"/>
        </w:rPr>
        <w:t xml:space="preserve"> na </w:t>
      </w:r>
      <w:r w:rsidRPr="006D1C74">
        <w:rPr>
          <w:rFonts w:asciiTheme="majorHAnsi" w:hAnsiTheme="majorHAnsi"/>
          <w:color w:val="000000" w:themeColor="text1"/>
          <w:sz w:val="20"/>
          <w:szCs w:val="20"/>
          <w:lang w:val="pt-BR"/>
        </w:rPr>
        <w:t>manifesta</w:t>
      </w:r>
      <w:r w:rsidR="00CF037E" w:rsidRPr="006D1C74">
        <w:rPr>
          <w:rFonts w:asciiTheme="majorHAnsi" w:hAnsiTheme="majorHAnsi"/>
          <w:color w:val="000000" w:themeColor="text1"/>
          <w:sz w:val="20"/>
          <w:szCs w:val="20"/>
          <w:lang w:val="pt-BR"/>
        </w:rPr>
        <w:t>ção</w:t>
      </w:r>
      <w:r w:rsidR="009C4F60" w:rsidRPr="006D1C74">
        <w:rPr>
          <w:rFonts w:asciiTheme="majorHAnsi" w:hAnsiTheme="majorHAnsi"/>
          <w:color w:val="000000" w:themeColor="text1"/>
          <w:sz w:val="20"/>
          <w:szCs w:val="20"/>
          <w:lang w:val="pt-BR"/>
        </w:rPr>
        <w:t>. De</w:t>
      </w:r>
      <w:r w:rsidR="00F6370E" w:rsidRPr="006D1C74">
        <w:rPr>
          <w:rFonts w:asciiTheme="majorHAnsi" w:hAnsiTheme="majorHAnsi"/>
          <w:color w:val="000000" w:themeColor="text1"/>
          <w:sz w:val="20"/>
          <w:szCs w:val="20"/>
          <w:lang w:val="pt-BR"/>
        </w:rPr>
        <w:t>poi</w:t>
      </w:r>
      <w:r w:rsidR="009C4F60" w:rsidRPr="006D1C74">
        <w:rPr>
          <w:rFonts w:asciiTheme="majorHAnsi" w:hAnsiTheme="majorHAnsi"/>
          <w:color w:val="000000" w:themeColor="text1"/>
          <w:sz w:val="20"/>
          <w:szCs w:val="20"/>
          <w:lang w:val="pt-BR"/>
        </w:rPr>
        <w:t xml:space="preserve">s, </w:t>
      </w:r>
      <w:r w:rsidRPr="006D1C74">
        <w:rPr>
          <w:rFonts w:asciiTheme="majorHAnsi" w:hAnsiTheme="majorHAnsi"/>
          <w:color w:val="000000" w:themeColor="text1"/>
          <w:sz w:val="20"/>
          <w:szCs w:val="20"/>
          <w:lang w:val="pt-BR"/>
        </w:rPr>
        <w:t>escoltar</w:t>
      </w:r>
      <w:r w:rsidR="00F6370E" w:rsidRPr="006D1C74">
        <w:rPr>
          <w:rFonts w:asciiTheme="majorHAnsi" w:hAnsiTheme="majorHAnsi"/>
          <w:color w:val="000000" w:themeColor="text1"/>
          <w:sz w:val="20"/>
          <w:szCs w:val="20"/>
          <w:lang w:val="pt-BR"/>
        </w:rPr>
        <w:t>am a</w:t>
      </w:r>
      <w:r w:rsidR="00030019" w:rsidRPr="006D1C74">
        <w:rPr>
          <w:rFonts w:asciiTheme="majorHAnsi" w:hAnsiTheme="majorHAnsi"/>
          <w:color w:val="000000" w:themeColor="text1"/>
          <w:sz w:val="20"/>
          <w:szCs w:val="20"/>
          <w:lang w:val="pt-BR"/>
        </w:rPr>
        <w:t xml:space="preserve"> </w:t>
      </w:r>
      <w:r w:rsidRPr="006D1C74">
        <w:rPr>
          <w:rFonts w:asciiTheme="majorHAnsi" w:hAnsiTheme="majorHAnsi"/>
          <w:color w:val="000000" w:themeColor="text1"/>
          <w:sz w:val="20"/>
          <w:szCs w:val="20"/>
          <w:lang w:val="pt-BR"/>
        </w:rPr>
        <w:t xml:space="preserve">caravana </w:t>
      </w:r>
      <w:r w:rsidR="00F6370E" w:rsidRPr="006D1C74">
        <w:rPr>
          <w:rFonts w:asciiTheme="majorHAnsi" w:hAnsiTheme="majorHAnsi"/>
          <w:color w:val="000000" w:themeColor="text1"/>
          <w:sz w:val="20"/>
          <w:szCs w:val="20"/>
          <w:lang w:val="pt-BR"/>
        </w:rPr>
        <w:t>até</w:t>
      </w:r>
      <w:r w:rsidRPr="006D1C74">
        <w:rPr>
          <w:rFonts w:asciiTheme="majorHAnsi" w:hAnsiTheme="majorHAnsi"/>
          <w:color w:val="000000" w:themeColor="text1"/>
          <w:sz w:val="20"/>
          <w:szCs w:val="20"/>
          <w:lang w:val="pt-BR"/>
        </w:rPr>
        <w:t xml:space="preserve"> </w:t>
      </w:r>
      <w:r w:rsidR="00CF037E" w:rsidRPr="006D1C74">
        <w:rPr>
          <w:rFonts w:asciiTheme="majorHAnsi" w:hAnsiTheme="majorHAnsi"/>
          <w:color w:val="000000" w:themeColor="text1"/>
          <w:sz w:val="20"/>
          <w:szCs w:val="20"/>
          <w:lang w:val="pt-BR"/>
        </w:rPr>
        <w:t>outr</w:t>
      </w:r>
      <w:r w:rsidRPr="006D1C74">
        <w:rPr>
          <w:rFonts w:asciiTheme="majorHAnsi" w:hAnsiTheme="majorHAnsi"/>
          <w:color w:val="000000" w:themeColor="text1"/>
          <w:sz w:val="20"/>
          <w:szCs w:val="20"/>
          <w:lang w:val="pt-BR"/>
        </w:rPr>
        <w:t xml:space="preserve">o lugar </w:t>
      </w:r>
      <w:r w:rsidR="00F6370E" w:rsidRPr="006D1C74">
        <w:rPr>
          <w:rFonts w:asciiTheme="majorHAnsi" w:hAnsiTheme="majorHAnsi"/>
          <w:color w:val="000000" w:themeColor="text1"/>
          <w:sz w:val="20"/>
          <w:szCs w:val="20"/>
          <w:lang w:val="pt-BR"/>
        </w:rPr>
        <w:t>próximo da</w:t>
      </w:r>
      <w:r w:rsidR="00030019" w:rsidRPr="006D1C74">
        <w:rPr>
          <w:rFonts w:asciiTheme="majorHAnsi" w:hAnsiTheme="majorHAnsi"/>
          <w:color w:val="000000" w:themeColor="text1"/>
          <w:sz w:val="20"/>
          <w:szCs w:val="20"/>
          <w:lang w:val="pt-BR"/>
        </w:rPr>
        <w:t xml:space="preserve"> </w:t>
      </w:r>
      <w:r w:rsidRPr="006D1C74">
        <w:rPr>
          <w:rFonts w:asciiTheme="majorHAnsi" w:hAnsiTheme="majorHAnsi"/>
          <w:color w:val="000000" w:themeColor="text1"/>
          <w:sz w:val="20"/>
          <w:szCs w:val="20"/>
          <w:lang w:val="pt-BR"/>
        </w:rPr>
        <w:t>ci</w:t>
      </w:r>
      <w:r w:rsidR="00F673C7" w:rsidRPr="006D1C74">
        <w:rPr>
          <w:rFonts w:asciiTheme="majorHAnsi" w:hAnsiTheme="majorHAnsi"/>
          <w:color w:val="000000" w:themeColor="text1"/>
          <w:sz w:val="20"/>
          <w:szCs w:val="20"/>
          <w:lang w:val="pt-BR"/>
        </w:rPr>
        <w:t xml:space="preserve">dade </w:t>
      </w:r>
      <w:r w:rsidRPr="006D1C74">
        <w:rPr>
          <w:rFonts w:asciiTheme="majorHAnsi" w:hAnsiTheme="majorHAnsi"/>
          <w:color w:val="000000" w:themeColor="text1"/>
          <w:sz w:val="20"/>
          <w:szCs w:val="20"/>
          <w:lang w:val="pt-BR"/>
        </w:rPr>
        <w:t>de Curitiba, parando</w:t>
      </w:r>
      <w:r w:rsidR="00F673C7" w:rsidRPr="006D1C74">
        <w:rPr>
          <w:rFonts w:asciiTheme="majorHAnsi" w:hAnsiTheme="majorHAnsi"/>
          <w:color w:val="000000" w:themeColor="text1"/>
          <w:sz w:val="20"/>
          <w:szCs w:val="20"/>
          <w:lang w:val="pt-BR"/>
        </w:rPr>
        <w:t xml:space="preserve"> em </w:t>
      </w:r>
      <w:r w:rsidRPr="006D1C74">
        <w:rPr>
          <w:rFonts w:asciiTheme="majorHAnsi" w:hAnsiTheme="majorHAnsi"/>
          <w:color w:val="000000" w:themeColor="text1"/>
          <w:sz w:val="20"/>
          <w:szCs w:val="20"/>
          <w:lang w:val="pt-BR"/>
        </w:rPr>
        <w:t>cada p</w:t>
      </w:r>
      <w:r w:rsidR="00055622" w:rsidRPr="006D1C74">
        <w:rPr>
          <w:rFonts w:asciiTheme="majorHAnsi" w:hAnsiTheme="majorHAnsi"/>
          <w:color w:val="000000" w:themeColor="text1"/>
          <w:sz w:val="20"/>
          <w:szCs w:val="20"/>
          <w:lang w:val="pt-BR"/>
        </w:rPr>
        <w:t>o</w:t>
      </w:r>
      <w:r w:rsidRPr="006D1C74">
        <w:rPr>
          <w:rFonts w:asciiTheme="majorHAnsi" w:hAnsiTheme="majorHAnsi"/>
          <w:color w:val="000000" w:themeColor="text1"/>
          <w:sz w:val="20"/>
          <w:szCs w:val="20"/>
          <w:lang w:val="pt-BR"/>
        </w:rPr>
        <w:t>sto policial ao l</w:t>
      </w:r>
      <w:r w:rsidR="00F6370E" w:rsidRPr="006D1C74">
        <w:rPr>
          <w:rFonts w:asciiTheme="majorHAnsi" w:hAnsiTheme="majorHAnsi"/>
          <w:color w:val="000000" w:themeColor="text1"/>
          <w:sz w:val="20"/>
          <w:szCs w:val="20"/>
          <w:lang w:val="pt-BR"/>
        </w:rPr>
        <w:t>on</w:t>
      </w:r>
      <w:r w:rsidRPr="006D1C74">
        <w:rPr>
          <w:rFonts w:asciiTheme="majorHAnsi" w:hAnsiTheme="majorHAnsi"/>
          <w:color w:val="000000" w:themeColor="text1"/>
          <w:sz w:val="20"/>
          <w:szCs w:val="20"/>
          <w:lang w:val="pt-BR"/>
        </w:rPr>
        <w:t>go</w:t>
      </w:r>
      <w:r w:rsidR="00030019" w:rsidRPr="006D1C74">
        <w:rPr>
          <w:rFonts w:asciiTheme="majorHAnsi" w:hAnsiTheme="majorHAnsi"/>
          <w:color w:val="000000" w:themeColor="text1"/>
          <w:sz w:val="20"/>
          <w:szCs w:val="20"/>
          <w:lang w:val="pt-BR"/>
        </w:rPr>
        <w:t xml:space="preserve"> do </w:t>
      </w:r>
      <w:r w:rsidRPr="006D1C74">
        <w:rPr>
          <w:rFonts w:asciiTheme="majorHAnsi" w:hAnsiTheme="majorHAnsi"/>
          <w:color w:val="000000" w:themeColor="text1"/>
          <w:sz w:val="20"/>
          <w:szCs w:val="20"/>
          <w:lang w:val="pt-BR"/>
        </w:rPr>
        <w:t>camin</w:t>
      </w:r>
      <w:r w:rsidR="00055622" w:rsidRPr="006D1C74">
        <w:rPr>
          <w:rFonts w:asciiTheme="majorHAnsi" w:hAnsiTheme="majorHAnsi"/>
          <w:color w:val="000000" w:themeColor="text1"/>
          <w:sz w:val="20"/>
          <w:szCs w:val="20"/>
          <w:lang w:val="pt-BR"/>
        </w:rPr>
        <w:t>h</w:t>
      </w:r>
      <w:r w:rsidRPr="006D1C74">
        <w:rPr>
          <w:rFonts w:asciiTheme="majorHAnsi" w:hAnsiTheme="majorHAnsi"/>
          <w:color w:val="000000" w:themeColor="text1"/>
          <w:sz w:val="20"/>
          <w:szCs w:val="20"/>
          <w:lang w:val="pt-BR"/>
        </w:rPr>
        <w:t>o para</w:t>
      </w:r>
      <w:r w:rsidR="00030019" w:rsidRPr="006D1C74">
        <w:rPr>
          <w:rFonts w:asciiTheme="majorHAnsi" w:hAnsiTheme="majorHAnsi"/>
          <w:color w:val="000000" w:themeColor="text1"/>
          <w:sz w:val="20"/>
          <w:szCs w:val="20"/>
          <w:lang w:val="pt-BR"/>
        </w:rPr>
        <w:t xml:space="preserve"> uma </w:t>
      </w:r>
      <w:r w:rsidR="00055622" w:rsidRPr="006D1C74">
        <w:rPr>
          <w:rFonts w:asciiTheme="majorHAnsi" w:hAnsiTheme="majorHAnsi"/>
          <w:color w:val="000000" w:themeColor="text1"/>
          <w:sz w:val="20"/>
          <w:szCs w:val="20"/>
          <w:lang w:val="pt-BR"/>
        </w:rPr>
        <w:t>nov</w:t>
      </w:r>
      <w:r w:rsidRPr="006D1C74">
        <w:rPr>
          <w:rFonts w:asciiTheme="majorHAnsi" w:hAnsiTheme="majorHAnsi"/>
          <w:color w:val="000000" w:themeColor="text1"/>
          <w:sz w:val="20"/>
          <w:szCs w:val="20"/>
          <w:lang w:val="pt-BR"/>
        </w:rPr>
        <w:t>a inspe</w:t>
      </w:r>
      <w:r w:rsidR="00CF037E" w:rsidRPr="006D1C74">
        <w:rPr>
          <w:rFonts w:asciiTheme="majorHAnsi" w:hAnsiTheme="majorHAnsi"/>
          <w:color w:val="000000" w:themeColor="text1"/>
          <w:sz w:val="20"/>
          <w:szCs w:val="20"/>
          <w:lang w:val="pt-BR"/>
        </w:rPr>
        <w:t>ção</w:t>
      </w:r>
      <w:r w:rsidRPr="006D1C74">
        <w:rPr>
          <w:rFonts w:asciiTheme="majorHAnsi" w:hAnsiTheme="majorHAnsi"/>
          <w:color w:val="000000" w:themeColor="text1"/>
          <w:sz w:val="20"/>
          <w:szCs w:val="20"/>
          <w:lang w:val="pt-BR"/>
        </w:rPr>
        <w:t xml:space="preserve">. </w:t>
      </w:r>
      <w:r w:rsidR="00F6370E" w:rsidRPr="006D1C74">
        <w:rPr>
          <w:rFonts w:asciiTheme="majorHAnsi" w:hAnsiTheme="majorHAnsi"/>
          <w:color w:val="000000" w:themeColor="text1"/>
          <w:sz w:val="20"/>
          <w:szCs w:val="20"/>
          <w:lang w:val="pt-BR"/>
        </w:rPr>
        <w:t xml:space="preserve">Nas proximidades </w:t>
      </w:r>
      <w:r w:rsidR="00795010" w:rsidRPr="006D1C74">
        <w:rPr>
          <w:rFonts w:asciiTheme="majorHAnsi" w:hAnsiTheme="majorHAnsi"/>
          <w:color w:val="000000" w:themeColor="text1"/>
          <w:sz w:val="20"/>
          <w:szCs w:val="20"/>
          <w:lang w:val="pt-BR"/>
        </w:rPr>
        <w:t xml:space="preserve">da </w:t>
      </w:r>
      <w:r w:rsidRPr="006D1C74">
        <w:rPr>
          <w:rFonts w:asciiTheme="majorHAnsi" w:hAnsiTheme="majorHAnsi"/>
          <w:color w:val="000000" w:themeColor="text1"/>
          <w:sz w:val="20"/>
          <w:szCs w:val="20"/>
          <w:lang w:val="pt-BR"/>
        </w:rPr>
        <w:t>cidad</w:t>
      </w:r>
      <w:r w:rsidR="00055622" w:rsidRPr="006D1C74">
        <w:rPr>
          <w:rFonts w:asciiTheme="majorHAnsi" w:hAnsiTheme="majorHAnsi"/>
          <w:color w:val="000000" w:themeColor="text1"/>
          <w:sz w:val="20"/>
          <w:szCs w:val="20"/>
          <w:lang w:val="pt-BR"/>
        </w:rPr>
        <w:t>e</w:t>
      </w:r>
      <w:r w:rsidRPr="006D1C74">
        <w:rPr>
          <w:rFonts w:asciiTheme="majorHAnsi" w:hAnsiTheme="majorHAnsi"/>
          <w:color w:val="000000" w:themeColor="text1"/>
          <w:sz w:val="20"/>
          <w:szCs w:val="20"/>
          <w:lang w:val="pt-BR"/>
        </w:rPr>
        <w:t>,</w:t>
      </w:r>
      <w:r w:rsidR="00700267" w:rsidRPr="006D1C74">
        <w:rPr>
          <w:rFonts w:asciiTheme="majorHAnsi" w:hAnsiTheme="majorHAnsi"/>
          <w:color w:val="000000" w:themeColor="text1"/>
          <w:sz w:val="20"/>
          <w:szCs w:val="20"/>
          <w:lang w:val="pt-BR"/>
        </w:rPr>
        <w:t xml:space="preserve"> os </w:t>
      </w:r>
      <w:r w:rsidRPr="006D1C74">
        <w:rPr>
          <w:rFonts w:asciiTheme="majorHAnsi" w:hAnsiTheme="majorHAnsi"/>
          <w:color w:val="000000" w:themeColor="text1"/>
          <w:sz w:val="20"/>
          <w:szCs w:val="20"/>
          <w:lang w:val="pt-BR"/>
        </w:rPr>
        <w:t xml:space="preserve">agentes de </w:t>
      </w:r>
      <w:r w:rsidR="00F37852" w:rsidRPr="006D1C74">
        <w:rPr>
          <w:rFonts w:asciiTheme="majorHAnsi" w:hAnsiTheme="majorHAnsi"/>
          <w:color w:val="000000" w:themeColor="text1"/>
          <w:sz w:val="20"/>
          <w:szCs w:val="20"/>
          <w:lang w:val="pt-BR"/>
        </w:rPr>
        <w:t>polícia</w:t>
      </w:r>
      <w:r w:rsidRPr="006D1C74">
        <w:rPr>
          <w:rFonts w:asciiTheme="majorHAnsi" w:hAnsiTheme="majorHAnsi"/>
          <w:color w:val="000000" w:themeColor="text1"/>
          <w:sz w:val="20"/>
          <w:szCs w:val="20"/>
          <w:lang w:val="pt-BR"/>
        </w:rPr>
        <w:t xml:space="preserve"> bloquear</w:t>
      </w:r>
      <w:r w:rsidR="00055622" w:rsidRPr="006D1C74">
        <w:rPr>
          <w:rFonts w:asciiTheme="majorHAnsi" w:hAnsiTheme="majorHAnsi"/>
          <w:color w:val="000000" w:themeColor="text1"/>
          <w:sz w:val="20"/>
          <w:szCs w:val="20"/>
          <w:lang w:val="pt-BR"/>
        </w:rPr>
        <w:t>am</w:t>
      </w:r>
      <w:r w:rsidR="00700267" w:rsidRPr="006D1C74">
        <w:rPr>
          <w:rFonts w:asciiTheme="majorHAnsi" w:hAnsiTheme="majorHAnsi"/>
          <w:color w:val="000000" w:themeColor="text1"/>
          <w:sz w:val="20"/>
          <w:szCs w:val="20"/>
          <w:lang w:val="pt-BR"/>
        </w:rPr>
        <w:t xml:space="preserve"> a </w:t>
      </w:r>
      <w:r w:rsidR="00F80716" w:rsidRPr="006D1C74">
        <w:rPr>
          <w:rFonts w:asciiTheme="majorHAnsi" w:hAnsiTheme="majorHAnsi"/>
          <w:color w:val="000000" w:themeColor="text1"/>
          <w:sz w:val="20"/>
          <w:szCs w:val="20"/>
          <w:lang w:val="pt-BR"/>
        </w:rPr>
        <w:t>rodovia</w:t>
      </w:r>
      <w:r w:rsidRPr="006D1C74">
        <w:rPr>
          <w:rFonts w:asciiTheme="majorHAnsi" w:hAnsiTheme="majorHAnsi"/>
          <w:color w:val="000000" w:themeColor="text1"/>
          <w:sz w:val="20"/>
          <w:szCs w:val="20"/>
          <w:lang w:val="pt-BR"/>
        </w:rPr>
        <w:t xml:space="preserve"> de ac</w:t>
      </w:r>
      <w:r w:rsidR="00055622" w:rsidRPr="006D1C74">
        <w:rPr>
          <w:rFonts w:asciiTheme="majorHAnsi" w:hAnsiTheme="majorHAnsi"/>
          <w:color w:val="000000" w:themeColor="text1"/>
          <w:sz w:val="20"/>
          <w:szCs w:val="20"/>
          <w:lang w:val="pt-BR"/>
        </w:rPr>
        <w:t>o</w:t>
      </w:r>
      <w:r w:rsidRPr="006D1C74">
        <w:rPr>
          <w:rFonts w:asciiTheme="majorHAnsi" w:hAnsiTheme="majorHAnsi"/>
          <w:color w:val="000000" w:themeColor="text1"/>
          <w:sz w:val="20"/>
          <w:szCs w:val="20"/>
          <w:lang w:val="pt-BR"/>
        </w:rPr>
        <w:t>rdo</w:t>
      </w:r>
      <w:r w:rsidR="00F673C7" w:rsidRPr="006D1C74">
        <w:rPr>
          <w:rFonts w:asciiTheme="majorHAnsi" w:hAnsiTheme="majorHAnsi"/>
          <w:color w:val="000000" w:themeColor="text1"/>
          <w:sz w:val="20"/>
          <w:szCs w:val="20"/>
          <w:lang w:val="pt-BR"/>
        </w:rPr>
        <w:t xml:space="preserve"> com </w:t>
      </w:r>
      <w:r w:rsidR="00030019" w:rsidRPr="006D1C74">
        <w:rPr>
          <w:rFonts w:asciiTheme="majorHAnsi" w:hAnsiTheme="majorHAnsi"/>
          <w:color w:val="000000" w:themeColor="text1"/>
          <w:sz w:val="20"/>
          <w:szCs w:val="20"/>
          <w:lang w:val="pt-BR"/>
        </w:rPr>
        <w:t xml:space="preserve">uma </w:t>
      </w:r>
      <w:r w:rsidRPr="006D1C74">
        <w:rPr>
          <w:rFonts w:asciiTheme="majorHAnsi" w:hAnsiTheme="majorHAnsi"/>
          <w:color w:val="000000" w:themeColor="text1"/>
          <w:sz w:val="20"/>
          <w:szCs w:val="20"/>
          <w:lang w:val="pt-BR"/>
        </w:rPr>
        <w:t>orde</w:t>
      </w:r>
      <w:r w:rsidR="00055622" w:rsidRPr="006D1C74">
        <w:rPr>
          <w:rFonts w:asciiTheme="majorHAnsi" w:hAnsiTheme="majorHAnsi"/>
          <w:color w:val="000000" w:themeColor="text1"/>
          <w:sz w:val="20"/>
          <w:szCs w:val="20"/>
          <w:lang w:val="pt-BR"/>
        </w:rPr>
        <w:t>m</w:t>
      </w:r>
      <w:r w:rsidRPr="006D1C74">
        <w:rPr>
          <w:rFonts w:asciiTheme="majorHAnsi" w:hAnsiTheme="majorHAnsi"/>
          <w:color w:val="000000" w:themeColor="text1"/>
          <w:sz w:val="20"/>
          <w:szCs w:val="20"/>
          <w:lang w:val="pt-BR"/>
        </w:rPr>
        <w:t xml:space="preserve"> judicial de interdi</w:t>
      </w:r>
      <w:r w:rsidR="00CF037E" w:rsidRPr="006D1C74">
        <w:rPr>
          <w:rFonts w:asciiTheme="majorHAnsi" w:hAnsiTheme="majorHAnsi"/>
          <w:color w:val="000000" w:themeColor="text1"/>
          <w:sz w:val="20"/>
          <w:szCs w:val="20"/>
          <w:lang w:val="pt-BR"/>
        </w:rPr>
        <w:t>ção</w:t>
      </w:r>
      <w:r w:rsidRPr="006D1C74">
        <w:rPr>
          <w:rFonts w:asciiTheme="majorHAnsi" w:hAnsiTheme="majorHAnsi"/>
          <w:color w:val="000000" w:themeColor="text1"/>
          <w:sz w:val="20"/>
          <w:szCs w:val="20"/>
          <w:lang w:val="pt-BR"/>
        </w:rPr>
        <w:t xml:space="preserve"> proibit</w:t>
      </w:r>
      <w:r w:rsidR="00055622" w:rsidRPr="006D1C74">
        <w:rPr>
          <w:rFonts w:asciiTheme="majorHAnsi" w:hAnsiTheme="majorHAnsi"/>
          <w:color w:val="000000" w:themeColor="text1"/>
          <w:sz w:val="20"/>
          <w:szCs w:val="20"/>
          <w:lang w:val="pt-BR"/>
        </w:rPr>
        <w:t>ó</w:t>
      </w:r>
      <w:r w:rsidRPr="006D1C74">
        <w:rPr>
          <w:rFonts w:asciiTheme="majorHAnsi" w:hAnsiTheme="majorHAnsi"/>
          <w:color w:val="000000" w:themeColor="text1"/>
          <w:sz w:val="20"/>
          <w:szCs w:val="20"/>
          <w:lang w:val="pt-BR"/>
        </w:rPr>
        <w:t>ria</w:t>
      </w:r>
      <w:r w:rsidR="00CF037E" w:rsidRPr="006D1C74">
        <w:rPr>
          <w:rFonts w:asciiTheme="majorHAnsi" w:hAnsiTheme="majorHAnsi"/>
          <w:color w:val="000000" w:themeColor="text1"/>
          <w:sz w:val="20"/>
          <w:szCs w:val="20"/>
          <w:lang w:val="pt-BR"/>
        </w:rPr>
        <w:t xml:space="preserve"> e </w:t>
      </w:r>
      <w:r w:rsidR="00623C35" w:rsidRPr="006D1C74">
        <w:rPr>
          <w:rFonts w:asciiTheme="majorHAnsi" w:hAnsiTheme="majorHAnsi"/>
          <w:color w:val="000000" w:themeColor="text1"/>
          <w:sz w:val="20"/>
          <w:szCs w:val="20"/>
          <w:lang w:val="pt-BR"/>
        </w:rPr>
        <w:t>ordenaram</w:t>
      </w:r>
      <w:r w:rsidR="00030019" w:rsidRPr="006D1C74">
        <w:rPr>
          <w:rFonts w:asciiTheme="majorHAnsi" w:hAnsiTheme="majorHAnsi"/>
          <w:color w:val="000000" w:themeColor="text1"/>
          <w:sz w:val="20"/>
          <w:szCs w:val="20"/>
          <w:lang w:val="pt-BR"/>
        </w:rPr>
        <w:t xml:space="preserve"> </w:t>
      </w:r>
      <w:r w:rsidR="00F6370E" w:rsidRPr="006D1C74">
        <w:rPr>
          <w:rFonts w:asciiTheme="majorHAnsi" w:hAnsiTheme="majorHAnsi"/>
          <w:color w:val="000000" w:themeColor="text1"/>
          <w:sz w:val="20"/>
          <w:szCs w:val="20"/>
          <w:lang w:val="pt-BR"/>
        </w:rPr>
        <w:t>que a</w:t>
      </w:r>
      <w:r w:rsidR="00030019" w:rsidRPr="006D1C74">
        <w:rPr>
          <w:rFonts w:asciiTheme="majorHAnsi" w:hAnsiTheme="majorHAnsi"/>
          <w:color w:val="000000" w:themeColor="text1"/>
          <w:sz w:val="20"/>
          <w:szCs w:val="20"/>
          <w:lang w:val="pt-BR"/>
        </w:rPr>
        <w:t xml:space="preserve"> </w:t>
      </w:r>
      <w:r w:rsidRPr="006D1C74">
        <w:rPr>
          <w:rFonts w:asciiTheme="majorHAnsi" w:hAnsiTheme="majorHAnsi"/>
          <w:color w:val="000000" w:themeColor="text1"/>
          <w:sz w:val="20"/>
          <w:szCs w:val="20"/>
          <w:lang w:val="pt-BR"/>
        </w:rPr>
        <w:t>caravana d</w:t>
      </w:r>
      <w:r w:rsidR="00F6370E" w:rsidRPr="006D1C74">
        <w:rPr>
          <w:rFonts w:asciiTheme="majorHAnsi" w:hAnsiTheme="majorHAnsi"/>
          <w:color w:val="000000" w:themeColor="text1"/>
          <w:sz w:val="20"/>
          <w:szCs w:val="20"/>
          <w:lang w:val="pt-BR"/>
        </w:rPr>
        <w:t xml:space="preserve">esse a </w:t>
      </w:r>
      <w:r w:rsidRPr="006D1C74">
        <w:rPr>
          <w:rFonts w:asciiTheme="majorHAnsi" w:hAnsiTheme="majorHAnsi"/>
          <w:color w:val="000000" w:themeColor="text1"/>
          <w:sz w:val="20"/>
          <w:szCs w:val="20"/>
          <w:lang w:val="pt-BR"/>
        </w:rPr>
        <w:t>v</w:t>
      </w:r>
      <w:r w:rsidR="00055622" w:rsidRPr="006D1C74">
        <w:rPr>
          <w:rFonts w:asciiTheme="majorHAnsi" w:hAnsiTheme="majorHAnsi"/>
          <w:color w:val="000000" w:themeColor="text1"/>
          <w:sz w:val="20"/>
          <w:szCs w:val="20"/>
          <w:lang w:val="pt-BR"/>
        </w:rPr>
        <w:t>o</w:t>
      </w:r>
      <w:r w:rsidRPr="006D1C74">
        <w:rPr>
          <w:rFonts w:asciiTheme="majorHAnsi" w:hAnsiTheme="majorHAnsi"/>
          <w:color w:val="000000" w:themeColor="text1"/>
          <w:sz w:val="20"/>
          <w:szCs w:val="20"/>
          <w:lang w:val="pt-BR"/>
        </w:rPr>
        <w:t>lta</w:t>
      </w:r>
      <w:r w:rsidR="00CF037E" w:rsidRPr="006D1C74">
        <w:rPr>
          <w:rFonts w:asciiTheme="majorHAnsi" w:hAnsiTheme="majorHAnsi"/>
          <w:color w:val="000000" w:themeColor="text1"/>
          <w:sz w:val="20"/>
          <w:szCs w:val="20"/>
          <w:lang w:val="pt-BR"/>
        </w:rPr>
        <w:t xml:space="preserve"> e </w:t>
      </w:r>
      <w:r w:rsidRPr="006D1C74">
        <w:rPr>
          <w:rFonts w:asciiTheme="majorHAnsi" w:hAnsiTheme="majorHAnsi"/>
          <w:color w:val="000000" w:themeColor="text1"/>
          <w:sz w:val="20"/>
          <w:szCs w:val="20"/>
          <w:lang w:val="pt-BR"/>
        </w:rPr>
        <w:t>regre</w:t>
      </w:r>
      <w:r w:rsidR="00F6370E" w:rsidRPr="006D1C74">
        <w:rPr>
          <w:rFonts w:asciiTheme="majorHAnsi" w:hAnsiTheme="majorHAnsi"/>
          <w:color w:val="000000" w:themeColor="text1"/>
          <w:sz w:val="20"/>
          <w:szCs w:val="20"/>
          <w:lang w:val="pt-BR"/>
        </w:rPr>
        <w:t>s</w:t>
      </w:r>
      <w:r w:rsidRPr="006D1C74">
        <w:rPr>
          <w:rFonts w:asciiTheme="majorHAnsi" w:hAnsiTheme="majorHAnsi"/>
          <w:color w:val="000000" w:themeColor="text1"/>
          <w:sz w:val="20"/>
          <w:szCs w:val="20"/>
          <w:lang w:val="pt-BR"/>
        </w:rPr>
        <w:t>sa</w:t>
      </w:r>
      <w:r w:rsidR="00F6370E" w:rsidRPr="006D1C74">
        <w:rPr>
          <w:rFonts w:asciiTheme="majorHAnsi" w:hAnsiTheme="majorHAnsi"/>
          <w:color w:val="000000" w:themeColor="text1"/>
          <w:sz w:val="20"/>
          <w:szCs w:val="20"/>
          <w:lang w:val="pt-BR"/>
        </w:rPr>
        <w:t>sse</w:t>
      </w:r>
      <w:r w:rsidRPr="006D1C74">
        <w:rPr>
          <w:rFonts w:asciiTheme="majorHAnsi" w:hAnsiTheme="majorHAnsi"/>
          <w:color w:val="000000" w:themeColor="text1"/>
          <w:sz w:val="20"/>
          <w:szCs w:val="20"/>
          <w:lang w:val="pt-BR"/>
        </w:rPr>
        <w:t xml:space="preserve">. </w:t>
      </w:r>
    </w:p>
    <w:p w14:paraId="44015E95" w14:textId="77777777" w:rsidR="002649F0" w:rsidRPr="006D1C74" w:rsidRDefault="002649F0" w:rsidP="002649F0">
      <w:pPr>
        <w:pStyle w:val="ListParagraph"/>
        <w:rPr>
          <w:rFonts w:asciiTheme="majorHAnsi" w:hAnsiTheme="majorHAnsi"/>
          <w:color w:val="000000" w:themeColor="text1"/>
          <w:sz w:val="20"/>
          <w:szCs w:val="20"/>
          <w:lang w:val="pt-BR"/>
        </w:rPr>
      </w:pPr>
    </w:p>
    <w:p w14:paraId="03965565" w14:textId="12691E5F" w:rsidR="002649F0" w:rsidRPr="006D1C74" w:rsidRDefault="003D3B1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pt-BR"/>
        </w:rPr>
      </w:pPr>
      <w:r>
        <w:rPr>
          <w:rFonts w:asciiTheme="majorHAnsi" w:hAnsiTheme="majorHAnsi"/>
          <w:color w:val="000000" w:themeColor="text1"/>
          <w:sz w:val="20"/>
          <w:szCs w:val="20"/>
          <w:lang w:val="pt-BR"/>
        </w:rPr>
        <w:t>A parte peticionária a</w:t>
      </w:r>
      <w:r w:rsidR="00F6370E" w:rsidRPr="006D1C74">
        <w:rPr>
          <w:rFonts w:asciiTheme="majorHAnsi" w:hAnsiTheme="majorHAnsi"/>
          <w:color w:val="000000" w:themeColor="text1"/>
          <w:sz w:val="20"/>
          <w:szCs w:val="20"/>
          <w:lang w:val="pt-BR"/>
        </w:rPr>
        <w:t>crescent</w:t>
      </w:r>
      <w:r w:rsidR="002649F0" w:rsidRPr="006D1C74">
        <w:rPr>
          <w:rFonts w:asciiTheme="majorHAnsi" w:hAnsiTheme="majorHAnsi"/>
          <w:color w:val="000000" w:themeColor="text1"/>
          <w:sz w:val="20"/>
          <w:szCs w:val="20"/>
          <w:lang w:val="pt-BR"/>
        </w:rPr>
        <w:t>a que</w:t>
      </w:r>
      <w:r w:rsidR="00700267" w:rsidRPr="006D1C74">
        <w:rPr>
          <w:rFonts w:asciiTheme="majorHAnsi" w:hAnsiTheme="majorHAnsi"/>
          <w:color w:val="000000" w:themeColor="text1"/>
          <w:sz w:val="20"/>
          <w:szCs w:val="20"/>
          <w:lang w:val="pt-BR"/>
        </w:rPr>
        <w:t xml:space="preserve"> os </w:t>
      </w:r>
      <w:r w:rsidR="002649F0" w:rsidRPr="006D1C74">
        <w:rPr>
          <w:rFonts w:asciiTheme="majorHAnsi" w:hAnsiTheme="majorHAnsi"/>
          <w:color w:val="000000" w:themeColor="text1"/>
          <w:sz w:val="20"/>
          <w:szCs w:val="20"/>
          <w:lang w:val="pt-BR"/>
        </w:rPr>
        <w:t>integrantes</w:t>
      </w:r>
      <w:r w:rsidR="00795010" w:rsidRPr="006D1C74">
        <w:rPr>
          <w:rFonts w:asciiTheme="majorHAnsi" w:hAnsiTheme="majorHAnsi"/>
          <w:color w:val="000000" w:themeColor="text1"/>
          <w:sz w:val="20"/>
          <w:szCs w:val="20"/>
          <w:lang w:val="pt-BR"/>
        </w:rPr>
        <w:t xml:space="preserve"> da </w:t>
      </w:r>
      <w:r w:rsidR="002649F0" w:rsidRPr="006D1C74">
        <w:rPr>
          <w:rFonts w:asciiTheme="majorHAnsi" w:hAnsiTheme="majorHAnsi"/>
          <w:color w:val="000000" w:themeColor="text1"/>
          <w:sz w:val="20"/>
          <w:szCs w:val="20"/>
          <w:lang w:val="pt-BR"/>
        </w:rPr>
        <w:t>caravana obedecer</w:t>
      </w:r>
      <w:r w:rsidR="00F6370E" w:rsidRPr="006D1C74">
        <w:rPr>
          <w:rFonts w:asciiTheme="majorHAnsi" w:hAnsiTheme="majorHAnsi"/>
          <w:color w:val="000000" w:themeColor="text1"/>
          <w:sz w:val="20"/>
          <w:szCs w:val="20"/>
          <w:lang w:val="pt-BR"/>
        </w:rPr>
        <w:t>am à</w:t>
      </w:r>
      <w:r w:rsidR="00700267" w:rsidRPr="006D1C74">
        <w:rPr>
          <w:rFonts w:asciiTheme="majorHAnsi" w:hAnsiTheme="majorHAnsi"/>
          <w:color w:val="000000" w:themeColor="text1"/>
          <w:sz w:val="20"/>
          <w:szCs w:val="20"/>
          <w:lang w:val="pt-BR"/>
        </w:rPr>
        <w:t xml:space="preserve"> </w:t>
      </w:r>
      <w:r w:rsidR="002649F0" w:rsidRPr="006D1C74">
        <w:rPr>
          <w:rFonts w:asciiTheme="majorHAnsi" w:hAnsiTheme="majorHAnsi"/>
          <w:color w:val="000000" w:themeColor="text1"/>
          <w:sz w:val="20"/>
          <w:szCs w:val="20"/>
          <w:lang w:val="pt-BR"/>
        </w:rPr>
        <w:t>orde</w:t>
      </w:r>
      <w:r w:rsidR="00F80716" w:rsidRPr="006D1C74">
        <w:rPr>
          <w:rFonts w:asciiTheme="majorHAnsi" w:hAnsiTheme="majorHAnsi"/>
          <w:color w:val="000000" w:themeColor="text1"/>
          <w:sz w:val="20"/>
          <w:szCs w:val="20"/>
          <w:lang w:val="pt-BR"/>
        </w:rPr>
        <w:t>m</w:t>
      </w:r>
      <w:r w:rsidR="002649F0" w:rsidRPr="006D1C74">
        <w:rPr>
          <w:rFonts w:asciiTheme="majorHAnsi" w:hAnsiTheme="majorHAnsi"/>
          <w:color w:val="000000" w:themeColor="text1"/>
          <w:sz w:val="20"/>
          <w:szCs w:val="20"/>
          <w:lang w:val="pt-BR"/>
        </w:rPr>
        <w:t xml:space="preserve">, </w:t>
      </w:r>
      <w:r w:rsidR="00F6370E" w:rsidRPr="006D1C74">
        <w:rPr>
          <w:rFonts w:asciiTheme="majorHAnsi" w:hAnsiTheme="majorHAnsi"/>
          <w:color w:val="000000" w:themeColor="text1"/>
          <w:sz w:val="20"/>
          <w:szCs w:val="20"/>
          <w:lang w:val="pt-BR"/>
        </w:rPr>
        <w:t>mas</w:t>
      </w:r>
      <w:r w:rsidR="002649F0" w:rsidRPr="006D1C74">
        <w:rPr>
          <w:rFonts w:asciiTheme="majorHAnsi" w:hAnsiTheme="majorHAnsi"/>
          <w:color w:val="000000" w:themeColor="text1"/>
          <w:sz w:val="20"/>
          <w:szCs w:val="20"/>
          <w:lang w:val="pt-BR"/>
        </w:rPr>
        <w:t xml:space="preserve"> durante</w:t>
      </w:r>
      <w:r w:rsidR="00700267" w:rsidRPr="006D1C74">
        <w:rPr>
          <w:rFonts w:asciiTheme="majorHAnsi" w:hAnsiTheme="majorHAnsi"/>
          <w:color w:val="000000" w:themeColor="text1"/>
          <w:sz w:val="20"/>
          <w:szCs w:val="20"/>
          <w:lang w:val="pt-BR"/>
        </w:rPr>
        <w:t xml:space="preserve"> o </w:t>
      </w:r>
      <w:r w:rsidR="002649F0" w:rsidRPr="006D1C74">
        <w:rPr>
          <w:rFonts w:asciiTheme="majorHAnsi" w:hAnsiTheme="majorHAnsi"/>
          <w:color w:val="000000" w:themeColor="text1"/>
          <w:sz w:val="20"/>
          <w:szCs w:val="20"/>
          <w:lang w:val="pt-BR"/>
        </w:rPr>
        <w:t>regre</w:t>
      </w:r>
      <w:r w:rsidR="00F80716" w:rsidRPr="006D1C74">
        <w:rPr>
          <w:rFonts w:asciiTheme="majorHAnsi" w:hAnsiTheme="majorHAnsi"/>
          <w:color w:val="000000" w:themeColor="text1"/>
          <w:sz w:val="20"/>
          <w:szCs w:val="20"/>
          <w:lang w:val="pt-BR"/>
        </w:rPr>
        <w:t>s</w:t>
      </w:r>
      <w:r w:rsidR="002649F0" w:rsidRPr="006D1C74">
        <w:rPr>
          <w:rFonts w:asciiTheme="majorHAnsi" w:hAnsiTheme="majorHAnsi"/>
          <w:color w:val="000000" w:themeColor="text1"/>
          <w:sz w:val="20"/>
          <w:szCs w:val="20"/>
          <w:lang w:val="pt-BR"/>
        </w:rPr>
        <w:t>so, a</w:t>
      </w:r>
      <w:r w:rsidR="00F6370E" w:rsidRPr="006D1C74">
        <w:rPr>
          <w:rFonts w:asciiTheme="majorHAnsi" w:hAnsiTheme="majorHAnsi"/>
          <w:color w:val="000000" w:themeColor="text1"/>
          <w:sz w:val="20"/>
          <w:szCs w:val="20"/>
          <w:lang w:val="pt-BR"/>
        </w:rPr>
        <w:t>o</w:t>
      </w:r>
      <w:r w:rsidR="002649F0" w:rsidRPr="006D1C74">
        <w:rPr>
          <w:rFonts w:asciiTheme="majorHAnsi" w:hAnsiTheme="majorHAnsi"/>
          <w:color w:val="000000" w:themeColor="text1"/>
          <w:sz w:val="20"/>
          <w:szCs w:val="20"/>
          <w:lang w:val="pt-BR"/>
        </w:rPr>
        <w:t xml:space="preserve"> ver </w:t>
      </w:r>
      <w:r w:rsidR="00CF037E" w:rsidRPr="006D1C74">
        <w:rPr>
          <w:rFonts w:asciiTheme="majorHAnsi" w:hAnsiTheme="majorHAnsi"/>
          <w:color w:val="000000" w:themeColor="text1"/>
          <w:sz w:val="20"/>
          <w:szCs w:val="20"/>
          <w:lang w:val="pt-BR"/>
        </w:rPr>
        <w:t>outr</w:t>
      </w:r>
      <w:r w:rsidR="002649F0" w:rsidRPr="006D1C74">
        <w:rPr>
          <w:rFonts w:asciiTheme="majorHAnsi" w:hAnsiTheme="majorHAnsi"/>
          <w:color w:val="000000" w:themeColor="text1"/>
          <w:sz w:val="20"/>
          <w:szCs w:val="20"/>
          <w:lang w:val="pt-BR"/>
        </w:rPr>
        <w:t>a caravana detida</w:t>
      </w:r>
      <w:r w:rsidR="00F673C7" w:rsidRPr="006D1C74">
        <w:rPr>
          <w:rFonts w:asciiTheme="majorHAnsi" w:hAnsiTheme="majorHAnsi"/>
          <w:color w:val="000000" w:themeColor="text1"/>
          <w:sz w:val="20"/>
          <w:szCs w:val="20"/>
          <w:lang w:val="pt-BR"/>
        </w:rPr>
        <w:t xml:space="preserve"> na </w:t>
      </w:r>
      <w:r w:rsidR="002649F0" w:rsidRPr="006D1C74">
        <w:rPr>
          <w:rFonts w:asciiTheme="majorHAnsi" w:hAnsiTheme="majorHAnsi"/>
          <w:color w:val="000000" w:themeColor="text1"/>
          <w:sz w:val="20"/>
          <w:szCs w:val="20"/>
          <w:lang w:val="pt-BR"/>
        </w:rPr>
        <w:t>m</w:t>
      </w:r>
      <w:r w:rsidR="00F80716" w:rsidRPr="006D1C74">
        <w:rPr>
          <w:rFonts w:asciiTheme="majorHAnsi" w:hAnsiTheme="majorHAnsi"/>
          <w:color w:val="000000" w:themeColor="text1"/>
          <w:sz w:val="20"/>
          <w:szCs w:val="20"/>
          <w:lang w:val="pt-BR"/>
        </w:rPr>
        <w:t>e</w:t>
      </w:r>
      <w:r w:rsidR="002649F0" w:rsidRPr="006D1C74">
        <w:rPr>
          <w:rFonts w:asciiTheme="majorHAnsi" w:hAnsiTheme="majorHAnsi"/>
          <w:color w:val="000000" w:themeColor="text1"/>
          <w:sz w:val="20"/>
          <w:szCs w:val="20"/>
          <w:lang w:val="pt-BR"/>
        </w:rPr>
        <w:t xml:space="preserve">sma </w:t>
      </w:r>
      <w:r w:rsidR="00F80716" w:rsidRPr="006D1C74">
        <w:rPr>
          <w:rFonts w:asciiTheme="majorHAnsi" w:hAnsiTheme="majorHAnsi"/>
          <w:color w:val="000000" w:themeColor="text1"/>
          <w:sz w:val="20"/>
          <w:szCs w:val="20"/>
          <w:lang w:val="pt-BR"/>
        </w:rPr>
        <w:t>rodovia</w:t>
      </w:r>
      <w:r w:rsidR="002649F0" w:rsidRPr="006D1C74">
        <w:rPr>
          <w:rFonts w:asciiTheme="majorHAnsi" w:hAnsiTheme="majorHAnsi"/>
          <w:color w:val="000000" w:themeColor="text1"/>
          <w:sz w:val="20"/>
          <w:szCs w:val="20"/>
          <w:lang w:val="pt-BR"/>
        </w:rPr>
        <w:t>, parar</w:t>
      </w:r>
      <w:r w:rsidR="00F80716" w:rsidRPr="006D1C74">
        <w:rPr>
          <w:rFonts w:asciiTheme="majorHAnsi" w:hAnsiTheme="majorHAnsi"/>
          <w:color w:val="000000" w:themeColor="text1"/>
          <w:sz w:val="20"/>
          <w:szCs w:val="20"/>
          <w:lang w:val="pt-BR"/>
        </w:rPr>
        <w:t>am</w:t>
      </w:r>
      <w:r w:rsidR="002649F0" w:rsidRPr="006D1C74">
        <w:rPr>
          <w:rFonts w:asciiTheme="majorHAnsi" w:hAnsiTheme="majorHAnsi"/>
          <w:color w:val="000000" w:themeColor="text1"/>
          <w:sz w:val="20"/>
          <w:szCs w:val="20"/>
          <w:lang w:val="pt-BR"/>
        </w:rPr>
        <w:t xml:space="preserve"> para averiguar.</w:t>
      </w:r>
      <w:r w:rsidR="00700267" w:rsidRPr="006D1C74">
        <w:rPr>
          <w:rFonts w:asciiTheme="majorHAnsi" w:hAnsiTheme="majorHAnsi"/>
          <w:color w:val="000000" w:themeColor="text1"/>
          <w:sz w:val="20"/>
          <w:szCs w:val="20"/>
          <w:lang w:val="pt-BR"/>
        </w:rPr>
        <w:t xml:space="preserve"> </w:t>
      </w:r>
      <w:r w:rsidR="00F6370E" w:rsidRPr="006D1C74">
        <w:rPr>
          <w:rFonts w:asciiTheme="majorHAnsi" w:hAnsiTheme="majorHAnsi"/>
          <w:color w:val="000000" w:themeColor="text1"/>
          <w:sz w:val="20"/>
          <w:szCs w:val="20"/>
          <w:lang w:val="pt-BR"/>
        </w:rPr>
        <w:t>O</w:t>
      </w:r>
      <w:r w:rsidR="00700267" w:rsidRPr="006D1C74">
        <w:rPr>
          <w:rFonts w:asciiTheme="majorHAnsi" w:hAnsiTheme="majorHAnsi"/>
          <w:color w:val="000000" w:themeColor="text1"/>
          <w:sz w:val="20"/>
          <w:szCs w:val="20"/>
          <w:lang w:val="pt-BR"/>
        </w:rPr>
        <w:t xml:space="preserve">s </w:t>
      </w:r>
      <w:r w:rsidR="002649F0" w:rsidRPr="006D1C74">
        <w:rPr>
          <w:rFonts w:asciiTheme="majorHAnsi" w:hAnsiTheme="majorHAnsi"/>
          <w:color w:val="000000" w:themeColor="text1"/>
          <w:sz w:val="20"/>
          <w:szCs w:val="20"/>
          <w:lang w:val="pt-BR"/>
        </w:rPr>
        <w:t xml:space="preserve">agentes de </w:t>
      </w:r>
      <w:r w:rsidR="00F37852" w:rsidRPr="006D1C74">
        <w:rPr>
          <w:rFonts w:asciiTheme="majorHAnsi" w:hAnsiTheme="majorHAnsi"/>
          <w:color w:val="000000" w:themeColor="text1"/>
          <w:sz w:val="20"/>
          <w:szCs w:val="20"/>
          <w:lang w:val="pt-BR"/>
        </w:rPr>
        <w:t>polícia</w:t>
      </w:r>
      <w:r w:rsidR="002649F0" w:rsidRPr="006D1C74">
        <w:rPr>
          <w:rFonts w:asciiTheme="majorHAnsi" w:hAnsiTheme="majorHAnsi"/>
          <w:color w:val="000000" w:themeColor="text1"/>
          <w:sz w:val="20"/>
          <w:szCs w:val="20"/>
          <w:lang w:val="pt-BR"/>
        </w:rPr>
        <w:t xml:space="preserve"> </w:t>
      </w:r>
      <w:r w:rsidR="00623C35" w:rsidRPr="006D1C74">
        <w:rPr>
          <w:rFonts w:asciiTheme="majorHAnsi" w:hAnsiTheme="majorHAnsi"/>
          <w:color w:val="000000" w:themeColor="text1"/>
          <w:sz w:val="20"/>
          <w:szCs w:val="20"/>
          <w:lang w:val="pt-BR"/>
        </w:rPr>
        <w:t>ordenaram</w:t>
      </w:r>
      <w:r w:rsidR="002649F0" w:rsidRPr="006D1C74">
        <w:rPr>
          <w:rFonts w:asciiTheme="majorHAnsi" w:hAnsiTheme="majorHAnsi"/>
          <w:color w:val="000000" w:themeColor="text1"/>
          <w:sz w:val="20"/>
          <w:szCs w:val="20"/>
          <w:lang w:val="pt-BR"/>
        </w:rPr>
        <w:t xml:space="preserve"> que vol</w:t>
      </w:r>
      <w:r w:rsidR="00F6370E" w:rsidRPr="006D1C74">
        <w:rPr>
          <w:rFonts w:asciiTheme="majorHAnsi" w:hAnsiTheme="majorHAnsi"/>
          <w:color w:val="000000" w:themeColor="text1"/>
          <w:sz w:val="20"/>
          <w:szCs w:val="20"/>
          <w:lang w:val="pt-BR"/>
        </w:rPr>
        <w:t>tassem</w:t>
      </w:r>
      <w:r w:rsidR="002649F0" w:rsidRPr="006D1C74">
        <w:rPr>
          <w:rFonts w:asciiTheme="majorHAnsi" w:hAnsiTheme="majorHAnsi"/>
          <w:color w:val="000000" w:themeColor="text1"/>
          <w:sz w:val="20"/>
          <w:szCs w:val="20"/>
          <w:lang w:val="pt-BR"/>
        </w:rPr>
        <w:t xml:space="preserve"> a</w:t>
      </w:r>
      <w:r w:rsidR="00700267" w:rsidRPr="006D1C74">
        <w:rPr>
          <w:rFonts w:asciiTheme="majorHAnsi" w:hAnsiTheme="majorHAnsi"/>
          <w:color w:val="000000" w:themeColor="text1"/>
          <w:sz w:val="20"/>
          <w:szCs w:val="20"/>
          <w:lang w:val="pt-BR"/>
        </w:rPr>
        <w:t xml:space="preserve">os </w:t>
      </w:r>
      <w:r w:rsidR="00F6370E" w:rsidRPr="006D1C74">
        <w:rPr>
          <w:rFonts w:asciiTheme="majorHAnsi" w:hAnsiTheme="majorHAnsi"/>
          <w:color w:val="000000" w:themeColor="text1"/>
          <w:sz w:val="20"/>
          <w:szCs w:val="20"/>
          <w:lang w:val="pt-BR"/>
        </w:rPr>
        <w:t>ôni</w:t>
      </w:r>
      <w:r w:rsidR="002649F0" w:rsidRPr="006D1C74">
        <w:rPr>
          <w:rFonts w:asciiTheme="majorHAnsi" w:hAnsiTheme="majorHAnsi"/>
          <w:color w:val="000000" w:themeColor="text1"/>
          <w:sz w:val="20"/>
          <w:szCs w:val="20"/>
          <w:lang w:val="pt-BR"/>
        </w:rPr>
        <w:t xml:space="preserve">bus, </w:t>
      </w:r>
      <w:r w:rsidR="00F6370E" w:rsidRPr="006D1C74">
        <w:rPr>
          <w:rFonts w:asciiTheme="majorHAnsi" w:hAnsiTheme="majorHAnsi"/>
          <w:color w:val="000000" w:themeColor="text1"/>
          <w:sz w:val="20"/>
          <w:szCs w:val="20"/>
          <w:lang w:val="pt-BR"/>
        </w:rPr>
        <w:t>mas</w:t>
      </w:r>
      <w:r w:rsidR="002649F0" w:rsidRPr="006D1C74">
        <w:rPr>
          <w:rFonts w:asciiTheme="majorHAnsi" w:hAnsiTheme="majorHAnsi"/>
          <w:color w:val="000000" w:themeColor="text1"/>
          <w:sz w:val="20"/>
          <w:szCs w:val="20"/>
          <w:lang w:val="pt-BR"/>
        </w:rPr>
        <w:t xml:space="preserve"> </w:t>
      </w:r>
      <w:r w:rsidR="00750325" w:rsidRPr="006D1C74">
        <w:rPr>
          <w:rFonts w:asciiTheme="majorHAnsi" w:hAnsiTheme="majorHAnsi"/>
          <w:color w:val="000000" w:themeColor="text1"/>
          <w:sz w:val="20"/>
          <w:szCs w:val="20"/>
          <w:lang w:val="pt-BR"/>
        </w:rPr>
        <w:t>e</w:t>
      </w:r>
      <w:r w:rsidR="00F6370E" w:rsidRPr="006D1C74">
        <w:rPr>
          <w:rFonts w:asciiTheme="majorHAnsi" w:hAnsiTheme="majorHAnsi"/>
          <w:color w:val="000000" w:themeColor="text1"/>
          <w:sz w:val="20"/>
          <w:szCs w:val="20"/>
          <w:lang w:val="pt-BR"/>
        </w:rPr>
        <w:t>les</w:t>
      </w:r>
      <w:r w:rsidR="00F673C7" w:rsidRPr="006D1C74">
        <w:rPr>
          <w:rFonts w:asciiTheme="majorHAnsi" w:hAnsiTheme="majorHAnsi"/>
          <w:color w:val="000000" w:themeColor="text1"/>
          <w:sz w:val="20"/>
          <w:szCs w:val="20"/>
          <w:lang w:val="pt-BR"/>
        </w:rPr>
        <w:t xml:space="preserve"> não </w:t>
      </w:r>
      <w:r w:rsidR="002649F0" w:rsidRPr="006D1C74">
        <w:rPr>
          <w:rFonts w:asciiTheme="majorHAnsi" w:hAnsiTheme="majorHAnsi"/>
          <w:color w:val="000000" w:themeColor="text1"/>
          <w:sz w:val="20"/>
          <w:szCs w:val="20"/>
          <w:lang w:val="pt-BR"/>
        </w:rPr>
        <w:t>obedecer</w:t>
      </w:r>
      <w:r w:rsidR="00F6370E" w:rsidRPr="006D1C74">
        <w:rPr>
          <w:rFonts w:asciiTheme="majorHAnsi" w:hAnsiTheme="majorHAnsi"/>
          <w:color w:val="000000" w:themeColor="text1"/>
          <w:sz w:val="20"/>
          <w:szCs w:val="20"/>
          <w:lang w:val="pt-BR"/>
        </w:rPr>
        <w:t>am</w:t>
      </w:r>
      <w:r w:rsidR="002649F0" w:rsidRPr="006D1C74">
        <w:rPr>
          <w:rFonts w:asciiTheme="majorHAnsi" w:hAnsiTheme="majorHAnsi"/>
          <w:color w:val="000000" w:themeColor="text1"/>
          <w:sz w:val="20"/>
          <w:szCs w:val="20"/>
          <w:lang w:val="pt-BR"/>
        </w:rPr>
        <w:t xml:space="preserve"> porque quer</w:t>
      </w:r>
      <w:r w:rsidR="00055622" w:rsidRPr="006D1C74">
        <w:rPr>
          <w:rFonts w:asciiTheme="majorHAnsi" w:hAnsiTheme="majorHAnsi"/>
          <w:color w:val="000000" w:themeColor="text1"/>
          <w:sz w:val="20"/>
          <w:szCs w:val="20"/>
          <w:lang w:val="pt-BR"/>
        </w:rPr>
        <w:t>ia</w:t>
      </w:r>
      <w:r w:rsidR="00F80716" w:rsidRPr="006D1C74">
        <w:rPr>
          <w:rFonts w:asciiTheme="majorHAnsi" w:hAnsiTheme="majorHAnsi"/>
          <w:color w:val="000000" w:themeColor="text1"/>
          <w:sz w:val="20"/>
          <w:szCs w:val="20"/>
          <w:lang w:val="pt-BR"/>
        </w:rPr>
        <w:t>m</w:t>
      </w:r>
      <w:r w:rsidR="002649F0" w:rsidRPr="006D1C74">
        <w:rPr>
          <w:rFonts w:asciiTheme="majorHAnsi" w:hAnsiTheme="majorHAnsi"/>
          <w:color w:val="000000" w:themeColor="text1"/>
          <w:sz w:val="20"/>
          <w:szCs w:val="20"/>
          <w:lang w:val="pt-BR"/>
        </w:rPr>
        <w:t xml:space="preserve"> saber </w:t>
      </w:r>
      <w:r w:rsidR="00F6370E" w:rsidRPr="006D1C74">
        <w:rPr>
          <w:rFonts w:asciiTheme="majorHAnsi" w:hAnsiTheme="majorHAnsi"/>
          <w:color w:val="000000" w:themeColor="text1"/>
          <w:sz w:val="20"/>
          <w:szCs w:val="20"/>
          <w:lang w:val="pt-BR"/>
        </w:rPr>
        <w:t xml:space="preserve">o </w:t>
      </w:r>
      <w:r w:rsidR="002649F0" w:rsidRPr="006D1C74">
        <w:rPr>
          <w:rFonts w:asciiTheme="majorHAnsi" w:hAnsiTheme="majorHAnsi"/>
          <w:color w:val="000000" w:themeColor="text1"/>
          <w:sz w:val="20"/>
          <w:szCs w:val="20"/>
          <w:lang w:val="pt-BR"/>
        </w:rPr>
        <w:t>qu</w:t>
      </w:r>
      <w:r w:rsidR="00F80716" w:rsidRPr="006D1C74">
        <w:rPr>
          <w:rFonts w:asciiTheme="majorHAnsi" w:hAnsiTheme="majorHAnsi"/>
          <w:color w:val="000000" w:themeColor="text1"/>
          <w:sz w:val="20"/>
          <w:szCs w:val="20"/>
          <w:lang w:val="pt-BR"/>
        </w:rPr>
        <w:t>e</w:t>
      </w:r>
      <w:r w:rsidR="002649F0" w:rsidRPr="006D1C74">
        <w:rPr>
          <w:rFonts w:asciiTheme="majorHAnsi" w:hAnsiTheme="majorHAnsi"/>
          <w:color w:val="000000" w:themeColor="text1"/>
          <w:sz w:val="20"/>
          <w:szCs w:val="20"/>
          <w:lang w:val="pt-BR"/>
        </w:rPr>
        <w:t xml:space="preserve"> oc</w:t>
      </w:r>
      <w:r w:rsidR="00F80716" w:rsidRPr="006D1C74">
        <w:rPr>
          <w:rFonts w:asciiTheme="majorHAnsi" w:hAnsiTheme="majorHAnsi"/>
          <w:color w:val="000000" w:themeColor="text1"/>
          <w:sz w:val="20"/>
          <w:szCs w:val="20"/>
          <w:lang w:val="pt-BR"/>
        </w:rPr>
        <w:t>o</w:t>
      </w:r>
      <w:r w:rsidR="002649F0" w:rsidRPr="006D1C74">
        <w:rPr>
          <w:rFonts w:asciiTheme="majorHAnsi" w:hAnsiTheme="majorHAnsi"/>
          <w:color w:val="000000" w:themeColor="text1"/>
          <w:sz w:val="20"/>
          <w:szCs w:val="20"/>
          <w:lang w:val="pt-BR"/>
        </w:rPr>
        <w:t>rr</w:t>
      </w:r>
      <w:r w:rsidR="00055622" w:rsidRPr="006D1C74">
        <w:rPr>
          <w:rFonts w:asciiTheme="majorHAnsi" w:hAnsiTheme="majorHAnsi"/>
          <w:color w:val="000000" w:themeColor="text1"/>
          <w:sz w:val="20"/>
          <w:szCs w:val="20"/>
          <w:lang w:val="pt-BR"/>
        </w:rPr>
        <w:t>ia</w:t>
      </w:r>
      <w:r w:rsidR="00F673C7" w:rsidRPr="006D1C74">
        <w:rPr>
          <w:rFonts w:asciiTheme="majorHAnsi" w:hAnsiTheme="majorHAnsi"/>
          <w:color w:val="000000" w:themeColor="text1"/>
          <w:sz w:val="20"/>
          <w:szCs w:val="20"/>
          <w:lang w:val="pt-BR"/>
        </w:rPr>
        <w:t xml:space="preserve"> com </w:t>
      </w:r>
      <w:r w:rsidR="00700267" w:rsidRPr="006D1C74">
        <w:rPr>
          <w:rFonts w:asciiTheme="majorHAnsi" w:hAnsiTheme="majorHAnsi"/>
          <w:color w:val="000000" w:themeColor="text1"/>
          <w:sz w:val="20"/>
          <w:szCs w:val="20"/>
          <w:lang w:val="pt-BR"/>
        </w:rPr>
        <w:t xml:space="preserve">os </w:t>
      </w:r>
      <w:r w:rsidR="002649F0" w:rsidRPr="006D1C74">
        <w:rPr>
          <w:rFonts w:asciiTheme="majorHAnsi" w:hAnsiTheme="majorHAnsi"/>
          <w:color w:val="000000" w:themeColor="text1"/>
          <w:sz w:val="20"/>
          <w:szCs w:val="20"/>
          <w:lang w:val="pt-BR"/>
        </w:rPr>
        <w:t>ocupantes</w:t>
      </w:r>
      <w:r w:rsidR="00795010" w:rsidRPr="006D1C74">
        <w:rPr>
          <w:rFonts w:asciiTheme="majorHAnsi" w:hAnsiTheme="majorHAnsi"/>
          <w:color w:val="000000" w:themeColor="text1"/>
          <w:sz w:val="20"/>
          <w:szCs w:val="20"/>
          <w:lang w:val="pt-BR"/>
        </w:rPr>
        <w:t xml:space="preserve"> da </w:t>
      </w:r>
      <w:r w:rsidR="002649F0" w:rsidRPr="006D1C74">
        <w:rPr>
          <w:rFonts w:asciiTheme="majorHAnsi" w:hAnsiTheme="majorHAnsi"/>
          <w:color w:val="000000" w:themeColor="text1"/>
          <w:sz w:val="20"/>
          <w:szCs w:val="20"/>
          <w:lang w:val="pt-BR"/>
        </w:rPr>
        <w:t>segunda caravana.</w:t>
      </w:r>
      <w:r w:rsidR="00F673C7" w:rsidRPr="006D1C74">
        <w:rPr>
          <w:rFonts w:asciiTheme="majorHAnsi" w:hAnsiTheme="majorHAnsi"/>
          <w:color w:val="000000" w:themeColor="text1"/>
          <w:sz w:val="20"/>
          <w:szCs w:val="20"/>
          <w:lang w:val="pt-BR"/>
        </w:rPr>
        <w:t xml:space="preserve"> </w:t>
      </w:r>
      <w:r>
        <w:rPr>
          <w:rFonts w:asciiTheme="majorHAnsi" w:hAnsiTheme="majorHAnsi"/>
          <w:color w:val="000000" w:themeColor="text1"/>
          <w:sz w:val="20"/>
          <w:szCs w:val="20"/>
          <w:lang w:val="pt-BR"/>
        </w:rPr>
        <w:t>Como</w:t>
      </w:r>
      <w:r w:rsidR="00F673C7" w:rsidRPr="006D1C74">
        <w:rPr>
          <w:rFonts w:asciiTheme="majorHAnsi" w:hAnsiTheme="majorHAnsi"/>
          <w:color w:val="000000" w:themeColor="text1"/>
          <w:sz w:val="20"/>
          <w:szCs w:val="20"/>
          <w:lang w:val="pt-BR"/>
        </w:rPr>
        <w:t xml:space="preserve"> </w:t>
      </w:r>
      <w:r w:rsidR="002649F0" w:rsidRPr="006D1C74">
        <w:rPr>
          <w:rFonts w:asciiTheme="majorHAnsi" w:hAnsiTheme="majorHAnsi"/>
          <w:color w:val="000000" w:themeColor="text1"/>
          <w:sz w:val="20"/>
          <w:szCs w:val="20"/>
          <w:lang w:val="pt-BR"/>
        </w:rPr>
        <w:t>conse</w:t>
      </w:r>
      <w:r w:rsidR="00F80716" w:rsidRPr="006D1C74">
        <w:rPr>
          <w:rFonts w:asciiTheme="majorHAnsi" w:hAnsiTheme="majorHAnsi"/>
          <w:color w:val="000000" w:themeColor="text1"/>
          <w:sz w:val="20"/>
          <w:szCs w:val="20"/>
          <w:lang w:val="pt-BR"/>
        </w:rPr>
        <w:t>q</w:t>
      </w:r>
      <w:r w:rsidR="002649F0" w:rsidRPr="006D1C74">
        <w:rPr>
          <w:rFonts w:asciiTheme="majorHAnsi" w:hAnsiTheme="majorHAnsi"/>
          <w:color w:val="000000" w:themeColor="text1"/>
          <w:sz w:val="20"/>
          <w:szCs w:val="20"/>
          <w:lang w:val="pt-BR"/>
        </w:rPr>
        <w:t>u</w:t>
      </w:r>
      <w:r w:rsidR="00F80716" w:rsidRPr="006D1C74">
        <w:rPr>
          <w:rFonts w:asciiTheme="majorHAnsi" w:hAnsiTheme="majorHAnsi"/>
          <w:color w:val="000000" w:themeColor="text1"/>
          <w:sz w:val="20"/>
          <w:szCs w:val="20"/>
          <w:lang w:val="pt-BR"/>
        </w:rPr>
        <w:t>ê</w:t>
      </w:r>
      <w:r w:rsidR="002649F0" w:rsidRPr="006D1C74">
        <w:rPr>
          <w:rFonts w:asciiTheme="majorHAnsi" w:hAnsiTheme="majorHAnsi"/>
          <w:color w:val="000000" w:themeColor="text1"/>
          <w:sz w:val="20"/>
          <w:szCs w:val="20"/>
          <w:lang w:val="pt-BR"/>
        </w:rPr>
        <w:t xml:space="preserve">ncia, </w:t>
      </w:r>
      <w:r w:rsidR="003028F6" w:rsidRPr="006D1C74">
        <w:rPr>
          <w:rFonts w:asciiTheme="majorHAnsi" w:hAnsiTheme="majorHAnsi"/>
          <w:color w:val="000000" w:themeColor="text1"/>
          <w:sz w:val="20"/>
          <w:szCs w:val="20"/>
          <w:lang w:val="pt-BR"/>
        </w:rPr>
        <w:t>seg</w:t>
      </w:r>
      <w:r w:rsidR="00F80716" w:rsidRPr="006D1C74">
        <w:rPr>
          <w:rFonts w:asciiTheme="majorHAnsi" w:hAnsiTheme="majorHAnsi"/>
          <w:color w:val="000000" w:themeColor="text1"/>
          <w:sz w:val="20"/>
          <w:szCs w:val="20"/>
          <w:lang w:val="pt-BR"/>
        </w:rPr>
        <w:t>u</w:t>
      </w:r>
      <w:r w:rsidR="003028F6" w:rsidRPr="006D1C74">
        <w:rPr>
          <w:rFonts w:asciiTheme="majorHAnsi" w:hAnsiTheme="majorHAnsi"/>
          <w:color w:val="000000" w:themeColor="text1"/>
          <w:sz w:val="20"/>
          <w:szCs w:val="20"/>
          <w:lang w:val="pt-BR"/>
        </w:rPr>
        <w:t>n</w:t>
      </w:r>
      <w:r w:rsidR="00F6370E" w:rsidRPr="006D1C74">
        <w:rPr>
          <w:rFonts w:asciiTheme="majorHAnsi" w:hAnsiTheme="majorHAnsi"/>
          <w:color w:val="000000" w:themeColor="text1"/>
          <w:sz w:val="20"/>
          <w:szCs w:val="20"/>
          <w:lang w:val="pt-BR"/>
        </w:rPr>
        <w:t>do</w:t>
      </w:r>
      <w:r w:rsidR="00700267" w:rsidRPr="006D1C74">
        <w:rPr>
          <w:rFonts w:asciiTheme="majorHAnsi" w:hAnsiTheme="majorHAnsi"/>
          <w:color w:val="000000" w:themeColor="text1"/>
          <w:sz w:val="20"/>
          <w:szCs w:val="20"/>
          <w:lang w:val="pt-BR"/>
        </w:rPr>
        <w:t xml:space="preserve"> a </w:t>
      </w:r>
      <w:r w:rsidR="003028F6" w:rsidRPr="006D1C74">
        <w:rPr>
          <w:rFonts w:asciiTheme="majorHAnsi" w:hAnsiTheme="majorHAnsi"/>
          <w:color w:val="000000" w:themeColor="text1"/>
          <w:sz w:val="20"/>
          <w:szCs w:val="20"/>
          <w:lang w:val="pt-BR"/>
        </w:rPr>
        <w:t xml:space="preserve">parte </w:t>
      </w:r>
      <w:r w:rsidR="00795010" w:rsidRPr="006D1C74">
        <w:rPr>
          <w:rFonts w:asciiTheme="majorHAnsi" w:hAnsiTheme="majorHAnsi"/>
          <w:color w:val="000000" w:themeColor="text1"/>
          <w:sz w:val="20"/>
          <w:szCs w:val="20"/>
          <w:lang w:val="pt-BR"/>
        </w:rPr>
        <w:t>peticionária</w:t>
      </w:r>
      <w:r w:rsidR="003028F6" w:rsidRPr="006D1C74">
        <w:rPr>
          <w:rFonts w:asciiTheme="majorHAnsi" w:hAnsiTheme="majorHAnsi"/>
          <w:color w:val="000000" w:themeColor="text1"/>
          <w:sz w:val="20"/>
          <w:szCs w:val="20"/>
          <w:lang w:val="pt-BR"/>
        </w:rPr>
        <w:t>,</w:t>
      </w:r>
      <w:r w:rsidR="00700267" w:rsidRPr="006D1C74">
        <w:rPr>
          <w:rFonts w:asciiTheme="majorHAnsi" w:hAnsiTheme="majorHAnsi"/>
          <w:color w:val="000000" w:themeColor="text1"/>
          <w:sz w:val="20"/>
          <w:szCs w:val="20"/>
          <w:lang w:val="pt-BR"/>
        </w:rPr>
        <w:t xml:space="preserve"> os </w:t>
      </w:r>
      <w:r w:rsidR="002649F0" w:rsidRPr="006D1C74">
        <w:rPr>
          <w:rFonts w:asciiTheme="majorHAnsi" w:hAnsiTheme="majorHAnsi"/>
          <w:color w:val="000000" w:themeColor="text1"/>
          <w:sz w:val="20"/>
          <w:szCs w:val="20"/>
          <w:lang w:val="pt-BR"/>
        </w:rPr>
        <w:t xml:space="preserve">agentes de </w:t>
      </w:r>
      <w:r w:rsidR="00F37852" w:rsidRPr="006D1C74">
        <w:rPr>
          <w:rFonts w:asciiTheme="majorHAnsi" w:hAnsiTheme="majorHAnsi"/>
          <w:color w:val="000000" w:themeColor="text1"/>
          <w:sz w:val="20"/>
          <w:szCs w:val="20"/>
          <w:lang w:val="pt-BR"/>
        </w:rPr>
        <w:t>polícia</w:t>
      </w:r>
      <w:r w:rsidR="002649F0" w:rsidRPr="006D1C74">
        <w:rPr>
          <w:rFonts w:asciiTheme="majorHAnsi" w:hAnsiTheme="majorHAnsi"/>
          <w:color w:val="000000" w:themeColor="text1"/>
          <w:sz w:val="20"/>
          <w:szCs w:val="20"/>
          <w:lang w:val="pt-BR"/>
        </w:rPr>
        <w:t xml:space="preserve"> </w:t>
      </w:r>
      <w:r w:rsidR="002649F0" w:rsidRPr="006D1C74">
        <w:rPr>
          <w:rFonts w:asciiTheme="majorHAnsi" w:hAnsiTheme="majorHAnsi"/>
          <w:color w:val="000000" w:themeColor="text1"/>
          <w:sz w:val="20"/>
          <w:szCs w:val="20"/>
          <w:lang w:val="pt-BR"/>
        </w:rPr>
        <w:lastRenderedPageBreak/>
        <w:t>come</w:t>
      </w:r>
      <w:r w:rsidR="00F80716" w:rsidRPr="006D1C74">
        <w:rPr>
          <w:rFonts w:asciiTheme="majorHAnsi" w:hAnsiTheme="majorHAnsi"/>
          <w:color w:val="000000" w:themeColor="text1"/>
          <w:sz w:val="20"/>
          <w:szCs w:val="20"/>
          <w:lang w:val="pt-BR"/>
        </w:rPr>
        <w:t>ç</w:t>
      </w:r>
      <w:r w:rsidR="002649F0" w:rsidRPr="006D1C74">
        <w:rPr>
          <w:rFonts w:asciiTheme="majorHAnsi" w:hAnsiTheme="majorHAnsi"/>
          <w:color w:val="000000" w:themeColor="text1"/>
          <w:sz w:val="20"/>
          <w:szCs w:val="20"/>
          <w:lang w:val="pt-BR"/>
        </w:rPr>
        <w:t>a</w:t>
      </w:r>
      <w:r w:rsidR="00F6370E" w:rsidRPr="006D1C74">
        <w:rPr>
          <w:rFonts w:asciiTheme="majorHAnsi" w:hAnsiTheme="majorHAnsi"/>
          <w:color w:val="000000" w:themeColor="text1"/>
          <w:sz w:val="20"/>
          <w:szCs w:val="20"/>
          <w:lang w:val="pt-BR"/>
        </w:rPr>
        <w:t xml:space="preserve">ram </w:t>
      </w:r>
      <w:r w:rsidR="002649F0" w:rsidRPr="006D1C74">
        <w:rPr>
          <w:rFonts w:asciiTheme="majorHAnsi" w:hAnsiTheme="majorHAnsi"/>
          <w:color w:val="000000" w:themeColor="text1"/>
          <w:sz w:val="20"/>
          <w:szCs w:val="20"/>
          <w:lang w:val="pt-BR"/>
        </w:rPr>
        <w:t>a disparar</w:t>
      </w:r>
      <w:r w:rsidR="00F673C7" w:rsidRPr="006D1C74">
        <w:rPr>
          <w:rFonts w:asciiTheme="majorHAnsi" w:hAnsiTheme="majorHAnsi"/>
          <w:color w:val="000000" w:themeColor="text1"/>
          <w:sz w:val="20"/>
          <w:szCs w:val="20"/>
          <w:lang w:val="pt-BR"/>
        </w:rPr>
        <w:t xml:space="preserve"> em </w:t>
      </w:r>
      <w:r w:rsidR="002649F0" w:rsidRPr="006D1C74">
        <w:rPr>
          <w:rFonts w:asciiTheme="majorHAnsi" w:hAnsiTheme="majorHAnsi"/>
          <w:color w:val="000000" w:themeColor="text1"/>
          <w:sz w:val="20"/>
          <w:szCs w:val="20"/>
          <w:lang w:val="pt-BR"/>
        </w:rPr>
        <w:t>dire</w:t>
      </w:r>
      <w:r w:rsidR="00CF037E" w:rsidRPr="006D1C74">
        <w:rPr>
          <w:rFonts w:asciiTheme="majorHAnsi" w:hAnsiTheme="majorHAnsi"/>
          <w:color w:val="000000" w:themeColor="text1"/>
          <w:sz w:val="20"/>
          <w:szCs w:val="20"/>
          <w:lang w:val="pt-BR"/>
        </w:rPr>
        <w:t>ção</w:t>
      </w:r>
      <w:r w:rsidR="002649F0" w:rsidRPr="006D1C74">
        <w:rPr>
          <w:rFonts w:asciiTheme="majorHAnsi" w:hAnsiTheme="majorHAnsi"/>
          <w:color w:val="000000" w:themeColor="text1"/>
          <w:sz w:val="20"/>
          <w:szCs w:val="20"/>
          <w:lang w:val="pt-BR"/>
        </w:rPr>
        <w:t xml:space="preserve"> a</w:t>
      </w:r>
      <w:r w:rsidR="00700267" w:rsidRPr="006D1C74">
        <w:rPr>
          <w:rFonts w:asciiTheme="majorHAnsi" w:hAnsiTheme="majorHAnsi"/>
          <w:color w:val="000000" w:themeColor="text1"/>
          <w:sz w:val="20"/>
          <w:szCs w:val="20"/>
          <w:lang w:val="pt-BR"/>
        </w:rPr>
        <w:t>os trabalh</w:t>
      </w:r>
      <w:r w:rsidR="002649F0" w:rsidRPr="006D1C74">
        <w:rPr>
          <w:rFonts w:asciiTheme="majorHAnsi" w:hAnsiTheme="majorHAnsi"/>
          <w:color w:val="000000" w:themeColor="text1"/>
          <w:sz w:val="20"/>
          <w:szCs w:val="20"/>
          <w:lang w:val="pt-BR"/>
        </w:rPr>
        <w:t xml:space="preserve">adores. </w:t>
      </w:r>
      <w:r w:rsidR="00B42161" w:rsidRPr="006D1C74">
        <w:rPr>
          <w:rFonts w:asciiTheme="majorHAnsi" w:hAnsiTheme="majorHAnsi"/>
          <w:color w:val="000000" w:themeColor="text1"/>
          <w:sz w:val="20"/>
          <w:szCs w:val="20"/>
          <w:lang w:val="pt-BR"/>
        </w:rPr>
        <w:t>A</w:t>
      </w:r>
      <w:r w:rsidR="002649F0" w:rsidRPr="006D1C74">
        <w:rPr>
          <w:rFonts w:asciiTheme="majorHAnsi" w:hAnsiTheme="majorHAnsi"/>
          <w:color w:val="000000" w:themeColor="text1"/>
          <w:sz w:val="20"/>
          <w:szCs w:val="20"/>
          <w:lang w:val="pt-BR"/>
        </w:rPr>
        <w:t xml:space="preserve"> parte </w:t>
      </w:r>
      <w:r w:rsidR="00795010" w:rsidRPr="006D1C74">
        <w:rPr>
          <w:rFonts w:asciiTheme="majorHAnsi" w:hAnsiTheme="majorHAnsi"/>
          <w:color w:val="000000" w:themeColor="text1"/>
          <w:sz w:val="20"/>
          <w:szCs w:val="20"/>
          <w:lang w:val="pt-BR"/>
        </w:rPr>
        <w:t>peticionária</w:t>
      </w:r>
      <w:r w:rsidR="002649F0" w:rsidRPr="006D1C74">
        <w:rPr>
          <w:rFonts w:asciiTheme="majorHAnsi" w:hAnsiTheme="majorHAnsi"/>
          <w:color w:val="000000" w:themeColor="text1"/>
          <w:sz w:val="20"/>
          <w:szCs w:val="20"/>
          <w:lang w:val="pt-BR"/>
        </w:rPr>
        <w:t xml:space="preserve"> informa que, </w:t>
      </w:r>
      <w:r w:rsidR="00F80716" w:rsidRPr="006D1C74">
        <w:rPr>
          <w:rFonts w:asciiTheme="majorHAnsi" w:hAnsiTheme="majorHAnsi"/>
          <w:color w:val="000000" w:themeColor="text1"/>
          <w:sz w:val="20"/>
          <w:szCs w:val="20"/>
          <w:lang w:val="pt-BR"/>
        </w:rPr>
        <w:t>q</w:t>
      </w:r>
      <w:r w:rsidR="002649F0" w:rsidRPr="006D1C74">
        <w:rPr>
          <w:rFonts w:asciiTheme="majorHAnsi" w:hAnsiTheme="majorHAnsi"/>
          <w:color w:val="000000" w:themeColor="text1"/>
          <w:sz w:val="20"/>
          <w:szCs w:val="20"/>
          <w:lang w:val="pt-BR"/>
        </w:rPr>
        <w:t>uando Antonio Tavares f</w:t>
      </w:r>
      <w:r w:rsidR="00F6370E" w:rsidRPr="006D1C74">
        <w:rPr>
          <w:rFonts w:asciiTheme="majorHAnsi" w:hAnsiTheme="majorHAnsi"/>
          <w:color w:val="000000" w:themeColor="text1"/>
          <w:sz w:val="20"/>
          <w:szCs w:val="20"/>
          <w:lang w:val="pt-BR"/>
        </w:rPr>
        <w:t>oi</w:t>
      </w:r>
      <w:r w:rsidR="002649F0" w:rsidRPr="006D1C74">
        <w:rPr>
          <w:rFonts w:asciiTheme="majorHAnsi" w:hAnsiTheme="majorHAnsi"/>
          <w:color w:val="000000" w:themeColor="text1"/>
          <w:sz w:val="20"/>
          <w:szCs w:val="20"/>
          <w:lang w:val="pt-BR"/>
        </w:rPr>
        <w:t xml:space="preserve"> </w:t>
      </w:r>
      <w:r w:rsidR="00F80716" w:rsidRPr="006D1C74">
        <w:rPr>
          <w:rFonts w:asciiTheme="majorHAnsi" w:hAnsiTheme="majorHAnsi"/>
          <w:color w:val="000000" w:themeColor="text1"/>
          <w:sz w:val="20"/>
          <w:szCs w:val="20"/>
          <w:lang w:val="pt-BR"/>
        </w:rPr>
        <w:t>f</w:t>
      </w:r>
      <w:r w:rsidR="002649F0" w:rsidRPr="006D1C74">
        <w:rPr>
          <w:rFonts w:asciiTheme="majorHAnsi" w:hAnsiTheme="majorHAnsi"/>
          <w:color w:val="000000" w:themeColor="text1"/>
          <w:sz w:val="20"/>
          <w:szCs w:val="20"/>
          <w:lang w:val="pt-BR"/>
        </w:rPr>
        <w:t>erido,</w:t>
      </w:r>
      <w:r w:rsidR="00700267" w:rsidRPr="006D1C74">
        <w:rPr>
          <w:rFonts w:asciiTheme="majorHAnsi" w:hAnsiTheme="majorHAnsi"/>
          <w:color w:val="000000" w:themeColor="text1"/>
          <w:sz w:val="20"/>
          <w:szCs w:val="20"/>
          <w:lang w:val="pt-BR"/>
        </w:rPr>
        <w:t xml:space="preserve"> a </w:t>
      </w:r>
      <w:r w:rsidR="00F37852" w:rsidRPr="006D1C74">
        <w:rPr>
          <w:rFonts w:asciiTheme="majorHAnsi" w:hAnsiTheme="majorHAnsi"/>
          <w:color w:val="000000" w:themeColor="text1"/>
          <w:sz w:val="20"/>
          <w:szCs w:val="20"/>
          <w:lang w:val="pt-BR"/>
        </w:rPr>
        <w:t>polícia</w:t>
      </w:r>
      <w:r w:rsidR="00F673C7" w:rsidRPr="006D1C74">
        <w:rPr>
          <w:rFonts w:asciiTheme="majorHAnsi" w:hAnsiTheme="majorHAnsi"/>
          <w:color w:val="000000" w:themeColor="text1"/>
          <w:sz w:val="20"/>
          <w:szCs w:val="20"/>
          <w:lang w:val="pt-BR"/>
        </w:rPr>
        <w:t xml:space="preserve"> não </w:t>
      </w:r>
      <w:r w:rsidR="002649F0" w:rsidRPr="006D1C74">
        <w:rPr>
          <w:rFonts w:asciiTheme="majorHAnsi" w:hAnsiTheme="majorHAnsi"/>
          <w:color w:val="000000" w:themeColor="text1"/>
          <w:sz w:val="20"/>
          <w:szCs w:val="20"/>
          <w:lang w:val="pt-BR"/>
        </w:rPr>
        <w:t>o auxili</w:t>
      </w:r>
      <w:r w:rsidR="00F6370E" w:rsidRPr="006D1C74">
        <w:rPr>
          <w:rFonts w:asciiTheme="majorHAnsi" w:hAnsiTheme="majorHAnsi"/>
          <w:color w:val="000000" w:themeColor="text1"/>
          <w:sz w:val="20"/>
          <w:szCs w:val="20"/>
          <w:lang w:val="pt-BR"/>
        </w:rPr>
        <w:t>ou</w:t>
      </w:r>
      <w:r w:rsidR="00750325" w:rsidRPr="006D1C74">
        <w:rPr>
          <w:rFonts w:asciiTheme="majorHAnsi" w:hAnsiTheme="majorHAnsi"/>
          <w:color w:val="000000" w:themeColor="text1"/>
          <w:sz w:val="20"/>
          <w:szCs w:val="20"/>
          <w:lang w:val="pt-BR"/>
        </w:rPr>
        <w:t xml:space="preserve"> n</w:t>
      </w:r>
      <w:r w:rsidR="00F6370E" w:rsidRPr="006D1C74">
        <w:rPr>
          <w:rFonts w:asciiTheme="majorHAnsi" w:hAnsiTheme="majorHAnsi"/>
          <w:color w:val="000000" w:themeColor="text1"/>
          <w:sz w:val="20"/>
          <w:szCs w:val="20"/>
          <w:lang w:val="pt-BR"/>
        </w:rPr>
        <w:t>em</w:t>
      </w:r>
      <w:r w:rsidR="00750325" w:rsidRPr="006D1C74">
        <w:rPr>
          <w:rFonts w:asciiTheme="majorHAnsi" w:hAnsiTheme="majorHAnsi"/>
          <w:color w:val="000000" w:themeColor="text1"/>
          <w:sz w:val="20"/>
          <w:szCs w:val="20"/>
          <w:lang w:val="pt-BR"/>
        </w:rPr>
        <w:t xml:space="preserve"> </w:t>
      </w:r>
      <w:r w:rsidR="002649F0" w:rsidRPr="006D1C74">
        <w:rPr>
          <w:rFonts w:asciiTheme="majorHAnsi" w:hAnsiTheme="majorHAnsi"/>
          <w:color w:val="000000" w:themeColor="text1"/>
          <w:sz w:val="20"/>
          <w:szCs w:val="20"/>
          <w:lang w:val="pt-BR"/>
        </w:rPr>
        <w:t>socorr</w:t>
      </w:r>
      <w:r w:rsidR="00F6370E" w:rsidRPr="006D1C74">
        <w:rPr>
          <w:rFonts w:asciiTheme="majorHAnsi" w:hAnsiTheme="majorHAnsi"/>
          <w:color w:val="000000" w:themeColor="text1"/>
          <w:sz w:val="20"/>
          <w:szCs w:val="20"/>
          <w:lang w:val="pt-BR"/>
        </w:rPr>
        <w:t>eu as</w:t>
      </w:r>
      <w:r w:rsidR="00030019" w:rsidRPr="006D1C74">
        <w:rPr>
          <w:rFonts w:asciiTheme="majorHAnsi" w:hAnsiTheme="majorHAnsi"/>
          <w:color w:val="000000" w:themeColor="text1"/>
          <w:sz w:val="20"/>
          <w:szCs w:val="20"/>
          <w:lang w:val="pt-BR"/>
        </w:rPr>
        <w:t xml:space="preserve"> </w:t>
      </w:r>
      <w:r w:rsidR="002649F0" w:rsidRPr="006D1C74">
        <w:rPr>
          <w:rFonts w:asciiTheme="majorHAnsi" w:hAnsiTheme="majorHAnsi"/>
          <w:color w:val="000000" w:themeColor="text1"/>
          <w:sz w:val="20"/>
          <w:szCs w:val="20"/>
          <w:lang w:val="pt-BR"/>
        </w:rPr>
        <w:t>de</w:t>
      </w:r>
      <w:r w:rsidR="00D74A93" w:rsidRPr="006D1C74">
        <w:rPr>
          <w:rFonts w:asciiTheme="majorHAnsi" w:hAnsiTheme="majorHAnsi"/>
          <w:color w:val="000000" w:themeColor="text1"/>
          <w:sz w:val="20"/>
          <w:szCs w:val="20"/>
          <w:lang w:val="pt-BR"/>
        </w:rPr>
        <w:t>mais</w:t>
      </w:r>
      <w:r w:rsidR="002649F0" w:rsidRPr="006D1C74">
        <w:rPr>
          <w:rFonts w:asciiTheme="majorHAnsi" w:hAnsiTheme="majorHAnsi"/>
          <w:color w:val="000000" w:themeColor="text1"/>
          <w:sz w:val="20"/>
          <w:szCs w:val="20"/>
          <w:lang w:val="pt-BR"/>
        </w:rPr>
        <w:t xml:space="preserve"> </w:t>
      </w:r>
      <w:r w:rsidR="00795010" w:rsidRPr="006D1C74">
        <w:rPr>
          <w:rFonts w:asciiTheme="majorHAnsi" w:hAnsiTheme="majorHAnsi"/>
          <w:color w:val="000000" w:themeColor="text1"/>
          <w:sz w:val="20"/>
          <w:szCs w:val="20"/>
          <w:lang w:val="pt-BR"/>
        </w:rPr>
        <w:t>vítima</w:t>
      </w:r>
      <w:r w:rsidR="002649F0" w:rsidRPr="006D1C74">
        <w:rPr>
          <w:rFonts w:asciiTheme="majorHAnsi" w:hAnsiTheme="majorHAnsi"/>
          <w:color w:val="000000" w:themeColor="text1"/>
          <w:sz w:val="20"/>
          <w:szCs w:val="20"/>
          <w:lang w:val="pt-BR"/>
        </w:rPr>
        <w:t xml:space="preserve">s que </w:t>
      </w:r>
      <w:r w:rsidR="00F6370E" w:rsidRPr="006D1C74">
        <w:rPr>
          <w:rFonts w:asciiTheme="majorHAnsi" w:hAnsiTheme="majorHAnsi"/>
          <w:color w:val="000000" w:themeColor="text1"/>
          <w:sz w:val="20"/>
          <w:szCs w:val="20"/>
          <w:lang w:val="pt-BR"/>
        </w:rPr>
        <w:t xml:space="preserve">foram </w:t>
      </w:r>
      <w:r w:rsidR="00585D35" w:rsidRPr="006D1C74">
        <w:rPr>
          <w:rFonts w:asciiTheme="majorHAnsi" w:hAnsiTheme="majorHAnsi"/>
          <w:color w:val="000000" w:themeColor="text1"/>
          <w:sz w:val="20"/>
          <w:szCs w:val="20"/>
          <w:lang w:val="pt-BR"/>
        </w:rPr>
        <w:t>f</w:t>
      </w:r>
      <w:r w:rsidR="002649F0" w:rsidRPr="006D1C74">
        <w:rPr>
          <w:rFonts w:asciiTheme="majorHAnsi" w:hAnsiTheme="majorHAnsi"/>
          <w:color w:val="000000" w:themeColor="text1"/>
          <w:sz w:val="20"/>
          <w:szCs w:val="20"/>
          <w:lang w:val="pt-BR"/>
        </w:rPr>
        <w:t>eridas. Seg</w:t>
      </w:r>
      <w:r w:rsidR="00585D35" w:rsidRPr="006D1C74">
        <w:rPr>
          <w:rFonts w:asciiTheme="majorHAnsi" w:hAnsiTheme="majorHAnsi"/>
          <w:color w:val="000000" w:themeColor="text1"/>
          <w:sz w:val="20"/>
          <w:szCs w:val="20"/>
          <w:lang w:val="pt-BR"/>
        </w:rPr>
        <w:t>u</w:t>
      </w:r>
      <w:r w:rsidR="002649F0" w:rsidRPr="006D1C74">
        <w:rPr>
          <w:rFonts w:asciiTheme="majorHAnsi" w:hAnsiTheme="majorHAnsi"/>
          <w:color w:val="000000" w:themeColor="text1"/>
          <w:sz w:val="20"/>
          <w:szCs w:val="20"/>
          <w:lang w:val="pt-BR"/>
        </w:rPr>
        <w:t>n</w:t>
      </w:r>
      <w:r w:rsidR="00F6370E" w:rsidRPr="006D1C74">
        <w:rPr>
          <w:rFonts w:asciiTheme="majorHAnsi" w:hAnsiTheme="majorHAnsi"/>
          <w:color w:val="000000" w:themeColor="text1"/>
          <w:sz w:val="20"/>
          <w:szCs w:val="20"/>
          <w:lang w:val="pt-BR"/>
        </w:rPr>
        <w:t>do</w:t>
      </w:r>
      <w:r w:rsidR="00700267" w:rsidRPr="006D1C74">
        <w:rPr>
          <w:rFonts w:asciiTheme="majorHAnsi" w:hAnsiTheme="majorHAnsi"/>
          <w:color w:val="000000" w:themeColor="text1"/>
          <w:sz w:val="20"/>
          <w:szCs w:val="20"/>
          <w:lang w:val="pt-BR"/>
        </w:rPr>
        <w:t xml:space="preserve"> os </w:t>
      </w:r>
      <w:r w:rsidR="002649F0" w:rsidRPr="006D1C74">
        <w:rPr>
          <w:rFonts w:asciiTheme="majorHAnsi" w:hAnsiTheme="majorHAnsi"/>
          <w:sz w:val="20"/>
          <w:szCs w:val="20"/>
          <w:lang w:val="pt-BR"/>
        </w:rPr>
        <w:t>cálculos</w:t>
      </w:r>
      <w:r w:rsidR="00795010" w:rsidRPr="006D1C74">
        <w:rPr>
          <w:rFonts w:asciiTheme="majorHAnsi" w:hAnsiTheme="majorHAnsi"/>
          <w:sz w:val="20"/>
          <w:szCs w:val="20"/>
          <w:lang w:val="pt-BR"/>
        </w:rPr>
        <w:t xml:space="preserve"> da </w:t>
      </w:r>
      <w:r w:rsidR="002649F0" w:rsidRPr="006D1C74">
        <w:rPr>
          <w:rFonts w:asciiTheme="majorHAnsi" w:hAnsiTheme="majorHAnsi"/>
          <w:sz w:val="20"/>
          <w:szCs w:val="20"/>
          <w:lang w:val="pt-BR"/>
        </w:rPr>
        <w:t xml:space="preserve">parte </w:t>
      </w:r>
      <w:r w:rsidR="00795010" w:rsidRPr="006D1C74">
        <w:rPr>
          <w:rFonts w:asciiTheme="majorHAnsi" w:hAnsiTheme="majorHAnsi"/>
          <w:sz w:val="20"/>
          <w:szCs w:val="20"/>
          <w:lang w:val="pt-BR"/>
        </w:rPr>
        <w:t>peticionária</w:t>
      </w:r>
      <w:r w:rsidR="002649F0" w:rsidRPr="006D1C74">
        <w:rPr>
          <w:rFonts w:asciiTheme="majorHAnsi" w:hAnsiTheme="majorHAnsi"/>
          <w:sz w:val="20"/>
          <w:szCs w:val="20"/>
          <w:lang w:val="pt-BR"/>
        </w:rPr>
        <w:t xml:space="preserve">, 185 </w:t>
      </w:r>
      <w:r w:rsidR="00700267" w:rsidRPr="006D1C74">
        <w:rPr>
          <w:rFonts w:asciiTheme="majorHAnsi" w:hAnsiTheme="majorHAnsi"/>
          <w:sz w:val="20"/>
          <w:szCs w:val="20"/>
          <w:lang w:val="pt-BR"/>
        </w:rPr>
        <w:t>trabalh</w:t>
      </w:r>
      <w:r w:rsidR="002649F0" w:rsidRPr="006D1C74">
        <w:rPr>
          <w:rFonts w:asciiTheme="majorHAnsi" w:hAnsiTheme="majorHAnsi"/>
          <w:sz w:val="20"/>
          <w:szCs w:val="20"/>
          <w:lang w:val="pt-BR"/>
        </w:rPr>
        <w:t xml:space="preserve">adores </w:t>
      </w:r>
      <w:r w:rsidR="00F6370E" w:rsidRPr="006D1C74">
        <w:rPr>
          <w:rFonts w:asciiTheme="majorHAnsi" w:hAnsiTheme="majorHAnsi"/>
          <w:sz w:val="20"/>
          <w:szCs w:val="20"/>
          <w:lang w:val="pt-BR"/>
        </w:rPr>
        <w:t>ficaram</w:t>
      </w:r>
      <w:r w:rsidR="002649F0" w:rsidRPr="006D1C74">
        <w:rPr>
          <w:rFonts w:asciiTheme="majorHAnsi" w:hAnsiTheme="majorHAnsi"/>
          <w:sz w:val="20"/>
          <w:szCs w:val="20"/>
          <w:lang w:val="pt-BR"/>
        </w:rPr>
        <w:t xml:space="preserve"> </w:t>
      </w:r>
      <w:r w:rsidR="00585D35" w:rsidRPr="006D1C74">
        <w:rPr>
          <w:rFonts w:asciiTheme="majorHAnsi" w:hAnsiTheme="majorHAnsi"/>
          <w:sz w:val="20"/>
          <w:szCs w:val="20"/>
          <w:lang w:val="pt-BR"/>
        </w:rPr>
        <w:t>f</w:t>
      </w:r>
      <w:r w:rsidR="002649F0" w:rsidRPr="006D1C74">
        <w:rPr>
          <w:rFonts w:asciiTheme="majorHAnsi" w:hAnsiTheme="majorHAnsi"/>
          <w:sz w:val="20"/>
          <w:szCs w:val="20"/>
          <w:lang w:val="pt-BR"/>
        </w:rPr>
        <w:t>eridos.</w:t>
      </w:r>
    </w:p>
    <w:p w14:paraId="3956C04F" w14:textId="77777777" w:rsidR="002649F0" w:rsidRPr="006D1C74" w:rsidRDefault="002649F0" w:rsidP="002649F0">
      <w:pPr>
        <w:ind w:left="720"/>
        <w:rPr>
          <w:rFonts w:asciiTheme="majorHAnsi" w:eastAsia="Cambria" w:hAnsiTheme="majorHAnsi" w:cs="Cambria"/>
          <w:sz w:val="20"/>
          <w:szCs w:val="20"/>
          <w:u w:color="000000"/>
          <w:lang w:val="pt-BR" w:eastAsia="es-ES"/>
        </w:rPr>
      </w:pPr>
    </w:p>
    <w:p w14:paraId="501C6E84" w14:textId="239D0ED3" w:rsidR="002649F0" w:rsidRPr="006D1C74" w:rsidRDefault="00B4216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Batang" w:hAnsiTheme="majorHAnsi"/>
          <w:color w:val="000000" w:themeColor="text1"/>
          <w:sz w:val="20"/>
          <w:szCs w:val="20"/>
          <w:bdr w:val="none" w:sz="0" w:space="0" w:color="auto"/>
          <w:lang w:val="pt-BR"/>
        </w:rPr>
      </w:pPr>
      <w:r w:rsidRPr="006D1C74">
        <w:rPr>
          <w:rFonts w:asciiTheme="majorHAnsi" w:hAnsiTheme="majorHAnsi"/>
          <w:color w:val="000000" w:themeColor="text1"/>
          <w:sz w:val="20"/>
          <w:szCs w:val="20"/>
          <w:lang w:val="pt-BR"/>
        </w:rPr>
        <w:t>A</w:t>
      </w:r>
      <w:r w:rsidR="002649F0" w:rsidRPr="006D1C74">
        <w:rPr>
          <w:rFonts w:asciiTheme="majorHAnsi" w:hAnsiTheme="majorHAnsi"/>
          <w:color w:val="000000" w:themeColor="text1"/>
          <w:sz w:val="20"/>
          <w:szCs w:val="20"/>
          <w:lang w:val="pt-BR"/>
        </w:rPr>
        <w:t xml:space="preserve"> parte </w:t>
      </w:r>
      <w:r w:rsidR="00795010" w:rsidRPr="006D1C74">
        <w:rPr>
          <w:rFonts w:asciiTheme="majorHAnsi" w:hAnsiTheme="majorHAnsi"/>
          <w:color w:val="000000" w:themeColor="text1"/>
          <w:sz w:val="20"/>
          <w:szCs w:val="20"/>
          <w:lang w:val="pt-BR"/>
        </w:rPr>
        <w:t>peticionária</w:t>
      </w:r>
      <w:r w:rsidR="002649F0" w:rsidRPr="006D1C74">
        <w:rPr>
          <w:rFonts w:asciiTheme="majorHAnsi" w:hAnsiTheme="majorHAnsi"/>
          <w:color w:val="000000" w:themeColor="text1"/>
          <w:sz w:val="20"/>
          <w:szCs w:val="20"/>
          <w:lang w:val="pt-BR"/>
        </w:rPr>
        <w:t xml:space="preserve"> destaca que, se</w:t>
      </w:r>
      <w:r w:rsidR="00585D35" w:rsidRPr="006D1C74">
        <w:rPr>
          <w:rFonts w:asciiTheme="majorHAnsi" w:hAnsiTheme="majorHAnsi"/>
          <w:color w:val="000000" w:themeColor="text1"/>
          <w:sz w:val="20"/>
          <w:szCs w:val="20"/>
          <w:lang w:val="pt-BR"/>
        </w:rPr>
        <w:t>gu</w:t>
      </w:r>
      <w:r w:rsidR="002649F0" w:rsidRPr="006D1C74">
        <w:rPr>
          <w:rFonts w:asciiTheme="majorHAnsi" w:hAnsiTheme="majorHAnsi"/>
          <w:color w:val="000000" w:themeColor="text1"/>
          <w:sz w:val="20"/>
          <w:szCs w:val="20"/>
          <w:lang w:val="pt-BR"/>
        </w:rPr>
        <w:t>n</w:t>
      </w:r>
      <w:r w:rsidR="00CA7940" w:rsidRPr="006D1C74">
        <w:rPr>
          <w:rFonts w:asciiTheme="majorHAnsi" w:hAnsiTheme="majorHAnsi"/>
          <w:color w:val="000000" w:themeColor="text1"/>
          <w:sz w:val="20"/>
          <w:szCs w:val="20"/>
          <w:lang w:val="pt-BR"/>
        </w:rPr>
        <w:t>do</w:t>
      </w:r>
      <w:r w:rsidR="00700267" w:rsidRPr="006D1C74">
        <w:rPr>
          <w:rFonts w:asciiTheme="majorHAnsi" w:hAnsiTheme="majorHAnsi"/>
          <w:color w:val="000000" w:themeColor="text1"/>
          <w:sz w:val="20"/>
          <w:szCs w:val="20"/>
          <w:lang w:val="pt-BR"/>
        </w:rPr>
        <w:t xml:space="preserve"> as </w:t>
      </w:r>
      <w:r w:rsidR="002649F0" w:rsidRPr="006D1C74">
        <w:rPr>
          <w:rFonts w:asciiTheme="majorHAnsi" w:hAnsiTheme="majorHAnsi"/>
          <w:color w:val="000000" w:themeColor="text1"/>
          <w:sz w:val="20"/>
          <w:szCs w:val="20"/>
          <w:lang w:val="pt-BR"/>
        </w:rPr>
        <w:t>declara</w:t>
      </w:r>
      <w:r w:rsidR="00CF037E" w:rsidRPr="006D1C74">
        <w:rPr>
          <w:rFonts w:asciiTheme="majorHAnsi" w:hAnsiTheme="majorHAnsi"/>
          <w:color w:val="000000" w:themeColor="text1"/>
          <w:sz w:val="20"/>
          <w:szCs w:val="20"/>
          <w:lang w:val="pt-BR"/>
        </w:rPr>
        <w:t>ções</w:t>
      </w:r>
      <w:r w:rsidR="00700267" w:rsidRPr="006D1C74">
        <w:rPr>
          <w:rFonts w:asciiTheme="majorHAnsi" w:hAnsiTheme="majorHAnsi"/>
          <w:color w:val="000000" w:themeColor="text1"/>
          <w:sz w:val="20"/>
          <w:szCs w:val="20"/>
          <w:lang w:val="pt-BR"/>
        </w:rPr>
        <w:t xml:space="preserve"> dos trabalh</w:t>
      </w:r>
      <w:r w:rsidR="002649F0" w:rsidRPr="006D1C74">
        <w:rPr>
          <w:rFonts w:asciiTheme="majorHAnsi" w:hAnsiTheme="majorHAnsi"/>
          <w:color w:val="000000" w:themeColor="text1"/>
          <w:sz w:val="20"/>
          <w:szCs w:val="20"/>
          <w:lang w:val="pt-BR"/>
        </w:rPr>
        <w:t>adores,</w:t>
      </w:r>
      <w:r w:rsidR="00700267" w:rsidRPr="006D1C74">
        <w:rPr>
          <w:rFonts w:asciiTheme="majorHAnsi" w:hAnsiTheme="majorHAnsi"/>
          <w:color w:val="000000" w:themeColor="text1"/>
          <w:sz w:val="20"/>
          <w:szCs w:val="20"/>
          <w:lang w:val="pt-BR"/>
        </w:rPr>
        <w:t xml:space="preserve"> a </w:t>
      </w:r>
      <w:r w:rsidR="002649F0" w:rsidRPr="006D1C74">
        <w:rPr>
          <w:rFonts w:asciiTheme="majorHAnsi" w:hAnsiTheme="majorHAnsi"/>
          <w:color w:val="000000" w:themeColor="text1"/>
          <w:sz w:val="20"/>
          <w:szCs w:val="20"/>
          <w:lang w:val="pt-BR"/>
        </w:rPr>
        <w:t>agres</w:t>
      </w:r>
      <w:r w:rsidR="00CA7940" w:rsidRPr="006D1C74">
        <w:rPr>
          <w:rFonts w:asciiTheme="majorHAnsi" w:hAnsiTheme="majorHAnsi"/>
          <w:color w:val="000000" w:themeColor="text1"/>
          <w:sz w:val="20"/>
          <w:szCs w:val="20"/>
          <w:lang w:val="pt-BR"/>
        </w:rPr>
        <w:t>são</w:t>
      </w:r>
      <w:r w:rsidR="002649F0" w:rsidRPr="006D1C74">
        <w:rPr>
          <w:rFonts w:asciiTheme="majorHAnsi" w:hAnsiTheme="majorHAnsi"/>
          <w:color w:val="000000" w:themeColor="text1"/>
          <w:sz w:val="20"/>
          <w:szCs w:val="20"/>
          <w:lang w:val="pt-BR"/>
        </w:rPr>
        <w:t xml:space="preserve"> policial</w:t>
      </w:r>
      <w:r w:rsidR="00CA7940" w:rsidRPr="006D1C74">
        <w:rPr>
          <w:rFonts w:asciiTheme="majorHAnsi" w:hAnsiTheme="majorHAnsi"/>
          <w:color w:val="000000" w:themeColor="text1"/>
          <w:sz w:val="20"/>
          <w:szCs w:val="20"/>
          <w:lang w:val="pt-BR"/>
        </w:rPr>
        <w:t xml:space="preserve"> foi des</w:t>
      </w:r>
      <w:r w:rsidR="002649F0" w:rsidRPr="006D1C74">
        <w:rPr>
          <w:rFonts w:asciiTheme="majorHAnsi" w:hAnsiTheme="majorHAnsi"/>
          <w:color w:val="000000" w:themeColor="text1"/>
          <w:sz w:val="20"/>
          <w:szCs w:val="20"/>
          <w:lang w:val="pt-BR"/>
        </w:rPr>
        <w:t>neces</w:t>
      </w:r>
      <w:r w:rsidR="00585D35" w:rsidRPr="006D1C74">
        <w:rPr>
          <w:rFonts w:asciiTheme="majorHAnsi" w:hAnsiTheme="majorHAnsi"/>
          <w:color w:val="000000" w:themeColor="text1"/>
          <w:sz w:val="20"/>
          <w:szCs w:val="20"/>
          <w:lang w:val="pt-BR"/>
        </w:rPr>
        <w:t>sá</w:t>
      </w:r>
      <w:r w:rsidR="002649F0" w:rsidRPr="006D1C74">
        <w:rPr>
          <w:rFonts w:asciiTheme="majorHAnsi" w:hAnsiTheme="majorHAnsi"/>
          <w:color w:val="000000" w:themeColor="text1"/>
          <w:sz w:val="20"/>
          <w:szCs w:val="20"/>
          <w:lang w:val="pt-BR"/>
        </w:rPr>
        <w:t>ria</w:t>
      </w:r>
      <w:r w:rsidR="003D3B11">
        <w:rPr>
          <w:rFonts w:asciiTheme="majorHAnsi" w:hAnsiTheme="majorHAnsi"/>
          <w:color w:val="000000" w:themeColor="text1"/>
          <w:sz w:val="20"/>
          <w:szCs w:val="20"/>
          <w:lang w:val="pt-BR"/>
        </w:rPr>
        <w:t>;</w:t>
      </w:r>
      <w:r w:rsidR="002649F0" w:rsidRPr="006D1C74">
        <w:rPr>
          <w:rFonts w:asciiTheme="majorHAnsi" w:hAnsiTheme="majorHAnsi"/>
          <w:color w:val="000000" w:themeColor="text1"/>
          <w:sz w:val="20"/>
          <w:szCs w:val="20"/>
          <w:lang w:val="pt-BR"/>
        </w:rPr>
        <w:t xml:space="preserve"> su</w:t>
      </w:r>
      <w:r w:rsidR="00585D35" w:rsidRPr="006D1C74">
        <w:rPr>
          <w:rFonts w:asciiTheme="majorHAnsi" w:hAnsiTheme="majorHAnsi"/>
          <w:color w:val="000000" w:themeColor="text1"/>
          <w:sz w:val="20"/>
          <w:szCs w:val="20"/>
          <w:lang w:val="pt-BR"/>
        </w:rPr>
        <w:t>a</w:t>
      </w:r>
      <w:r w:rsidR="002649F0" w:rsidRPr="006D1C74">
        <w:rPr>
          <w:rFonts w:asciiTheme="majorHAnsi" w:hAnsiTheme="majorHAnsi"/>
          <w:color w:val="000000" w:themeColor="text1"/>
          <w:sz w:val="20"/>
          <w:szCs w:val="20"/>
          <w:lang w:val="pt-BR"/>
        </w:rPr>
        <w:t xml:space="preserve"> finali</w:t>
      </w:r>
      <w:r w:rsidR="00F673C7" w:rsidRPr="006D1C74">
        <w:rPr>
          <w:rFonts w:asciiTheme="majorHAnsi" w:hAnsiTheme="majorHAnsi"/>
          <w:color w:val="000000" w:themeColor="text1"/>
          <w:sz w:val="20"/>
          <w:szCs w:val="20"/>
          <w:lang w:val="pt-BR"/>
        </w:rPr>
        <w:t xml:space="preserve">dade não </w:t>
      </w:r>
      <w:r w:rsidR="002649F0" w:rsidRPr="006D1C74">
        <w:rPr>
          <w:rFonts w:asciiTheme="majorHAnsi" w:hAnsiTheme="majorHAnsi"/>
          <w:color w:val="000000" w:themeColor="text1"/>
          <w:sz w:val="20"/>
          <w:szCs w:val="20"/>
          <w:lang w:val="pt-BR"/>
        </w:rPr>
        <w:t>era dispersar</w:t>
      </w:r>
      <w:r w:rsidR="00030019" w:rsidRPr="006D1C74">
        <w:rPr>
          <w:rFonts w:asciiTheme="majorHAnsi" w:hAnsiTheme="majorHAnsi"/>
          <w:color w:val="000000" w:themeColor="text1"/>
          <w:sz w:val="20"/>
          <w:szCs w:val="20"/>
          <w:lang w:val="pt-BR"/>
        </w:rPr>
        <w:t xml:space="preserve"> </w:t>
      </w:r>
      <w:r w:rsidR="00CA7940" w:rsidRPr="006D1C74">
        <w:rPr>
          <w:rFonts w:asciiTheme="majorHAnsi" w:hAnsiTheme="majorHAnsi"/>
          <w:color w:val="000000" w:themeColor="text1"/>
          <w:sz w:val="20"/>
          <w:szCs w:val="20"/>
          <w:lang w:val="pt-BR"/>
        </w:rPr>
        <w:t>a</w:t>
      </w:r>
      <w:r w:rsidR="00030019" w:rsidRPr="006D1C74">
        <w:rPr>
          <w:rFonts w:asciiTheme="majorHAnsi" w:hAnsiTheme="majorHAnsi"/>
          <w:color w:val="000000" w:themeColor="text1"/>
          <w:sz w:val="20"/>
          <w:szCs w:val="20"/>
          <w:lang w:val="pt-BR"/>
        </w:rPr>
        <w:t xml:space="preserve"> </w:t>
      </w:r>
      <w:r w:rsidR="002649F0" w:rsidRPr="006D1C74">
        <w:rPr>
          <w:rFonts w:asciiTheme="majorHAnsi" w:hAnsiTheme="majorHAnsi"/>
          <w:color w:val="000000" w:themeColor="text1"/>
          <w:sz w:val="20"/>
          <w:szCs w:val="20"/>
          <w:lang w:val="pt-BR"/>
        </w:rPr>
        <w:t>multi</w:t>
      </w:r>
      <w:r w:rsidR="00CA7940" w:rsidRPr="006D1C74">
        <w:rPr>
          <w:rFonts w:asciiTheme="majorHAnsi" w:hAnsiTheme="majorHAnsi"/>
          <w:color w:val="000000" w:themeColor="text1"/>
          <w:sz w:val="20"/>
          <w:szCs w:val="20"/>
          <w:lang w:val="pt-BR"/>
        </w:rPr>
        <w:t>dão</w:t>
      </w:r>
      <w:r w:rsidR="003D3B11">
        <w:rPr>
          <w:rFonts w:asciiTheme="majorHAnsi" w:hAnsiTheme="majorHAnsi"/>
          <w:color w:val="000000" w:themeColor="text1"/>
          <w:sz w:val="20"/>
          <w:szCs w:val="20"/>
          <w:lang w:val="pt-BR"/>
        </w:rPr>
        <w:t xml:space="preserve">, pois </w:t>
      </w:r>
      <w:r w:rsidR="00700267" w:rsidRPr="006D1C74">
        <w:rPr>
          <w:rFonts w:asciiTheme="majorHAnsi" w:hAnsiTheme="majorHAnsi"/>
          <w:color w:val="000000" w:themeColor="text1"/>
          <w:sz w:val="20"/>
          <w:szCs w:val="20"/>
          <w:lang w:val="pt-BR"/>
        </w:rPr>
        <w:t xml:space="preserve">os </w:t>
      </w:r>
      <w:r w:rsidR="002649F0" w:rsidRPr="006D1C74">
        <w:rPr>
          <w:rFonts w:asciiTheme="majorHAnsi" w:hAnsiTheme="majorHAnsi"/>
          <w:color w:val="000000" w:themeColor="text1"/>
          <w:sz w:val="20"/>
          <w:szCs w:val="20"/>
          <w:lang w:val="pt-BR"/>
        </w:rPr>
        <w:t xml:space="preserve">agentes de </w:t>
      </w:r>
      <w:r w:rsidR="00F37852" w:rsidRPr="006D1C74">
        <w:rPr>
          <w:rFonts w:asciiTheme="majorHAnsi" w:hAnsiTheme="majorHAnsi"/>
          <w:color w:val="000000" w:themeColor="text1"/>
          <w:sz w:val="20"/>
          <w:szCs w:val="20"/>
          <w:lang w:val="pt-BR"/>
        </w:rPr>
        <w:t>polícia</w:t>
      </w:r>
      <w:r w:rsidR="002649F0" w:rsidRPr="006D1C74">
        <w:rPr>
          <w:rFonts w:asciiTheme="majorHAnsi" w:hAnsiTheme="majorHAnsi"/>
          <w:color w:val="000000" w:themeColor="text1"/>
          <w:sz w:val="20"/>
          <w:szCs w:val="20"/>
          <w:lang w:val="pt-BR"/>
        </w:rPr>
        <w:t xml:space="preserve"> disparar</w:t>
      </w:r>
      <w:r w:rsidR="00585D35" w:rsidRPr="006D1C74">
        <w:rPr>
          <w:rFonts w:asciiTheme="majorHAnsi" w:hAnsiTheme="majorHAnsi"/>
          <w:color w:val="000000" w:themeColor="text1"/>
          <w:sz w:val="20"/>
          <w:szCs w:val="20"/>
          <w:lang w:val="pt-BR"/>
        </w:rPr>
        <w:t>am</w:t>
      </w:r>
      <w:r w:rsidR="002649F0" w:rsidRPr="006D1C74">
        <w:rPr>
          <w:rFonts w:asciiTheme="majorHAnsi" w:hAnsiTheme="majorHAnsi"/>
          <w:color w:val="000000" w:themeColor="text1"/>
          <w:sz w:val="20"/>
          <w:szCs w:val="20"/>
          <w:lang w:val="pt-BR"/>
        </w:rPr>
        <w:t xml:space="preserve"> diretamente</w:t>
      </w:r>
      <w:r w:rsidR="00030019" w:rsidRPr="006D1C74">
        <w:rPr>
          <w:rFonts w:asciiTheme="majorHAnsi" w:hAnsiTheme="majorHAnsi"/>
          <w:color w:val="000000" w:themeColor="text1"/>
          <w:sz w:val="20"/>
          <w:szCs w:val="20"/>
          <w:lang w:val="pt-BR"/>
        </w:rPr>
        <w:t xml:space="preserve"> </w:t>
      </w:r>
      <w:r w:rsidR="00CA7940" w:rsidRPr="006D1C74">
        <w:rPr>
          <w:rFonts w:asciiTheme="majorHAnsi" w:hAnsiTheme="majorHAnsi"/>
          <w:color w:val="000000" w:themeColor="text1"/>
          <w:sz w:val="20"/>
          <w:szCs w:val="20"/>
          <w:lang w:val="pt-BR"/>
        </w:rPr>
        <w:t>contra a</w:t>
      </w:r>
      <w:r w:rsidR="00030019" w:rsidRPr="006D1C74">
        <w:rPr>
          <w:rFonts w:asciiTheme="majorHAnsi" w:hAnsiTheme="majorHAnsi"/>
          <w:color w:val="000000" w:themeColor="text1"/>
          <w:sz w:val="20"/>
          <w:szCs w:val="20"/>
          <w:lang w:val="pt-BR"/>
        </w:rPr>
        <w:t xml:space="preserve">s </w:t>
      </w:r>
      <w:r w:rsidR="00CA7940" w:rsidRPr="006D1C74">
        <w:rPr>
          <w:rFonts w:asciiTheme="majorHAnsi" w:hAnsiTheme="majorHAnsi"/>
          <w:color w:val="000000" w:themeColor="text1"/>
          <w:sz w:val="20"/>
          <w:szCs w:val="20"/>
          <w:lang w:val="pt-BR"/>
        </w:rPr>
        <w:t>pessoa</w:t>
      </w:r>
      <w:r w:rsidR="002649F0" w:rsidRPr="006D1C74">
        <w:rPr>
          <w:rFonts w:asciiTheme="majorHAnsi" w:hAnsiTheme="majorHAnsi"/>
          <w:color w:val="000000" w:themeColor="text1"/>
          <w:sz w:val="20"/>
          <w:szCs w:val="20"/>
          <w:lang w:val="pt-BR"/>
        </w:rPr>
        <w:t>s</w:t>
      </w:r>
      <w:r w:rsidR="00CF037E" w:rsidRPr="006D1C74">
        <w:rPr>
          <w:rFonts w:asciiTheme="majorHAnsi" w:hAnsiTheme="majorHAnsi"/>
          <w:color w:val="000000" w:themeColor="text1"/>
          <w:sz w:val="20"/>
          <w:szCs w:val="20"/>
          <w:lang w:val="pt-BR"/>
        </w:rPr>
        <w:t xml:space="preserve"> </w:t>
      </w:r>
      <w:r w:rsidR="002649F0" w:rsidRPr="006D1C74">
        <w:rPr>
          <w:rFonts w:asciiTheme="majorHAnsi" w:hAnsiTheme="majorHAnsi"/>
          <w:color w:val="000000" w:themeColor="text1"/>
          <w:sz w:val="20"/>
          <w:szCs w:val="20"/>
          <w:lang w:val="pt-BR"/>
        </w:rPr>
        <w:t xml:space="preserve">antes de </w:t>
      </w:r>
      <w:r w:rsidR="00585D35" w:rsidRPr="006D1C74">
        <w:rPr>
          <w:rFonts w:asciiTheme="majorHAnsi" w:hAnsiTheme="majorHAnsi"/>
          <w:color w:val="000000" w:themeColor="text1"/>
          <w:sz w:val="20"/>
          <w:szCs w:val="20"/>
          <w:lang w:val="pt-BR"/>
        </w:rPr>
        <w:t>q</w:t>
      </w:r>
      <w:r w:rsidR="002649F0" w:rsidRPr="006D1C74">
        <w:rPr>
          <w:rFonts w:asciiTheme="majorHAnsi" w:hAnsiTheme="majorHAnsi"/>
          <w:color w:val="000000" w:themeColor="text1"/>
          <w:sz w:val="20"/>
          <w:szCs w:val="20"/>
          <w:lang w:val="pt-BR"/>
        </w:rPr>
        <w:t>ualquer tipo de negocia</w:t>
      </w:r>
      <w:r w:rsidR="00CF037E" w:rsidRPr="006D1C74">
        <w:rPr>
          <w:rFonts w:asciiTheme="majorHAnsi" w:hAnsiTheme="majorHAnsi"/>
          <w:color w:val="000000" w:themeColor="text1"/>
          <w:sz w:val="20"/>
          <w:szCs w:val="20"/>
          <w:lang w:val="pt-BR"/>
        </w:rPr>
        <w:t>ção</w:t>
      </w:r>
      <w:r w:rsidR="002649F0" w:rsidRPr="006D1C74">
        <w:rPr>
          <w:rFonts w:asciiTheme="majorHAnsi" w:hAnsiTheme="majorHAnsi"/>
          <w:color w:val="000000" w:themeColor="text1"/>
          <w:sz w:val="20"/>
          <w:szCs w:val="20"/>
          <w:lang w:val="pt-BR"/>
        </w:rPr>
        <w:t>. Afirma que</w:t>
      </w:r>
      <w:r w:rsidR="00700267" w:rsidRPr="006D1C74">
        <w:rPr>
          <w:rFonts w:asciiTheme="majorHAnsi" w:hAnsiTheme="majorHAnsi"/>
          <w:color w:val="000000" w:themeColor="text1"/>
          <w:sz w:val="20"/>
          <w:szCs w:val="20"/>
          <w:lang w:val="pt-BR"/>
        </w:rPr>
        <w:t xml:space="preserve"> o </w:t>
      </w:r>
      <w:r w:rsidR="002649F0" w:rsidRPr="006D1C74">
        <w:rPr>
          <w:rFonts w:asciiTheme="majorHAnsi" w:hAnsiTheme="majorHAnsi"/>
          <w:color w:val="000000" w:themeColor="text1"/>
          <w:sz w:val="20"/>
          <w:szCs w:val="20"/>
          <w:lang w:val="pt-BR"/>
        </w:rPr>
        <w:t>resultado —</w:t>
      </w:r>
      <w:r w:rsidR="00217759" w:rsidRPr="006D1C74">
        <w:rPr>
          <w:rFonts w:asciiTheme="majorHAnsi" w:hAnsiTheme="majorHAnsi"/>
          <w:color w:val="000000" w:themeColor="text1"/>
          <w:sz w:val="20"/>
          <w:szCs w:val="20"/>
          <w:lang w:val="pt-BR"/>
        </w:rPr>
        <w:t xml:space="preserve"> </w:t>
      </w:r>
      <w:r w:rsidR="002649F0" w:rsidRPr="006D1C74">
        <w:rPr>
          <w:rFonts w:asciiTheme="majorHAnsi" w:hAnsiTheme="majorHAnsi"/>
          <w:color w:val="000000" w:themeColor="text1"/>
          <w:sz w:val="20"/>
          <w:szCs w:val="20"/>
          <w:lang w:val="pt-BR"/>
        </w:rPr>
        <w:t>u</w:t>
      </w:r>
      <w:r w:rsidR="00585D35" w:rsidRPr="006D1C74">
        <w:rPr>
          <w:rFonts w:asciiTheme="majorHAnsi" w:hAnsiTheme="majorHAnsi"/>
          <w:color w:val="000000" w:themeColor="text1"/>
          <w:sz w:val="20"/>
          <w:szCs w:val="20"/>
          <w:lang w:val="pt-BR"/>
        </w:rPr>
        <w:t>m</w:t>
      </w:r>
      <w:r w:rsidR="002649F0" w:rsidRPr="006D1C74">
        <w:rPr>
          <w:rFonts w:asciiTheme="majorHAnsi" w:hAnsiTheme="majorHAnsi"/>
          <w:color w:val="000000" w:themeColor="text1"/>
          <w:sz w:val="20"/>
          <w:szCs w:val="20"/>
          <w:lang w:val="pt-BR"/>
        </w:rPr>
        <w:t xml:space="preserve"> </w:t>
      </w:r>
      <w:r w:rsidR="00585D35" w:rsidRPr="006D1C74">
        <w:rPr>
          <w:rFonts w:asciiTheme="majorHAnsi" w:hAnsiTheme="majorHAnsi"/>
          <w:color w:val="000000" w:themeColor="text1"/>
          <w:sz w:val="20"/>
          <w:szCs w:val="20"/>
          <w:lang w:val="pt-BR"/>
        </w:rPr>
        <w:t>mort</w:t>
      </w:r>
      <w:r w:rsidR="002649F0" w:rsidRPr="006D1C74">
        <w:rPr>
          <w:rFonts w:asciiTheme="majorHAnsi" w:hAnsiTheme="majorHAnsi"/>
          <w:color w:val="000000" w:themeColor="text1"/>
          <w:sz w:val="20"/>
          <w:szCs w:val="20"/>
          <w:lang w:val="pt-BR"/>
        </w:rPr>
        <w:t>o</w:t>
      </w:r>
      <w:r w:rsidR="00CF037E" w:rsidRPr="006D1C74">
        <w:rPr>
          <w:rFonts w:asciiTheme="majorHAnsi" w:hAnsiTheme="majorHAnsi"/>
          <w:color w:val="000000" w:themeColor="text1"/>
          <w:sz w:val="20"/>
          <w:szCs w:val="20"/>
          <w:lang w:val="pt-BR"/>
        </w:rPr>
        <w:t xml:space="preserve"> e </w:t>
      </w:r>
      <w:r w:rsidR="002649F0" w:rsidRPr="006D1C74">
        <w:rPr>
          <w:rFonts w:asciiTheme="majorHAnsi" w:hAnsiTheme="majorHAnsi"/>
          <w:color w:val="000000" w:themeColor="text1"/>
          <w:sz w:val="20"/>
          <w:szCs w:val="20"/>
          <w:lang w:val="pt-BR"/>
        </w:rPr>
        <w:t xml:space="preserve">numerosos </w:t>
      </w:r>
      <w:r w:rsidR="00585D35" w:rsidRPr="006D1C74">
        <w:rPr>
          <w:rFonts w:asciiTheme="majorHAnsi" w:hAnsiTheme="majorHAnsi"/>
          <w:color w:val="000000" w:themeColor="text1"/>
          <w:sz w:val="20"/>
          <w:szCs w:val="20"/>
          <w:lang w:val="pt-BR"/>
        </w:rPr>
        <w:t>f</w:t>
      </w:r>
      <w:r w:rsidR="002649F0" w:rsidRPr="006D1C74">
        <w:rPr>
          <w:rFonts w:asciiTheme="majorHAnsi" w:hAnsiTheme="majorHAnsi"/>
          <w:color w:val="000000" w:themeColor="text1"/>
          <w:sz w:val="20"/>
          <w:szCs w:val="20"/>
          <w:lang w:val="pt-BR"/>
        </w:rPr>
        <w:t>eridos</w:t>
      </w:r>
      <w:r w:rsidR="00217759" w:rsidRPr="006D1C74">
        <w:rPr>
          <w:rFonts w:asciiTheme="majorHAnsi" w:hAnsiTheme="majorHAnsi"/>
          <w:color w:val="000000" w:themeColor="text1"/>
          <w:sz w:val="20"/>
          <w:szCs w:val="20"/>
          <w:lang w:val="pt-BR"/>
        </w:rPr>
        <w:t xml:space="preserve"> </w:t>
      </w:r>
      <w:r w:rsidR="002649F0" w:rsidRPr="006D1C74">
        <w:rPr>
          <w:rFonts w:asciiTheme="majorHAnsi" w:hAnsiTheme="majorHAnsi"/>
          <w:color w:val="000000" w:themeColor="text1"/>
          <w:sz w:val="20"/>
          <w:szCs w:val="20"/>
          <w:lang w:val="pt-BR"/>
        </w:rPr>
        <w:t xml:space="preserve">— </w:t>
      </w:r>
      <w:r w:rsidR="00585D35" w:rsidRPr="006D1C74">
        <w:rPr>
          <w:rFonts w:asciiTheme="majorHAnsi" w:hAnsiTheme="majorHAnsi"/>
          <w:color w:val="000000" w:themeColor="text1"/>
          <w:sz w:val="20"/>
          <w:szCs w:val="20"/>
          <w:lang w:val="pt-BR"/>
        </w:rPr>
        <w:t>foi devido</w:t>
      </w:r>
      <w:r w:rsidR="002649F0" w:rsidRPr="006D1C74">
        <w:rPr>
          <w:rFonts w:asciiTheme="majorHAnsi" w:hAnsiTheme="majorHAnsi"/>
          <w:color w:val="000000" w:themeColor="text1"/>
          <w:sz w:val="20"/>
          <w:szCs w:val="20"/>
          <w:lang w:val="pt-BR"/>
        </w:rPr>
        <w:t xml:space="preserve"> a</w:t>
      </w:r>
      <w:r w:rsidR="00217759" w:rsidRPr="006D1C74">
        <w:rPr>
          <w:rFonts w:asciiTheme="majorHAnsi" w:hAnsiTheme="majorHAnsi"/>
          <w:color w:val="000000" w:themeColor="text1"/>
          <w:sz w:val="20"/>
          <w:szCs w:val="20"/>
          <w:lang w:val="pt-BR"/>
        </w:rPr>
        <w:t>o</w:t>
      </w:r>
      <w:r w:rsidR="002649F0" w:rsidRPr="006D1C74">
        <w:rPr>
          <w:rFonts w:asciiTheme="majorHAnsi" w:hAnsiTheme="majorHAnsi"/>
          <w:color w:val="000000" w:themeColor="text1"/>
          <w:sz w:val="20"/>
          <w:szCs w:val="20"/>
          <w:lang w:val="pt-BR"/>
        </w:rPr>
        <w:t xml:space="preserve"> uso exces</w:t>
      </w:r>
      <w:r w:rsidR="00585D35" w:rsidRPr="006D1C74">
        <w:rPr>
          <w:rFonts w:asciiTheme="majorHAnsi" w:hAnsiTheme="majorHAnsi"/>
          <w:color w:val="000000" w:themeColor="text1"/>
          <w:sz w:val="20"/>
          <w:szCs w:val="20"/>
          <w:lang w:val="pt-BR"/>
        </w:rPr>
        <w:t>s</w:t>
      </w:r>
      <w:r w:rsidR="002649F0" w:rsidRPr="006D1C74">
        <w:rPr>
          <w:rFonts w:asciiTheme="majorHAnsi" w:hAnsiTheme="majorHAnsi"/>
          <w:color w:val="000000" w:themeColor="text1"/>
          <w:sz w:val="20"/>
          <w:szCs w:val="20"/>
          <w:lang w:val="pt-BR"/>
        </w:rPr>
        <w:t>ivo</w:t>
      </w:r>
      <w:r w:rsidR="00795010" w:rsidRPr="006D1C74">
        <w:rPr>
          <w:rFonts w:asciiTheme="majorHAnsi" w:hAnsiTheme="majorHAnsi"/>
          <w:color w:val="000000" w:themeColor="text1"/>
          <w:sz w:val="20"/>
          <w:szCs w:val="20"/>
          <w:lang w:val="pt-BR"/>
        </w:rPr>
        <w:t xml:space="preserve"> da </w:t>
      </w:r>
      <w:r w:rsidR="002649F0" w:rsidRPr="006D1C74">
        <w:rPr>
          <w:rFonts w:asciiTheme="majorHAnsi" w:hAnsiTheme="majorHAnsi"/>
          <w:color w:val="000000" w:themeColor="text1"/>
          <w:sz w:val="20"/>
          <w:szCs w:val="20"/>
          <w:lang w:val="pt-BR"/>
        </w:rPr>
        <w:t>f</w:t>
      </w:r>
      <w:r w:rsidR="00217759" w:rsidRPr="006D1C74">
        <w:rPr>
          <w:rFonts w:asciiTheme="majorHAnsi" w:hAnsiTheme="majorHAnsi"/>
          <w:color w:val="000000" w:themeColor="text1"/>
          <w:sz w:val="20"/>
          <w:szCs w:val="20"/>
          <w:lang w:val="pt-BR"/>
        </w:rPr>
        <w:t>o</w:t>
      </w:r>
      <w:r w:rsidR="002649F0" w:rsidRPr="006D1C74">
        <w:rPr>
          <w:rFonts w:asciiTheme="majorHAnsi" w:hAnsiTheme="majorHAnsi"/>
          <w:color w:val="000000" w:themeColor="text1"/>
          <w:sz w:val="20"/>
          <w:szCs w:val="20"/>
          <w:lang w:val="pt-BR"/>
        </w:rPr>
        <w:t>r</w:t>
      </w:r>
      <w:r w:rsidR="00585D35" w:rsidRPr="006D1C74">
        <w:rPr>
          <w:rFonts w:asciiTheme="majorHAnsi" w:hAnsiTheme="majorHAnsi"/>
          <w:color w:val="000000" w:themeColor="text1"/>
          <w:sz w:val="20"/>
          <w:szCs w:val="20"/>
          <w:lang w:val="pt-BR"/>
        </w:rPr>
        <w:t>ç</w:t>
      </w:r>
      <w:r w:rsidR="002649F0" w:rsidRPr="006D1C74">
        <w:rPr>
          <w:rFonts w:asciiTheme="majorHAnsi" w:hAnsiTheme="majorHAnsi"/>
          <w:color w:val="000000" w:themeColor="text1"/>
          <w:sz w:val="20"/>
          <w:szCs w:val="20"/>
          <w:lang w:val="pt-BR"/>
        </w:rPr>
        <w:t>a</w:t>
      </w:r>
      <w:r w:rsidR="00CF037E" w:rsidRPr="006D1C74">
        <w:rPr>
          <w:rFonts w:asciiTheme="majorHAnsi" w:hAnsiTheme="majorHAnsi"/>
          <w:color w:val="000000" w:themeColor="text1"/>
          <w:sz w:val="20"/>
          <w:szCs w:val="20"/>
          <w:lang w:val="pt-BR"/>
        </w:rPr>
        <w:t xml:space="preserve"> e</w:t>
      </w:r>
      <w:r w:rsidR="00D74A93" w:rsidRPr="006D1C74">
        <w:rPr>
          <w:rFonts w:asciiTheme="majorHAnsi" w:hAnsiTheme="majorHAnsi"/>
          <w:color w:val="000000" w:themeColor="text1"/>
          <w:sz w:val="20"/>
          <w:szCs w:val="20"/>
          <w:lang w:val="pt-BR"/>
        </w:rPr>
        <w:t xml:space="preserve"> das </w:t>
      </w:r>
      <w:r w:rsidR="002649F0" w:rsidRPr="006D1C74">
        <w:rPr>
          <w:rFonts w:asciiTheme="majorHAnsi" w:hAnsiTheme="majorHAnsi"/>
          <w:color w:val="000000" w:themeColor="text1"/>
          <w:sz w:val="20"/>
          <w:szCs w:val="20"/>
          <w:lang w:val="pt-BR"/>
        </w:rPr>
        <w:t>arma</w:t>
      </w:r>
      <w:r w:rsidR="00750325" w:rsidRPr="006D1C74">
        <w:rPr>
          <w:rFonts w:asciiTheme="majorHAnsi" w:hAnsiTheme="majorHAnsi"/>
          <w:color w:val="000000" w:themeColor="text1"/>
          <w:sz w:val="20"/>
          <w:szCs w:val="20"/>
          <w:lang w:val="pt-BR"/>
        </w:rPr>
        <w:t>s</w:t>
      </w:r>
      <w:r w:rsidR="002649F0" w:rsidRPr="006D1C74">
        <w:rPr>
          <w:rFonts w:asciiTheme="majorHAnsi" w:hAnsiTheme="majorHAnsi"/>
          <w:color w:val="000000" w:themeColor="text1"/>
          <w:sz w:val="20"/>
          <w:szCs w:val="20"/>
          <w:lang w:val="pt-BR"/>
        </w:rPr>
        <w:t>, desproporciona</w:t>
      </w:r>
      <w:r w:rsidR="00217759" w:rsidRPr="006D1C74">
        <w:rPr>
          <w:rFonts w:asciiTheme="majorHAnsi" w:hAnsiTheme="majorHAnsi"/>
          <w:color w:val="000000" w:themeColor="text1"/>
          <w:sz w:val="20"/>
          <w:szCs w:val="20"/>
          <w:lang w:val="pt-BR"/>
        </w:rPr>
        <w:t>l</w:t>
      </w:r>
      <w:r w:rsidR="002649F0" w:rsidRPr="006D1C74">
        <w:rPr>
          <w:rFonts w:asciiTheme="majorHAnsi" w:hAnsiTheme="majorHAnsi"/>
          <w:color w:val="000000" w:themeColor="text1"/>
          <w:sz w:val="20"/>
          <w:szCs w:val="20"/>
          <w:lang w:val="pt-BR"/>
        </w:rPr>
        <w:t xml:space="preserve"> frente a </w:t>
      </w:r>
      <w:r w:rsidR="00700267" w:rsidRPr="006D1C74">
        <w:rPr>
          <w:rFonts w:asciiTheme="majorHAnsi" w:hAnsiTheme="majorHAnsi"/>
          <w:color w:val="000000" w:themeColor="text1"/>
          <w:sz w:val="20"/>
          <w:szCs w:val="20"/>
          <w:lang w:val="pt-BR"/>
        </w:rPr>
        <w:t>trabalh</w:t>
      </w:r>
      <w:r w:rsidR="002649F0" w:rsidRPr="006D1C74">
        <w:rPr>
          <w:rFonts w:asciiTheme="majorHAnsi" w:hAnsiTheme="majorHAnsi"/>
          <w:color w:val="000000" w:themeColor="text1"/>
          <w:sz w:val="20"/>
          <w:szCs w:val="20"/>
          <w:lang w:val="pt-BR"/>
        </w:rPr>
        <w:t>adores que porta</w:t>
      </w:r>
      <w:r w:rsidR="00585D35" w:rsidRPr="006D1C74">
        <w:rPr>
          <w:rFonts w:asciiTheme="majorHAnsi" w:hAnsiTheme="majorHAnsi"/>
          <w:color w:val="000000" w:themeColor="text1"/>
          <w:sz w:val="20"/>
          <w:szCs w:val="20"/>
          <w:lang w:val="pt-BR"/>
        </w:rPr>
        <w:t>vam</w:t>
      </w:r>
      <w:r w:rsidR="002649F0" w:rsidRPr="006D1C74">
        <w:rPr>
          <w:rFonts w:asciiTheme="majorHAnsi" w:hAnsiTheme="majorHAnsi"/>
          <w:color w:val="000000" w:themeColor="text1"/>
          <w:sz w:val="20"/>
          <w:szCs w:val="20"/>
          <w:lang w:val="pt-BR"/>
        </w:rPr>
        <w:t xml:space="preserve"> so</w:t>
      </w:r>
      <w:r w:rsidR="00217759" w:rsidRPr="006D1C74">
        <w:rPr>
          <w:rFonts w:asciiTheme="majorHAnsi" w:hAnsiTheme="majorHAnsi"/>
          <w:color w:val="000000" w:themeColor="text1"/>
          <w:sz w:val="20"/>
          <w:szCs w:val="20"/>
          <w:lang w:val="pt-BR"/>
        </w:rPr>
        <w:t>mente</w:t>
      </w:r>
      <w:r w:rsidR="002649F0" w:rsidRPr="006D1C74">
        <w:rPr>
          <w:rFonts w:asciiTheme="majorHAnsi" w:hAnsiTheme="majorHAnsi"/>
          <w:color w:val="000000" w:themeColor="text1"/>
          <w:sz w:val="20"/>
          <w:szCs w:val="20"/>
          <w:lang w:val="pt-BR"/>
        </w:rPr>
        <w:t xml:space="preserve"> su</w:t>
      </w:r>
      <w:r w:rsidR="00585D35" w:rsidRPr="006D1C74">
        <w:rPr>
          <w:rFonts w:asciiTheme="majorHAnsi" w:hAnsiTheme="majorHAnsi"/>
          <w:color w:val="000000" w:themeColor="text1"/>
          <w:sz w:val="20"/>
          <w:szCs w:val="20"/>
          <w:lang w:val="pt-BR"/>
        </w:rPr>
        <w:t>a</w:t>
      </w:r>
      <w:r w:rsidR="002649F0" w:rsidRPr="006D1C74">
        <w:rPr>
          <w:rFonts w:asciiTheme="majorHAnsi" w:hAnsiTheme="majorHAnsi"/>
          <w:color w:val="000000" w:themeColor="text1"/>
          <w:sz w:val="20"/>
          <w:szCs w:val="20"/>
          <w:lang w:val="pt-BR"/>
        </w:rPr>
        <w:t xml:space="preserve">s </w:t>
      </w:r>
      <w:r w:rsidR="00217759" w:rsidRPr="006D1C74">
        <w:rPr>
          <w:rFonts w:asciiTheme="majorHAnsi" w:hAnsiTheme="majorHAnsi"/>
          <w:color w:val="000000" w:themeColor="text1"/>
          <w:sz w:val="20"/>
          <w:szCs w:val="20"/>
          <w:lang w:val="pt-BR"/>
        </w:rPr>
        <w:t>f</w:t>
      </w:r>
      <w:r w:rsidR="002649F0" w:rsidRPr="006D1C74">
        <w:rPr>
          <w:rFonts w:asciiTheme="majorHAnsi" w:hAnsiTheme="majorHAnsi"/>
          <w:color w:val="000000" w:themeColor="text1"/>
          <w:sz w:val="20"/>
          <w:szCs w:val="20"/>
          <w:lang w:val="pt-BR"/>
        </w:rPr>
        <w:t xml:space="preserve">erramentas de </w:t>
      </w:r>
      <w:r w:rsidR="00700267" w:rsidRPr="006D1C74">
        <w:rPr>
          <w:rFonts w:asciiTheme="majorHAnsi" w:hAnsiTheme="majorHAnsi"/>
          <w:color w:val="000000" w:themeColor="text1"/>
          <w:sz w:val="20"/>
          <w:szCs w:val="20"/>
          <w:lang w:val="pt-BR"/>
        </w:rPr>
        <w:t>trabalh</w:t>
      </w:r>
      <w:r w:rsidR="002649F0" w:rsidRPr="006D1C74">
        <w:rPr>
          <w:rFonts w:asciiTheme="majorHAnsi" w:hAnsiTheme="majorHAnsi"/>
          <w:color w:val="000000" w:themeColor="text1"/>
          <w:sz w:val="20"/>
          <w:szCs w:val="20"/>
          <w:lang w:val="pt-BR"/>
        </w:rPr>
        <w:t xml:space="preserve">o, que </w:t>
      </w:r>
      <w:r w:rsidR="00217759" w:rsidRPr="006D1C74">
        <w:rPr>
          <w:rFonts w:asciiTheme="majorHAnsi" w:hAnsiTheme="majorHAnsi"/>
          <w:color w:val="000000" w:themeColor="text1"/>
          <w:sz w:val="20"/>
          <w:szCs w:val="20"/>
          <w:lang w:val="pt-BR"/>
        </w:rPr>
        <w:t>já</w:t>
      </w:r>
      <w:r w:rsidR="002649F0" w:rsidRPr="006D1C74">
        <w:rPr>
          <w:rFonts w:asciiTheme="majorHAnsi" w:hAnsiTheme="majorHAnsi"/>
          <w:color w:val="000000" w:themeColor="text1"/>
          <w:sz w:val="20"/>
          <w:szCs w:val="20"/>
          <w:lang w:val="pt-BR"/>
        </w:rPr>
        <w:t xml:space="preserve"> ha</w:t>
      </w:r>
      <w:r w:rsidR="00217759" w:rsidRPr="006D1C74">
        <w:rPr>
          <w:rFonts w:asciiTheme="majorHAnsi" w:hAnsiTheme="majorHAnsi"/>
          <w:color w:val="000000" w:themeColor="text1"/>
          <w:sz w:val="20"/>
          <w:szCs w:val="20"/>
          <w:lang w:val="pt-BR"/>
        </w:rPr>
        <w:t>v</w:t>
      </w:r>
      <w:r w:rsidR="00055622" w:rsidRPr="006D1C74">
        <w:rPr>
          <w:rFonts w:asciiTheme="majorHAnsi" w:hAnsiTheme="majorHAnsi"/>
          <w:color w:val="000000" w:themeColor="text1"/>
          <w:sz w:val="20"/>
          <w:szCs w:val="20"/>
          <w:lang w:val="pt-BR"/>
        </w:rPr>
        <w:t>ia</w:t>
      </w:r>
      <w:r w:rsidR="00585D35" w:rsidRPr="006D1C74">
        <w:rPr>
          <w:rFonts w:asciiTheme="majorHAnsi" w:hAnsiTheme="majorHAnsi"/>
          <w:color w:val="000000" w:themeColor="text1"/>
          <w:sz w:val="20"/>
          <w:szCs w:val="20"/>
          <w:lang w:val="pt-BR"/>
        </w:rPr>
        <w:t>m</w:t>
      </w:r>
      <w:r w:rsidR="002649F0" w:rsidRPr="006D1C74">
        <w:rPr>
          <w:rFonts w:asciiTheme="majorHAnsi" w:hAnsiTheme="majorHAnsi"/>
          <w:color w:val="000000" w:themeColor="text1"/>
          <w:sz w:val="20"/>
          <w:szCs w:val="20"/>
          <w:lang w:val="pt-BR"/>
        </w:rPr>
        <w:t xml:space="preserve"> sido </w:t>
      </w:r>
      <w:r w:rsidR="00217759" w:rsidRPr="006D1C74">
        <w:rPr>
          <w:rFonts w:asciiTheme="majorHAnsi" w:hAnsiTheme="majorHAnsi"/>
          <w:color w:val="000000" w:themeColor="text1"/>
          <w:sz w:val="20"/>
          <w:szCs w:val="20"/>
          <w:lang w:val="pt-BR"/>
        </w:rPr>
        <w:t>apreendi</w:t>
      </w:r>
      <w:r w:rsidR="002649F0" w:rsidRPr="006D1C74">
        <w:rPr>
          <w:rFonts w:asciiTheme="majorHAnsi" w:hAnsiTheme="majorHAnsi"/>
          <w:color w:val="000000" w:themeColor="text1"/>
          <w:sz w:val="20"/>
          <w:szCs w:val="20"/>
          <w:lang w:val="pt-BR"/>
        </w:rPr>
        <w:t>das</w:t>
      </w:r>
      <w:r w:rsidR="00F37852" w:rsidRPr="006D1C74">
        <w:rPr>
          <w:rFonts w:asciiTheme="majorHAnsi" w:hAnsiTheme="majorHAnsi"/>
          <w:color w:val="000000" w:themeColor="text1"/>
          <w:sz w:val="20"/>
          <w:szCs w:val="20"/>
          <w:lang w:val="pt-BR"/>
        </w:rPr>
        <w:t xml:space="preserve"> pela polícia</w:t>
      </w:r>
      <w:r w:rsidR="002649F0" w:rsidRPr="006D1C74">
        <w:rPr>
          <w:rFonts w:asciiTheme="majorHAnsi" w:hAnsiTheme="majorHAnsi"/>
          <w:color w:val="000000" w:themeColor="text1"/>
          <w:sz w:val="20"/>
          <w:szCs w:val="20"/>
          <w:lang w:val="pt-BR"/>
        </w:rPr>
        <w:t>. Re</w:t>
      </w:r>
      <w:r w:rsidR="00217759" w:rsidRPr="006D1C74">
        <w:rPr>
          <w:rFonts w:asciiTheme="majorHAnsi" w:hAnsiTheme="majorHAnsi"/>
          <w:color w:val="000000" w:themeColor="text1"/>
          <w:sz w:val="20"/>
          <w:szCs w:val="20"/>
          <w:lang w:val="pt-BR"/>
        </w:rPr>
        <w:t>ss</w:t>
      </w:r>
      <w:r w:rsidR="002649F0" w:rsidRPr="006D1C74">
        <w:rPr>
          <w:rFonts w:asciiTheme="majorHAnsi" w:hAnsiTheme="majorHAnsi"/>
          <w:color w:val="000000" w:themeColor="text1"/>
          <w:sz w:val="20"/>
          <w:szCs w:val="20"/>
          <w:lang w:val="pt-BR"/>
        </w:rPr>
        <w:t>al</w:t>
      </w:r>
      <w:r w:rsidR="00217759" w:rsidRPr="006D1C74">
        <w:rPr>
          <w:rFonts w:asciiTheme="majorHAnsi" w:hAnsiTheme="majorHAnsi"/>
          <w:color w:val="000000" w:themeColor="text1"/>
          <w:sz w:val="20"/>
          <w:szCs w:val="20"/>
          <w:lang w:val="pt-BR"/>
        </w:rPr>
        <w:t>t</w:t>
      </w:r>
      <w:r w:rsidR="002649F0" w:rsidRPr="006D1C74">
        <w:rPr>
          <w:rFonts w:asciiTheme="majorHAnsi" w:hAnsiTheme="majorHAnsi"/>
          <w:color w:val="000000" w:themeColor="text1"/>
          <w:sz w:val="20"/>
          <w:szCs w:val="20"/>
          <w:lang w:val="pt-BR"/>
        </w:rPr>
        <w:t xml:space="preserve">a </w:t>
      </w:r>
      <w:r w:rsidR="002649F0" w:rsidRPr="006D1C74">
        <w:rPr>
          <w:rFonts w:asciiTheme="majorHAnsi" w:eastAsia="Batang" w:hAnsiTheme="majorHAnsi"/>
          <w:color w:val="000000" w:themeColor="text1"/>
          <w:sz w:val="20"/>
          <w:szCs w:val="20"/>
          <w:bdr w:val="none" w:sz="0" w:space="0" w:color="auto"/>
          <w:lang w:val="pt-BR"/>
        </w:rPr>
        <w:t>que</w:t>
      </w:r>
      <w:r w:rsidR="00700267" w:rsidRPr="006D1C74">
        <w:rPr>
          <w:rFonts w:asciiTheme="majorHAnsi" w:eastAsia="Batang" w:hAnsiTheme="majorHAnsi"/>
          <w:color w:val="000000" w:themeColor="text1"/>
          <w:sz w:val="20"/>
          <w:szCs w:val="20"/>
          <w:bdr w:val="none" w:sz="0" w:space="0" w:color="auto"/>
          <w:lang w:val="pt-BR"/>
        </w:rPr>
        <w:t xml:space="preserve"> o </w:t>
      </w:r>
      <w:r w:rsidR="002649F0" w:rsidRPr="006D1C74">
        <w:rPr>
          <w:rFonts w:asciiTheme="majorHAnsi" w:eastAsia="Batang" w:hAnsiTheme="majorHAnsi"/>
          <w:color w:val="000000" w:themeColor="text1"/>
          <w:sz w:val="20"/>
          <w:szCs w:val="20"/>
          <w:bdr w:val="none" w:sz="0" w:space="0" w:color="auto"/>
          <w:lang w:val="pt-BR"/>
        </w:rPr>
        <w:t>Estado,</w:t>
      </w:r>
      <w:r w:rsidR="00217759" w:rsidRPr="006D1C74">
        <w:rPr>
          <w:rFonts w:asciiTheme="majorHAnsi" w:eastAsia="Batang" w:hAnsiTheme="majorHAnsi"/>
          <w:color w:val="000000" w:themeColor="text1"/>
          <w:sz w:val="20"/>
          <w:szCs w:val="20"/>
          <w:bdr w:val="none" w:sz="0" w:space="0" w:color="auto"/>
          <w:lang w:val="pt-BR"/>
        </w:rPr>
        <w:t xml:space="preserve"> ao </w:t>
      </w:r>
      <w:r w:rsidR="002649F0" w:rsidRPr="006D1C74">
        <w:rPr>
          <w:rFonts w:asciiTheme="majorHAnsi" w:eastAsia="Batang" w:hAnsiTheme="majorHAnsi"/>
          <w:color w:val="000000" w:themeColor="text1"/>
          <w:sz w:val="20"/>
          <w:szCs w:val="20"/>
          <w:bdr w:val="none" w:sz="0" w:space="0" w:color="auto"/>
          <w:lang w:val="pt-BR"/>
        </w:rPr>
        <w:t>tomar con</w:t>
      </w:r>
      <w:r w:rsidR="00585D35" w:rsidRPr="006D1C74">
        <w:rPr>
          <w:rFonts w:asciiTheme="majorHAnsi" w:eastAsia="Batang" w:hAnsiTheme="majorHAnsi"/>
          <w:color w:val="000000" w:themeColor="text1"/>
          <w:sz w:val="20"/>
          <w:szCs w:val="20"/>
          <w:bdr w:val="none" w:sz="0" w:space="0" w:color="auto"/>
          <w:lang w:val="pt-BR"/>
        </w:rPr>
        <w:t>he</w:t>
      </w:r>
      <w:r w:rsidR="002649F0" w:rsidRPr="006D1C74">
        <w:rPr>
          <w:rFonts w:asciiTheme="majorHAnsi" w:eastAsia="Batang" w:hAnsiTheme="majorHAnsi"/>
          <w:color w:val="000000" w:themeColor="text1"/>
          <w:sz w:val="20"/>
          <w:szCs w:val="20"/>
          <w:bdr w:val="none" w:sz="0" w:space="0" w:color="auto"/>
          <w:lang w:val="pt-BR"/>
        </w:rPr>
        <w:t>ci</w:t>
      </w:r>
      <w:r w:rsidR="00700267" w:rsidRPr="006D1C74">
        <w:rPr>
          <w:rFonts w:asciiTheme="majorHAnsi" w:eastAsia="Batang" w:hAnsiTheme="majorHAnsi"/>
          <w:color w:val="000000" w:themeColor="text1"/>
          <w:sz w:val="20"/>
          <w:szCs w:val="20"/>
          <w:bdr w:val="none" w:sz="0" w:space="0" w:color="auto"/>
          <w:lang w:val="pt-BR"/>
        </w:rPr>
        <w:t>mento</w:t>
      </w:r>
      <w:r w:rsidR="002649F0" w:rsidRPr="006D1C74">
        <w:rPr>
          <w:rFonts w:asciiTheme="majorHAnsi" w:eastAsia="Batang" w:hAnsiTheme="majorHAnsi"/>
          <w:color w:val="000000" w:themeColor="text1"/>
          <w:sz w:val="20"/>
          <w:szCs w:val="20"/>
          <w:bdr w:val="none" w:sz="0" w:space="0" w:color="auto"/>
          <w:lang w:val="pt-BR"/>
        </w:rPr>
        <w:t xml:space="preserve"> de que i</w:t>
      </w:r>
      <w:r w:rsidR="00217759" w:rsidRPr="006D1C74">
        <w:rPr>
          <w:rFonts w:asciiTheme="majorHAnsi" w:eastAsia="Batang" w:hAnsiTheme="majorHAnsi"/>
          <w:color w:val="000000" w:themeColor="text1"/>
          <w:sz w:val="20"/>
          <w:szCs w:val="20"/>
          <w:bdr w:val="none" w:sz="0" w:space="0" w:color="auto"/>
          <w:lang w:val="pt-BR"/>
        </w:rPr>
        <w:t>ri</w:t>
      </w:r>
      <w:r w:rsidR="002649F0" w:rsidRPr="006D1C74">
        <w:rPr>
          <w:rFonts w:asciiTheme="majorHAnsi" w:eastAsia="Batang" w:hAnsiTheme="majorHAnsi"/>
          <w:color w:val="000000" w:themeColor="text1"/>
          <w:sz w:val="20"/>
          <w:szCs w:val="20"/>
          <w:bdr w:val="none" w:sz="0" w:space="0" w:color="auto"/>
          <w:lang w:val="pt-BR"/>
        </w:rPr>
        <w:t>a ha</w:t>
      </w:r>
      <w:r w:rsidR="00585D35" w:rsidRPr="006D1C74">
        <w:rPr>
          <w:rFonts w:asciiTheme="majorHAnsi" w:eastAsia="Batang" w:hAnsiTheme="majorHAnsi"/>
          <w:color w:val="000000" w:themeColor="text1"/>
          <w:sz w:val="20"/>
          <w:szCs w:val="20"/>
          <w:bdr w:val="none" w:sz="0" w:space="0" w:color="auto"/>
          <w:lang w:val="pt-BR"/>
        </w:rPr>
        <w:t>v</w:t>
      </w:r>
      <w:r w:rsidR="002649F0" w:rsidRPr="006D1C74">
        <w:rPr>
          <w:rFonts w:asciiTheme="majorHAnsi" w:eastAsia="Batang" w:hAnsiTheme="majorHAnsi"/>
          <w:color w:val="000000" w:themeColor="text1"/>
          <w:sz w:val="20"/>
          <w:szCs w:val="20"/>
          <w:bdr w:val="none" w:sz="0" w:space="0" w:color="auto"/>
          <w:lang w:val="pt-BR"/>
        </w:rPr>
        <w:t>er</w:t>
      </w:r>
      <w:r w:rsidR="00030019" w:rsidRPr="006D1C74">
        <w:rPr>
          <w:rFonts w:asciiTheme="majorHAnsi" w:eastAsia="Batang" w:hAnsiTheme="majorHAnsi"/>
          <w:color w:val="000000" w:themeColor="text1"/>
          <w:sz w:val="20"/>
          <w:szCs w:val="20"/>
          <w:bdr w:val="none" w:sz="0" w:space="0" w:color="auto"/>
          <w:lang w:val="pt-BR"/>
        </w:rPr>
        <w:t xml:space="preserve"> uma </w:t>
      </w:r>
      <w:r w:rsidR="002649F0" w:rsidRPr="006D1C74">
        <w:rPr>
          <w:rFonts w:asciiTheme="majorHAnsi" w:eastAsia="Batang" w:hAnsiTheme="majorHAnsi"/>
          <w:color w:val="000000" w:themeColor="text1"/>
          <w:sz w:val="20"/>
          <w:szCs w:val="20"/>
          <w:bdr w:val="none" w:sz="0" w:space="0" w:color="auto"/>
          <w:lang w:val="pt-BR"/>
        </w:rPr>
        <w:t>manifesta</w:t>
      </w:r>
      <w:r w:rsidR="00CF037E" w:rsidRPr="006D1C74">
        <w:rPr>
          <w:rFonts w:asciiTheme="majorHAnsi" w:eastAsia="Batang" w:hAnsiTheme="majorHAnsi"/>
          <w:color w:val="000000" w:themeColor="text1"/>
          <w:sz w:val="20"/>
          <w:szCs w:val="20"/>
          <w:bdr w:val="none" w:sz="0" w:space="0" w:color="auto"/>
          <w:lang w:val="pt-BR"/>
        </w:rPr>
        <w:t>ção</w:t>
      </w:r>
      <w:r w:rsidR="002649F0" w:rsidRPr="006D1C74">
        <w:rPr>
          <w:rFonts w:asciiTheme="majorHAnsi" w:eastAsia="Batang" w:hAnsiTheme="majorHAnsi"/>
          <w:color w:val="000000" w:themeColor="text1"/>
          <w:sz w:val="20"/>
          <w:szCs w:val="20"/>
          <w:bdr w:val="none" w:sz="0" w:space="0" w:color="auto"/>
          <w:lang w:val="pt-BR"/>
        </w:rPr>
        <w:t>, organiz</w:t>
      </w:r>
      <w:r w:rsidR="00217759" w:rsidRPr="006D1C74">
        <w:rPr>
          <w:rFonts w:asciiTheme="majorHAnsi" w:eastAsia="Batang" w:hAnsiTheme="majorHAnsi"/>
          <w:color w:val="000000" w:themeColor="text1"/>
          <w:sz w:val="20"/>
          <w:szCs w:val="20"/>
          <w:bdr w:val="none" w:sz="0" w:space="0" w:color="auto"/>
          <w:lang w:val="pt-BR"/>
        </w:rPr>
        <w:t>ou</w:t>
      </w:r>
      <w:r w:rsidR="00CF037E" w:rsidRPr="006D1C74">
        <w:rPr>
          <w:rFonts w:asciiTheme="majorHAnsi" w:eastAsia="Batang" w:hAnsiTheme="majorHAnsi"/>
          <w:color w:val="000000" w:themeColor="text1"/>
          <w:sz w:val="20"/>
          <w:szCs w:val="20"/>
          <w:bdr w:val="none" w:sz="0" w:space="0" w:color="auto"/>
          <w:lang w:val="pt-BR"/>
        </w:rPr>
        <w:t xml:space="preserve"> e </w:t>
      </w:r>
      <w:r w:rsidR="002649F0" w:rsidRPr="006D1C74">
        <w:rPr>
          <w:rFonts w:asciiTheme="majorHAnsi" w:eastAsia="Batang" w:hAnsiTheme="majorHAnsi"/>
          <w:color w:val="000000" w:themeColor="text1"/>
          <w:sz w:val="20"/>
          <w:szCs w:val="20"/>
          <w:bdr w:val="none" w:sz="0" w:space="0" w:color="auto"/>
          <w:lang w:val="pt-BR"/>
        </w:rPr>
        <w:t>plane</w:t>
      </w:r>
      <w:r w:rsidR="00217759" w:rsidRPr="006D1C74">
        <w:rPr>
          <w:rFonts w:asciiTheme="majorHAnsi" w:eastAsia="Batang" w:hAnsiTheme="majorHAnsi"/>
          <w:color w:val="000000" w:themeColor="text1"/>
          <w:sz w:val="20"/>
          <w:szCs w:val="20"/>
          <w:bdr w:val="none" w:sz="0" w:space="0" w:color="auto"/>
          <w:lang w:val="pt-BR"/>
        </w:rPr>
        <w:t>jou</w:t>
      </w:r>
      <w:r w:rsidR="00030019" w:rsidRPr="006D1C74">
        <w:rPr>
          <w:rFonts w:asciiTheme="majorHAnsi" w:eastAsia="Batang" w:hAnsiTheme="majorHAnsi"/>
          <w:color w:val="000000" w:themeColor="text1"/>
          <w:sz w:val="20"/>
          <w:szCs w:val="20"/>
          <w:bdr w:val="none" w:sz="0" w:space="0" w:color="auto"/>
          <w:lang w:val="pt-BR"/>
        </w:rPr>
        <w:t xml:space="preserve"> uma </w:t>
      </w:r>
      <w:r w:rsidR="002649F0" w:rsidRPr="006D1C74">
        <w:rPr>
          <w:rFonts w:asciiTheme="majorHAnsi" w:eastAsia="Batang" w:hAnsiTheme="majorHAnsi"/>
          <w:color w:val="000000" w:themeColor="text1"/>
          <w:sz w:val="20"/>
          <w:szCs w:val="20"/>
          <w:bdr w:val="none" w:sz="0" w:space="0" w:color="auto"/>
          <w:lang w:val="pt-BR"/>
        </w:rPr>
        <w:t>a</w:t>
      </w:r>
      <w:r w:rsidR="00CF037E" w:rsidRPr="006D1C74">
        <w:rPr>
          <w:rFonts w:asciiTheme="majorHAnsi" w:eastAsia="Batang" w:hAnsiTheme="majorHAnsi"/>
          <w:color w:val="000000" w:themeColor="text1"/>
          <w:sz w:val="20"/>
          <w:szCs w:val="20"/>
          <w:bdr w:val="none" w:sz="0" w:space="0" w:color="auto"/>
          <w:lang w:val="pt-BR"/>
        </w:rPr>
        <w:t>ção</w:t>
      </w:r>
      <w:r w:rsidR="002649F0" w:rsidRPr="006D1C74">
        <w:rPr>
          <w:rFonts w:asciiTheme="majorHAnsi" w:eastAsia="Batang" w:hAnsiTheme="majorHAnsi"/>
          <w:color w:val="000000" w:themeColor="text1"/>
          <w:sz w:val="20"/>
          <w:szCs w:val="20"/>
          <w:bdr w:val="none" w:sz="0" w:space="0" w:color="auto"/>
          <w:lang w:val="pt-BR"/>
        </w:rPr>
        <w:t>, s</w:t>
      </w:r>
      <w:r w:rsidR="00585D35" w:rsidRPr="006D1C74">
        <w:rPr>
          <w:rFonts w:asciiTheme="majorHAnsi" w:eastAsia="Batang" w:hAnsiTheme="majorHAnsi"/>
          <w:color w:val="000000" w:themeColor="text1"/>
          <w:sz w:val="20"/>
          <w:szCs w:val="20"/>
          <w:bdr w:val="none" w:sz="0" w:space="0" w:color="auto"/>
          <w:lang w:val="pt-BR"/>
        </w:rPr>
        <w:t>e</w:t>
      </w:r>
      <w:r w:rsidR="002649F0" w:rsidRPr="006D1C74">
        <w:rPr>
          <w:rFonts w:asciiTheme="majorHAnsi" w:eastAsia="Batang" w:hAnsiTheme="majorHAnsi"/>
          <w:color w:val="000000" w:themeColor="text1"/>
          <w:sz w:val="20"/>
          <w:szCs w:val="20"/>
          <w:bdr w:val="none" w:sz="0" w:space="0" w:color="auto"/>
          <w:lang w:val="pt-BR"/>
        </w:rPr>
        <w:t>guindo</w:t>
      </w:r>
      <w:r w:rsidR="00700267" w:rsidRPr="006D1C74">
        <w:rPr>
          <w:rFonts w:asciiTheme="majorHAnsi" w:eastAsia="Batang" w:hAnsiTheme="majorHAnsi"/>
          <w:color w:val="000000" w:themeColor="text1"/>
          <w:sz w:val="20"/>
          <w:szCs w:val="20"/>
          <w:bdr w:val="none" w:sz="0" w:space="0" w:color="auto"/>
          <w:lang w:val="pt-BR"/>
        </w:rPr>
        <w:t xml:space="preserve"> o </w:t>
      </w:r>
      <w:r w:rsidR="002649F0" w:rsidRPr="006D1C74">
        <w:rPr>
          <w:rFonts w:asciiTheme="majorHAnsi" w:eastAsia="Batang" w:hAnsiTheme="majorHAnsi"/>
          <w:color w:val="000000" w:themeColor="text1"/>
          <w:sz w:val="20"/>
          <w:szCs w:val="20"/>
          <w:bdr w:val="none" w:sz="0" w:space="0" w:color="auto"/>
          <w:lang w:val="pt-BR"/>
        </w:rPr>
        <w:t>modelo de</w:t>
      </w:r>
      <w:r w:rsidR="00030019" w:rsidRPr="006D1C74">
        <w:rPr>
          <w:rFonts w:asciiTheme="majorHAnsi" w:eastAsia="Batang" w:hAnsiTheme="majorHAnsi"/>
          <w:color w:val="000000" w:themeColor="text1"/>
          <w:sz w:val="20"/>
          <w:szCs w:val="20"/>
          <w:bdr w:val="none" w:sz="0" w:space="0" w:color="auto"/>
          <w:lang w:val="pt-BR"/>
        </w:rPr>
        <w:t xml:space="preserve"> uma </w:t>
      </w:r>
      <w:r w:rsidR="002649F0" w:rsidRPr="006D1C74">
        <w:rPr>
          <w:rFonts w:asciiTheme="majorHAnsi" w:eastAsia="Batang" w:hAnsiTheme="majorHAnsi"/>
          <w:color w:val="000000" w:themeColor="text1"/>
          <w:sz w:val="20"/>
          <w:szCs w:val="20"/>
          <w:bdr w:val="none" w:sz="0" w:space="0" w:color="auto"/>
          <w:lang w:val="pt-BR"/>
        </w:rPr>
        <w:t>opera</w:t>
      </w:r>
      <w:r w:rsidR="00CF037E" w:rsidRPr="006D1C74">
        <w:rPr>
          <w:rFonts w:asciiTheme="majorHAnsi" w:eastAsia="Batang" w:hAnsiTheme="majorHAnsi"/>
          <w:color w:val="000000" w:themeColor="text1"/>
          <w:sz w:val="20"/>
          <w:szCs w:val="20"/>
          <w:bdr w:val="none" w:sz="0" w:space="0" w:color="auto"/>
          <w:lang w:val="pt-BR"/>
        </w:rPr>
        <w:t>ção</w:t>
      </w:r>
      <w:r w:rsidR="002649F0" w:rsidRPr="006D1C74">
        <w:rPr>
          <w:rFonts w:asciiTheme="majorHAnsi" w:eastAsia="Batang" w:hAnsiTheme="majorHAnsi"/>
          <w:color w:val="000000" w:themeColor="text1"/>
          <w:sz w:val="20"/>
          <w:szCs w:val="20"/>
          <w:bdr w:val="none" w:sz="0" w:space="0" w:color="auto"/>
          <w:lang w:val="pt-BR"/>
        </w:rPr>
        <w:t xml:space="preserve"> de guerra, a</w:t>
      </w:r>
      <w:r w:rsidR="00217759" w:rsidRPr="006D1C74">
        <w:rPr>
          <w:rFonts w:asciiTheme="majorHAnsi" w:eastAsia="Batang" w:hAnsiTheme="majorHAnsi"/>
          <w:color w:val="000000" w:themeColor="text1"/>
          <w:sz w:val="20"/>
          <w:szCs w:val="20"/>
          <w:bdr w:val="none" w:sz="0" w:space="0" w:color="auto"/>
          <w:lang w:val="pt-BR"/>
        </w:rPr>
        <w:t>s</w:t>
      </w:r>
      <w:r w:rsidR="002649F0" w:rsidRPr="006D1C74">
        <w:rPr>
          <w:rFonts w:asciiTheme="majorHAnsi" w:eastAsia="Batang" w:hAnsiTheme="majorHAnsi"/>
          <w:color w:val="000000" w:themeColor="text1"/>
          <w:sz w:val="20"/>
          <w:szCs w:val="20"/>
          <w:bdr w:val="none" w:sz="0" w:space="0" w:color="auto"/>
          <w:lang w:val="pt-BR"/>
        </w:rPr>
        <w:t>sumindo</w:t>
      </w:r>
      <w:r w:rsidR="00700267" w:rsidRPr="006D1C74">
        <w:rPr>
          <w:rFonts w:asciiTheme="majorHAnsi" w:eastAsia="Batang" w:hAnsiTheme="majorHAnsi"/>
          <w:color w:val="000000" w:themeColor="text1"/>
          <w:sz w:val="20"/>
          <w:szCs w:val="20"/>
          <w:bdr w:val="none" w:sz="0" w:space="0" w:color="auto"/>
          <w:lang w:val="pt-BR"/>
        </w:rPr>
        <w:t xml:space="preserve"> o </w:t>
      </w:r>
      <w:r w:rsidR="002649F0" w:rsidRPr="006D1C74">
        <w:rPr>
          <w:rFonts w:asciiTheme="majorHAnsi" w:eastAsia="Batang" w:hAnsiTheme="majorHAnsi"/>
          <w:color w:val="000000" w:themeColor="text1"/>
          <w:sz w:val="20"/>
          <w:szCs w:val="20"/>
          <w:bdr w:val="none" w:sz="0" w:space="0" w:color="auto"/>
          <w:lang w:val="pt-BR"/>
        </w:rPr>
        <w:t>ris</w:t>
      </w:r>
      <w:r w:rsidR="00585D35" w:rsidRPr="006D1C74">
        <w:rPr>
          <w:rFonts w:asciiTheme="majorHAnsi" w:eastAsia="Batang" w:hAnsiTheme="majorHAnsi"/>
          <w:color w:val="000000" w:themeColor="text1"/>
          <w:sz w:val="20"/>
          <w:szCs w:val="20"/>
          <w:bdr w:val="none" w:sz="0" w:space="0" w:color="auto"/>
          <w:lang w:val="pt-BR"/>
        </w:rPr>
        <w:t>c</w:t>
      </w:r>
      <w:r w:rsidR="002649F0" w:rsidRPr="006D1C74">
        <w:rPr>
          <w:rFonts w:asciiTheme="majorHAnsi" w:eastAsia="Batang" w:hAnsiTheme="majorHAnsi"/>
          <w:color w:val="000000" w:themeColor="text1"/>
          <w:sz w:val="20"/>
          <w:szCs w:val="20"/>
          <w:bdr w:val="none" w:sz="0" w:space="0" w:color="auto"/>
          <w:lang w:val="pt-BR"/>
        </w:rPr>
        <w:t>o de</w:t>
      </w:r>
      <w:r w:rsidR="00030019" w:rsidRPr="006D1C74">
        <w:rPr>
          <w:rFonts w:asciiTheme="majorHAnsi" w:eastAsia="Batang" w:hAnsiTheme="majorHAnsi"/>
          <w:color w:val="000000" w:themeColor="text1"/>
          <w:sz w:val="20"/>
          <w:szCs w:val="20"/>
          <w:bdr w:val="none" w:sz="0" w:space="0" w:color="auto"/>
          <w:lang w:val="pt-BR"/>
        </w:rPr>
        <w:t xml:space="preserve"> um </w:t>
      </w:r>
      <w:r w:rsidR="002649F0" w:rsidRPr="006D1C74">
        <w:rPr>
          <w:rFonts w:asciiTheme="majorHAnsi" w:eastAsia="Batang" w:hAnsiTheme="majorHAnsi"/>
          <w:color w:val="000000" w:themeColor="text1"/>
          <w:sz w:val="20"/>
          <w:szCs w:val="20"/>
          <w:bdr w:val="none" w:sz="0" w:space="0" w:color="auto"/>
          <w:lang w:val="pt-BR"/>
        </w:rPr>
        <w:t>resultado graví</w:t>
      </w:r>
      <w:r w:rsidR="00585D35" w:rsidRPr="006D1C74">
        <w:rPr>
          <w:rFonts w:asciiTheme="majorHAnsi" w:eastAsia="Batang" w:hAnsiTheme="majorHAnsi"/>
          <w:color w:val="000000" w:themeColor="text1"/>
          <w:sz w:val="20"/>
          <w:szCs w:val="20"/>
          <w:bdr w:val="none" w:sz="0" w:space="0" w:color="auto"/>
          <w:lang w:val="pt-BR"/>
        </w:rPr>
        <w:t>s</w:t>
      </w:r>
      <w:r w:rsidR="002649F0" w:rsidRPr="006D1C74">
        <w:rPr>
          <w:rFonts w:asciiTheme="majorHAnsi" w:eastAsia="Batang" w:hAnsiTheme="majorHAnsi"/>
          <w:color w:val="000000" w:themeColor="text1"/>
          <w:sz w:val="20"/>
          <w:szCs w:val="20"/>
          <w:bdr w:val="none" w:sz="0" w:space="0" w:color="auto"/>
          <w:lang w:val="pt-BR"/>
        </w:rPr>
        <w:t>simo.</w:t>
      </w:r>
    </w:p>
    <w:p w14:paraId="6DC8934B" w14:textId="77777777" w:rsidR="002649F0" w:rsidRPr="006D1C74" w:rsidRDefault="002649F0" w:rsidP="002649F0">
      <w:pPr>
        <w:ind w:left="720"/>
        <w:rPr>
          <w:rFonts w:asciiTheme="majorHAnsi" w:eastAsia="Cambria" w:hAnsiTheme="majorHAnsi" w:cs="Cambria"/>
          <w:color w:val="000000" w:themeColor="text1"/>
          <w:sz w:val="20"/>
          <w:szCs w:val="20"/>
          <w:u w:color="000000"/>
          <w:lang w:val="pt-BR" w:eastAsia="es-ES"/>
        </w:rPr>
      </w:pPr>
    </w:p>
    <w:p w14:paraId="42C7A02D" w14:textId="5B4E7889" w:rsidR="002649F0" w:rsidRPr="006D1C74" w:rsidRDefault="009C4F6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Batang" w:hAnsiTheme="majorHAnsi"/>
          <w:color w:val="000000" w:themeColor="text1"/>
          <w:sz w:val="20"/>
          <w:szCs w:val="20"/>
          <w:bdr w:val="none" w:sz="0" w:space="0" w:color="auto"/>
          <w:lang w:val="pt-BR"/>
        </w:rPr>
      </w:pPr>
      <w:r w:rsidRPr="006D1C74">
        <w:rPr>
          <w:rFonts w:asciiTheme="majorHAnsi" w:hAnsiTheme="majorHAnsi"/>
          <w:color w:val="000000" w:themeColor="text1"/>
          <w:sz w:val="20"/>
          <w:szCs w:val="20"/>
          <w:lang w:val="pt-BR"/>
        </w:rPr>
        <w:t>A</w:t>
      </w:r>
      <w:r w:rsidR="002649F0" w:rsidRPr="006D1C74">
        <w:rPr>
          <w:rFonts w:asciiTheme="majorHAnsi" w:hAnsiTheme="majorHAnsi"/>
          <w:color w:val="000000" w:themeColor="text1"/>
          <w:sz w:val="20"/>
          <w:szCs w:val="20"/>
          <w:lang w:val="pt-BR"/>
        </w:rPr>
        <w:t>rgumenta que</w:t>
      </w:r>
      <w:r w:rsidR="00700267" w:rsidRPr="006D1C74">
        <w:rPr>
          <w:rFonts w:asciiTheme="majorHAnsi" w:hAnsiTheme="majorHAnsi"/>
          <w:color w:val="000000" w:themeColor="text1"/>
          <w:sz w:val="20"/>
          <w:szCs w:val="20"/>
          <w:lang w:val="pt-BR"/>
        </w:rPr>
        <w:t xml:space="preserve"> a </w:t>
      </w:r>
      <w:r w:rsidR="002649F0" w:rsidRPr="006D1C74">
        <w:rPr>
          <w:rFonts w:asciiTheme="majorHAnsi" w:hAnsiTheme="majorHAnsi"/>
          <w:color w:val="000000" w:themeColor="text1"/>
          <w:sz w:val="20"/>
          <w:szCs w:val="20"/>
          <w:lang w:val="pt-BR"/>
        </w:rPr>
        <w:t>justifica</w:t>
      </w:r>
      <w:r w:rsidR="00CF037E" w:rsidRPr="006D1C74">
        <w:rPr>
          <w:rFonts w:asciiTheme="majorHAnsi" w:hAnsiTheme="majorHAnsi"/>
          <w:color w:val="000000" w:themeColor="text1"/>
          <w:sz w:val="20"/>
          <w:szCs w:val="20"/>
          <w:lang w:val="pt-BR"/>
        </w:rPr>
        <w:t>ção</w:t>
      </w:r>
      <w:r w:rsidR="002649F0" w:rsidRPr="006D1C74">
        <w:rPr>
          <w:rFonts w:asciiTheme="majorHAnsi" w:hAnsiTheme="majorHAnsi"/>
          <w:color w:val="000000" w:themeColor="text1"/>
          <w:sz w:val="20"/>
          <w:szCs w:val="20"/>
          <w:lang w:val="pt-BR"/>
        </w:rPr>
        <w:t xml:space="preserve"> dada</w:t>
      </w:r>
      <w:r w:rsidR="00F37852" w:rsidRPr="006D1C74">
        <w:rPr>
          <w:rFonts w:asciiTheme="majorHAnsi" w:hAnsiTheme="majorHAnsi"/>
          <w:color w:val="000000" w:themeColor="text1"/>
          <w:sz w:val="20"/>
          <w:szCs w:val="20"/>
          <w:lang w:val="pt-BR"/>
        </w:rPr>
        <w:t xml:space="preserve"> pela polícia</w:t>
      </w:r>
      <w:r w:rsidR="002649F0" w:rsidRPr="006D1C74">
        <w:rPr>
          <w:rFonts w:asciiTheme="majorHAnsi" w:hAnsiTheme="majorHAnsi"/>
          <w:color w:val="000000" w:themeColor="text1"/>
          <w:sz w:val="20"/>
          <w:szCs w:val="20"/>
          <w:lang w:val="pt-BR"/>
        </w:rPr>
        <w:t xml:space="preserve"> de que esta</w:t>
      </w:r>
      <w:r w:rsidR="00585D35" w:rsidRPr="006D1C74">
        <w:rPr>
          <w:rFonts w:asciiTheme="majorHAnsi" w:hAnsiTheme="majorHAnsi"/>
          <w:color w:val="000000" w:themeColor="text1"/>
          <w:sz w:val="20"/>
          <w:szCs w:val="20"/>
          <w:lang w:val="pt-BR"/>
        </w:rPr>
        <w:t>v</w:t>
      </w:r>
      <w:r w:rsidR="002649F0" w:rsidRPr="006D1C74">
        <w:rPr>
          <w:rFonts w:asciiTheme="majorHAnsi" w:hAnsiTheme="majorHAnsi"/>
          <w:color w:val="000000" w:themeColor="text1"/>
          <w:sz w:val="20"/>
          <w:szCs w:val="20"/>
          <w:lang w:val="pt-BR"/>
        </w:rPr>
        <w:t>a obedecendo</w:t>
      </w:r>
      <w:r w:rsidR="00030019" w:rsidRPr="006D1C74">
        <w:rPr>
          <w:rFonts w:asciiTheme="majorHAnsi" w:hAnsiTheme="majorHAnsi"/>
          <w:color w:val="000000" w:themeColor="text1"/>
          <w:sz w:val="20"/>
          <w:szCs w:val="20"/>
          <w:lang w:val="pt-BR"/>
        </w:rPr>
        <w:t xml:space="preserve"> </w:t>
      </w:r>
      <w:r w:rsidR="00585D35" w:rsidRPr="006D1C74">
        <w:rPr>
          <w:rFonts w:asciiTheme="majorHAnsi" w:hAnsiTheme="majorHAnsi"/>
          <w:color w:val="000000" w:themeColor="text1"/>
          <w:sz w:val="20"/>
          <w:szCs w:val="20"/>
          <w:lang w:val="pt-BR"/>
        </w:rPr>
        <w:t xml:space="preserve">a </w:t>
      </w:r>
      <w:r w:rsidR="00030019" w:rsidRPr="006D1C74">
        <w:rPr>
          <w:rFonts w:asciiTheme="majorHAnsi" w:hAnsiTheme="majorHAnsi"/>
          <w:color w:val="000000" w:themeColor="text1"/>
          <w:sz w:val="20"/>
          <w:szCs w:val="20"/>
          <w:lang w:val="pt-BR"/>
        </w:rPr>
        <w:t xml:space="preserve">uma </w:t>
      </w:r>
      <w:r w:rsidR="00585D35" w:rsidRPr="006D1C74">
        <w:rPr>
          <w:rFonts w:asciiTheme="majorHAnsi" w:hAnsiTheme="majorHAnsi"/>
          <w:color w:val="000000" w:themeColor="text1"/>
          <w:sz w:val="20"/>
          <w:szCs w:val="20"/>
          <w:lang w:val="pt-BR"/>
        </w:rPr>
        <w:t>ordem</w:t>
      </w:r>
      <w:r w:rsidR="002649F0" w:rsidRPr="006D1C74">
        <w:rPr>
          <w:rFonts w:asciiTheme="majorHAnsi" w:hAnsiTheme="majorHAnsi"/>
          <w:color w:val="000000" w:themeColor="text1"/>
          <w:sz w:val="20"/>
          <w:szCs w:val="20"/>
          <w:lang w:val="pt-BR"/>
        </w:rPr>
        <w:t xml:space="preserve"> judicial</w:t>
      </w:r>
      <w:r w:rsidR="00F673C7" w:rsidRPr="006D1C74">
        <w:rPr>
          <w:rFonts w:asciiTheme="majorHAnsi" w:hAnsiTheme="majorHAnsi"/>
          <w:color w:val="000000" w:themeColor="text1"/>
          <w:sz w:val="20"/>
          <w:szCs w:val="20"/>
          <w:lang w:val="pt-BR"/>
        </w:rPr>
        <w:t xml:space="preserve"> não</w:t>
      </w:r>
      <w:r w:rsidR="00F37852" w:rsidRPr="006D1C74">
        <w:rPr>
          <w:rFonts w:asciiTheme="majorHAnsi" w:hAnsiTheme="majorHAnsi"/>
          <w:color w:val="000000" w:themeColor="text1"/>
          <w:sz w:val="20"/>
          <w:szCs w:val="20"/>
          <w:lang w:val="pt-BR"/>
        </w:rPr>
        <w:t xml:space="preserve"> é </w:t>
      </w:r>
      <w:r w:rsidR="002649F0" w:rsidRPr="006D1C74">
        <w:rPr>
          <w:rFonts w:asciiTheme="majorHAnsi" w:hAnsiTheme="majorHAnsi"/>
          <w:color w:val="000000" w:themeColor="text1"/>
          <w:sz w:val="20"/>
          <w:szCs w:val="20"/>
          <w:lang w:val="pt-BR"/>
        </w:rPr>
        <w:t>legítima porque</w:t>
      </w:r>
      <w:r w:rsidR="00700267" w:rsidRPr="006D1C74">
        <w:rPr>
          <w:rFonts w:asciiTheme="majorHAnsi" w:hAnsiTheme="majorHAnsi"/>
          <w:color w:val="000000" w:themeColor="text1"/>
          <w:sz w:val="20"/>
          <w:szCs w:val="20"/>
          <w:lang w:val="pt-BR"/>
        </w:rPr>
        <w:t xml:space="preserve"> a </w:t>
      </w:r>
      <w:r w:rsidR="00585D35" w:rsidRPr="006D1C74">
        <w:rPr>
          <w:rFonts w:asciiTheme="majorHAnsi" w:hAnsiTheme="majorHAnsi"/>
          <w:color w:val="000000" w:themeColor="text1"/>
          <w:sz w:val="20"/>
          <w:szCs w:val="20"/>
          <w:lang w:val="pt-BR"/>
        </w:rPr>
        <w:t>ordem</w:t>
      </w:r>
      <w:r w:rsidR="002649F0" w:rsidRPr="006D1C74">
        <w:rPr>
          <w:rFonts w:asciiTheme="majorHAnsi" w:hAnsiTheme="majorHAnsi"/>
          <w:color w:val="000000" w:themeColor="text1"/>
          <w:sz w:val="20"/>
          <w:szCs w:val="20"/>
          <w:lang w:val="pt-BR"/>
        </w:rPr>
        <w:t xml:space="preserve"> de interdi</w:t>
      </w:r>
      <w:r w:rsidR="00CF037E" w:rsidRPr="006D1C74">
        <w:rPr>
          <w:rFonts w:asciiTheme="majorHAnsi" w:hAnsiTheme="majorHAnsi"/>
          <w:color w:val="000000" w:themeColor="text1"/>
          <w:sz w:val="20"/>
          <w:szCs w:val="20"/>
          <w:lang w:val="pt-BR"/>
        </w:rPr>
        <w:t>ção</w:t>
      </w:r>
      <w:r w:rsidR="002649F0" w:rsidRPr="006D1C74">
        <w:rPr>
          <w:rFonts w:asciiTheme="majorHAnsi" w:hAnsiTheme="majorHAnsi"/>
          <w:color w:val="000000" w:themeColor="text1"/>
          <w:sz w:val="20"/>
          <w:szCs w:val="20"/>
          <w:lang w:val="pt-BR"/>
        </w:rPr>
        <w:t xml:space="preserve"> proibit</w:t>
      </w:r>
      <w:r w:rsidR="00585D35" w:rsidRPr="006D1C74">
        <w:rPr>
          <w:rFonts w:asciiTheme="majorHAnsi" w:hAnsiTheme="majorHAnsi"/>
          <w:color w:val="000000" w:themeColor="text1"/>
          <w:sz w:val="20"/>
          <w:szCs w:val="20"/>
          <w:lang w:val="pt-BR"/>
        </w:rPr>
        <w:t>ó</w:t>
      </w:r>
      <w:r w:rsidR="002649F0" w:rsidRPr="006D1C74">
        <w:rPr>
          <w:rFonts w:asciiTheme="majorHAnsi" w:hAnsiTheme="majorHAnsi"/>
          <w:color w:val="000000" w:themeColor="text1"/>
          <w:sz w:val="20"/>
          <w:szCs w:val="20"/>
          <w:lang w:val="pt-BR"/>
        </w:rPr>
        <w:t>ria,</w:t>
      </w:r>
      <w:r w:rsidR="00F673C7" w:rsidRPr="006D1C74">
        <w:rPr>
          <w:rFonts w:asciiTheme="majorHAnsi" w:hAnsiTheme="majorHAnsi"/>
          <w:color w:val="000000" w:themeColor="text1"/>
          <w:sz w:val="20"/>
          <w:szCs w:val="20"/>
          <w:lang w:val="pt-BR"/>
        </w:rPr>
        <w:t xml:space="preserve"> com </w:t>
      </w:r>
      <w:r w:rsidR="002649F0" w:rsidRPr="006D1C74">
        <w:rPr>
          <w:rFonts w:asciiTheme="majorHAnsi" w:hAnsiTheme="majorHAnsi"/>
          <w:color w:val="000000" w:themeColor="text1"/>
          <w:sz w:val="20"/>
          <w:szCs w:val="20"/>
          <w:lang w:val="pt-BR"/>
        </w:rPr>
        <w:t>base</w:t>
      </w:r>
      <w:r w:rsidR="00F673C7" w:rsidRPr="006D1C74">
        <w:rPr>
          <w:rFonts w:asciiTheme="majorHAnsi" w:hAnsiTheme="majorHAnsi"/>
          <w:color w:val="000000" w:themeColor="text1"/>
          <w:sz w:val="20"/>
          <w:szCs w:val="20"/>
          <w:lang w:val="pt-BR"/>
        </w:rPr>
        <w:t xml:space="preserve"> na </w:t>
      </w:r>
      <w:r w:rsidR="00585D35" w:rsidRPr="006D1C74">
        <w:rPr>
          <w:rFonts w:asciiTheme="majorHAnsi" w:hAnsiTheme="majorHAnsi"/>
          <w:color w:val="000000" w:themeColor="text1"/>
          <w:sz w:val="20"/>
          <w:szCs w:val="20"/>
          <w:lang w:val="pt-BR"/>
        </w:rPr>
        <w:t>q</w:t>
      </w:r>
      <w:r w:rsidR="002649F0" w:rsidRPr="006D1C74">
        <w:rPr>
          <w:rFonts w:asciiTheme="majorHAnsi" w:hAnsiTheme="majorHAnsi"/>
          <w:color w:val="000000" w:themeColor="text1"/>
          <w:sz w:val="20"/>
          <w:szCs w:val="20"/>
          <w:lang w:val="pt-BR"/>
        </w:rPr>
        <w:t>ual</w:t>
      </w:r>
      <w:r w:rsidR="00700267" w:rsidRPr="006D1C74">
        <w:rPr>
          <w:rFonts w:asciiTheme="majorHAnsi" w:hAnsiTheme="majorHAnsi"/>
          <w:color w:val="000000" w:themeColor="text1"/>
          <w:sz w:val="20"/>
          <w:szCs w:val="20"/>
          <w:lang w:val="pt-BR"/>
        </w:rPr>
        <w:t xml:space="preserve"> a </w:t>
      </w:r>
      <w:r w:rsidR="00F37852" w:rsidRPr="006D1C74">
        <w:rPr>
          <w:rFonts w:asciiTheme="majorHAnsi" w:hAnsiTheme="majorHAnsi"/>
          <w:color w:val="000000" w:themeColor="text1"/>
          <w:sz w:val="20"/>
          <w:szCs w:val="20"/>
          <w:lang w:val="pt-BR"/>
        </w:rPr>
        <w:t>polícia</w:t>
      </w:r>
      <w:r w:rsidR="002649F0" w:rsidRPr="006D1C74">
        <w:rPr>
          <w:rFonts w:asciiTheme="majorHAnsi" w:hAnsiTheme="majorHAnsi"/>
          <w:color w:val="000000" w:themeColor="text1"/>
          <w:sz w:val="20"/>
          <w:szCs w:val="20"/>
          <w:lang w:val="pt-BR"/>
        </w:rPr>
        <w:t xml:space="preserve"> bloque</w:t>
      </w:r>
      <w:r w:rsidR="00217759" w:rsidRPr="006D1C74">
        <w:rPr>
          <w:rFonts w:asciiTheme="majorHAnsi" w:hAnsiTheme="majorHAnsi"/>
          <w:color w:val="000000" w:themeColor="text1"/>
          <w:sz w:val="20"/>
          <w:szCs w:val="20"/>
          <w:lang w:val="pt-BR"/>
        </w:rPr>
        <w:t>ou</w:t>
      </w:r>
      <w:r w:rsidR="00700267" w:rsidRPr="006D1C74">
        <w:rPr>
          <w:rFonts w:asciiTheme="majorHAnsi" w:hAnsiTheme="majorHAnsi"/>
          <w:color w:val="000000" w:themeColor="text1"/>
          <w:sz w:val="20"/>
          <w:szCs w:val="20"/>
          <w:lang w:val="pt-BR"/>
        </w:rPr>
        <w:t xml:space="preserve"> a </w:t>
      </w:r>
      <w:r w:rsidR="00217759" w:rsidRPr="006D1C74">
        <w:rPr>
          <w:rFonts w:asciiTheme="majorHAnsi" w:hAnsiTheme="majorHAnsi"/>
          <w:color w:val="000000" w:themeColor="text1"/>
          <w:sz w:val="20"/>
          <w:szCs w:val="20"/>
          <w:lang w:val="pt-BR"/>
        </w:rPr>
        <w:t>rodovia</w:t>
      </w:r>
      <w:r w:rsidR="00CF037E" w:rsidRPr="006D1C74">
        <w:rPr>
          <w:rFonts w:asciiTheme="majorHAnsi" w:hAnsiTheme="majorHAnsi"/>
          <w:color w:val="000000" w:themeColor="text1"/>
          <w:sz w:val="20"/>
          <w:szCs w:val="20"/>
          <w:lang w:val="pt-BR"/>
        </w:rPr>
        <w:t xml:space="preserve"> e </w:t>
      </w:r>
      <w:r w:rsidR="00585D35" w:rsidRPr="006D1C74">
        <w:rPr>
          <w:rFonts w:asciiTheme="majorHAnsi" w:hAnsiTheme="majorHAnsi"/>
          <w:color w:val="000000" w:themeColor="text1"/>
          <w:sz w:val="20"/>
          <w:szCs w:val="20"/>
          <w:lang w:val="pt-BR"/>
        </w:rPr>
        <w:t>orden</w:t>
      </w:r>
      <w:r w:rsidR="00217759" w:rsidRPr="006D1C74">
        <w:rPr>
          <w:rFonts w:asciiTheme="majorHAnsi" w:hAnsiTheme="majorHAnsi"/>
          <w:color w:val="000000" w:themeColor="text1"/>
          <w:sz w:val="20"/>
          <w:szCs w:val="20"/>
          <w:lang w:val="pt-BR"/>
        </w:rPr>
        <w:t>ou</w:t>
      </w:r>
      <w:r w:rsidR="00700267" w:rsidRPr="006D1C74">
        <w:rPr>
          <w:rFonts w:asciiTheme="majorHAnsi" w:hAnsiTheme="majorHAnsi"/>
          <w:color w:val="000000" w:themeColor="text1"/>
          <w:sz w:val="20"/>
          <w:szCs w:val="20"/>
          <w:lang w:val="pt-BR"/>
        </w:rPr>
        <w:t xml:space="preserve"> o </w:t>
      </w:r>
      <w:r w:rsidR="002649F0" w:rsidRPr="006D1C74">
        <w:rPr>
          <w:rFonts w:asciiTheme="majorHAnsi" w:hAnsiTheme="majorHAnsi"/>
          <w:color w:val="000000" w:themeColor="text1"/>
          <w:sz w:val="20"/>
          <w:szCs w:val="20"/>
          <w:lang w:val="pt-BR"/>
        </w:rPr>
        <w:t>retorno</w:t>
      </w:r>
      <w:r w:rsidR="00795010" w:rsidRPr="006D1C74">
        <w:rPr>
          <w:rFonts w:asciiTheme="majorHAnsi" w:hAnsiTheme="majorHAnsi"/>
          <w:color w:val="000000" w:themeColor="text1"/>
          <w:sz w:val="20"/>
          <w:szCs w:val="20"/>
          <w:lang w:val="pt-BR"/>
        </w:rPr>
        <w:t xml:space="preserve"> da </w:t>
      </w:r>
      <w:r w:rsidR="002649F0" w:rsidRPr="006D1C74">
        <w:rPr>
          <w:rFonts w:asciiTheme="majorHAnsi" w:hAnsiTheme="majorHAnsi"/>
          <w:color w:val="000000" w:themeColor="text1"/>
          <w:sz w:val="20"/>
          <w:szCs w:val="20"/>
          <w:lang w:val="pt-BR"/>
        </w:rPr>
        <w:t>caravana, proib</w:t>
      </w:r>
      <w:r w:rsidR="00055622" w:rsidRPr="006D1C74">
        <w:rPr>
          <w:rFonts w:asciiTheme="majorHAnsi" w:hAnsiTheme="majorHAnsi"/>
          <w:color w:val="000000" w:themeColor="text1"/>
          <w:sz w:val="20"/>
          <w:szCs w:val="20"/>
          <w:lang w:val="pt-BR"/>
        </w:rPr>
        <w:t>ia</w:t>
      </w:r>
      <w:r w:rsidR="002649F0" w:rsidRPr="006D1C74">
        <w:rPr>
          <w:rFonts w:asciiTheme="majorHAnsi" w:hAnsiTheme="majorHAnsi"/>
          <w:color w:val="000000" w:themeColor="text1"/>
          <w:sz w:val="20"/>
          <w:szCs w:val="20"/>
          <w:lang w:val="pt-BR"/>
        </w:rPr>
        <w:t xml:space="preserve"> somente</w:t>
      </w:r>
      <w:r w:rsidR="00700267" w:rsidRPr="006D1C74">
        <w:rPr>
          <w:rFonts w:asciiTheme="majorHAnsi" w:hAnsiTheme="majorHAnsi"/>
          <w:color w:val="000000" w:themeColor="text1"/>
          <w:sz w:val="20"/>
          <w:szCs w:val="20"/>
          <w:lang w:val="pt-BR"/>
        </w:rPr>
        <w:t xml:space="preserve"> a </w:t>
      </w:r>
      <w:r w:rsidR="002649F0" w:rsidRPr="006D1C74">
        <w:rPr>
          <w:rFonts w:asciiTheme="majorHAnsi" w:hAnsiTheme="majorHAnsi"/>
          <w:color w:val="000000" w:themeColor="text1"/>
          <w:sz w:val="20"/>
          <w:szCs w:val="20"/>
          <w:lang w:val="pt-BR"/>
        </w:rPr>
        <w:t>ocupa</w:t>
      </w:r>
      <w:r w:rsidR="00CF037E" w:rsidRPr="006D1C74">
        <w:rPr>
          <w:rFonts w:asciiTheme="majorHAnsi" w:hAnsiTheme="majorHAnsi"/>
          <w:color w:val="000000" w:themeColor="text1"/>
          <w:sz w:val="20"/>
          <w:szCs w:val="20"/>
          <w:lang w:val="pt-BR"/>
        </w:rPr>
        <w:t>ção</w:t>
      </w:r>
      <w:r w:rsidR="00700267" w:rsidRPr="006D1C74">
        <w:rPr>
          <w:rFonts w:asciiTheme="majorHAnsi" w:hAnsiTheme="majorHAnsi"/>
          <w:color w:val="000000" w:themeColor="text1"/>
          <w:sz w:val="20"/>
          <w:szCs w:val="20"/>
          <w:lang w:val="pt-BR"/>
        </w:rPr>
        <w:t xml:space="preserve"> dos </w:t>
      </w:r>
      <w:r w:rsidR="002649F0" w:rsidRPr="006D1C74">
        <w:rPr>
          <w:rFonts w:asciiTheme="majorHAnsi" w:hAnsiTheme="majorHAnsi"/>
          <w:color w:val="000000" w:themeColor="text1"/>
          <w:sz w:val="20"/>
          <w:szCs w:val="20"/>
          <w:lang w:val="pt-BR"/>
        </w:rPr>
        <w:t>pr</w:t>
      </w:r>
      <w:r w:rsidR="00585D35" w:rsidRPr="006D1C74">
        <w:rPr>
          <w:rFonts w:asciiTheme="majorHAnsi" w:hAnsiTheme="majorHAnsi"/>
          <w:color w:val="000000" w:themeColor="text1"/>
          <w:sz w:val="20"/>
          <w:szCs w:val="20"/>
          <w:lang w:val="pt-BR"/>
        </w:rPr>
        <w:t>é</w:t>
      </w:r>
      <w:r w:rsidR="002649F0" w:rsidRPr="006D1C74">
        <w:rPr>
          <w:rFonts w:asciiTheme="majorHAnsi" w:hAnsiTheme="majorHAnsi"/>
          <w:color w:val="000000" w:themeColor="text1"/>
          <w:sz w:val="20"/>
          <w:szCs w:val="20"/>
          <w:lang w:val="pt-BR"/>
        </w:rPr>
        <w:t>dios públicos</w:t>
      </w:r>
      <w:r w:rsidR="00CF037E" w:rsidRPr="006D1C74">
        <w:rPr>
          <w:rFonts w:asciiTheme="majorHAnsi" w:hAnsiTheme="majorHAnsi"/>
          <w:color w:val="000000" w:themeColor="text1"/>
          <w:sz w:val="20"/>
          <w:szCs w:val="20"/>
          <w:lang w:val="pt-BR"/>
        </w:rPr>
        <w:t xml:space="preserve"> e</w:t>
      </w:r>
      <w:r w:rsidR="00F673C7" w:rsidRPr="006D1C74">
        <w:rPr>
          <w:rFonts w:asciiTheme="majorHAnsi" w:hAnsiTheme="majorHAnsi"/>
          <w:color w:val="000000" w:themeColor="text1"/>
          <w:sz w:val="20"/>
          <w:szCs w:val="20"/>
          <w:lang w:val="pt-BR"/>
        </w:rPr>
        <w:t xml:space="preserve"> não </w:t>
      </w:r>
      <w:r w:rsidR="00700267" w:rsidRPr="006D1C74">
        <w:rPr>
          <w:rFonts w:asciiTheme="majorHAnsi" w:hAnsiTheme="majorHAnsi"/>
          <w:color w:val="000000" w:themeColor="text1"/>
          <w:sz w:val="20"/>
          <w:szCs w:val="20"/>
          <w:lang w:val="pt-BR"/>
        </w:rPr>
        <w:t xml:space="preserve">a </w:t>
      </w:r>
      <w:r w:rsidR="002649F0" w:rsidRPr="006D1C74">
        <w:rPr>
          <w:rFonts w:asciiTheme="majorHAnsi" w:hAnsiTheme="majorHAnsi"/>
          <w:color w:val="000000" w:themeColor="text1"/>
          <w:sz w:val="20"/>
          <w:szCs w:val="20"/>
          <w:lang w:val="pt-BR"/>
        </w:rPr>
        <w:t>manifesta</w:t>
      </w:r>
      <w:r w:rsidR="00CF037E" w:rsidRPr="006D1C74">
        <w:rPr>
          <w:rFonts w:asciiTheme="majorHAnsi" w:hAnsiTheme="majorHAnsi"/>
          <w:color w:val="000000" w:themeColor="text1"/>
          <w:sz w:val="20"/>
          <w:szCs w:val="20"/>
          <w:lang w:val="pt-BR"/>
        </w:rPr>
        <w:t>ção</w:t>
      </w:r>
      <w:r w:rsidR="003D3B11">
        <w:rPr>
          <w:rFonts w:asciiTheme="majorHAnsi" w:hAnsiTheme="majorHAnsi"/>
          <w:color w:val="000000" w:themeColor="text1"/>
          <w:sz w:val="20"/>
          <w:szCs w:val="20"/>
          <w:lang w:val="pt-BR"/>
        </w:rPr>
        <w:t>,</w:t>
      </w:r>
      <w:r w:rsidR="002649F0" w:rsidRPr="006D1C74">
        <w:rPr>
          <w:rFonts w:asciiTheme="majorHAnsi" w:hAnsiTheme="majorHAnsi"/>
          <w:color w:val="000000" w:themeColor="text1"/>
          <w:sz w:val="20"/>
          <w:szCs w:val="20"/>
          <w:lang w:val="pt-BR"/>
        </w:rPr>
        <w:t xml:space="preserve"> n</w:t>
      </w:r>
      <w:r w:rsidR="00217759" w:rsidRPr="006D1C74">
        <w:rPr>
          <w:rFonts w:asciiTheme="majorHAnsi" w:hAnsiTheme="majorHAnsi"/>
          <w:color w:val="000000" w:themeColor="text1"/>
          <w:sz w:val="20"/>
          <w:szCs w:val="20"/>
          <w:lang w:val="pt-BR"/>
        </w:rPr>
        <w:t>em</w:t>
      </w:r>
      <w:r w:rsidR="00700267" w:rsidRPr="006D1C74">
        <w:rPr>
          <w:rFonts w:asciiTheme="majorHAnsi" w:hAnsiTheme="majorHAnsi"/>
          <w:color w:val="000000" w:themeColor="text1"/>
          <w:sz w:val="20"/>
          <w:szCs w:val="20"/>
          <w:lang w:val="pt-BR"/>
        </w:rPr>
        <w:t xml:space="preserve"> a </w:t>
      </w:r>
      <w:r w:rsidR="002649F0" w:rsidRPr="006D1C74">
        <w:rPr>
          <w:rFonts w:asciiTheme="majorHAnsi" w:hAnsiTheme="majorHAnsi"/>
          <w:color w:val="000000" w:themeColor="text1"/>
          <w:sz w:val="20"/>
          <w:szCs w:val="20"/>
          <w:lang w:val="pt-BR"/>
        </w:rPr>
        <w:t>entrada</w:t>
      </w:r>
      <w:r w:rsidR="00700267" w:rsidRPr="006D1C74">
        <w:rPr>
          <w:rFonts w:asciiTheme="majorHAnsi" w:hAnsiTheme="majorHAnsi"/>
          <w:color w:val="000000" w:themeColor="text1"/>
          <w:sz w:val="20"/>
          <w:szCs w:val="20"/>
          <w:lang w:val="pt-BR"/>
        </w:rPr>
        <w:t xml:space="preserve"> dos trabalh</w:t>
      </w:r>
      <w:r w:rsidR="002649F0" w:rsidRPr="006D1C74">
        <w:rPr>
          <w:rFonts w:asciiTheme="majorHAnsi" w:hAnsiTheme="majorHAnsi"/>
          <w:color w:val="000000" w:themeColor="text1"/>
          <w:sz w:val="20"/>
          <w:szCs w:val="20"/>
          <w:lang w:val="pt-BR"/>
        </w:rPr>
        <w:t>adores</w:t>
      </w:r>
      <w:r w:rsidR="00F673C7" w:rsidRPr="006D1C74">
        <w:rPr>
          <w:rFonts w:asciiTheme="majorHAnsi" w:hAnsiTheme="majorHAnsi"/>
          <w:color w:val="000000" w:themeColor="text1"/>
          <w:sz w:val="20"/>
          <w:szCs w:val="20"/>
          <w:lang w:val="pt-BR"/>
        </w:rPr>
        <w:t xml:space="preserve"> na </w:t>
      </w:r>
      <w:r w:rsidR="002649F0" w:rsidRPr="006D1C74">
        <w:rPr>
          <w:rFonts w:asciiTheme="majorHAnsi" w:hAnsiTheme="majorHAnsi"/>
          <w:color w:val="000000" w:themeColor="text1"/>
          <w:sz w:val="20"/>
          <w:szCs w:val="20"/>
          <w:lang w:val="pt-BR"/>
        </w:rPr>
        <w:t>ci</w:t>
      </w:r>
      <w:r w:rsidR="00F673C7" w:rsidRPr="006D1C74">
        <w:rPr>
          <w:rFonts w:asciiTheme="majorHAnsi" w:hAnsiTheme="majorHAnsi"/>
          <w:color w:val="000000" w:themeColor="text1"/>
          <w:sz w:val="20"/>
          <w:szCs w:val="20"/>
          <w:lang w:val="pt-BR"/>
        </w:rPr>
        <w:t xml:space="preserve">dade </w:t>
      </w:r>
      <w:r w:rsidR="002649F0" w:rsidRPr="006D1C74">
        <w:rPr>
          <w:rFonts w:asciiTheme="majorHAnsi" w:hAnsiTheme="majorHAnsi"/>
          <w:color w:val="000000" w:themeColor="text1"/>
          <w:sz w:val="20"/>
          <w:szCs w:val="20"/>
          <w:lang w:val="pt-BR"/>
        </w:rPr>
        <w:t>de Curitiba. Sub</w:t>
      </w:r>
      <w:r w:rsidR="00217759" w:rsidRPr="006D1C74">
        <w:rPr>
          <w:rFonts w:asciiTheme="majorHAnsi" w:hAnsiTheme="majorHAnsi"/>
          <w:color w:val="000000" w:themeColor="text1"/>
          <w:sz w:val="20"/>
          <w:szCs w:val="20"/>
          <w:lang w:val="pt-BR"/>
        </w:rPr>
        <w:t>linh</w:t>
      </w:r>
      <w:r w:rsidR="002649F0" w:rsidRPr="006D1C74">
        <w:rPr>
          <w:rFonts w:asciiTheme="majorHAnsi" w:hAnsiTheme="majorHAnsi"/>
          <w:color w:val="000000" w:themeColor="text1"/>
          <w:sz w:val="20"/>
          <w:szCs w:val="20"/>
          <w:lang w:val="pt-BR"/>
        </w:rPr>
        <w:t>a que</w:t>
      </w:r>
      <w:r w:rsidR="00217759" w:rsidRPr="006D1C74">
        <w:rPr>
          <w:rFonts w:asciiTheme="majorHAnsi" w:hAnsiTheme="majorHAnsi"/>
          <w:color w:val="000000" w:themeColor="text1"/>
          <w:sz w:val="20"/>
          <w:szCs w:val="20"/>
          <w:lang w:val="pt-BR"/>
        </w:rPr>
        <w:t xml:space="preserve"> </w:t>
      </w:r>
      <w:r w:rsidR="00F673C7" w:rsidRPr="006D1C74">
        <w:rPr>
          <w:rFonts w:asciiTheme="majorHAnsi" w:hAnsiTheme="majorHAnsi"/>
          <w:color w:val="000000" w:themeColor="text1"/>
          <w:sz w:val="20"/>
          <w:szCs w:val="20"/>
          <w:lang w:val="pt-BR"/>
        </w:rPr>
        <w:t xml:space="preserve">a </w:t>
      </w:r>
      <w:r w:rsidR="00585D35" w:rsidRPr="006D1C74">
        <w:rPr>
          <w:rFonts w:asciiTheme="majorHAnsi" w:hAnsiTheme="majorHAnsi"/>
          <w:color w:val="000000" w:themeColor="text1"/>
          <w:sz w:val="20"/>
          <w:szCs w:val="20"/>
          <w:lang w:val="pt-BR"/>
        </w:rPr>
        <w:t>ordem</w:t>
      </w:r>
      <w:r w:rsidR="002649F0" w:rsidRPr="006D1C74">
        <w:rPr>
          <w:rFonts w:asciiTheme="majorHAnsi" w:hAnsiTheme="majorHAnsi"/>
          <w:color w:val="000000" w:themeColor="text1"/>
          <w:sz w:val="20"/>
          <w:szCs w:val="20"/>
          <w:lang w:val="pt-BR"/>
        </w:rPr>
        <w:t xml:space="preserve"> judicial inclus</w:t>
      </w:r>
      <w:r w:rsidR="00217759" w:rsidRPr="006D1C74">
        <w:rPr>
          <w:rFonts w:asciiTheme="majorHAnsi" w:hAnsiTheme="majorHAnsi"/>
          <w:color w:val="000000" w:themeColor="text1"/>
          <w:sz w:val="20"/>
          <w:szCs w:val="20"/>
          <w:lang w:val="pt-BR"/>
        </w:rPr>
        <w:t>ive</w:t>
      </w:r>
      <w:r w:rsidR="002649F0" w:rsidRPr="006D1C74">
        <w:rPr>
          <w:rFonts w:asciiTheme="majorHAnsi" w:hAnsiTheme="majorHAnsi"/>
          <w:color w:val="000000" w:themeColor="text1"/>
          <w:sz w:val="20"/>
          <w:szCs w:val="20"/>
          <w:lang w:val="pt-BR"/>
        </w:rPr>
        <w:t xml:space="preserve"> advert</w:t>
      </w:r>
      <w:r w:rsidR="00055622" w:rsidRPr="006D1C74">
        <w:rPr>
          <w:rFonts w:asciiTheme="majorHAnsi" w:hAnsiTheme="majorHAnsi"/>
          <w:color w:val="000000" w:themeColor="text1"/>
          <w:sz w:val="20"/>
          <w:szCs w:val="20"/>
          <w:lang w:val="pt-BR"/>
        </w:rPr>
        <w:t>ia</w:t>
      </w:r>
      <w:r w:rsidR="00217759" w:rsidRPr="006D1C74">
        <w:rPr>
          <w:rFonts w:asciiTheme="majorHAnsi" w:hAnsiTheme="majorHAnsi"/>
          <w:color w:val="000000" w:themeColor="text1"/>
          <w:sz w:val="20"/>
          <w:szCs w:val="20"/>
          <w:lang w:val="pt-BR"/>
        </w:rPr>
        <w:t xml:space="preserve"> ao </w:t>
      </w:r>
      <w:r w:rsidR="002649F0" w:rsidRPr="006D1C74">
        <w:rPr>
          <w:rFonts w:asciiTheme="majorHAnsi" w:hAnsiTheme="majorHAnsi"/>
          <w:color w:val="000000" w:themeColor="text1"/>
          <w:sz w:val="20"/>
          <w:szCs w:val="20"/>
          <w:lang w:val="pt-BR"/>
        </w:rPr>
        <w:t>Comandante Geral</w:t>
      </w:r>
      <w:r w:rsidR="00795010" w:rsidRPr="006D1C74">
        <w:rPr>
          <w:rFonts w:asciiTheme="majorHAnsi" w:hAnsiTheme="majorHAnsi"/>
          <w:color w:val="000000" w:themeColor="text1"/>
          <w:sz w:val="20"/>
          <w:szCs w:val="20"/>
          <w:lang w:val="pt-BR"/>
        </w:rPr>
        <w:t xml:space="preserve"> da </w:t>
      </w:r>
      <w:r w:rsidR="00F37852" w:rsidRPr="006D1C74">
        <w:rPr>
          <w:rFonts w:asciiTheme="majorHAnsi" w:hAnsiTheme="majorHAnsi"/>
          <w:color w:val="000000" w:themeColor="text1"/>
          <w:sz w:val="20"/>
          <w:szCs w:val="20"/>
          <w:lang w:val="pt-BR"/>
        </w:rPr>
        <w:t>Polícia</w:t>
      </w:r>
      <w:r w:rsidR="002649F0" w:rsidRPr="006D1C74">
        <w:rPr>
          <w:rFonts w:asciiTheme="majorHAnsi" w:hAnsiTheme="majorHAnsi"/>
          <w:color w:val="000000" w:themeColor="text1"/>
          <w:sz w:val="20"/>
          <w:szCs w:val="20"/>
          <w:lang w:val="pt-BR"/>
        </w:rPr>
        <w:t xml:space="preserve"> Militar que</w:t>
      </w:r>
      <w:r w:rsidR="00700267" w:rsidRPr="006D1C74">
        <w:rPr>
          <w:rFonts w:asciiTheme="majorHAnsi" w:hAnsiTheme="majorHAnsi"/>
          <w:color w:val="000000" w:themeColor="text1"/>
          <w:sz w:val="20"/>
          <w:szCs w:val="20"/>
          <w:lang w:val="pt-BR"/>
        </w:rPr>
        <w:t xml:space="preserve"> o </w:t>
      </w:r>
      <w:r w:rsidR="002649F0" w:rsidRPr="006D1C74">
        <w:rPr>
          <w:rFonts w:asciiTheme="majorHAnsi" w:hAnsiTheme="majorHAnsi"/>
          <w:color w:val="000000" w:themeColor="text1"/>
          <w:sz w:val="20"/>
          <w:szCs w:val="20"/>
          <w:lang w:val="pt-BR"/>
        </w:rPr>
        <w:t>órg</w:t>
      </w:r>
      <w:r w:rsidR="00585D35" w:rsidRPr="006D1C74">
        <w:rPr>
          <w:rFonts w:asciiTheme="majorHAnsi" w:hAnsiTheme="majorHAnsi"/>
          <w:color w:val="000000" w:themeColor="text1"/>
          <w:sz w:val="20"/>
          <w:szCs w:val="20"/>
          <w:lang w:val="pt-BR"/>
        </w:rPr>
        <w:t>ã</w:t>
      </w:r>
      <w:r w:rsidR="002649F0" w:rsidRPr="006D1C74">
        <w:rPr>
          <w:rFonts w:asciiTheme="majorHAnsi" w:hAnsiTheme="majorHAnsi"/>
          <w:color w:val="000000" w:themeColor="text1"/>
          <w:sz w:val="20"/>
          <w:szCs w:val="20"/>
          <w:lang w:val="pt-BR"/>
        </w:rPr>
        <w:t>o policial</w:t>
      </w:r>
      <w:r w:rsidR="00F673C7" w:rsidRPr="006D1C74">
        <w:rPr>
          <w:rFonts w:asciiTheme="majorHAnsi" w:hAnsiTheme="majorHAnsi"/>
          <w:color w:val="000000" w:themeColor="text1"/>
          <w:sz w:val="20"/>
          <w:szCs w:val="20"/>
          <w:lang w:val="pt-BR"/>
        </w:rPr>
        <w:t xml:space="preserve"> não </w:t>
      </w:r>
      <w:r w:rsidR="002649F0" w:rsidRPr="006D1C74">
        <w:rPr>
          <w:rFonts w:asciiTheme="majorHAnsi" w:hAnsiTheme="majorHAnsi"/>
          <w:color w:val="000000" w:themeColor="text1"/>
          <w:sz w:val="20"/>
          <w:szCs w:val="20"/>
          <w:lang w:val="pt-BR"/>
        </w:rPr>
        <w:t>pod</w:t>
      </w:r>
      <w:r w:rsidR="00055622" w:rsidRPr="006D1C74">
        <w:rPr>
          <w:rFonts w:asciiTheme="majorHAnsi" w:hAnsiTheme="majorHAnsi"/>
          <w:color w:val="000000" w:themeColor="text1"/>
          <w:sz w:val="20"/>
          <w:szCs w:val="20"/>
          <w:lang w:val="pt-BR"/>
        </w:rPr>
        <w:t>ia</w:t>
      </w:r>
      <w:r w:rsidR="002649F0" w:rsidRPr="006D1C74">
        <w:rPr>
          <w:rFonts w:asciiTheme="majorHAnsi" w:hAnsiTheme="majorHAnsi"/>
          <w:color w:val="000000" w:themeColor="text1"/>
          <w:sz w:val="20"/>
          <w:szCs w:val="20"/>
          <w:lang w:val="pt-BR"/>
        </w:rPr>
        <w:t xml:space="preserve"> impedir</w:t>
      </w:r>
      <w:r w:rsidR="00700267" w:rsidRPr="006D1C74">
        <w:rPr>
          <w:rFonts w:asciiTheme="majorHAnsi" w:hAnsiTheme="majorHAnsi"/>
          <w:color w:val="000000" w:themeColor="text1"/>
          <w:sz w:val="20"/>
          <w:szCs w:val="20"/>
          <w:lang w:val="pt-BR"/>
        </w:rPr>
        <w:t xml:space="preserve"> a </w:t>
      </w:r>
      <w:r w:rsidR="002649F0" w:rsidRPr="006D1C74">
        <w:rPr>
          <w:rFonts w:asciiTheme="majorHAnsi" w:hAnsiTheme="majorHAnsi"/>
          <w:color w:val="000000" w:themeColor="text1"/>
          <w:sz w:val="20"/>
          <w:szCs w:val="20"/>
          <w:lang w:val="pt-BR"/>
        </w:rPr>
        <w:t>manifesta</w:t>
      </w:r>
      <w:r w:rsidR="00CF037E" w:rsidRPr="006D1C74">
        <w:rPr>
          <w:rFonts w:asciiTheme="majorHAnsi" w:hAnsiTheme="majorHAnsi"/>
          <w:color w:val="000000" w:themeColor="text1"/>
          <w:sz w:val="20"/>
          <w:szCs w:val="20"/>
          <w:lang w:val="pt-BR"/>
        </w:rPr>
        <w:t>ção</w:t>
      </w:r>
      <w:r w:rsidR="002649F0" w:rsidRPr="006D1C74">
        <w:rPr>
          <w:rFonts w:asciiTheme="majorHAnsi" w:hAnsiTheme="majorHAnsi"/>
          <w:color w:val="000000" w:themeColor="text1"/>
          <w:sz w:val="20"/>
          <w:szCs w:val="20"/>
          <w:lang w:val="pt-BR"/>
        </w:rPr>
        <w:t xml:space="preserve"> pacífica</w:t>
      </w:r>
      <w:r w:rsidRPr="006D1C74">
        <w:rPr>
          <w:rFonts w:asciiTheme="majorHAnsi" w:hAnsiTheme="majorHAnsi"/>
          <w:color w:val="000000" w:themeColor="text1"/>
          <w:sz w:val="20"/>
          <w:szCs w:val="20"/>
          <w:lang w:val="pt-BR"/>
        </w:rPr>
        <w:t>.</w:t>
      </w:r>
    </w:p>
    <w:p w14:paraId="7F58C8F8"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Batang" w:hAnsiTheme="majorHAnsi"/>
          <w:sz w:val="20"/>
          <w:szCs w:val="20"/>
          <w:bdr w:val="none" w:sz="0" w:space="0" w:color="auto"/>
          <w:lang w:val="pt-BR"/>
        </w:rPr>
      </w:pPr>
    </w:p>
    <w:p w14:paraId="0C22BE25" w14:textId="1E6EE19C" w:rsidR="002649F0" w:rsidRPr="006D1C74" w:rsidRDefault="00217759"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Batang" w:hAnsiTheme="majorHAnsi"/>
          <w:sz w:val="20"/>
          <w:szCs w:val="20"/>
          <w:bdr w:val="none" w:sz="0" w:space="0" w:color="auto"/>
          <w:lang w:val="pt-BR"/>
        </w:rPr>
      </w:pPr>
      <w:r w:rsidRPr="006D1C74">
        <w:rPr>
          <w:rFonts w:asciiTheme="majorHAnsi" w:hAnsiTheme="majorHAnsi"/>
          <w:sz w:val="20"/>
          <w:szCs w:val="20"/>
          <w:lang w:val="pt-BR"/>
        </w:rPr>
        <w:t>Assi</w:t>
      </w:r>
      <w:r w:rsidR="00585D35" w:rsidRPr="006D1C74">
        <w:rPr>
          <w:rFonts w:asciiTheme="majorHAnsi" w:hAnsiTheme="majorHAnsi"/>
          <w:sz w:val="20"/>
          <w:szCs w:val="20"/>
          <w:lang w:val="pt-BR"/>
        </w:rPr>
        <w:t>n</w:t>
      </w:r>
      <w:r w:rsidR="002649F0" w:rsidRPr="006D1C74">
        <w:rPr>
          <w:rFonts w:asciiTheme="majorHAnsi" w:hAnsiTheme="majorHAnsi"/>
          <w:sz w:val="20"/>
          <w:szCs w:val="20"/>
          <w:lang w:val="pt-BR"/>
        </w:rPr>
        <w:t>ala que</w:t>
      </w:r>
      <w:r w:rsidR="00700267" w:rsidRPr="006D1C74">
        <w:rPr>
          <w:rFonts w:asciiTheme="majorHAnsi" w:hAnsiTheme="majorHAnsi"/>
          <w:sz w:val="20"/>
          <w:szCs w:val="20"/>
          <w:lang w:val="pt-BR"/>
        </w:rPr>
        <w:t xml:space="preserve"> os </w:t>
      </w:r>
      <w:r w:rsidR="00F37852" w:rsidRPr="006D1C74">
        <w:rPr>
          <w:rFonts w:asciiTheme="majorHAnsi" w:hAnsiTheme="majorHAnsi"/>
          <w:sz w:val="20"/>
          <w:szCs w:val="20"/>
          <w:lang w:val="pt-BR"/>
        </w:rPr>
        <w:t>fato</w:t>
      </w:r>
      <w:r w:rsidR="002649F0" w:rsidRPr="006D1C74">
        <w:rPr>
          <w:rFonts w:asciiTheme="majorHAnsi" w:hAnsiTheme="majorHAnsi"/>
          <w:sz w:val="20"/>
          <w:szCs w:val="20"/>
          <w:lang w:val="pt-BR"/>
        </w:rPr>
        <w:t>s</w:t>
      </w:r>
      <w:r w:rsidR="00F673C7" w:rsidRPr="006D1C74">
        <w:rPr>
          <w:rFonts w:asciiTheme="majorHAnsi" w:hAnsiTheme="majorHAnsi"/>
          <w:sz w:val="20"/>
          <w:szCs w:val="20"/>
          <w:lang w:val="pt-BR"/>
        </w:rPr>
        <w:t xml:space="preserve"> não </w:t>
      </w:r>
      <w:r w:rsidR="002649F0" w:rsidRPr="006D1C74">
        <w:rPr>
          <w:rFonts w:asciiTheme="majorHAnsi" w:hAnsiTheme="majorHAnsi"/>
          <w:sz w:val="20"/>
          <w:szCs w:val="20"/>
          <w:lang w:val="pt-BR"/>
        </w:rPr>
        <w:t>f</w:t>
      </w:r>
      <w:r w:rsidRPr="006D1C74">
        <w:rPr>
          <w:rFonts w:asciiTheme="majorHAnsi" w:hAnsiTheme="majorHAnsi"/>
          <w:sz w:val="20"/>
          <w:szCs w:val="20"/>
          <w:lang w:val="pt-BR"/>
        </w:rPr>
        <w:t>oram</w:t>
      </w:r>
      <w:r w:rsidR="002649F0" w:rsidRPr="006D1C74">
        <w:rPr>
          <w:rFonts w:asciiTheme="majorHAnsi" w:hAnsiTheme="majorHAnsi"/>
          <w:sz w:val="20"/>
          <w:szCs w:val="20"/>
          <w:lang w:val="pt-BR"/>
        </w:rPr>
        <w:t xml:space="preserve"> </w:t>
      </w:r>
      <w:r w:rsidR="00585D35" w:rsidRPr="006D1C74">
        <w:rPr>
          <w:rFonts w:asciiTheme="majorHAnsi" w:hAnsiTheme="majorHAnsi"/>
          <w:sz w:val="20"/>
          <w:szCs w:val="20"/>
          <w:lang w:val="pt-BR"/>
        </w:rPr>
        <w:t>dev</w:t>
      </w:r>
      <w:r w:rsidR="002649F0" w:rsidRPr="006D1C74">
        <w:rPr>
          <w:rFonts w:asciiTheme="majorHAnsi" w:hAnsiTheme="majorHAnsi"/>
          <w:sz w:val="20"/>
          <w:szCs w:val="20"/>
          <w:lang w:val="pt-BR"/>
        </w:rPr>
        <w:t>idamente investigados</w:t>
      </w:r>
      <w:r w:rsidR="00CF037E" w:rsidRPr="006D1C74">
        <w:rPr>
          <w:rFonts w:asciiTheme="majorHAnsi" w:hAnsiTheme="majorHAnsi"/>
          <w:sz w:val="20"/>
          <w:szCs w:val="20"/>
          <w:lang w:val="pt-BR"/>
        </w:rPr>
        <w:t xml:space="preserve"> e </w:t>
      </w:r>
      <w:r w:rsidR="00455F22" w:rsidRPr="006D1C74">
        <w:rPr>
          <w:rFonts w:asciiTheme="majorHAnsi" w:hAnsiTheme="majorHAnsi"/>
          <w:sz w:val="20"/>
          <w:szCs w:val="20"/>
          <w:lang w:val="pt-BR"/>
        </w:rPr>
        <w:t>puni</w:t>
      </w:r>
      <w:r w:rsidR="002649F0" w:rsidRPr="006D1C74">
        <w:rPr>
          <w:rFonts w:asciiTheme="majorHAnsi" w:hAnsiTheme="majorHAnsi"/>
          <w:sz w:val="20"/>
          <w:szCs w:val="20"/>
          <w:lang w:val="pt-BR"/>
        </w:rPr>
        <w:t>dos.</w:t>
      </w:r>
      <w:r w:rsidR="00F673C7" w:rsidRPr="006D1C74">
        <w:rPr>
          <w:rFonts w:asciiTheme="majorHAnsi" w:hAnsiTheme="majorHAnsi"/>
          <w:sz w:val="20"/>
          <w:szCs w:val="20"/>
          <w:lang w:val="pt-BR"/>
        </w:rPr>
        <w:t xml:space="preserve"> </w:t>
      </w:r>
      <w:r w:rsidRPr="006D1C74">
        <w:rPr>
          <w:rFonts w:asciiTheme="majorHAnsi" w:hAnsiTheme="majorHAnsi"/>
          <w:sz w:val="20"/>
          <w:szCs w:val="20"/>
          <w:lang w:val="pt-BR"/>
        </w:rPr>
        <w:t>N</w:t>
      </w:r>
      <w:r w:rsidR="002649F0" w:rsidRPr="006D1C74">
        <w:rPr>
          <w:rFonts w:asciiTheme="majorHAnsi" w:hAnsiTheme="majorHAnsi"/>
          <w:sz w:val="20"/>
          <w:szCs w:val="20"/>
          <w:lang w:val="pt-BR"/>
        </w:rPr>
        <w:t>e</w:t>
      </w:r>
      <w:r w:rsidR="00BD3AB3" w:rsidRPr="006D1C74">
        <w:rPr>
          <w:rFonts w:asciiTheme="majorHAnsi" w:hAnsiTheme="majorHAnsi"/>
          <w:sz w:val="20"/>
          <w:szCs w:val="20"/>
          <w:lang w:val="pt-BR"/>
        </w:rPr>
        <w:t>s</w:t>
      </w:r>
      <w:r w:rsidR="002649F0" w:rsidRPr="006D1C74">
        <w:rPr>
          <w:rFonts w:asciiTheme="majorHAnsi" w:hAnsiTheme="majorHAnsi"/>
          <w:sz w:val="20"/>
          <w:szCs w:val="20"/>
          <w:lang w:val="pt-BR"/>
        </w:rPr>
        <w:t>se sentido, alega que</w:t>
      </w:r>
      <w:r w:rsidR="00F673C7" w:rsidRPr="006D1C74">
        <w:rPr>
          <w:rFonts w:asciiTheme="majorHAnsi" w:hAnsiTheme="majorHAnsi"/>
          <w:sz w:val="20"/>
          <w:szCs w:val="20"/>
          <w:lang w:val="pt-BR"/>
        </w:rPr>
        <w:t xml:space="preserve"> não </w:t>
      </w:r>
      <w:r w:rsidR="002649F0" w:rsidRPr="006D1C74">
        <w:rPr>
          <w:rFonts w:asciiTheme="majorHAnsi" w:hAnsiTheme="majorHAnsi"/>
          <w:sz w:val="20"/>
          <w:szCs w:val="20"/>
          <w:lang w:val="pt-BR"/>
        </w:rPr>
        <w:t>se responsabiliz</w:t>
      </w:r>
      <w:r w:rsidR="00BD3AB3" w:rsidRPr="006D1C74">
        <w:rPr>
          <w:rFonts w:asciiTheme="majorHAnsi" w:hAnsiTheme="majorHAnsi"/>
          <w:sz w:val="20"/>
          <w:szCs w:val="20"/>
          <w:lang w:val="pt-BR"/>
        </w:rPr>
        <w:t>ou</w:t>
      </w:r>
      <w:r w:rsidR="002649F0" w:rsidRPr="006D1C74">
        <w:rPr>
          <w:rFonts w:asciiTheme="majorHAnsi" w:hAnsiTheme="majorHAnsi"/>
          <w:sz w:val="20"/>
          <w:szCs w:val="20"/>
          <w:lang w:val="pt-BR"/>
        </w:rPr>
        <w:t xml:space="preserve"> </w:t>
      </w:r>
      <w:r w:rsidRPr="006D1C74">
        <w:rPr>
          <w:rFonts w:asciiTheme="majorHAnsi" w:hAnsiTheme="majorHAnsi"/>
          <w:sz w:val="20"/>
          <w:szCs w:val="20"/>
          <w:lang w:val="pt-BR"/>
        </w:rPr>
        <w:t xml:space="preserve">nenhum </w:t>
      </w:r>
      <w:r w:rsidR="00700267" w:rsidRPr="006D1C74">
        <w:rPr>
          <w:rFonts w:asciiTheme="majorHAnsi" w:hAnsiTheme="majorHAnsi"/>
          <w:sz w:val="20"/>
          <w:szCs w:val="20"/>
          <w:lang w:val="pt-BR"/>
        </w:rPr>
        <w:t xml:space="preserve">dos </w:t>
      </w:r>
      <w:r w:rsidR="00BD3AB3" w:rsidRPr="006D1C74">
        <w:rPr>
          <w:rFonts w:asciiTheme="majorHAnsi" w:hAnsiTheme="majorHAnsi"/>
          <w:sz w:val="20"/>
          <w:szCs w:val="20"/>
          <w:lang w:val="pt-BR"/>
        </w:rPr>
        <w:t>e</w:t>
      </w:r>
      <w:r w:rsidR="002649F0" w:rsidRPr="006D1C74">
        <w:rPr>
          <w:rFonts w:asciiTheme="majorHAnsi" w:hAnsiTheme="majorHAnsi"/>
          <w:sz w:val="20"/>
          <w:szCs w:val="20"/>
          <w:lang w:val="pt-BR"/>
        </w:rPr>
        <w:t>nvol</w:t>
      </w:r>
      <w:r w:rsidRPr="006D1C74">
        <w:rPr>
          <w:rFonts w:asciiTheme="majorHAnsi" w:hAnsiTheme="majorHAnsi"/>
          <w:sz w:val="20"/>
          <w:szCs w:val="20"/>
          <w:lang w:val="pt-BR"/>
        </w:rPr>
        <w:t>vi</w:t>
      </w:r>
      <w:r w:rsidR="002649F0" w:rsidRPr="006D1C74">
        <w:rPr>
          <w:rFonts w:asciiTheme="majorHAnsi" w:hAnsiTheme="majorHAnsi"/>
          <w:sz w:val="20"/>
          <w:szCs w:val="20"/>
          <w:lang w:val="pt-BR"/>
        </w:rPr>
        <w:t>dos</w:t>
      </w:r>
      <w:r w:rsidRPr="006D1C74">
        <w:rPr>
          <w:rFonts w:asciiTheme="majorHAnsi" w:hAnsiTheme="majorHAnsi"/>
          <w:sz w:val="20"/>
          <w:szCs w:val="20"/>
          <w:lang w:val="pt-BR"/>
        </w:rPr>
        <w:t xml:space="preserve"> nos </w:t>
      </w:r>
      <w:r w:rsidR="00F37852" w:rsidRPr="006D1C74">
        <w:rPr>
          <w:rFonts w:asciiTheme="majorHAnsi" w:hAnsiTheme="majorHAnsi"/>
          <w:sz w:val="20"/>
          <w:szCs w:val="20"/>
          <w:lang w:val="pt-BR"/>
        </w:rPr>
        <w:t>fato</w:t>
      </w:r>
      <w:r w:rsidR="002649F0" w:rsidRPr="006D1C74">
        <w:rPr>
          <w:rFonts w:asciiTheme="majorHAnsi" w:hAnsiTheme="majorHAnsi"/>
          <w:sz w:val="20"/>
          <w:szCs w:val="20"/>
          <w:lang w:val="pt-BR"/>
        </w:rPr>
        <w:t>s. Re</w:t>
      </w:r>
      <w:r w:rsidR="00995C01" w:rsidRPr="006D1C74">
        <w:rPr>
          <w:rFonts w:asciiTheme="majorHAnsi" w:hAnsiTheme="majorHAnsi"/>
          <w:sz w:val="20"/>
          <w:szCs w:val="20"/>
          <w:lang w:val="pt-BR"/>
        </w:rPr>
        <w:t>ss</w:t>
      </w:r>
      <w:r w:rsidR="002649F0" w:rsidRPr="006D1C74">
        <w:rPr>
          <w:rFonts w:asciiTheme="majorHAnsi" w:hAnsiTheme="majorHAnsi"/>
          <w:sz w:val="20"/>
          <w:szCs w:val="20"/>
          <w:lang w:val="pt-BR"/>
        </w:rPr>
        <w:t>al</w:t>
      </w:r>
      <w:r w:rsidR="00BD3AB3" w:rsidRPr="006D1C74">
        <w:rPr>
          <w:rFonts w:asciiTheme="majorHAnsi" w:hAnsiTheme="majorHAnsi"/>
          <w:sz w:val="20"/>
          <w:szCs w:val="20"/>
          <w:lang w:val="pt-BR"/>
        </w:rPr>
        <w:t>t</w:t>
      </w:r>
      <w:r w:rsidR="002649F0" w:rsidRPr="006D1C74">
        <w:rPr>
          <w:rFonts w:asciiTheme="majorHAnsi" w:hAnsiTheme="majorHAnsi"/>
          <w:sz w:val="20"/>
          <w:szCs w:val="20"/>
          <w:lang w:val="pt-BR"/>
        </w:rPr>
        <w:t>a que,</w:t>
      </w:r>
      <w:r w:rsidR="00995C01" w:rsidRPr="006D1C74">
        <w:rPr>
          <w:rFonts w:asciiTheme="majorHAnsi" w:hAnsiTheme="majorHAnsi"/>
          <w:sz w:val="20"/>
          <w:szCs w:val="20"/>
          <w:lang w:val="pt-BR"/>
        </w:rPr>
        <w:t xml:space="preserve"> no </w:t>
      </w:r>
      <w:r w:rsidR="002649F0" w:rsidRPr="006D1C74">
        <w:rPr>
          <w:rFonts w:asciiTheme="majorHAnsi" w:hAnsiTheme="majorHAnsi"/>
          <w:sz w:val="20"/>
          <w:szCs w:val="20"/>
          <w:lang w:val="pt-BR"/>
        </w:rPr>
        <w:t>que se refere</w:t>
      </w:r>
      <w:r w:rsidR="00030019" w:rsidRPr="006D1C74">
        <w:rPr>
          <w:rFonts w:asciiTheme="majorHAnsi" w:hAnsiTheme="majorHAnsi"/>
          <w:sz w:val="20"/>
          <w:szCs w:val="20"/>
          <w:lang w:val="pt-BR"/>
        </w:rPr>
        <w:t xml:space="preserve"> às </w:t>
      </w:r>
      <w:r w:rsidR="00D74A93" w:rsidRPr="006D1C74">
        <w:rPr>
          <w:rFonts w:asciiTheme="majorHAnsi" w:hAnsiTheme="majorHAnsi"/>
          <w:sz w:val="20"/>
          <w:szCs w:val="20"/>
          <w:lang w:val="pt-BR"/>
        </w:rPr>
        <w:t>lesões</w:t>
      </w:r>
      <w:r w:rsidR="00700267" w:rsidRPr="006D1C74">
        <w:rPr>
          <w:rFonts w:asciiTheme="majorHAnsi" w:hAnsiTheme="majorHAnsi"/>
          <w:sz w:val="20"/>
          <w:szCs w:val="20"/>
          <w:lang w:val="pt-BR"/>
        </w:rPr>
        <w:t xml:space="preserve"> dos trabalh</w:t>
      </w:r>
      <w:r w:rsidR="002649F0" w:rsidRPr="006D1C74">
        <w:rPr>
          <w:rFonts w:asciiTheme="majorHAnsi" w:hAnsiTheme="majorHAnsi"/>
          <w:sz w:val="20"/>
          <w:szCs w:val="20"/>
          <w:lang w:val="pt-BR"/>
        </w:rPr>
        <w:t>adores</w:t>
      </w:r>
      <w:r w:rsidR="00700267" w:rsidRPr="006D1C74">
        <w:rPr>
          <w:rFonts w:asciiTheme="majorHAnsi" w:hAnsiTheme="majorHAnsi"/>
          <w:sz w:val="20"/>
          <w:szCs w:val="20"/>
          <w:lang w:val="pt-BR"/>
        </w:rPr>
        <w:t xml:space="preserve"> sem</w:t>
      </w:r>
      <w:r w:rsidR="003D3B11">
        <w:rPr>
          <w:rFonts w:asciiTheme="majorHAnsi" w:hAnsiTheme="majorHAnsi"/>
          <w:sz w:val="20"/>
          <w:szCs w:val="20"/>
          <w:lang w:val="pt-BR"/>
        </w:rPr>
        <w:t>-</w:t>
      </w:r>
      <w:r w:rsidR="00795010" w:rsidRPr="006D1C74">
        <w:rPr>
          <w:rFonts w:asciiTheme="majorHAnsi" w:hAnsiTheme="majorHAnsi"/>
          <w:sz w:val="20"/>
          <w:szCs w:val="20"/>
          <w:lang w:val="pt-BR"/>
        </w:rPr>
        <w:t>terra</w:t>
      </w:r>
      <w:r w:rsidR="002649F0" w:rsidRPr="006D1C74">
        <w:rPr>
          <w:rFonts w:asciiTheme="majorHAnsi" w:hAnsiTheme="majorHAnsi"/>
          <w:sz w:val="20"/>
          <w:szCs w:val="20"/>
          <w:lang w:val="pt-BR"/>
        </w:rPr>
        <w:t xml:space="preserve">, </w:t>
      </w:r>
      <w:r w:rsidR="003D3B11">
        <w:rPr>
          <w:rFonts w:asciiTheme="majorHAnsi" w:hAnsiTheme="majorHAnsi"/>
          <w:sz w:val="20"/>
          <w:szCs w:val="20"/>
          <w:lang w:val="pt-BR"/>
        </w:rPr>
        <w:t xml:space="preserve">estas </w:t>
      </w:r>
      <w:r w:rsidR="002649F0" w:rsidRPr="006D1C74">
        <w:rPr>
          <w:rFonts w:asciiTheme="majorHAnsi" w:hAnsiTheme="majorHAnsi"/>
          <w:sz w:val="20"/>
          <w:szCs w:val="20"/>
          <w:lang w:val="pt-BR"/>
        </w:rPr>
        <w:t>n</w:t>
      </w:r>
      <w:r w:rsidR="00995C01" w:rsidRPr="006D1C74">
        <w:rPr>
          <w:rFonts w:asciiTheme="majorHAnsi" w:hAnsiTheme="majorHAnsi"/>
          <w:sz w:val="20"/>
          <w:szCs w:val="20"/>
          <w:lang w:val="pt-BR"/>
        </w:rPr>
        <w:t>em sequer foram mencionad</w:t>
      </w:r>
      <w:r w:rsidR="003D3B11">
        <w:rPr>
          <w:rFonts w:asciiTheme="majorHAnsi" w:hAnsiTheme="majorHAnsi"/>
          <w:sz w:val="20"/>
          <w:szCs w:val="20"/>
          <w:lang w:val="pt-BR"/>
        </w:rPr>
        <w:t>a</w:t>
      </w:r>
      <w:r w:rsidR="00995C01" w:rsidRPr="006D1C74">
        <w:rPr>
          <w:rFonts w:asciiTheme="majorHAnsi" w:hAnsiTheme="majorHAnsi"/>
          <w:sz w:val="20"/>
          <w:szCs w:val="20"/>
          <w:lang w:val="pt-BR"/>
        </w:rPr>
        <w:t xml:space="preserve">s </w:t>
      </w:r>
      <w:r w:rsidR="00F673C7" w:rsidRPr="006D1C74">
        <w:rPr>
          <w:rFonts w:asciiTheme="majorHAnsi" w:hAnsiTheme="majorHAnsi"/>
          <w:sz w:val="20"/>
          <w:szCs w:val="20"/>
          <w:lang w:val="pt-BR"/>
        </w:rPr>
        <w:t xml:space="preserve">na </w:t>
      </w:r>
      <w:r w:rsidR="002649F0" w:rsidRPr="006D1C74">
        <w:rPr>
          <w:rFonts w:asciiTheme="majorHAnsi" w:hAnsiTheme="majorHAnsi"/>
          <w:sz w:val="20"/>
          <w:szCs w:val="20"/>
          <w:lang w:val="pt-BR"/>
        </w:rPr>
        <w:t>investiga</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realizada</w:t>
      </w:r>
      <w:r w:rsidR="00F37852" w:rsidRPr="006D1C74">
        <w:rPr>
          <w:rFonts w:asciiTheme="majorHAnsi" w:hAnsiTheme="majorHAnsi"/>
          <w:sz w:val="20"/>
          <w:szCs w:val="20"/>
          <w:lang w:val="pt-BR"/>
        </w:rPr>
        <w:t xml:space="preserve"> pela polícia</w:t>
      </w:r>
      <w:r w:rsidR="002649F0" w:rsidRPr="006D1C74">
        <w:rPr>
          <w:rFonts w:asciiTheme="majorHAnsi" w:hAnsiTheme="majorHAnsi"/>
          <w:sz w:val="20"/>
          <w:szCs w:val="20"/>
          <w:lang w:val="pt-BR"/>
        </w:rPr>
        <w:t xml:space="preserve"> militar, contrariamente</w:t>
      </w:r>
      <w:r w:rsidR="00030019" w:rsidRPr="006D1C74">
        <w:rPr>
          <w:rFonts w:asciiTheme="majorHAnsi" w:hAnsiTheme="majorHAnsi"/>
          <w:sz w:val="20"/>
          <w:szCs w:val="20"/>
          <w:lang w:val="pt-BR"/>
        </w:rPr>
        <w:t xml:space="preserve"> à </w:t>
      </w:r>
      <w:r w:rsidR="002649F0" w:rsidRPr="006D1C74">
        <w:rPr>
          <w:rFonts w:asciiTheme="majorHAnsi" w:hAnsiTheme="majorHAnsi"/>
          <w:sz w:val="20"/>
          <w:szCs w:val="20"/>
          <w:lang w:val="pt-BR"/>
        </w:rPr>
        <w:t>forma</w:t>
      </w:r>
      <w:r w:rsidR="00F673C7" w:rsidRPr="006D1C74">
        <w:rPr>
          <w:rFonts w:asciiTheme="majorHAnsi" w:hAnsiTheme="majorHAnsi"/>
          <w:sz w:val="20"/>
          <w:szCs w:val="20"/>
          <w:lang w:val="pt-BR"/>
        </w:rPr>
        <w:t xml:space="preserve"> em </w:t>
      </w:r>
      <w:r w:rsidR="002649F0" w:rsidRPr="006D1C74">
        <w:rPr>
          <w:rFonts w:asciiTheme="majorHAnsi" w:hAnsiTheme="majorHAnsi"/>
          <w:sz w:val="20"/>
          <w:szCs w:val="20"/>
          <w:lang w:val="pt-BR"/>
        </w:rPr>
        <w:t>que se proced</w:t>
      </w:r>
      <w:r w:rsidR="00BD3AB3" w:rsidRPr="006D1C74">
        <w:rPr>
          <w:rFonts w:asciiTheme="majorHAnsi" w:hAnsiTheme="majorHAnsi"/>
          <w:sz w:val="20"/>
          <w:szCs w:val="20"/>
          <w:lang w:val="pt-BR"/>
        </w:rPr>
        <w:t>eu</w:t>
      </w:r>
      <w:r w:rsidR="00F673C7" w:rsidRPr="006D1C74">
        <w:rPr>
          <w:rFonts w:asciiTheme="majorHAnsi" w:hAnsiTheme="majorHAnsi"/>
          <w:sz w:val="20"/>
          <w:szCs w:val="20"/>
          <w:lang w:val="pt-BR"/>
        </w:rPr>
        <w:t xml:space="preserve"> com </w:t>
      </w:r>
      <w:r w:rsidR="002649F0" w:rsidRPr="006D1C74">
        <w:rPr>
          <w:rFonts w:asciiTheme="majorHAnsi" w:hAnsiTheme="majorHAnsi"/>
          <w:sz w:val="20"/>
          <w:szCs w:val="20"/>
          <w:lang w:val="pt-BR"/>
        </w:rPr>
        <w:t>respe</w:t>
      </w:r>
      <w:r w:rsidR="00BD3AB3" w:rsidRPr="006D1C74">
        <w:rPr>
          <w:rFonts w:asciiTheme="majorHAnsi" w:hAnsiTheme="majorHAnsi"/>
          <w:sz w:val="20"/>
          <w:szCs w:val="20"/>
          <w:lang w:val="pt-BR"/>
        </w:rPr>
        <w:t>i</w:t>
      </w:r>
      <w:r w:rsidR="002649F0" w:rsidRPr="006D1C74">
        <w:rPr>
          <w:rFonts w:asciiTheme="majorHAnsi" w:hAnsiTheme="majorHAnsi"/>
          <w:sz w:val="20"/>
          <w:szCs w:val="20"/>
          <w:lang w:val="pt-BR"/>
        </w:rPr>
        <w:t>to a</w:t>
      </w:r>
      <w:r w:rsidR="00700267" w:rsidRPr="006D1C74">
        <w:rPr>
          <w:rFonts w:asciiTheme="majorHAnsi" w:hAnsiTheme="majorHAnsi"/>
          <w:sz w:val="20"/>
          <w:szCs w:val="20"/>
          <w:lang w:val="pt-BR"/>
        </w:rPr>
        <w:t xml:space="preserve">os </w:t>
      </w:r>
      <w:r w:rsidR="002649F0" w:rsidRPr="006D1C74">
        <w:rPr>
          <w:rFonts w:asciiTheme="majorHAnsi" w:hAnsiTheme="majorHAnsi"/>
          <w:sz w:val="20"/>
          <w:szCs w:val="20"/>
          <w:lang w:val="pt-BR"/>
        </w:rPr>
        <w:t>da</w:t>
      </w:r>
      <w:r w:rsidR="00BD3AB3" w:rsidRPr="006D1C74">
        <w:rPr>
          <w:rFonts w:asciiTheme="majorHAnsi" w:hAnsiTheme="majorHAnsi"/>
          <w:sz w:val="20"/>
          <w:szCs w:val="20"/>
          <w:lang w:val="pt-BR"/>
        </w:rPr>
        <w:t>n</w:t>
      </w:r>
      <w:r w:rsidR="002649F0" w:rsidRPr="006D1C74">
        <w:rPr>
          <w:rFonts w:asciiTheme="majorHAnsi" w:hAnsiTheme="majorHAnsi"/>
          <w:sz w:val="20"/>
          <w:szCs w:val="20"/>
          <w:lang w:val="pt-BR"/>
        </w:rPr>
        <w:t>os</w:t>
      </w:r>
      <w:r w:rsidR="00CF037E" w:rsidRPr="006D1C74">
        <w:rPr>
          <w:rFonts w:asciiTheme="majorHAnsi" w:hAnsiTheme="majorHAnsi"/>
          <w:sz w:val="20"/>
          <w:szCs w:val="20"/>
          <w:lang w:val="pt-BR"/>
        </w:rPr>
        <w:t xml:space="preserve"> e</w:t>
      </w:r>
      <w:r w:rsidR="00700267" w:rsidRPr="006D1C74">
        <w:rPr>
          <w:rFonts w:asciiTheme="majorHAnsi" w:hAnsiTheme="majorHAnsi"/>
          <w:sz w:val="20"/>
          <w:szCs w:val="20"/>
          <w:lang w:val="pt-BR"/>
        </w:rPr>
        <w:t xml:space="preserve"> </w:t>
      </w:r>
      <w:r w:rsidR="00D74A93" w:rsidRPr="006D1C74">
        <w:rPr>
          <w:rFonts w:asciiTheme="majorHAnsi" w:hAnsiTheme="majorHAnsi"/>
          <w:sz w:val="20"/>
          <w:szCs w:val="20"/>
          <w:lang w:val="pt-BR"/>
        </w:rPr>
        <w:t>lesões</w:t>
      </w:r>
      <w:r w:rsidR="002649F0" w:rsidRPr="006D1C74">
        <w:rPr>
          <w:rFonts w:asciiTheme="majorHAnsi" w:hAnsiTheme="majorHAnsi"/>
          <w:sz w:val="20"/>
          <w:szCs w:val="20"/>
          <w:lang w:val="pt-BR"/>
        </w:rPr>
        <w:t xml:space="preserve"> que</w:t>
      </w:r>
      <w:r w:rsidR="00700267" w:rsidRPr="006D1C74">
        <w:rPr>
          <w:rFonts w:asciiTheme="majorHAnsi" w:hAnsiTheme="majorHAnsi"/>
          <w:sz w:val="20"/>
          <w:szCs w:val="20"/>
          <w:lang w:val="pt-BR"/>
        </w:rPr>
        <w:t xml:space="preserve"> os </w:t>
      </w:r>
      <w:r w:rsidR="002649F0" w:rsidRPr="006D1C74">
        <w:rPr>
          <w:rFonts w:asciiTheme="majorHAnsi" w:hAnsiTheme="majorHAnsi"/>
          <w:sz w:val="20"/>
          <w:szCs w:val="20"/>
          <w:lang w:val="pt-BR"/>
        </w:rPr>
        <w:t xml:space="preserve">agentes de </w:t>
      </w:r>
      <w:r w:rsidR="00F37852" w:rsidRPr="006D1C74">
        <w:rPr>
          <w:rFonts w:asciiTheme="majorHAnsi" w:hAnsiTheme="majorHAnsi"/>
          <w:sz w:val="20"/>
          <w:szCs w:val="20"/>
          <w:lang w:val="pt-BR"/>
        </w:rPr>
        <w:t>polícia</w:t>
      </w:r>
      <w:r w:rsidR="002649F0" w:rsidRPr="006D1C74">
        <w:rPr>
          <w:rFonts w:asciiTheme="majorHAnsi" w:hAnsiTheme="majorHAnsi"/>
          <w:sz w:val="20"/>
          <w:szCs w:val="20"/>
          <w:lang w:val="pt-BR"/>
        </w:rPr>
        <w:t xml:space="preserve"> alega</w:t>
      </w:r>
      <w:r w:rsidR="00BD3AB3" w:rsidRPr="006D1C74">
        <w:rPr>
          <w:rFonts w:asciiTheme="majorHAnsi" w:hAnsiTheme="majorHAnsi"/>
          <w:sz w:val="20"/>
          <w:szCs w:val="20"/>
          <w:lang w:val="pt-BR"/>
        </w:rPr>
        <w:t>m</w:t>
      </w:r>
      <w:r w:rsidR="002649F0" w:rsidRPr="006D1C74">
        <w:rPr>
          <w:rFonts w:asciiTheme="majorHAnsi" w:hAnsiTheme="majorHAnsi"/>
          <w:sz w:val="20"/>
          <w:szCs w:val="20"/>
          <w:lang w:val="pt-BR"/>
        </w:rPr>
        <w:t xml:space="preserve"> </w:t>
      </w:r>
      <w:r w:rsidR="00995C01" w:rsidRPr="006D1C74">
        <w:rPr>
          <w:rFonts w:asciiTheme="majorHAnsi" w:hAnsiTheme="majorHAnsi"/>
          <w:sz w:val="20"/>
          <w:szCs w:val="20"/>
          <w:lang w:val="pt-BR"/>
        </w:rPr>
        <w:t>t</w:t>
      </w:r>
      <w:r w:rsidR="002649F0" w:rsidRPr="006D1C74">
        <w:rPr>
          <w:rFonts w:asciiTheme="majorHAnsi" w:hAnsiTheme="majorHAnsi"/>
          <w:sz w:val="20"/>
          <w:szCs w:val="20"/>
          <w:lang w:val="pt-BR"/>
        </w:rPr>
        <w:t>er s</w:t>
      </w:r>
      <w:r w:rsidR="00BD3AB3" w:rsidRPr="006D1C74">
        <w:rPr>
          <w:rFonts w:asciiTheme="majorHAnsi" w:hAnsiTheme="majorHAnsi"/>
          <w:sz w:val="20"/>
          <w:szCs w:val="20"/>
          <w:lang w:val="pt-BR"/>
        </w:rPr>
        <w:t>o</w:t>
      </w:r>
      <w:r w:rsidR="002649F0" w:rsidRPr="006D1C74">
        <w:rPr>
          <w:rFonts w:asciiTheme="majorHAnsi" w:hAnsiTheme="majorHAnsi"/>
          <w:sz w:val="20"/>
          <w:szCs w:val="20"/>
          <w:lang w:val="pt-BR"/>
        </w:rPr>
        <w:t>frido. Destaca que todo</w:t>
      </w:r>
      <w:r w:rsidR="00700267" w:rsidRPr="006D1C74">
        <w:rPr>
          <w:rFonts w:asciiTheme="majorHAnsi" w:hAnsiTheme="majorHAnsi"/>
          <w:sz w:val="20"/>
          <w:szCs w:val="20"/>
          <w:lang w:val="pt-BR"/>
        </w:rPr>
        <w:t xml:space="preserve"> o </w:t>
      </w:r>
      <w:r w:rsidR="00AB7F30" w:rsidRPr="006D1C74">
        <w:rPr>
          <w:rFonts w:asciiTheme="majorHAnsi" w:eastAsia="Batang" w:hAnsiTheme="majorHAnsi"/>
          <w:sz w:val="20"/>
          <w:szCs w:val="20"/>
          <w:bdr w:val="none" w:sz="0" w:space="0" w:color="auto"/>
          <w:lang w:val="pt-BR"/>
        </w:rPr>
        <w:t>processo</w:t>
      </w:r>
      <w:r w:rsidR="002649F0" w:rsidRPr="006D1C74">
        <w:rPr>
          <w:rFonts w:asciiTheme="majorHAnsi" w:eastAsia="Batang" w:hAnsiTheme="majorHAnsi"/>
          <w:sz w:val="20"/>
          <w:szCs w:val="20"/>
          <w:bdr w:val="none" w:sz="0" w:space="0" w:color="auto"/>
          <w:lang w:val="pt-BR"/>
        </w:rPr>
        <w:t xml:space="preserve"> se caracteriz</w:t>
      </w:r>
      <w:r w:rsidR="00BD3AB3" w:rsidRPr="006D1C74">
        <w:rPr>
          <w:rFonts w:asciiTheme="majorHAnsi" w:eastAsia="Batang" w:hAnsiTheme="majorHAnsi"/>
          <w:sz w:val="20"/>
          <w:szCs w:val="20"/>
          <w:bdr w:val="none" w:sz="0" w:space="0" w:color="auto"/>
          <w:lang w:val="pt-BR"/>
        </w:rPr>
        <w:t>ou</w:t>
      </w:r>
      <w:r w:rsidR="002649F0" w:rsidRPr="006D1C74">
        <w:rPr>
          <w:rFonts w:asciiTheme="majorHAnsi" w:eastAsia="Batang" w:hAnsiTheme="majorHAnsi"/>
          <w:sz w:val="20"/>
          <w:szCs w:val="20"/>
          <w:bdr w:val="none" w:sz="0" w:space="0" w:color="auto"/>
          <w:lang w:val="pt-BR"/>
        </w:rPr>
        <w:t xml:space="preserve"> por</w:t>
      </w:r>
      <w:r w:rsidR="00030019" w:rsidRPr="006D1C74">
        <w:rPr>
          <w:rFonts w:asciiTheme="majorHAnsi" w:eastAsia="Batang" w:hAnsiTheme="majorHAnsi"/>
          <w:sz w:val="20"/>
          <w:szCs w:val="20"/>
          <w:bdr w:val="none" w:sz="0" w:space="0" w:color="auto"/>
          <w:lang w:val="pt-BR"/>
        </w:rPr>
        <w:t xml:space="preserve"> uma </w:t>
      </w:r>
      <w:r w:rsidR="002649F0" w:rsidRPr="006D1C74">
        <w:rPr>
          <w:rFonts w:asciiTheme="majorHAnsi" w:eastAsia="Batang" w:hAnsiTheme="majorHAnsi"/>
          <w:sz w:val="20"/>
          <w:szCs w:val="20"/>
          <w:bdr w:val="none" w:sz="0" w:space="0" w:color="auto"/>
          <w:lang w:val="pt-BR"/>
        </w:rPr>
        <w:t>evidente parciali</w:t>
      </w:r>
      <w:r w:rsidR="00F673C7" w:rsidRPr="006D1C74">
        <w:rPr>
          <w:rFonts w:asciiTheme="majorHAnsi" w:eastAsia="Batang" w:hAnsiTheme="majorHAnsi"/>
          <w:sz w:val="20"/>
          <w:szCs w:val="20"/>
          <w:bdr w:val="none" w:sz="0" w:space="0" w:color="auto"/>
          <w:lang w:val="pt-BR"/>
        </w:rPr>
        <w:t>dade</w:t>
      </w:r>
      <w:r w:rsidR="00D74A93" w:rsidRPr="006D1C74">
        <w:rPr>
          <w:rFonts w:asciiTheme="majorHAnsi" w:eastAsia="Batang" w:hAnsiTheme="majorHAnsi"/>
          <w:sz w:val="20"/>
          <w:szCs w:val="20"/>
          <w:bdr w:val="none" w:sz="0" w:space="0" w:color="auto"/>
          <w:lang w:val="pt-BR"/>
        </w:rPr>
        <w:t xml:space="preserve"> das </w:t>
      </w:r>
      <w:r w:rsidR="002649F0" w:rsidRPr="006D1C74">
        <w:rPr>
          <w:rFonts w:asciiTheme="majorHAnsi" w:eastAsia="Batang" w:hAnsiTheme="majorHAnsi"/>
          <w:sz w:val="20"/>
          <w:szCs w:val="20"/>
          <w:bdr w:val="none" w:sz="0" w:space="0" w:color="auto"/>
          <w:lang w:val="pt-BR"/>
        </w:rPr>
        <w:t xml:space="preserve">autoridades militares </w:t>
      </w:r>
      <w:r w:rsidR="00995C01" w:rsidRPr="006D1C74">
        <w:rPr>
          <w:rFonts w:asciiTheme="majorHAnsi" w:eastAsia="Batang" w:hAnsiTheme="majorHAnsi"/>
          <w:sz w:val="20"/>
          <w:szCs w:val="20"/>
          <w:bdr w:val="none" w:sz="0" w:space="0" w:color="auto"/>
          <w:lang w:val="pt-BR"/>
        </w:rPr>
        <w:t>encarregadas</w:t>
      </w:r>
      <w:r w:rsidR="00795010" w:rsidRPr="006D1C74">
        <w:rPr>
          <w:rFonts w:asciiTheme="majorHAnsi" w:eastAsia="Batang" w:hAnsiTheme="majorHAnsi"/>
          <w:sz w:val="20"/>
          <w:szCs w:val="20"/>
          <w:bdr w:val="none" w:sz="0" w:space="0" w:color="auto"/>
          <w:lang w:val="pt-BR"/>
        </w:rPr>
        <w:t xml:space="preserve"> da </w:t>
      </w:r>
      <w:r w:rsidR="002649F0" w:rsidRPr="006D1C74">
        <w:rPr>
          <w:rFonts w:asciiTheme="majorHAnsi" w:eastAsia="Batang" w:hAnsiTheme="majorHAnsi"/>
          <w:sz w:val="20"/>
          <w:szCs w:val="20"/>
          <w:bdr w:val="none" w:sz="0" w:space="0" w:color="auto"/>
          <w:lang w:val="pt-BR"/>
        </w:rPr>
        <w:t>investiga</w:t>
      </w:r>
      <w:r w:rsidR="00CF037E" w:rsidRPr="006D1C74">
        <w:rPr>
          <w:rFonts w:asciiTheme="majorHAnsi" w:eastAsia="Batang" w:hAnsiTheme="majorHAnsi"/>
          <w:sz w:val="20"/>
          <w:szCs w:val="20"/>
          <w:bdr w:val="none" w:sz="0" w:space="0" w:color="auto"/>
          <w:lang w:val="pt-BR"/>
        </w:rPr>
        <w:t>ção</w:t>
      </w:r>
      <w:r w:rsidR="002649F0" w:rsidRPr="006D1C74">
        <w:rPr>
          <w:rFonts w:asciiTheme="majorHAnsi" w:eastAsia="Batang" w:hAnsiTheme="majorHAnsi"/>
          <w:sz w:val="20"/>
          <w:szCs w:val="20"/>
          <w:bdr w:val="none" w:sz="0" w:space="0" w:color="auto"/>
          <w:lang w:val="pt-BR"/>
        </w:rPr>
        <w:t>,</w:t>
      </w:r>
      <w:r w:rsidR="00030019" w:rsidRPr="006D1C74">
        <w:rPr>
          <w:rFonts w:asciiTheme="majorHAnsi" w:eastAsia="Batang" w:hAnsiTheme="majorHAnsi"/>
          <w:sz w:val="20"/>
          <w:szCs w:val="20"/>
          <w:bdr w:val="none" w:sz="0" w:space="0" w:color="auto"/>
          <w:lang w:val="pt-BR"/>
        </w:rPr>
        <w:t xml:space="preserve"> do </w:t>
      </w:r>
      <w:r w:rsidR="002649F0" w:rsidRPr="006D1C74">
        <w:rPr>
          <w:rFonts w:asciiTheme="majorHAnsi" w:eastAsia="Batang" w:hAnsiTheme="majorHAnsi"/>
          <w:sz w:val="20"/>
          <w:szCs w:val="20"/>
          <w:bdr w:val="none" w:sz="0" w:space="0" w:color="auto"/>
          <w:lang w:val="pt-BR"/>
        </w:rPr>
        <w:t>Minist</w:t>
      </w:r>
      <w:r w:rsidR="00BD3AB3" w:rsidRPr="006D1C74">
        <w:rPr>
          <w:rFonts w:asciiTheme="majorHAnsi" w:eastAsia="Batang" w:hAnsiTheme="majorHAnsi"/>
          <w:sz w:val="20"/>
          <w:szCs w:val="20"/>
          <w:bdr w:val="none" w:sz="0" w:space="0" w:color="auto"/>
          <w:lang w:val="pt-BR"/>
        </w:rPr>
        <w:t>é</w:t>
      </w:r>
      <w:r w:rsidR="002649F0" w:rsidRPr="006D1C74">
        <w:rPr>
          <w:rFonts w:asciiTheme="majorHAnsi" w:eastAsia="Batang" w:hAnsiTheme="majorHAnsi"/>
          <w:sz w:val="20"/>
          <w:szCs w:val="20"/>
          <w:bdr w:val="none" w:sz="0" w:space="0" w:color="auto"/>
          <w:lang w:val="pt-BR"/>
        </w:rPr>
        <w:t>rio Público Militar</w:t>
      </w:r>
      <w:r w:rsidR="00CF037E" w:rsidRPr="006D1C74">
        <w:rPr>
          <w:rFonts w:asciiTheme="majorHAnsi" w:eastAsia="Batang" w:hAnsiTheme="majorHAnsi"/>
          <w:sz w:val="20"/>
          <w:szCs w:val="20"/>
          <w:bdr w:val="none" w:sz="0" w:space="0" w:color="auto"/>
          <w:lang w:val="pt-BR"/>
        </w:rPr>
        <w:t xml:space="preserve"> e</w:t>
      </w:r>
      <w:r w:rsidR="00030019" w:rsidRPr="006D1C74">
        <w:rPr>
          <w:rFonts w:asciiTheme="majorHAnsi" w:eastAsia="Batang" w:hAnsiTheme="majorHAnsi"/>
          <w:sz w:val="20"/>
          <w:szCs w:val="20"/>
          <w:bdr w:val="none" w:sz="0" w:space="0" w:color="auto"/>
          <w:lang w:val="pt-BR"/>
        </w:rPr>
        <w:t xml:space="preserve"> do </w:t>
      </w:r>
      <w:r w:rsidR="002649F0" w:rsidRPr="006D1C74">
        <w:rPr>
          <w:rFonts w:asciiTheme="majorHAnsi" w:eastAsia="Batang" w:hAnsiTheme="majorHAnsi"/>
          <w:sz w:val="20"/>
          <w:szCs w:val="20"/>
          <w:bdr w:val="none" w:sz="0" w:space="0" w:color="auto"/>
          <w:lang w:val="pt-BR"/>
        </w:rPr>
        <w:t>ju</w:t>
      </w:r>
      <w:r w:rsidR="00BD3AB3" w:rsidRPr="006D1C74">
        <w:rPr>
          <w:rFonts w:asciiTheme="majorHAnsi" w:eastAsia="Batang" w:hAnsiTheme="majorHAnsi"/>
          <w:sz w:val="20"/>
          <w:szCs w:val="20"/>
          <w:bdr w:val="none" w:sz="0" w:space="0" w:color="auto"/>
          <w:lang w:val="pt-BR"/>
        </w:rPr>
        <w:t>i</w:t>
      </w:r>
      <w:r w:rsidR="002649F0" w:rsidRPr="006D1C74">
        <w:rPr>
          <w:rFonts w:asciiTheme="majorHAnsi" w:eastAsia="Batang" w:hAnsiTheme="majorHAnsi"/>
          <w:sz w:val="20"/>
          <w:szCs w:val="20"/>
          <w:bdr w:val="none" w:sz="0" w:space="0" w:color="auto"/>
          <w:lang w:val="pt-BR"/>
        </w:rPr>
        <w:t>z militar,</w:t>
      </w:r>
      <w:r w:rsidR="00700267" w:rsidRPr="006D1C74">
        <w:rPr>
          <w:rFonts w:asciiTheme="majorHAnsi" w:eastAsia="Batang" w:hAnsiTheme="majorHAnsi"/>
          <w:sz w:val="20"/>
          <w:szCs w:val="20"/>
          <w:bdr w:val="none" w:sz="0" w:space="0" w:color="auto"/>
          <w:lang w:val="pt-BR"/>
        </w:rPr>
        <w:t xml:space="preserve"> os </w:t>
      </w:r>
      <w:r w:rsidR="00BD3AB3" w:rsidRPr="006D1C74">
        <w:rPr>
          <w:rFonts w:asciiTheme="majorHAnsi" w:eastAsia="Batang" w:hAnsiTheme="majorHAnsi"/>
          <w:sz w:val="20"/>
          <w:szCs w:val="20"/>
          <w:bdr w:val="none" w:sz="0" w:space="0" w:color="auto"/>
          <w:lang w:val="pt-BR"/>
        </w:rPr>
        <w:t>q</w:t>
      </w:r>
      <w:r w:rsidR="002649F0" w:rsidRPr="006D1C74">
        <w:rPr>
          <w:rFonts w:asciiTheme="majorHAnsi" w:eastAsia="Batang" w:hAnsiTheme="majorHAnsi"/>
          <w:sz w:val="20"/>
          <w:szCs w:val="20"/>
          <w:bdr w:val="none" w:sz="0" w:space="0" w:color="auto"/>
          <w:lang w:val="pt-BR"/>
        </w:rPr>
        <w:t>u</w:t>
      </w:r>
      <w:r w:rsidR="00700267" w:rsidRPr="006D1C74">
        <w:rPr>
          <w:rFonts w:asciiTheme="majorHAnsi" w:eastAsia="Batang" w:hAnsiTheme="majorHAnsi"/>
          <w:sz w:val="20"/>
          <w:szCs w:val="20"/>
          <w:bdr w:val="none" w:sz="0" w:space="0" w:color="auto"/>
          <w:lang w:val="pt-BR"/>
        </w:rPr>
        <w:t>ais</w:t>
      </w:r>
      <w:r w:rsidR="002649F0" w:rsidRPr="006D1C74">
        <w:rPr>
          <w:rFonts w:asciiTheme="majorHAnsi" w:eastAsia="Batang" w:hAnsiTheme="majorHAnsi"/>
          <w:sz w:val="20"/>
          <w:szCs w:val="20"/>
          <w:bdr w:val="none" w:sz="0" w:space="0" w:color="auto"/>
          <w:lang w:val="pt-BR"/>
        </w:rPr>
        <w:t>,</w:t>
      </w:r>
      <w:r w:rsidR="00F673C7" w:rsidRPr="006D1C74">
        <w:rPr>
          <w:rFonts w:asciiTheme="majorHAnsi" w:eastAsia="Batang" w:hAnsiTheme="majorHAnsi"/>
          <w:sz w:val="20"/>
          <w:szCs w:val="20"/>
          <w:bdr w:val="none" w:sz="0" w:space="0" w:color="auto"/>
          <w:lang w:val="pt-BR"/>
        </w:rPr>
        <w:t xml:space="preserve"> em </w:t>
      </w:r>
      <w:r w:rsidR="002649F0" w:rsidRPr="006D1C74">
        <w:rPr>
          <w:rFonts w:asciiTheme="majorHAnsi" w:eastAsia="Batang" w:hAnsiTheme="majorHAnsi"/>
          <w:sz w:val="20"/>
          <w:szCs w:val="20"/>
          <w:bdr w:val="none" w:sz="0" w:space="0" w:color="auto"/>
          <w:lang w:val="pt-BR"/>
        </w:rPr>
        <w:t xml:space="preserve">vez </w:t>
      </w:r>
      <w:r w:rsidR="00BD3AB3" w:rsidRPr="006D1C74">
        <w:rPr>
          <w:rFonts w:asciiTheme="majorHAnsi" w:eastAsia="Batang" w:hAnsiTheme="majorHAnsi"/>
          <w:sz w:val="20"/>
          <w:szCs w:val="20"/>
          <w:bdr w:val="none" w:sz="0" w:space="0" w:color="auto"/>
          <w:lang w:val="pt-BR"/>
        </w:rPr>
        <w:t xml:space="preserve">de </w:t>
      </w:r>
      <w:r w:rsidR="002649F0" w:rsidRPr="006D1C74">
        <w:rPr>
          <w:rFonts w:asciiTheme="majorHAnsi" w:eastAsia="Batang" w:hAnsiTheme="majorHAnsi"/>
          <w:sz w:val="20"/>
          <w:szCs w:val="20"/>
          <w:bdr w:val="none" w:sz="0" w:space="0" w:color="auto"/>
          <w:lang w:val="pt-BR"/>
        </w:rPr>
        <w:t>averiguar</w:t>
      </w:r>
      <w:r w:rsidR="00700267" w:rsidRPr="006D1C74">
        <w:rPr>
          <w:rFonts w:asciiTheme="majorHAnsi" w:eastAsia="Batang" w:hAnsiTheme="majorHAnsi"/>
          <w:sz w:val="20"/>
          <w:szCs w:val="20"/>
          <w:bdr w:val="none" w:sz="0" w:space="0" w:color="auto"/>
          <w:lang w:val="pt-BR"/>
        </w:rPr>
        <w:t xml:space="preserve"> a </w:t>
      </w:r>
      <w:r w:rsidR="002649F0" w:rsidRPr="006D1C74">
        <w:rPr>
          <w:rFonts w:asciiTheme="majorHAnsi" w:eastAsia="Batang" w:hAnsiTheme="majorHAnsi"/>
          <w:sz w:val="20"/>
          <w:szCs w:val="20"/>
          <w:bdr w:val="none" w:sz="0" w:space="0" w:color="auto"/>
          <w:lang w:val="pt-BR"/>
        </w:rPr>
        <w:t>ver</w:t>
      </w:r>
      <w:r w:rsidR="00F673C7" w:rsidRPr="006D1C74">
        <w:rPr>
          <w:rFonts w:asciiTheme="majorHAnsi" w:eastAsia="Batang" w:hAnsiTheme="majorHAnsi"/>
          <w:sz w:val="20"/>
          <w:szCs w:val="20"/>
          <w:bdr w:val="none" w:sz="0" w:space="0" w:color="auto"/>
          <w:lang w:val="pt-BR"/>
        </w:rPr>
        <w:t xml:space="preserve">dade </w:t>
      </w:r>
      <w:r w:rsidR="00700267" w:rsidRPr="006D1C74">
        <w:rPr>
          <w:rFonts w:asciiTheme="majorHAnsi" w:eastAsia="Batang" w:hAnsiTheme="majorHAnsi"/>
          <w:sz w:val="20"/>
          <w:szCs w:val="20"/>
          <w:bdr w:val="none" w:sz="0" w:space="0" w:color="auto"/>
          <w:lang w:val="pt-BR"/>
        </w:rPr>
        <w:t xml:space="preserve">dos </w:t>
      </w:r>
      <w:r w:rsidR="00F37852" w:rsidRPr="006D1C74">
        <w:rPr>
          <w:rFonts w:asciiTheme="majorHAnsi" w:eastAsia="Batang" w:hAnsiTheme="majorHAnsi"/>
          <w:sz w:val="20"/>
          <w:szCs w:val="20"/>
          <w:bdr w:val="none" w:sz="0" w:space="0" w:color="auto"/>
          <w:lang w:val="pt-BR"/>
        </w:rPr>
        <w:t>fato</w:t>
      </w:r>
      <w:r w:rsidR="002649F0" w:rsidRPr="006D1C74">
        <w:rPr>
          <w:rFonts w:asciiTheme="majorHAnsi" w:eastAsia="Batang" w:hAnsiTheme="majorHAnsi"/>
          <w:sz w:val="20"/>
          <w:szCs w:val="20"/>
          <w:bdr w:val="none" w:sz="0" w:space="0" w:color="auto"/>
          <w:lang w:val="pt-BR"/>
        </w:rPr>
        <w:t>s, tratar</w:t>
      </w:r>
      <w:r w:rsidR="00BD3AB3" w:rsidRPr="006D1C74">
        <w:rPr>
          <w:rFonts w:asciiTheme="majorHAnsi" w:eastAsia="Batang" w:hAnsiTheme="majorHAnsi"/>
          <w:sz w:val="20"/>
          <w:szCs w:val="20"/>
          <w:bdr w:val="none" w:sz="0" w:space="0" w:color="auto"/>
          <w:lang w:val="pt-BR"/>
        </w:rPr>
        <w:t>am</w:t>
      </w:r>
      <w:r w:rsidR="002649F0" w:rsidRPr="006D1C74">
        <w:rPr>
          <w:rFonts w:asciiTheme="majorHAnsi" w:eastAsia="Batang" w:hAnsiTheme="majorHAnsi"/>
          <w:sz w:val="20"/>
          <w:szCs w:val="20"/>
          <w:bdr w:val="none" w:sz="0" w:space="0" w:color="auto"/>
          <w:lang w:val="pt-BR"/>
        </w:rPr>
        <w:t xml:space="preserve"> de encontrar elementos que pud</w:t>
      </w:r>
      <w:r w:rsidR="00995C01" w:rsidRPr="006D1C74">
        <w:rPr>
          <w:rFonts w:asciiTheme="majorHAnsi" w:eastAsia="Batang" w:hAnsiTheme="majorHAnsi"/>
          <w:sz w:val="20"/>
          <w:szCs w:val="20"/>
          <w:bdr w:val="none" w:sz="0" w:space="0" w:color="auto"/>
          <w:lang w:val="pt-BR"/>
        </w:rPr>
        <w:t>essem</w:t>
      </w:r>
      <w:r w:rsidR="002649F0" w:rsidRPr="006D1C74">
        <w:rPr>
          <w:rFonts w:asciiTheme="majorHAnsi" w:eastAsia="Batang" w:hAnsiTheme="majorHAnsi"/>
          <w:sz w:val="20"/>
          <w:szCs w:val="20"/>
          <w:bdr w:val="none" w:sz="0" w:space="0" w:color="auto"/>
          <w:lang w:val="pt-BR"/>
        </w:rPr>
        <w:t xml:space="preserve"> </w:t>
      </w:r>
      <w:r w:rsidR="00455F22" w:rsidRPr="006D1C74">
        <w:rPr>
          <w:rFonts w:asciiTheme="majorHAnsi" w:eastAsia="Batang" w:hAnsiTheme="majorHAnsi"/>
          <w:sz w:val="20"/>
          <w:szCs w:val="20"/>
          <w:bdr w:val="none" w:sz="0" w:space="0" w:color="auto"/>
          <w:lang w:val="pt-BR"/>
        </w:rPr>
        <w:t>des</w:t>
      </w:r>
      <w:r w:rsidR="002649F0" w:rsidRPr="006D1C74">
        <w:rPr>
          <w:rFonts w:asciiTheme="majorHAnsi" w:eastAsia="Batang" w:hAnsiTheme="majorHAnsi"/>
          <w:sz w:val="20"/>
          <w:szCs w:val="20"/>
          <w:bdr w:val="none" w:sz="0" w:space="0" w:color="auto"/>
          <w:lang w:val="pt-BR"/>
        </w:rPr>
        <w:t xml:space="preserve">culpar </w:t>
      </w:r>
      <w:r w:rsidR="00700267" w:rsidRPr="006D1C74">
        <w:rPr>
          <w:rFonts w:asciiTheme="majorHAnsi" w:eastAsia="Batang" w:hAnsiTheme="majorHAnsi"/>
          <w:sz w:val="20"/>
          <w:szCs w:val="20"/>
          <w:bdr w:val="none" w:sz="0" w:space="0" w:color="auto"/>
          <w:lang w:val="pt-BR"/>
        </w:rPr>
        <w:t xml:space="preserve">os </w:t>
      </w:r>
      <w:r w:rsidR="002649F0" w:rsidRPr="006D1C74">
        <w:rPr>
          <w:rFonts w:asciiTheme="majorHAnsi" w:eastAsia="Batang" w:hAnsiTheme="majorHAnsi"/>
          <w:sz w:val="20"/>
          <w:szCs w:val="20"/>
          <w:bdr w:val="none" w:sz="0" w:space="0" w:color="auto"/>
          <w:lang w:val="pt-BR"/>
        </w:rPr>
        <w:t>agentes</w:t>
      </w:r>
      <w:r w:rsidR="00795010" w:rsidRPr="006D1C74">
        <w:rPr>
          <w:rFonts w:asciiTheme="majorHAnsi" w:eastAsia="Batang" w:hAnsiTheme="majorHAnsi"/>
          <w:sz w:val="20"/>
          <w:szCs w:val="20"/>
          <w:bdr w:val="none" w:sz="0" w:space="0" w:color="auto"/>
          <w:lang w:val="pt-BR"/>
        </w:rPr>
        <w:t xml:space="preserve"> da </w:t>
      </w:r>
      <w:r w:rsidR="00F37852" w:rsidRPr="006D1C74">
        <w:rPr>
          <w:rFonts w:asciiTheme="majorHAnsi" w:eastAsia="Batang" w:hAnsiTheme="majorHAnsi"/>
          <w:sz w:val="20"/>
          <w:szCs w:val="20"/>
          <w:bdr w:val="none" w:sz="0" w:space="0" w:color="auto"/>
          <w:lang w:val="pt-BR"/>
        </w:rPr>
        <w:t>polícia</w:t>
      </w:r>
      <w:r w:rsidR="002649F0" w:rsidRPr="006D1C74">
        <w:rPr>
          <w:rFonts w:asciiTheme="majorHAnsi" w:eastAsia="Batang" w:hAnsiTheme="majorHAnsi"/>
          <w:sz w:val="20"/>
          <w:szCs w:val="20"/>
          <w:bdr w:val="none" w:sz="0" w:space="0" w:color="auto"/>
          <w:lang w:val="pt-BR"/>
        </w:rPr>
        <w:t xml:space="preserve"> militar </w:t>
      </w:r>
      <w:r w:rsidR="00995C01" w:rsidRPr="006D1C74">
        <w:rPr>
          <w:rFonts w:asciiTheme="majorHAnsi" w:eastAsia="Batang" w:hAnsiTheme="majorHAnsi"/>
          <w:sz w:val="20"/>
          <w:szCs w:val="20"/>
          <w:bdr w:val="none" w:sz="0" w:space="0" w:color="auto"/>
          <w:lang w:val="pt-BR"/>
        </w:rPr>
        <w:t>e</w:t>
      </w:r>
      <w:r w:rsidR="002649F0" w:rsidRPr="006D1C74">
        <w:rPr>
          <w:rFonts w:asciiTheme="majorHAnsi" w:eastAsia="Batang" w:hAnsiTheme="majorHAnsi"/>
          <w:sz w:val="20"/>
          <w:szCs w:val="20"/>
          <w:bdr w:val="none" w:sz="0" w:space="0" w:color="auto"/>
          <w:lang w:val="pt-BR"/>
        </w:rPr>
        <w:t>nvol</w:t>
      </w:r>
      <w:r w:rsidR="00995C01" w:rsidRPr="006D1C74">
        <w:rPr>
          <w:rFonts w:asciiTheme="majorHAnsi" w:eastAsia="Batang" w:hAnsiTheme="majorHAnsi"/>
          <w:sz w:val="20"/>
          <w:szCs w:val="20"/>
          <w:bdr w:val="none" w:sz="0" w:space="0" w:color="auto"/>
          <w:lang w:val="pt-BR"/>
        </w:rPr>
        <w:t>vi</w:t>
      </w:r>
      <w:r w:rsidR="002649F0" w:rsidRPr="006D1C74">
        <w:rPr>
          <w:rFonts w:asciiTheme="majorHAnsi" w:eastAsia="Batang" w:hAnsiTheme="majorHAnsi"/>
          <w:sz w:val="20"/>
          <w:szCs w:val="20"/>
          <w:bdr w:val="none" w:sz="0" w:space="0" w:color="auto"/>
          <w:lang w:val="pt-BR"/>
        </w:rPr>
        <w:t>dos</w:t>
      </w:r>
      <w:r w:rsidR="00CF037E" w:rsidRPr="006D1C74">
        <w:rPr>
          <w:rFonts w:asciiTheme="majorHAnsi" w:eastAsia="Batang" w:hAnsiTheme="majorHAnsi"/>
          <w:sz w:val="20"/>
          <w:szCs w:val="20"/>
          <w:bdr w:val="none" w:sz="0" w:space="0" w:color="auto"/>
          <w:lang w:val="pt-BR"/>
        </w:rPr>
        <w:t xml:space="preserve"> e </w:t>
      </w:r>
      <w:r w:rsidR="00455F22" w:rsidRPr="006D1C74">
        <w:rPr>
          <w:rFonts w:asciiTheme="majorHAnsi" w:eastAsia="Batang" w:hAnsiTheme="majorHAnsi"/>
          <w:sz w:val="20"/>
          <w:szCs w:val="20"/>
          <w:bdr w:val="none" w:sz="0" w:space="0" w:color="auto"/>
          <w:lang w:val="pt-BR"/>
        </w:rPr>
        <w:t xml:space="preserve">destacar </w:t>
      </w:r>
      <w:r w:rsidR="00700267" w:rsidRPr="006D1C74">
        <w:rPr>
          <w:rFonts w:asciiTheme="majorHAnsi" w:eastAsia="Batang" w:hAnsiTheme="majorHAnsi"/>
          <w:sz w:val="20"/>
          <w:szCs w:val="20"/>
          <w:bdr w:val="none" w:sz="0" w:space="0" w:color="auto"/>
          <w:lang w:val="pt-BR"/>
        </w:rPr>
        <w:t xml:space="preserve">a </w:t>
      </w:r>
      <w:r w:rsidR="002649F0" w:rsidRPr="006D1C74">
        <w:rPr>
          <w:rFonts w:asciiTheme="majorHAnsi" w:eastAsia="Batang" w:hAnsiTheme="majorHAnsi"/>
          <w:sz w:val="20"/>
          <w:szCs w:val="20"/>
          <w:bdr w:val="none" w:sz="0" w:space="0" w:color="auto"/>
          <w:lang w:val="pt-BR"/>
        </w:rPr>
        <w:t>conduta sup</w:t>
      </w:r>
      <w:r w:rsidR="00BD3AB3" w:rsidRPr="006D1C74">
        <w:rPr>
          <w:rFonts w:asciiTheme="majorHAnsi" w:eastAsia="Batang" w:hAnsiTheme="majorHAnsi"/>
          <w:sz w:val="20"/>
          <w:szCs w:val="20"/>
          <w:bdr w:val="none" w:sz="0" w:space="0" w:color="auto"/>
          <w:lang w:val="pt-BR"/>
        </w:rPr>
        <w:t>o</w:t>
      </w:r>
      <w:r w:rsidR="002649F0" w:rsidRPr="006D1C74">
        <w:rPr>
          <w:rFonts w:asciiTheme="majorHAnsi" w:eastAsia="Batang" w:hAnsiTheme="majorHAnsi"/>
          <w:sz w:val="20"/>
          <w:szCs w:val="20"/>
          <w:bdr w:val="none" w:sz="0" w:space="0" w:color="auto"/>
          <w:lang w:val="pt-BR"/>
        </w:rPr>
        <w:t>stamente deli</w:t>
      </w:r>
      <w:r w:rsidR="00995C01" w:rsidRPr="006D1C74">
        <w:rPr>
          <w:rFonts w:asciiTheme="majorHAnsi" w:eastAsia="Batang" w:hAnsiTheme="majorHAnsi"/>
          <w:sz w:val="20"/>
          <w:szCs w:val="20"/>
          <w:bdr w:val="none" w:sz="0" w:space="0" w:color="auto"/>
          <w:lang w:val="pt-BR"/>
        </w:rPr>
        <w:t>tuos</w:t>
      </w:r>
      <w:r w:rsidR="002649F0" w:rsidRPr="006D1C74">
        <w:rPr>
          <w:rFonts w:asciiTheme="majorHAnsi" w:eastAsia="Batang" w:hAnsiTheme="majorHAnsi"/>
          <w:sz w:val="20"/>
          <w:szCs w:val="20"/>
          <w:bdr w:val="none" w:sz="0" w:space="0" w:color="auto"/>
          <w:lang w:val="pt-BR"/>
        </w:rPr>
        <w:t>a</w:t>
      </w:r>
      <w:r w:rsidR="00D74A93" w:rsidRPr="006D1C74">
        <w:rPr>
          <w:rFonts w:asciiTheme="majorHAnsi" w:eastAsia="Batang" w:hAnsiTheme="majorHAnsi"/>
          <w:sz w:val="20"/>
          <w:szCs w:val="20"/>
          <w:bdr w:val="none" w:sz="0" w:space="0" w:color="auto"/>
          <w:lang w:val="pt-BR"/>
        </w:rPr>
        <w:t xml:space="preserve"> das </w:t>
      </w:r>
      <w:r w:rsidR="00795010" w:rsidRPr="006D1C74">
        <w:rPr>
          <w:rFonts w:asciiTheme="majorHAnsi" w:eastAsia="Batang" w:hAnsiTheme="majorHAnsi"/>
          <w:sz w:val="20"/>
          <w:szCs w:val="20"/>
          <w:bdr w:val="none" w:sz="0" w:space="0" w:color="auto"/>
          <w:lang w:val="pt-BR"/>
        </w:rPr>
        <w:t>suposta</w:t>
      </w:r>
      <w:r w:rsidR="002649F0" w:rsidRPr="006D1C74">
        <w:rPr>
          <w:rFonts w:asciiTheme="majorHAnsi" w:eastAsia="Batang" w:hAnsiTheme="majorHAnsi"/>
          <w:sz w:val="20"/>
          <w:szCs w:val="20"/>
          <w:bdr w:val="none" w:sz="0" w:space="0" w:color="auto"/>
          <w:lang w:val="pt-BR"/>
        </w:rPr>
        <w:t xml:space="preserve">s </w:t>
      </w:r>
      <w:r w:rsidR="00795010" w:rsidRPr="006D1C74">
        <w:rPr>
          <w:rFonts w:asciiTheme="majorHAnsi" w:eastAsia="Batang" w:hAnsiTheme="majorHAnsi"/>
          <w:sz w:val="20"/>
          <w:szCs w:val="20"/>
          <w:bdr w:val="none" w:sz="0" w:space="0" w:color="auto"/>
          <w:lang w:val="pt-BR"/>
        </w:rPr>
        <w:t>vítima</w:t>
      </w:r>
      <w:r w:rsidR="002649F0" w:rsidRPr="006D1C74">
        <w:rPr>
          <w:rFonts w:asciiTheme="majorHAnsi" w:eastAsia="Batang" w:hAnsiTheme="majorHAnsi"/>
          <w:sz w:val="20"/>
          <w:szCs w:val="20"/>
          <w:bdr w:val="none" w:sz="0" w:space="0" w:color="auto"/>
          <w:lang w:val="pt-BR"/>
        </w:rPr>
        <w:t>s</w:t>
      </w:r>
      <w:r w:rsidR="00CF037E" w:rsidRPr="006D1C74">
        <w:rPr>
          <w:rFonts w:asciiTheme="majorHAnsi" w:eastAsia="Batang" w:hAnsiTheme="majorHAnsi"/>
          <w:sz w:val="20"/>
          <w:szCs w:val="20"/>
          <w:bdr w:val="none" w:sz="0" w:space="0" w:color="auto"/>
          <w:lang w:val="pt-BR"/>
        </w:rPr>
        <w:t xml:space="preserve"> e</w:t>
      </w:r>
      <w:r w:rsidR="00030019" w:rsidRPr="006D1C74">
        <w:rPr>
          <w:rFonts w:asciiTheme="majorHAnsi" w:eastAsia="Batang" w:hAnsiTheme="majorHAnsi"/>
          <w:sz w:val="20"/>
          <w:szCs w:val="20"/>
          <w:bdr w:val="none" w:sz="0" w:space="0" w:color="auto"/>
          <w:lang w:val="pt-BR"/>
        </w:rPr>
        <w:t xml:space="preserve"> do </w:t>
      </w:r>
      <w:r w:rsidR="002649F0" w:rsidRPr="006D1C74">
        <w:rPr>
          <w:rFonts w:asciiTheme="majorHAnsi" w:eastAsia="Batang" w:hAnsiTheme="majorHAnsi"/>
          <w:sz w:val="20"/>
          <w:szCs w:val="20"/>
          <w:bdr w:val="none" w:sz="0" w:space="0" w:color="auto"/>
          <w:lang w:val="pt-BR"/>
        </w:rPr>
        <w:t xml:space="preserve">MST. </w:t>
      </w:r>
    </w:p>
    <w:p w14:paraId="2BE54239" w14:textId="77777777" w:rsidR="002649F0" w:rsidRPr="006D1C74" w:rsidRDefault="002649F0" w:rsidP="002649F0">
      <w:pPr>
        <w:ind w:left="720"/>
        <w:rPr>
          <w:rFonts w:asciiTheme="majorHAnsi" w:eastAsia="Batang" w:hAnsiTheme="majorHAnsi" w:cs="Cambria"/>
          <w:color w:val="000000"/>
          <w:sz w:val="20"/>
          <w:szCs w:val="20"/>
          <w:u w:color="000000"/>
          <w:bdr w:val="none" w:sz="0" w:space="0" w:color="auto"/>
          <w:lang w:val="pt-BR" w:eastAsia="es-ES"/>
        </w:rPr>
      </w:pPr>
    </w:p>
    <w:p w14:paraId="152A41B4" w14:textId="64B52488" w:rsidR="002649F0" w:rsidRPr="006D1C74" w:rsidRDefault="00455F22"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Batang" w:hAnsiTheme="majorHAnsi"/>
          <w:sz w:val="20"/>
          <w:szCs w:val="20"/>
          <w:bdr w:val="none" w:sz="0" w:space="0" w:color="auto"/>
          <w:lang w:val="pt-BR"/>
        </w:rPr>
      </w:pPr>
      <w:r w:rsidRPr="006D1C74">
        <w:rPr>
          <w:rFonts w:asciiTheme="majorHAnsi" w:eastAsia="Batang" w:hAnsiTheme="majorHAnsi"/>
          <w:sz w:val="20"/>
          <w:szCs w:val="20"/>
          <w:bdr w:val="none" w:sz="0" w:space="0" w:color="auto"/>
          <w:lang w:val="pt-BR"/>
        </w:rPr>
        <w:t>N</w:t>
      </w:r>
      <w:r w:rsidR="002649F0" w:rsidRPr="006D1C74">
        <w:rPr>
          <w:rFonts w:asciiTheme="majorHAnsi" w:eastAsia="Batang" w:hAnsiTheme="majorHAnsi"/>
          <w:sz w:val="20"/>
          <w:szCs w:val="20"/>
          <w:bdr w:val="none" w:sz="0" w:space="0" w:color="auto"/>
          <w:lang w:val="pt-BR"/>
        </w:rPr>
        <w:t xml:space="preserve">o que </w:t>
      </w:r>
      <w:r w:rsidRPr="006D1C74">
        <w:rPr>
          <w:rFonts w:asciiTheme="majorHAnsi" w:eastAsia="Batang" w:hAnsiTheme="majorHAnsi"/>
          <w:sz w:val="20"/>
          <w:szCs w:val="20"/>
          <w:bdr w:val="none" w:sz="0" w:space="0" w:color="auto"/>
          <w:lang w:val="pt-BR"/>
        </w:rPr>
        <w:t xml:space="preserve">se refere </w:t>
      </w:r>
      <w:r w:rsidR="00030019" w:rsidRPr="006D1C74">
        <w:rPr>
          <w:rFonts w:asciiTheme="majorHAnsi" w:eastAsia="Batang" w:hAnsiTheme="majorHAnsi"/>
          <w:sz w:val="20"/>
          <w:szCs w:val="20"/>
          <w:bdr w:val="none" w:sz="0" w:space="0" w:color="auto"/>
          <w:lang w:val="pt-BR"/>
        </w:rPr>
        <w:t xml:space="preserve">à </w:t>
      </w:r>
      <w:r w:rsidR="002649F0" w:rsidRPr="006D1C74">
        <w:rPr>
          <w:rFonts w:asciiTheme="majorHAnsi" w:eastAsia="Batang" w:hAnsiTheme="majorHAnsi"/>
          <w:sz w:val="20"/>
          <w:szCs w:val="20"/>
          <w:bdr w:val="none" w:sz="0" w:space="0" w:color="auto"/>
          <w:lang w:val="pt-BR"/>
        </w:rPr>
        <w:t>atua</w:t>
      </w:r>
      <w:r w:rsidR="00CF037E" w:rsidRPr="006D1C74">
        <w:rPr>
          <w:rFonts w:asciiTheme="majorHAnsi" w:eastAsia="Batang" w:hAnsiTheme="majorHAnsi"/>
          <w:sz w:val="20"/>
          <w:szCs w:val="20"/>
          <w:bdr w:val="none" w:sz="0" w:space="0" w:color="auto"/>
          <w:lang w:val="pt-BR"/>
        </w:rPr>
        <w:t>ção</w:t>
      </w:r>
      <w:r w:rsidR="00030019" w:rsidRPr="006D1C74">
        <w:rPr>
          <w:rFonts w:asciiTheme="majorHAnsi" w:eastAsia="Batang" w:hAnsiTheme="majorHAnsi"/>
          <w:sz w:val="20"/>
          <w:szCs w:val="20"/>
          <w:bdr w:val="none" w:sz="0" w:space="0" w:color="auto"/>
          <w:lang w:val="pt-BR"/>
        </w:rPr>
        <w:t xml:space="preserve"> do </w:t>
      </w:r>
      <w:r w:rsidRPr="006D1C74">
        <w:rPr>
          <w:rFonts w:asciiTheme="majorHAnsi" w:eastAsia="Batang" w:hAnsiTheme="majorHAnsi"/>
          <w:sz w:val="20"/>
          <w:szCs w:val="20"/>
          <w:bdr w:val="none" w:sz="0" w:space="0" w:color="auto"/>
          <w:lang w:val="pt-BR"/>
        </w:rPr>
        <w:t>Promotor</w:t>
      </w:r>
      <w:r w:rsidR="002649F0" w:rsidRPr="006D1C74">
        <w:rPr>
          <w:rFonts w:asciiTheme="majorHAnsi" w:eastAsia="Batang" w:hAnsiTheme="majorHAnsi"/>
          <w:sz w:val="20"/>
          <w:szCs w:val="20"/>
          <w:bdr w:val="none" w:sz="0" w:space="0" w:color="auto"/>
          <w:lang w:val="pt-BR"/>
        </w:rPr>
        <w:t>,</w:t>
      </w:r>
      <w:r w:rsidR="00700267" w:rsidRPr="006D1C74">
        <w:rPr>
          <w:rFonts w:asciiTheme="majorHAnsi" w:eastAsia="Batang" w:hAnsiTheme="majorHAnsi"/>
          <w:sz w:val="20"/>
          <w:szCs w:val="20"/>
          <w:bdr w:val="none" w:sz="0" w:space="0" w:color="auto"/>
          <w:lang w:val="pt-BR"/>
        </w:rPr>
        <w:t xml:space="preserve"> a </w:t>
      </w:r>
      <w:r w:rsidR="002649F0" w:rsidRPr="006D1C74">
        <w:rPr>
          <w:rFonts w:asciiTheme="majorHAnsi" w:eastAsia="Batang" w:hAnsiTheme="majorHAnsi"/>
          <w:sz w:val="20"/>
          <w:szCs w:val="20"/>
          <w:bdr w:val="none" w:sz="0" w:space="0" w:color="auto"/>
          <w:lang w:val="pt-BR"/>
        </w:rPr>
        <w:t xml:space="preserve">parte </w:t>
      </w:r>
      <w:r w:rsidR="00795010" w:rsidRPr="006D1C74">
        <w:rPr>
          <w:rFonts w:asciiTheme="majorHAnsi" w:eastAsia="Batang" w:hAnsiTheme="majorHAnsi"/>
          <w:sz w:val="20"/>
          <w:szCs w:val="20"/>
          <w:bdr w:val="none" w:sz="0" w:space="0" w:color="auto"/>
          <w:lang w:val="pt-BR"/>
        </w:rPr>
        <w:t>peticionária</w:t>
      </w:r>
      <w:r w:rsidR="002649F0" w:rsidRPr="006D1C74">
        <w:rPr>
          <w:rFonts w:asciiTheme="majorHAnsi" w:eastAsia="Batang" w:hAnsiTheme="majorHAnsi"/>
          <w:sz w:val="20"/>
          <w:szCs w:val="20"/>
          <w:bdr w:val="none" w:sz="0" w:space="0" w:color="auto"/>
          <w:lang w:val="pt-BR"/>
        </w:rPr>
        <w:t xml:space="preserve"> afirma que s</w:t>
      </w:r>
      <w:r w:rsidR="00BD3AB3" w:rsidRPr="006D1C74">
        <w:rPr>
          <w:rFonts w:asciiTheme="majorHAnsi" w:eastAsia="Batang" w:hAnsiTheme="majorHAnsi"/>
          <w:sz w:val="20"/>
          <w:szCs w:val="20"/>
          <w:bdr w:val="none" w:sz="0" w:space="0" w:color="auto"/>
          <w:lang w:val="pt-BR"/>
        </w:rPr>
        <w:t>e</w:t>
      </w:r>
      <w:r w:rsidR="002649F0" w:rsidRPr="006D1C74">
        <w:rPr>
          <w:rFonts w:asciiTheme="majorHAnsi" w:eastAsia="Batang" w:hAnsiTheme="majorHAnsi"/>
          <w:sz w:val="20"/>
          <w:szCs w:val="20"/>
          <w:bdr w:val="none" w:sz="0" w:space="0" w:color="auto"/>
          <w:lang w:val="pt-BR"/>
        </w:rPr>
        <w:t>u pedido de ar</w:t>
      </w:r>
      <w:r w:rsidR="00BD3AB3" w:rsidRPr="006D1C74">
        <w:rPr>
          <w:rFonts w:asciiTheme="majorHAnsi" w:eastAsia="Batang" w:hAnsiTheme="majorHAnsi"/>
          <w:sz w:val="20"/>
          <w:szCs w:val="20"/>
          <w:bdr w:val="none" w:sz="0" w:space="0" w:color="auto"/>
          <w:lang w:val="pt-BR"/>
        </w:rPr>
        <w:t>qu</w:t>
      </w:r>
      <w:r w:rsidR="002649F0" w:rsidRPr="006D1C74">
        <w:rPr>
          <w:rFonts w:asciiTheme="majorHAnsi" w:eastAsia="Batang" w:hAnsiTheme="majorHAnsi"/>
          <w:sz w:val="20"/>
          <w:szCs w:val="20"/>
          <w:bdr w:val="none" w:sz="0" w:space="0" w:color="auto"/>
          <w:lang w:val="pt-BR"/>
        </w:rPr>
        <w:t>ivar</w:t>
      </w:r>
      <w:r w:rsidR="00700267" w:rsidRPr="006D1C74">
        <w:rPr>
          <w:rFonts w:asciiTheme="majorHAnsi" w:eastAsia="Batang" w:hAnsiTheme="majorHAnsi"/>
          <w:sz w:val="20"/>
          <w:szCs w:val="20"/>
          <w:bdr w:val="none" w:sz="0" w:space="0" w:color="auto"/>
          <w:lang w:val="pt-BR"/>
        </w:rPr>
        <w:t xml:space="preserve"> o </w:t>
      </w:r>
      <w:r w:rsidR="002649F0" w:rsidRPr="006D1C74">
        <w:rPr>
          <w:rFonts w:asciiTheme="majorHAnsi" w:eastAsia="Batang" w:hAnsiTheme="majorHAnsi"/>
          <w:sz w:val="20"/>
          <w:szCs w:val="20"/>
          <w:bdr w:val="none" w:sz="0" w:space="0" w:color="auto"/>
          <w:lang w:val="pt-BR"/>
        </w:rPr>
        <w:t>caso</w:t>
      </w:r>
      <w:r w:rsidR="00CA7940" w:rsidRPr="006D1C74">
        <w:rPr>
          <w:rFonts w:asciiTheme="majorHAnsi" w:eastAsia="Batang" w:hAnsiTheme="majorHAnsi"/>
          <w:sz w:val="20"/>
          <w:szCs w:val="20"/>
          <w:bdr w:val="none" w:sz="0" w:space="0" w:color="auto"/>
          <w:lang w:val="pt-BR"/>
        </w:rPr>
        <w:t xml:space="preserve"> foi </w:t>
      </w:r>
      <w:r w:rsidR="002649F0" w:rsidRPr="006D1C74">
        <w:rPr>
          <w:rFonts w:asciiTheme="majorHAnsi" w:eastAsia="Batang" w:hAnsiTheme="majorHAnsi"/>
          <w:sz w:val="20"/>
          <w:szCs w:val="20"/>
          <w:bdr w:val="none" w:sz="0" w:space="0" w:color="auto"/>
          <w:lang w:val="pt-BR"/>
        </w:rPr>
        <w:t>viciado por pre</w:t>
      </w:r>
      <w:r w:rsidRPr="006D1C74">
        <w:rPr>
          <w:rFonts w:asciiTheme="majorHAnsi" w:eastAsia="Batang" w:hAnsiTheme="majorHAnsi"/>
          <w:sz w:val="20"/>
          <w:szCs w:val="20"/>
          <w:bdr w:val="none" w:sz="0" w:space="0" w:color="auto"/>
          <w:lang w:val="pt-BR"/>
        </w:rPr>
        <w:t>conceit</w:t>
      </w:r>
      <w:r w:rsidR="002649F0" w:rsidRPr="006D1C74">
        <w:rPr>
          <w:rFonts w:asciiTheme="majorHAnsi" w:eastAsia="Batang" w:hAnsiTheme="majorHAnsi"/>
          <w:sz w:val="20"/>
          <w:szCs w:val="20"/>
          <w:bdr w:val="none" w:sz="0" w:space="0" w:color="auto"/>
          <w:lang w:val="pt-BR"/>
        </w:rPr>
        <w:t>os sobre</w:t>
      </w:r>
      <w:r w:rsidR="00700267" w:rsidRPr="006D1C74">
        <w:rPr>
          <w:rFonts w:asciiTheme="majorHAnsi" w:eastAsia="Batang" w:hAnsiTheme="majorHAnsi"/>
          <w:sz w:val="20"/>
          <w:szCs w:val="20"/>
          <w:bdr w:val="none" w:sz="0" w:space="0" w:color="auto"/>
          <w:lang w:val="pt-BR"/>
        </w:rPr>
        <w:t xml:space="preserve"> o </w:t>
      </w:r>
      <w:r w:rsidR="002649F0" w:rsidRPr="006D1C74">
        <w:rPr>
          <w:rFonts w:asciiTheme="majorHAnsi" w:eastAsia="Batang" w:hAnsiTheme="majorHAnsi"/>
          <w:sz w:val="20"/>
          <w:szCs w:val="20"/>
          <w:bdr w:val="none" w:sz="0" w:space="0" w:color="auto"/>
          <w:lang w:val="pt-BR"/>
        </w:rPr>
        <w:t xml:space="preserve">MST, o </w:t>
      </w:r>
      <w:r w:rsidRPr="006D1C74">
        <w:rPr>
          <w:rFonts w:asciiTheme="majorHAnsi" w:eastAsia="Batang" w:hAnsiTheme="majorHAnsi"/>
          <w:sz w:val="20"/>
          <w:szCs w:val="20"/>
          <w:bdr w:val="none" w:sz="0" w:space="0" w:color="auto"/>
          <w:lang w:val="pt-BR"/>
        </w:rPr>
        <w:t>que</w:t>
      </w:r>
      <w:r w:rsidR="002649F0" w:rsidRPr="006D1C74">
        <w:rPr>
          <w:rFonts w:asciiTheme="majorHAnsi" w:eastAsia="Batang" w:hAnsiTheme="majorHAnsi"/>
          <w:sz w:val="20"/>
          <w:szCs w:val="20"/>
          <w:bdr w:val="none" w:sz="0" w:space="0" w:color="auto"/>
          <w:lang w:val="pt-BR"/>
        </w:rPr>
        <w:t xml:space="preserve"> revela</w:t>
      </w:r>
      <w:r w:rsidR="00030019" w:rsidRPr="006D1C74">
        <w:rPr>
          <w:rFonts w:asciiTheme="majorHAnsi" w:eastAsia="Batang" w:hAnsiTheme="majorHAnsi"/>
          <w:sz w:val="20"/>
          <w:szCs w:val="20"/>
          <w:bdr w:val="none" w:sz="0" w:space="0" w:color="auto"/>
          <w:lang w:val="pt-BR"/>
        </w:rPr>
        <w:t xml:space="preserve"> uma </w:t>
      </w:r>
      <w:r w:rsidR="002649F0" w:rsidRPr="006D1C74">
        <w:rPr>
          <w:rFonts w:asciiTheme="majorHAnsi" w:eastAsia="Batang" w:hAnsiTheme="majorHAnsi"/>
          <w:sz w:val="20"/>
          <w:szCs w:val="20"/>
          <w:bdr w:val="none" w:sz="0" w:space="0" w:color="auto"/>
          <w:lang w:val="pt-BR"/>
        </w:rPr>
        <w:t>clara parciali</w:t>
      </w:r>
      <w:r w:rsidR="00F673C7" w:rsidRPr="006D1C74">
        <w:rPr>
          <w:rFonts w:asciiTheme="majorHAnsi" w:eastAsia="Batang" w:hAnsiTheme="majorHAnsi"/>
          <w:sz w:val="20"/>
          <w:szCs w:val="20"/>
          <w:bdr w:val="none" w:sz="0" w:space="0" w:color="auto"/>
          <w:lang w:val="pt-BR"/>
        </w:rPr>
        <w:t xml:space="preserve">dade </w:t>
      </w:r>
      <w:r w:rsidR="002649F0" w:rsidRPr="006D1C74">
        <w:rPr>
          <w:rFonts w:asciiTheme="majorHAnsi" w:eastAsia="Batang" w:hAnsiTheme="majorHAnsi"/>
          <w:sz w:val="20"/>
          <w:szCs w:val="20"/>
          <w:bdr w:val="none" w:sz="0" w:space="0" w:color="auto"/>
          <w:lang w:val="pt-BR"/>
        </w:rPr>
        <w:t>contra</w:t>
      </w:r>
      <w:r w:rsidR="00700267" w:rsidRPr="006D1C74">
        <w:rPr>
          <w:rFonts w:asciiTheme="majorHAnsi" w:eastAsia="Batang" w:hAnsiTheme="majorHAnsi"/>
          <w:sz w:val="20"/>
          <w:szCs w:val="20"/>
          <w:bdr w:val="none" w:sz="0" w:space="0" w:color="auto"/>
          <w:lang w:val="pt-BR"/>
        </w:rPr>
        <w:t xml:space="preserve"> o </w:t>
      </w:r>
      <w:r w:rsidR="002649F0" w:rsidRPr="006D1C74">
        <w:rPr>
          <w:rFonts w:asciiTheme="majorHAnsi" w:eastAsia="Batang" w:hAnsiTheme="majorHAnsi"/>
          <w:sz w:val="20"/>
          <w:szCs w:val="20"/>
          <w:bdr w:val="none" w:sz="0" w:space="0" w:color="auto"/>
          <w:lang w:val="pt-BR"/>
        </w:rPr>
        <w:t>Movi</w:t>
      </w:r>
      <w:r w:rsidR="00700267" w:rsidRPr="006D1C74">
        <w:rPr>
          <w:rFonts w:asciiTheme="majorHAnsi" w:eastAsia="Batang" w:hAnsiTheme="majorHAnsi"/>
          <w:sz w:val="20"/>
          <w:szCs w:val="20"/>
          <w:bdr w:val="none" w:sz="0" w:space="0" w:color="auto"/>
          <w:lang w:val="pt-BR"/>
        </w:rPr>
        <w:t>mento</w:t>
      </w:r>
      <w:r w:rsidR="003178DA">
        <w:rPr>
          <w:rFonts w:asciiTheme="majorHAnsi" w:eastAsia="Batang" w:hAnsiTheme="majorHAnsi"/>
          <w:sz w:val="20"/>
          <w:szCs w:val="20"/>
          <w:bdr w:val="none" w:sz="0" w:space="0" w:color="auto"/>
          <w:lang w:val="pt-BR"/>
        </w:rPr>
        <w:t>,</w:t>
      </w:r>
      <w:r w:rsidR="002649F0" w:rsidRPr="006D1C74">
        <w:rPr>
          <w:rFonts w:asciiTheme="majorHAnsi" w:eastAsia="Batang" w:hAnsiTheme="majorHAnsi"/>
          <w:sz w:val="20"/>
          <w:szCs w:val="20"/>
          <w:bdr w:val="none" w:sz="0" w:space="0" w:color="auto"/>
          <w:lang w:val="pt-BR"/>
        </w:rPr>
        <w:t xml:space="preserve"> que influ</w:t>
      </w:r>
      <w:r w:rsidRPr="006D1C74">
        <w:rPr>
          <w:rFonts w:asciiTheme="majorHAnsi" w:eastAsia="Batang" w:hAnsiTheme="majorHAnsi"/>
          <w:sz w:val="20"/>
          <w:szCs w:val="20"/>
          <w:bdr w:val="none" w:sz="0" w:space="0" w:color="auto"/>
          <w:lang w:val="pt-BR"/>
        </w:rPr>
        <w:t>iu</w:t>
      </w:r>
      <w:r w:rsidR="00F673C7" w:rsidRPr="006D1C74">
        <w:rPr>
          <w:rFonts w:asciiTheme="majorHAnsi" w:eastAsia="Batang" w:hAnsiTheme="majorHAnsi"/>
          <w:sz w:val="20"/>
          <w:szCs w:val="20"/>
          <w:bdr w:val="none" w:sz="0" w:space="0" w:color="auto"/>
          <w:lang w:val="pt-BR"/>
        </w:rPr>
        <w:t xml:space="preserve"> na </w:t>
      </w:r>
      <w:r w:rsidR="002649F0" w:rsidRPr="006D1C74">
        <w:rPr>
          <w:rFonts w:asciiTheme="majorHAnsi" w:eastAsia="Batang" w:hAnsiTheme="majorHAnsi"/>
          <w:sz w:val="20"/>
          <w:szCs w:val="20"/>
          <w:bdr w:val="none" w:sz="0" w:space="0" w:color="auto"/>
          <w:lang w:val="pt-BR"/>
        </w:rPr>
        <w:t>mane</w:t>
      </w:r>
      <w:r w:rsidR="00BD3AB3" w:rsidRPr="006D1C74">
        <w:rPr>
          <w:rFonts w:asciiTheme="majorHAnsi" w:eastAsia="Batang" w:hAnsiTheme="majorHAnsi"/>
          <w:sz w:val="20"/>
          <w:szCs w:val="20"/>
          <w:bdr w:val="none" w:sz="0" w:space="0" w:color="auto"/>
          <w:lang w:val="pt-BR"/>
        </w:rPr>
        <w:t>i</w:t>
      </w:r>
      <w:r w:rsidR="002649F0" w:rsidRPr="006D1C74">
        <w:rPr>
          <w:rFonts w:asciiTheme="majorHAnsi" w:eastAsia="Batang" w:hAnsiTheme="majorHAnsi"/>
          <w:sz w:val="20"/>
          <w:szCs w:val="20"/>
          <w:bdr w:val="none" w:sz="0" w:space="0" w:color="auto"/>
          <w:lang w:val="pt-BR"/>
        </w:rPr>
        <w:t>ra</w:t>
      </w:r>
      <w:r w:rsidR="00F673C7" w:rsidRPr="006D1C74">
        <w:rPr>
          <w:rFonts w:asciiTheme="majorHAnsi" w:eastAsia="Batang" w:hAnsiTheme="majorHAnsi"/>
          <w:sz w:val="20"/>
          <w:szCs w:val="20"/>
          <w:bdr w:val="none" w:sz="0" w:space="0" w:color="auto"/>
          <w:lang w:val="pt-BR"/>
        </w:rPr>
        <w:t xml:space="preserve"> em </w:t>
      </w:r>
      <w:r w:rsidR="002649F0" w:rsidRPr="006D1C74">
        <w:rPr>
          <w:rFonts w:asciiTheme="majorHAnsi" w:eastAsia="Batang" w:hAnsiTheme="majorHAnsi"/>
          <w:sz w:val="20"/>
          <w:szCs w:val="20"/>
          <w:bdr w:val="none" w:sz="0" w:space="0" w:color="auto"/>
          <w:lang w:val="pt-BR"/>
        </w:rPr>
        <w:t>que anali</w:t>
      </w:r>
      <w:r w:rsidR="00BD3AB3" w:rsidRPr="006D1C74">
        <w:rPr>
          <w:rFonts w:asciiTheme="majorHAnsi" w:eastAsia="Batang" w:hAnsiTheme="majorHAnsi"/>
          <w:sz w:val="20"/>
          <w:szCs w:val="20"/>
          <w:bdr w:val="none" w:sz="0" w:space="0" w:color="auto"/>
          <w:lang w:val="pt-BR"/>
        </w:rPr>
        <w:t>sou</w:t>
      </w:r>
      <w:r w:rsidR="00700267" w:rsidRPr="006D1C74">
        <w:rPr>
          <w:rFonts w:asciiTheme="majorHAnsi" w:eastAsia="Batang" w:hAnsiTheme="majorHAnsi"/>
          <w:sz w:val="20"/>
          <w:szCs w:val="20"/>
          <w:bdr w:val="none" w:sz="0" w:space="0" w:color="auto"/>
          <w:lang w:val="pt-BR"/>
        </w:rPr>
        <w:t xml:space="preserve"> as </w:t>
      </w:r>
      <w:r w:rsidR="002649F0" w:rsidRPr="006D1C74">
        <w:rPr>
          <w:rFonts w:asciiTheme="majorHAnsi" w:eastAsia="Batang" w:hAnsiTheme="majorHAnsi"/>
          <w:sz w:val="20"/>
          <w:szCs w:val="20"/>
          <w:bdr w:val="none" w:sz="0" w:space="0" w:color="auto"/>
          <w:lang w:val="pt-BR"/>
        </w:rPr>
        <w:t>investiga</w:t>
      </w:r>
      <w:r w:rsidR="00CF037E" w:rsidRPr="006D1C74">
        <w:rPr>
          <w:rFonts w:asciiTheme="majorHAnsi" w:eastAsia="Batang" w:hAnsiTheme="majorHAnsi"/>
          <w:sz w:val="20"/>
          <w:szCs w:val="20"/>
          <w:bdr w:val="none" w:sz="0" w:space="0" w:color="auto"/>
          <w:lang w:val="pt-BR"/>
        </w:rPr>
        <w:t>ções</w:t>
      </w:r>
      <w:r w:rsidR="002649F0" w:rsidRPr="006D1C74">
        <w:rPr>
          <w:rFonts w:asciiTheme="majorHAnsi" w:eastAsia="Batang" w:hAnsiTheme="majorHAnsi"/>
          <w:sz w:val="20"/>
          <w:szCs w:val="20"/>
          <w:bdr w:val="none" w:sz="0" w:space="0" w:color="auto"/>
          <w:lang w:val="pt-BR"/>
        </w:rPr>
        <w:t>.</w:t>
      </w:r>
      <w:r w:rsidR="00F673C7" w:rsidRPr="006D1C74">
        <w:rPr>
          <w:rFonts w:asciiTheme="majorHAnsi" w:eastAsia="Batang" w:hAnsiTheme="majorHAnsi"/>
          <w:sz w:val="20"/>
          <w:szCs w:val="20"/>
          <w:bdr w:val="none" w:sz="0" w:space="0" w:color="auto"/>
          <w:lang w:val="pt-BR"/>
        </w:rPr>
        <w:t xml:space="preserve"> </w:t>
      </w:r>
      <w:r w:rsidRPr="006D1C74">
        <w:rPr>
          <w:rFonts w:asciiTheme="majorHAnsi" w:eastAsia="Batang" w:hAnsiTheme="majorHAnsi"/>
          <w:sz w:val="20"/>
          <w:szCs w:val="20"/>
          <w:bdr w:val="none" w:sz="0" w:space="0" w:color="auto"/>
          <w:lang w:val="pt-BR"/>
        </w:rPr>
        <w:t>C</w:t>
      </w:r>
      <w:r w:rsidR="00F673C7" w:rsidRPr="006D1C74">
        <w:rPr>
          <w:rFonts w:asciiTheme="majorHAnsi" w:eastAsia="Batang" w:hAnsiTheme="majorHAnsi"/>
          <w:sz w:val="20"/>
          <w:szCs w:val="20"/>
          <w:bdr w:val="none" w:sz="0" w:space="0" w:color="auto"/>
          <w:lang w:val="pt-BR"/>
        </w:rPr>
        <w:t xml:space="preserve">om </w:t>
      </w:r>
      <w:r w:rsidR="002649F0" w:rsidRPr="006D1C74">
        <w:rPr>
          <w:rFonts w:asciiTheme="majorHAnsi" w:eastAsia="Batang" w:hAnsiTheme="majorHAnsi"/>
          <w:sz w:val="20"/>
          <w:szCs w:val="20"/>
          <w:bdr w:val="none" w:sz="0" w:space="0" w:color="auto"/>
          <w:lang w:val="pt-BR"/>
        </w:rPr>
        <w:t>respe</w:t>
      </w:r>
      <w:r w:rsidR="00BD3AB3" w:rsidRPr="006D1C74">
        <w:rPr>
          <w:rFonts w:asciiTheme="majorHAnsi" w:eastAsia="Batang" w:hAnsiTheme="majorHAnsi"/>
          <w:sz w:val="20"/>
          <w:szCs w:val="20"/>
          <w:bdr w:val="none" w:sz="0" w:space="0" w:color="auto"/>
          <w:lang w:val="pt-BR"/>
        </w:rPr>
        <w:t>i</w:t>
      </w:r>
      <w:r w:rsidR="002649F0" w:rsidRPr="006D1C74">
        <w:rPr>
          <w:rFonts w:asciiTheme="majorHAnsi" w:eastAsia="Batang" w:hAnsiTheme="majorHAnsi"/>
          <w:sz w:val="20"/>
          <w:szCs w:val="20"/>
          <w:bdr w:val="none" w:sz="0" w:space="0" w:color="auto"/>
          <w:lang w:val="pt-BR"/>
        </w:rPr>
        <w:t>to</w:t>
      </w:r>
      <w:r w:rsidR="00030019" w:rsidRPr="006D1C74">
        <w:rPr>
          <w:rFonts w:asciiTheme="majorHAnsi" w:eastAsia="Batang" w:hAnsiTheme="majorHAnsi"/>
          <w:sz w:val="20"/>
          <w:szCs w:val="20"/>
          <w:bdr w:val="none" w:sz="0" w:space="0" w:color="auto"/>
          <w:lang w:val="pt-BR"/>
        </w:rPr>
        <w:t xml:space="preserve"> à </w:t>
      </w:r>
      <w:r w:rsidR="002649F0" w:rsidRPr="006D1C74">
        <w:rPr>
          <w:rFonts w:asciiTheme="majorHAnsi" w:eastAsia="Batang" w:hAnsiTheme="majorHAnsi"/>
          <w:sz w:val="20"/>
          <w:szCs w:val="20"/>
          <w:bdr w:val="none" w:sz="0" w:space="0" w:color="auto"/>
          <w:lang w:val="pt-BR"/>
        </w:rPr>
        <w:t>apro</w:t>
      </w:r>
      <w:r w:rsidR="00BD3AB3" w:rsidRPr="006D1C74">
        <w:rPr>
          <w:rFonts w:asciiTheme="majorHAnsi" w:eastAsia="Batang" w:hAnsiTheme="majorHAnsi"/>
          <w:sz w:val="20"/>
          <w:szCs w:val="20"/>
          <w:bdr w:val="none" w:sz="0" w:space="0" w:color="auto"/>
          <w:lang w:val="pt-BR"/>
        </w:rPr>
        <w:t>v</w:t>
      </w:r>
      <w:r w:rsidR="002649F0" w:rsidRPr="006D1C74">
        <w:rPr>
          <w:rFonts w:asciiTheme="majorHAnsi" w:eastAsia="Batang" w:hAnsiTheme="majorHAnsi"/>
          <w:sz w:val="20"/>
          <w:szCs w:val="20"/>
          <w:bdr w:val="none" w:sz="0" w:space="0" w:color="auto"/>
          <w:lang w:val="pt-BR"/>
        </w:rPr>
        <w:t>a</w:t>
      </w:r>
      <w:r w:rsidR="00CF037E" w:rsidRPr="006D1C74">
        <w:rPr>
          <w:rFonts w:asciiTheme="majorHAnsi" w:eastAsia="Batang" w:hAnsiTheme="majorHAnsi"/>
          <w:sz w:val="20"/>
          <w:szCs w:val="20"/>
          <w:bdr w:val="none" w:sz="0" w:space="0" w:color="auto"/>
          <w:lang w:val="pt-BR"/>
        </w:rPr>
        <w:t>ção</w:t>
      </w:r>
      <w:r w:rsidR="00030019" w:rsidRPr="006D1C74">
        <w:rPr>
          <w:rFonts w:asciiTheme="majorHAnsi" w:eastAsia="Batang" w:hAnsiTheme="majorHAnsi"/>
          <w:sz w:val="20"/>
          <w:szCs w:val="20"/>
          <w:bdr w:val="none" w:sz="0" w:space="0" w:color="auto"/>
          <w:lang w:val="pt-BR"/>
        </w:rPr>
        <w:t xml:space="preserve"> do </w:t>
      </w:r>
      <w:r w:rsidR="002649F0" w:rsidRPr="006D1C74">
        <w:rPr>
          <w:rFonts w:asciiTheme="majorHAnsi" w:eastAsia="Batang" w:hAnsiTheme="majorHAnsi"/>
          <w:sz w:val="20"/>
          <w:szCs w:val="20"/>
          <w:bdr w:val="none" w:sz="0" w:space="0" w:color="auto"/>
          <w:lang w:val="pt-BR"/>
        </w:rPr>
        <w:t>pedido de ar</w:t>
      </w:r>
      <w:r w:rsidRPr="006D1C74">
        <w:rPr>
          <w:rFonts w:asciiTheme="majorHAnsi" w:eastAsia="Batang" w:hAnsiTheme="majorHAnsi"/>
          <w:sz w:val="20"/>
          <w:szCs w:val="20"/>
          <w:bdr w:val="none" w:sz="0" w:space="0" w:color="auto"/>
          <w:lang w:val="pt-BR"/>
        </w:rPr>
        <w:t>quivament</w:t>
      </w:r>
      <w:r w:rsidR="00750325" w:rsidRPr="006D1C74">
        <w:rPr>
          <w:rFonts w:asciiTheme="majorHAnsi" w:eastAsia="Batang" w:hAnsiTheme="majorHAnsi"/>
          <w:sz w:val="20"/>
          <w:szCs w:val="20"/>
          <w:bdr w:val="none" w:sz="0" w:space="0" w:color="auto"/>
          <w:lang w:val="pt-BR"/>
        </w:rPr>
        <w:t>o</w:t>
      </w:r>
      <w:r w:rsidR="002649F0" w:rsidRPr="006D1C74">
        <w:rPr>
          <w:rFonts w:asciiTheme="majorHAnsi" w:eastAsia="Batang" w:hAnsiTheme="majorHAnsi"/>
          <w:sz w:val="20"/>
          <w:szCs w:val="20"/>
          <w:bdr w:val="none" w:sz="0" w:space="0" w:color="auto"/>
          <w:lang w:val="pt-BR"/>
        </w:rPr>
        <w:t>, a</w:t>
      </w:r>
      <w:r w:rsidRPr="006D1C74">
        <w:rPr>
          <w:rFonts w:asciiTheme="majorHAnsi" w:eastAsia="Batang" w:hAnsiTheme="majorHAnsi"/>
          <w:sz w:val="20"/>
          <w:szCs w:val="20"/>
          <w:bdr w:val="none" w:sz="0" w:space="0" w:color="auto"/>
          <w:lang w:val="pt-BR"/>
        </w:rPr>
        <w:t>lega</w:t>
      </w:r>
      <w:r w:rsidR="002649F0" w:rsidRPr="006D1C74">
        <w:rPr>
          <w:rFonts w:asciiTheme="majorHAnsi" w:eastAsia="Batang" w:hAnsiTheme="majorHAnsi"/>
          <w:sz w:val="20"/>
          <w:szCs w:val="20"/>
          <w:bdr w:val="none" w:sz="0" w:space="0" w:color="auto"/>
          <w:lang w:val="pt-BR"/>
        </w:rPr>
        <w:t xml:space="preserve"> que</w:t>
      </w:r>
      <w:r w:rsidR="00700267" w:rsidRPr="006D1C74">
        <w:rPr>
          <w:rFonts w:asciiTheme="majorHAnsi" w:eastAsia="Batang" w:hAnsiTheme="majorHAnsi"/>
          <w:sz w:val="20"/>
          <w:szCs w:val="20"/>
          <w:bdr w:val="none" w:sz="0" w:space="0" w:color="auto"/>
          <w:lang w:val="pt-BR"/>
        </w:rPr>
        <w:t xml:space="preserve"> o </w:t>
      </w:r>
      <w:r w:rsidR="002649F0" w:rsidRPr="006D1C74">
        <w:rPr>
          <w:rFonts w:asciiTheme="majorHAnsi" w:eastAsia="Batang" w:hAnsiTheme="majorHAnsi"/>
          <w:sz w:val="20"/>
          <w:szCs w:val="20"/>
          <w:bdr w:val="none" w:sz="0" w:space="0" w:color="auto"/>
          <w:lang w:val="pt-BR"/>
        </w:rPr>
        <w:t>magistrado emiti</w:t>
      </w:r>
      <w:r w:rsidR="00BD3AB3" w:rsidRPr="006D1C74">
        <w:rPr>
          <w:rFonts w:asciiTheme="majorHAnsi" w:eastAsia="Batang" w:hAnsiTheme="majorHAnsi"/>
          <w:sz w:val="20"/>
          <w:szCs w:val="20"/>
          <w:bdr w:val="none" w:sz="0" w:space="0" w:color="auto"/>
          <w:lang w:val="pt-BR"/>
        </w:rPr>
        <w:t>u</w:t>
      </w:r>
      <w:r w:rsidR="00030019" w:rsidRPr="006D1C74">
        <w:rPr>
          <w:rFonts w:asciiTheme="majorHAnsi" w:eastAsia="Batang" w:hAnsiTheme="majorHAnsi"/>
          <w:sz w:val="20"/>
          <w:szCs w:val="20"/>
          <w:bdr w:val="none" w:sz="0" w:space="0" w:color="auto"/>
          <w:lang w:val="pt-BR"/>
        </w:rPr>
        <w:t xml:space="preserve"> uma </w:t>
      </w:r>
      <w:r w:rsidR="002649F0" w:rsidRPr="006D1C74">
        <w:rPr>
          <w:rFonts w:asciiTheme="majorHAnsi" w:eastAsia="Batang" w:hAnsiTheme="majorHAnsi"/>
          <w:sz w:val="20"/>
          <w:szCs w:val="20"/>
          <w:bdr w:val="none" w:sz="0" w:space="0" w:color="auto"/>
          <w:lang w:val="pt-BR"/>
        </w:rPr>
        <w:t>deci</w:t>
      </w:r>
      <w:r w:rsidR="0094446B" w:rsidRPr="006D1C74">
        <w:rPr>
          <w:rFonts w:asciiTheme="majorHAnsi" w:eastAsia="Batang" w:hAnsiTheme="majorHAnsi"/>
          <w:sz w:val="20"/>
          <w:szCs w:val="20"/>
          <w:bdr w:val="none" w:sz="0" w:space="0" w:color="auto"/>
          <w:lang w:val="pt-BR"/>
        </w:rPr>
        <w:t>são</w:t>
      </w:r>
      <w:r w:rsidR="002649F0" w:rsidRPr="006D1C74">
        <w:rPr>
          <w:rFonts w:asciiTheme="majorHAnsi" w:eastAsia="Batang" w:hAnsiTheme="majorHAnsi"/>
          <w:sz w:val="20"/>
          <w:szCs w:val="20"/>
          <w:bdr w:val="none" w:sz="0" w:space="0" w:color="auto"/>
          <w:lang w:val="pt-BR"/>
        </w:rPr>
        <w:t xml:space="preserve"> protocolar infundada</w:t>
      </w:r>
      <w:r w:rsidR="00CF037E" w:rsidRPr="006D1C74">
        <w:rPr>
          <w:rFonts w:asciiTheme="majorHAnsi" w:eastAsia="Batang" w:hAnsiTheme="majorHAnsi"/>
          <w:sz w:val="20"/>
          <w:szCs w:val="20"/>
          <w:bdr w:val="none" w:sz="0" w:space="0" w:color="auto"/>
          <w:lang w:val="pt-BR"/>
        </w:rPr>
        <w:t xml:space="preserve"> e </w:t>
      </w:r>
      <w:r w:rsidR="002649F0" w:rsidRPr="006D1C74">
        <w:rPr>
          <w:rFonts w:asciiTheme="majorHAnsi" w:eastAsia="Batang" w:hAnsiTheme="majorHAnsi"/>
          <w:sz w:val="20"/>
          <w:szCs w:val="20"/>
          <w:bdr w:val="none" w:sz="0" w:space="0" w:color="auto"/>
          <w:lang w:val="pt-BR"/>
        </w:rPr>
        <w:t>que n</w:t>
      </w:r>
      <w:r w:rsidRPr="006D1C74">
        <w:rPr>
          <w:rFonts w:asciiTheme="majorHAnsi" w:eastAsia="Batang" w:hAnsiTheme="majorHAnsi"/>
          <w:sz w:val="20"/>
          <w:szCs w:val="20"/>
          <w:bdr w:val="none" w:sz="0" w:space="0" w:color="auto"/>
          <w:lang w:val="pt-BR"/>
        </w:rPr>
        <w:t>em</w:t>
      </w:r>
      <w:r w:rsidR="002649F0" w:rsidRPr="006D1C74">
        <w:rPr>
          <w:rFonts w:asciiTheme="majorHAnsi" w:eastAsia="Batang" w:hAnsiTheme="majorHAnsi"/>
          <w:sz w:val="20"/>
          <w:szCs w:val="20"/>
          <w:bdr w:val="none" w:sz="0" w:space="0" w:color="auto"/>
          <w:lang w:val="pt-BR"/>
        </w:rPr>
        <w:t xml:space="preserve"> s</w:t>
      </w:r>
      <w:r w:rsidR="00BD3AB3" w:rsidRPr="006D1C74">
        <w:rPr>
          <w:rFonts w:asciiTheme="majorHAnsi" w:eastAsia="Batang" w:hAnsiTheme="majorHAnsi"/>
          <w:sz w:val="20"/>
          <w:szCs w:val="20"/>
          <w:bdr w:val="none" w:sz="0" w:space="0" w:color="auto"/>
          <w:lang w:val="pt-BR"/>
        </w:rPr>
        <w:t>e</w:t>
      </w:r>
      <w:r w:rsidR="002649F0" w:rsidRPr="006D1C74">
        <w:rPr>
          <w:rFonts w:asciiTheme="majorHAnsi" w:eastAsia="Batang" w:hAnsiTheme="majorHAnsi"/>
          <w:sz w:val="20"/>
          <w:szCs w:val="20"/>
          <w:bdr w:val="none" w:sz="0" w:space="0" w:color="auto"/>
          <w:lang w:val="pt-BR"/>
        </w:rPr>
        <w:t>qu</w:t>
      </w:r>
      <w:r w:rsidRPr="006D1C74">
        <w:rPr>
          <w:rFonts w:asciiTheme="majorHAnsi" w:eastAsia="Batang" w:hAnsiTheme="majorHAnsi"/>
          <w:sz w:val="20"/>
          <w:szCs w:val="20"/>
          <w:bdr w:val="none" w:sz="0" w:space="0" w:color="auto"/>
          <w:lang w:val="pt-BR"/>
        </w:rPr>
        <w:t>er</w:t>
      </w:r>
      <w:r w:rsidR="002649F0" w:rsidRPr="006D1C74">
        <w:rPr>
          <w:rFonts w:asciiTheme="majorHAnsi" w:eastAsia="Batang" w:hAnsiTheme="majorHAnsi"/>
          <w:sz w:val="20"/>
          <w:szCs w:val="20"/>
          <w:bdr w:val="none" w:sz="0" w:space="0" w:color="auto"/>
          <w:lang w:val="pt-BR"/>
        </w:rPr>
        <w:t xml:space="preserve"> anali</w:t>
      </w:r>
      <w:r w:rsidR="00BD3AB3" w:rsidRPr="006D1C74">
        <w:rPr>
          <w:rFonts w:asciiTheme="majorHAnsi" w:eastAsia="Batang" w:hAnsiTheme="majorHAnsi"/>
          <w:sz w:val="20"/>
          <w:szCs w:val="20"/>
          <w:bdr w:val="none" w:sz="0" w:space="0" w:color="auto"/>
          <w:lang w:val="pt-BR"/>
        </w:rPr>
        <w:t>sou</w:t>
      </w:r>
      <w:r w:rsidR="00700267" w:rsidRPr="006D1C74">
        <w:rPr>
          <w:rFonts w:asciiTheme="majorHAnsi" w:eastAsia="Batang" w:hAnsiTheme="majorHAnsi"/>
          <w:sz w:val="20"/>
          <w:szCs w:val="20"/>
          <w:bdr w:val="none" w:sz="0" w:space="0" w:color="auto"/>
          <w:lang w:val="pt-BR"/>
        </w:rPr>
        <w:t xml:space="preserve"> os </w:t>
      </w:r>
      <w:r w:rsidR="002649F0" w:rsidRPr="006D1C74">
        <w:rPr>
          <w:rFonts w:asciiTheme="majorHAnsi" w:eastAsia="Batang" w:hAnsiTheme="majorHAnsi"/>
          <w:sz w:val="20"/>
          <w:szCs w:val="20"/>
          <w:bdr w:val="none" w:sz="0" w:space="0" w:color="auto"/>
          <w:lang w:val="pt-BR"/>
        </w:rPr>
        <w:t xml:space="preserve">autos, </w:t>
      </w:r>
      <w:r w:rsidRPr="006D1C74">
        <w:rPr>
          <w:rFonts w:asciiTheme="majorHAnsi" w:eastAsia="Batang" w:hAnsiTheme="majorHAnsi"/>
          <w:sz w:val="20"/>
          <w:szCs w:val="20"/>
          <w:bdr w:val="none" w:sz="0" w:space="0" w:color="auto"/>
          <w:lang w:val="pt-BR"/>
        </w:rPr>
        <w:t>já</w:t>
      </w:r>
      <w:r w:rsidR="002649F0" w:rsidRPr="006D1C74">
        <w:rPr>
          <w:rFonts w:asciiTheme="majorHAnsi" w:eastAsia="Batang" w:hAnsiTheme="majorHAnsi"/>
          <w:sz w:val="20"/>
          <w:szCs w:val="20"/>
          <w:bdr w:val="none" w:sz="0" w:space="0" w:color="auto"/>
          <w:lang w:val="pt-BR"/>
        </w:rPr>
        <w:t xml:space="preserve"> que era impos</w:t>
      </w:r>
      <w:r w:rsidRPr="006D1C74">
        <w:rPr>
          <w:rFonts w:asciiTheme="majorHAnsi" w:eastAsia="Batang" w:hAnsiTheme="majorHAnsi"/>
          <w:sz w:val="20"/>
          <w:szCs w:val="20"/>
          <w:bdr w:val="none" w:sz="0" w:space="0" w:color="auto"/>
          <w:lang w:val="pt-BR"/>
        </w:rPr>
        <w:t>sível</w:t>
      </w:r>
      <w:r w:rsidR="002649F0" w:rsidRPr="006D1C74">
        <w:rPr>
          <w:rFonts w:asciiTheme="majorHAnsi" w:eastAsia="Batang" w:hAnsiTheme="majorHAnsi"/>
          <w:sz w:val="20"/>
          <w:szCs w:val="20"/>
          <w:bdr w:val="none" w:sz="0" w:space="0" w:color="auto"/>
          <w:lang w:val="pt-BR"/>
        </w:rPr>
        <w:t xml:space="preserve"> estudar</w:t>
      </w:r>
      <w:r w:rsidR="00F673C7" w:rsidRPr="006D1C74">
        <w:rPr>
          <w:rFonts w:asciiTheme="majorHAnsi" w:eastAsia="Batang" w:hAnsiTheme="majorHAnsi"/>
          <w:sz w:val="20"/>
          <w:szCs w:val="20"/>
          <w:bdr w:val="none" w:sz="0" w:space="0" w:color="auto"/>
          <w:lang w:val="pt-BR"/>
        </w:rPr>
        <w:t xml:space="preserve"> em </w:t>
      </w:r>
      <w:r w:rsidR="00030019" w:rsidRPr="006D1C74">
        <w:rPr>
          <w:rFonts w:asciiTheme="majorHAnsi" w:eastAsia="Batang" w:hAnsiTheme="majorHAnsi"/>
          <w:sz w:val="20"/>
          <w:szCs w:val="20"/>
          <w:bdr w:val="none" w:sz="0" w:space="0" w:color="auto"/>
          <w:lang w:val="pt-BR"/>
        </w:rPr>
        <w:t xml:space="preserve">um </w:t>
      </w:r>
      <w:r w:rsidR="009C4F60" w:rsidRPr="006D1C74">
        <w:rPr>
          <w:rFonts w:asciiTheme="majorHAnsi" w:eastAsia="Batang" w:hAnsiTheme="majorHAnsi"/>
          <w:sz w:val="20"/>
          <w:szCs w:val="20"/>
          <w:bdr w:val="none" w:sz="0" w:space="0" w:color="auto"/>
          <w:lang w:val="pt-BR"/>
        </w:rPr>
        <w:t>d</w:t>
      </w:r>
      <w:r w:rsidR="00055622" w:rsidRPr="006D1C74">
        <w:rPr>
          <w:rFonts w:asciiTheme="majorHAnsi" w:eastAsia="Batang" w:hAnsiTheme="majorHAnsi"/>
          <w:sz w:val="20"/>
          <w:szCs w:val="20"/>
          <w:bdr w:val="none" w:sz="0" w:space="0" w:color="auto"/>
          <w:lang w:val="pt-BR"/>
        </w:rPr>
        <w:t>ia</w:t>
      </w:r>
      <w:r w:rsidR="00700267" w:rsidRPr="006D1C74">
        <w:rPr>
          <w:rFonts w:asciiTheme="majorHAnsi" w:eastAsia="Batang" w:hAnsiTheme="majorHAnsi"/>
          <w:sz w:val="20"/>
          <w:szCs w:val="20"/>
          <w:bdr w:val="none" w:sz="0" w:space="0" w:color="auto"/>
          <w:lang w:val="pt-BR"/>
        </w:rPr>
        <w:t xml:space="preserve"> os </w:t>
      </w:r>
      <w:r w:rsidR="002649F0" w:rsidRPr="006D1C74">
        <w:rPr>
          <w:rFonts w:asciiTheme="majorHAnsi" w:eastAsia="Batang" w:hAnsiTheme="majorHAnsi"/>
          <w:sz w:val="20"/>
          <w:szCs w:val="20"/>
          <w:bdr w:val="none" w:sz="0" w:space="0" w:color="auto"/>
          <w:lang w:val="pt-BR"/>
        </w:rPr>
        <w:t>cinco tomos</w:t>
      </w:r>
      <w:r w:rsidR="00795010" w:rsidRPr="006D1C74">
        <w:rPr>
          <w:rFonts w:asciiTheme="majorHAnsi" w:eastAsia="Batang" w:hAnsiTheme="majorHAnsi"/>
          <w:sz w:val="20"/>
          <w:szCs w:val="20"/>
          <w:bdr w:val="none" w:sz="0" w:space="0" w:color="auto"/>
          <w:lang w:val="pt-BR"/>
        </w:rPr>
        <w:t xml:space="preserve"> da </w:t>
      </w:r>
      <w:r w:rsidR="002649F0" w:rsidRPr="006D1C74">
        <w:rPr>
          <w:rFonts w:asciiTheme="majorHAnsi" w:eastAsia="Batang" w:hAnsiTheme="majorHAnsi"/>
          <w:sz w:val="20"/>
          <w:szCs w:val="20"/>
          <w:bdr w:val="none" w:sz="0" w:space="0" w:color="auto"/>
          <w:lang w:val="pt-BR"/>
        </w:rPr>
        <w:t>investiga</w:t>
      </w:r>
      <w:r w:rsidR="00CF037E" w:rsidRPr="006D1C74">
        <w:rPr>
          <w:rFonts w:asciiTheme="majorHAnsi" w:eastAsia="Batang" w:hAnsiTheme="majorHAnsi"/>
          <w:sz w:val="20"/>
          <w:szCs w:val="20"/>
          <w:bdr w:val="none" w:sz="0" w:space="0" w:color="auto"/>
          <w:lang w:val="pt-BR"/>
        </w:rPr>
        <w:t>ção</w:t>
      </w:r>
      <w:r w:rsidR="002649F0" w:rsidRPr="006D1C74">
        <w:rPr>
          <w:rFonts w:asciiTheme="majorHAnsi" w:eastAsia="Batang" w:hAnsiTheme="majorHAnsi"/>
          <w:sz w:val="20"/>
          <w:szCs w:val="20"/>
          <w:bdr w:val="none" w:sz="0" w:space="0" w:color="auto"/>
          <w:lang w:val="pt-BR"/>
        </w:rPr>
        <w:t xml:space="preserve"> realizada</w:t>
      </w:r>
      <w:r w:rsidR="00F37852" w:rsidRPr="006D1C74">
        <w:rPr>
          <w:rFonts w:asciiTheme="majorHAnsi" w:eastAsia="Batang" w:hAnsiTheme="majorHAnsi"/>
          <w:sz w:val="20"/>
          <w:szCs w:val="20"/>
          <w:bdr w:val="none" w:sz="0" w:space="0" w:color="auto"/>
          <w:lang w:val="pt-BR"/>
        </w:rPr>
        <w:t xml:space="preserve"> pela polícia</w:t>
      </w:r>
      <w:r w:rsidR="002649F0" w:rsidRPr="006D1C74">
        <w:rPr>
          <w:rFonts w:asciiTheme="majorHAnsi" w:eastAsia="Batang" w:hAnsiTheme="majorHAnsi"/>
          <w:sz w:val="20"/>
          <w:szCs w:val="20"/>
          <w:bdr w:val="none" w:sz="0" w:space="0" w:color="auto"/>
          <w:lang w:val="pt-BR"/>
        </w:rPr>
        <w:t xml:space="preserve"> militar. A</w:t>
      </w:r>
      <w:r w:rsidRPr="006D1C74">
        <w:rPr>
          <w:rFonts w:asciiTheme="majorHAnsi" w:eastAsia="Batang" w:hAnsiTheme="majorHAnsi"/>
          <w:sz w:val="20"/>
          <w:szCs w:val="20"/>
          <w:bdr w:val="none" w:sz="0" w:space="0" w:color="auto"/>
          <w:lang w:val="pt-BR"/>
        </w:rPr>
        <w:t>crescent</w:t>
      </w:r>
      <w:r w:rsidR="002649F0" w:rsidRPr="006D1C74">
        <w:rPr>
          <w:rFonts w:asciiTheme="majorHAnsi" w:eastAsia="Batang" w:hAnsiTheme="majorHAnsi"/>
          <w:sz w:val="20"/>
          <w:szCs w:val="20"/>
          <w:bdr w:val="none" w:sz="0" w:space="0" w:color="auto"/>
          <w:lang w:val="pt-BR"/>
        </w:rPr>
        <w:t>a que</w:t>
      </w:r>
      <w:r w:rsidR="00700267" w:rsidRPr="006D1C74">
        <w:rPr>
          <w:rFonts w:asciiTheme="majorHAnsi" w:eastAsia="Batang" w:hAnsiTheme="majorHAnsi"/>
          <w:sz w:val="20"/>
          <w:szCs w:val="20"/>
          <w:bdr w:val="none" w:sz="0" w:space="0" w:color="auto"/>
          <w:lang w:val="pt-BR"/>
        </w:rPr>
        <w:t xml:space="preserve"> o </w:t>
      </w:r>
      <w:r w:rsidR="002649F0" w:rsidRPr="006D1C74">
        <w:rPr>
          <w:rFonts w:asciiTheme="majorHAnsi" w:eastAsia="Batang" w:hAnsiTheme="majorHAnsi"/>
          <w:sz w:val="20"/>
          <w:szCs w:val="20"/>
          <w:bdr w:val="none" w:sz="0" w:space="0" w:color="auto"/>
          <w:lang w:val="pt-BR"/>
        </w:rPr>
        <w:t>formato</w:t>
      </w:r>
      <w:r w:rsidR="00795010" w:rsidRPr="006D1C74">
        <w:rPr>
          <w:rFonts w:asciiTheme="majorHAnsi" w:eastAsia="Batang" w:hAnsiTheme="majorHAnsi"/>
          <w:sz w:val="20"/>
          <w:szCs w:val="20"/>
          <w:bdr w:val="none" w:sz="0" w:space="0" w:color="auto"/>
          <w:lang w:val="pt-BR"/>
        </w:rPr>
        <w:t xml:space="preserve"> da </w:t>
      </w:r>
      <w:r w:rsidR="002649F0" w:rsidRPr="006D1C74">
        <w:rPr>
          <w:rFonts w:asciiTheme="majorHAnsi" w:eastAsia="Batang" w:hAnsiTheme="majorHAnsi"/>
          <w:sz w:val="20"/>
          <w:szCs w:val="20"/>
          <w:bdr w:val="none" w:sz="0" w:space="0" w:color="auto"/>
          <w:lang w:val="pt-BR"/>
        </w:rPr>
        <w:t>resolu</w:t>
      </w:r>
      <w:r w:rsidR="00CF037E" w:rsidRPr="006D1C74">
        <w:rPr>
          <w:rFonts w:asciiTheme="majorHAnsi" w:eastAsia="Batang" w:hAnsiTheme="majorHAnsi"/>
          <w:sz w:val="20"/>
          <w:szCs w:val="20"/>
          <w:bdr w:val="none" w:sz="0" w:space="0" w:color="auto"/>
          <w:lang w:val="pt-BR"/>
        </w:rPr>
        <w:t>ção</w:t>
      </w:r>
      <w:r w:rsidR="002649F0" w:rsidRPr="006D1C74">
        <w:rPr>
          <w:rFonts w:asciiTheme="majorHAnsi" w:eastAsia="Batang" w:hAnsiTheme="majorHAnsi"/>
          <w:sz w:val="20"/>
          <w:szCs w:val="20"/>
          <w:bdr w:val="none" w:sz="0" w:space="0" w:color="auto"/>
          <w:lang w:val="pt-BR"/>
        </w:rPr>
        <w:t xml:space="preserve"> carec</w:t>
      </w:r>
      <w:r w:rsidR="00055622" w:rsidRPr="006D1C74">
        <w:rPr>
          <w:rFonts w:asciiTheme="majorHAnsi" w:eastAsia="Batang" w:hAnsiTheme="majorHAnsi"/>
          <w:sz w:val="20"/>
          <w:szCs w:val="20"/>
          <w:bdr w:val="none" w:sz="0" w:space="0" w:color="auto"/>
          <w:lang w:val="pt-BR"/>
        </w:rPr>
        <w:t>ia</w:t>
      </w:r>
      <w:r w:rsidR="00700267" w:rsidRPr="006D1C74">
        <w:rPr>
          <w:rFonts w:asciiTheme="majorHAnsi" w:eastAsia="Batang" w:hAnsiTheme="majorHAnsi"/>
          <w:sz w:val="20"/>
          <w:szCs w:val="20"/>
          <w:bdr w:val="none" w:sz="0" w:space="0" w:color="auto"/>
          <w:lang w:val="pt-BR"/>
        </w:rPr>
        <w:t xml:space="preserve"> dos </w:t>
      </w:r>
      <w:r w:rsidR="002649F0" w:rsidRPr="006D1C74">
        <w:rPr>
          <w:rFonts w:asciiTheme="majorHAnsi" w:eastAsia="Batang" w:hAnsiTheme="majorHAnsi"/>
          <w:sz w:val="20"/>
          <w:szCs w:val="20"/>
          <w:bdr w:val="none" w:sz="0" w:space="0" w:color="auto"/>
          <w:lang w:val="pt-BR"/>
        </w:rPr>
        <w:t>elementos fundament</w:t>
      </w:r>
      <w:r w:rsidR="00700267" w:rsidRPr="006D1C74">
        <w:rPr>
          <w:rFonts w:asciiTheme="majorHAnsi" w:eastAsia="Batang" w:hAnsiTheme="majorHAnsi"/>
          <w:sz w:val="20"/>
          <w:szCs w:val="20"/>
          <w:bdr w:val="none" w:sz="0" w:space="0" w:color="auto"/>
          <w:lang w:val="pt-BR"/>
        </w:rPr>
        <w:t>ais</w:t>
      </w:r>
      <w:r w:rsidR="003178DA">
        <w:rPr>
          <w:rFonts w:asciiTheme="majorHAnsi" w:eastAsia="Batang" w:hAnsiTheme="majorHAnsi"/>
          <w:sz w:val="20"/>
          <w:szCs w:val="20"/>
          <w:bdr w:val="none" w:sz="0" w:space="0" w:color="auto"/>
          <w:lang w:val="pt-BR"/>
        </w:rPr>
        <w:t xml:space="preserve"> – </w:t>
      </w:r>
      <w:r w:rsidR="00927E16" w:rsidRPr="006D1C74">
        <w:rPr>
          <w:rFonts w:asciiTheme="majorHAnsi" w:eastAsia="Batang" w:hAnsiTheme="majorHAnsi"/>
          <w:sz w:val="20"/>
          <w:szCs w:val="20"/>
          <w:bdr w:val="none" w:sz="0" w:space="0" w:color="auto"/>
          <w:lang w:val="pt-BR"/>
        </w:rPr>
        <w:t>relatório</w:t>
      </w:r>
      <w:r w:rsidR="002649F0" w:rsidRPr="006D1C74">
        <w:rPr>
          <w:rFonts w:asciiTheme="majorHAnsi" w:eastAsia="Batang" w:hAnsiTheme="majorHAnsi"/>
          <w:sz w:val="20"/>
          <w:szCs w:val="20"/>
          <w:bdr w:val="none" w:sz="0" w:space="0" w:color="auto"/>
          <w:lang w:val="pt-BR"/>
        </w:rPr>
        <w:t>, fundamenta</w:t>
      </w:r>
      <w:r w:rsidR="00CF037E" w:rsidRPr="006D1C74">
        <w:rPr>
          <w:rFonts w:asciiTheme="majorHAnsi" w:eastAsia="Batang" w:hAnsiTheme="majorHAnsi"/>
          <w:sz w:val="20"/>
          <w:szCs w:val="20"/>
          <w:bdr w:val="none" w:sz="0" w:space="0" w:color="auto"/>
          <w:lang w:val="pt-BR"/>
        </w:rPr>
        <w:t xml:space="preserve">ção e </w:t>
      </w:r>
      <w:r w:rsidR="002649F0" w:rsidRPr="006D1C74">
        <w:rPr>
          <w:rFonts w:asciiTheme="majorHAnsi" w:eastAsia="Batang" w:hAnsiTheme="majorHAnsi"/>
          <w:sz w:val="20"/>
          <w:szCs w:val="20"/>
          <w:bdr w:val="none" w:sz="0" w:space="0" w:color="auto"/>
          <w:lang w:val="pt-BR"/>
        </w:rPr>
        <w:t>deci</w:t>
      </w:r>
      <w:r w:rsidR="0094446B" w:rsidRPr="006D1C74">
        <w:rPr>
          <w:rFonts w:asciiTheme="majorHAnsi" w:eastAsia="Batang" w:hAnsiTheme="majorHAnsi"/>
          <w:sz w:val="20"/>
          <w:szCs w:val="20"/>
          <w:bdr w:val="none" w:sz="0" w:space="0" w:color="auto"/>
          <w:lang w:val="pt-BR"/>
        </w:rPr>
        <w:t>são</w:t>
      </w:r>
      <w:r w:rsidR="002649F0" w:rsidRPr="006D1C74">
        <w:rPr>
          <w:rFonts w:asciiTheme="majorHAnsi" w:eastAsia="Batang" w:hAnsiTheme="majorHAnsi"/>
          <w:sz w:val="20"/>
          <w:szCs w:val="20"/>
          <w:bdr w:val="none" w:sz="0" w:space="0" w:color="auto"/>
          <w:lang w:val="pt-BR"/>
        </w:rPr>
        <w:t>.</w:t>
      </w:r>
      <w:r w:rsidR="00F673C7" w:rsidRPr="006D1C74">
        <w:rPr>
          <w:rFonts w:asciiTheme="majorHAnsi" w:eastAsia="Batang" w:hAnsiTheme="majorHAnsi"/>
          <w:sz w:val="20"/>
          <w:szCs w:val="20"/>
          <w:bdr w:val="none" w:sz="0" w:space="0" w:color="auto"/>
          <w:lang w:val="pt-BR"/>
        </w:rPr>
        <w:t xml:space="preserve"> </w:t>
      </w:r>
      <w:r w:rsidRPr="006D1C74">
        <w:rPr>
          <w:rFonts w:asciiTheme="majorHAnsi" w:eastAsia="Batang" w:hAnsiTheme="majorHAnsi"/>
          <w:sz w:val="20"/>
          <w:szCs w:val="20"/>
          <w:bdr w:val="none" w:sz="0" w:space="0" w:color="auto"/>
          <w:lang w:val="pt-BR"/>
        </w:rPr>
        <w:t>E</w:t>
      </w:r>
      <w:r w:rsidR="00F673C7" w:rsidRPr="006D1C74">
        <w:rPr>
          <w:rFonts w:asciiTheme="majorHAnsi" w:eastAsia="Batang" w:hAnsiTheme="majorHAnsi"/>
          <w:sz w:val="20"/>
          <w:szCs w:val="20"/>
          <w:bdr w:val="none" w:sz="0" w:space="0" w:color="auto"/>
          <w:lang w:val="pt-BR"/>
        </w:rPr>
        <w:t xml:space="preserve">m </w:t>
      </w:r>
      <w:r w:rsidR="002649F0" w:rsidRPr="006D1C74">
        <w:rPr>
          <w:rFonts w:asciiTheme="majorHAnsi" w:eastAsia="Batang" w:hAnsiTheme="majorHAnsi"/>
          <w:sz w:val="20"/>
          <w:szCs w:val="20"/>
          <w:bdr w:val="none" w:sz="0" w:space="0" w:color="auto"/>
          <w:lang w:val="pt-BR"/>
        </w:rPr>
        <w:t>conse</w:t>
      </w:r>
      <w:r w:rsidR="00BD3AB3" w:rsidRPr="006D1C74">
        <w:rPr>
          <w:rFonts w:asciiTheme="majorHAnsi" w:eastAsia="Batang" w:hAnsiTheme="majorHAnsi"/>
          <w:sz w:val="20"/>
          <w:szCs w:val="20"/>
          <w:bdr w:val="none" w:sz="0" w:space="0" w:color="auto"/>
          <w:lang w:val="pt-BR"/>
        </w:rPr>
        <w:t>q</w:t>
      </w:r>
      <w:r w:rsidR="002649F0" w:rsidRPr="006D1C74">
        <w:rPr>
          <w:rFonts w:asciiTheme="majorHAnsi" w:eastAsia="Batang" w:hAnsiTheme="majorHAnsi"/>
          <w:sz w:val="20"/>
          <w:szCs w:val="20"/>
          <w:bdr w:val="none" w:sz="0" w:space="0" w:color="auto"/>
          <w:lang w:val="pt-BR"/>
        </w:rPr>
        <w:t>u</w:t>
      </w:r>
      <w:r w:rsidR="00BD3AB3" w:rsidRPr="006D1C74">
        <w:rPr>
          <w:rFonts w:asciiTheme="majorHAnsi" w:eastAsia="Batang" w:hAnsiTheme="majorHAnsi"/>
          <w:sz w:val="20"/>
          <w:szCs w:val="20"/>
          <w:bdr w:val="none" w:sz="0" w:space="0" w:color="auto"/>
          <w:lang w:val="pt-BR"/>
        </w:rPr>
        <w:t>ê</w:t>
      </w:r>
      <w:r w:rsidR="002649F0" w:rsidRPr="006D1C74">
        <w:rPr>
          <w:rFonts w:asciiTheme="majorHAnsi" w:eastAsia="Batang" w:hAnsiTheme="majorHAnsi"/>
          <w:sz w:val="20"/>
          <w:szCs w:val="20"/>
          <w:bdr w:val="none" w:sz="0" w:space="0" w:color="auto"/>
          <w:lang w:val="pt-BR"/>
        </w:rPr>
        <w:t>ncia,</w:t>
      </w:r>
      <w:r w:rsidR="00700267" w:rsidRPr="006D1C74">
        <w:rPr>
          <w:rFonts w:asciiTheme="majorHAnsi" w:eastAsia="Batang" w:hAnsiTheme="majorHAnsi"/>
          <w:sz w:val="20"/>
          <w:szCs w:val="20"/>
          <w:bdr w:val="none" w:sz="0" w:space="0" w:color="auto"/>
          <w:lang w:val="pt-BR"/>
        </w:rPr>
        <w:t xml:space="preserve"> a </w:t>
      </w:r>
      <w:r w:rsidR="002649F0" w:rsidRPr="006D1C74">
        <w:rPr>
          <w:rFonts w:asciiTheme="majorHAnsi" w:eastAsia="Batang" w:hAnsiTheme="majorHAnsi"/>
          <w:sz w:val="20"/>
          <w:szCs w:val="20"/>
          <w:bdr w:val="none" w:sz="0" w:space="0" w:color="auto"/>
          <w:lang w:val="pt-BR"/>
        </w:rPr>
        <w:t xml:space="preserve">parte </w:t>
      </w:r>
      <w:r w:rsidR="00795010" w:rsidRPr="006D1C74">
        <w:rPr>
          <w:rFonts w:asciiTheme="majorHAnsi" w:eastAsia="Batang" w:hAnsiTheme="majorHAnsi"/>
          <w:sz w:val="20"/>
          <w:szCs w:val="20"/>
          <w:bdr w:val="none" w:sz="0" w:space="0" w:color="auto"/>
          <w:lang w:val="pt-BR"/>
        </w:rPr>
        <w:t>peticionária</w:t>
      </w:r>
      <w:r w:rsidR="002649F0" w:rsidRPr="006D1C74">
        <w:rPr>
          <w:rFonts w:asciiTheme="majorHAnsi" w:eastAsia="Batang" w:hAnsiTheme="majorHAnsi"/>
          <w:sz w:val="20"/>
          <w:szCs w:val="20"/>
          <w:bdr w:val="none" w:sz="0" w:space="0" w:color="auto"/>
          <w:lang w:val="pt-BR"/>
        </w:rPr>
        <w:t xml:space="preserve"> conclu</w:t>
      </w:r>
      <w:r w:rsidRPr="006D1C74">
        <w:rPr>
          <w:rFonts w:asciiTheme="majorHAnsi" w:eastAsia="Batang" w:hAnsiTheme="majorHAnsi"/>
          <w:sz w:val="20"/>
          <w:szCs w:val="20"/>
          <w:bdr w:val="none" w:sz="0" w:space="0" w:color="auto"/>
          <w:lang w:val="pt-BR"/>
        </w:rPr>
        <w:t>i</w:t>
      </w:r>
      <w:r w:rsidR="002649F0" w:rsidRPr="006D1C74">
        <w:rPr>
          <w:rFonts w:asciiTheme="majorHAnsi" w:eastAsia="Batang" w:hAnsiTheme="majorHAnsi"/>
          <w:sz w:val="20"/>
          <w:szCs w:val="20"/>
          <w:bdr w:val="none" w:sz="0" w:space="0" w:color="auto"/>
          <w:lang w:val="pt-BR"/>
        </w:rPr>
        <w:t xml:space="preserve"> que</w:t>
      </w:r>
      <w:r w:rsidR="00700267" w:rsidRPr="006D1C74">
        <w:rPr>
          <w:rFonts w:asciiTheme="majorHAnsi" w:eastAsia="Batang" w:hAnsiTheme="majorHAnsi"/>
          <w:sz w:val="20"/>
          <w:szCs w:val="20"/>
          <w:bdr w:val="none" w:sz="0" w:space="0" w:color="auto"/>
          <w:lang w:val="pt-BR"/>
        </w:rPr>
        <w:t xml:space="preserve"> a </w:t>
      </w:r>
      <w:r w:rsidR="002649F0" w:rsidRPr="006D1C74">
        <w:rPr>
          <w:rFonts w:asciiTheme="majorHAnsi" w:eastAsia="Batang" w:hAnsiTheme="majorHAnsi"/>
          <w:sz w:val="20"/>
          <w:szCs w:val="20"/>
          <w:bdr w:val="none" w:sz="0" w:space="0" w:color="auto"/>
          <w:lang w:val="pt-BR"/>
        </w:rPr>
        <w:t>jurisdi</w:t>
      </w:r>
      <w:r w:rsidR="00CF037E" w:rsidRPr="006D1C74">
        <w:rPr>
          <w:rFonts w:asciiTheme="majorHAnsi" w:eastAsia="Batang" w:hAnsiTheme="majorHAnsi"/>
          <w:sz w:val="20"/>
          <w:szCs w:val="20"/>
          <w:bdr w:val="none" w:sz="0" w:space="0" w:color="auto"/>
          <w:lang w:val="pt-BR"/>
        </w:rPr>
        <w:t>ção</w:t>
      </w:r>
      <w:r w:rsidR="002649F0" w:rsidRPr="006D1C74">
        <w:rPr>
          <w:rFonts w:asciiTheme="majorHAnsi" w:eastAsia="Batang" w:hAnsiTheme="majorHAnsi"/>
          <w:sz w:val="20"/>
          <w:szCs w:val="20"/>
          <w:bdr w:val="none" w:sz="0" w:space="0" w:color="auto"/>
          <w:lang w:val="pt-BR"/>
        </w:rPr>
        <w:t xml:space="preserve"> militar</w:t>
      </w:r>
      <w:r w:rsidR="00F673C7" w:rsidRPr="006D1C74">
        <w:rPr>
          <w:rFonts w:asciiTheme="majorHAnsi" w:eastAsia="Batang" w:hAnsiTheme="majorHAnsi"/>
          <w:sz w:val="20"/>
          <w:szCs w:val="20"/>
          <w:bdr w:val="none" w:sz="0" w:space="0" w:color="auto"/>
          <w:lang w:val="pt-BR"/>
        </w:rPr>
        <w:t xml:space="preserve"> não </w:t>
      </w:r>
      <w:r w:rsidR="002649F0" w:rsidRPr="006D1C74">
        <w:rPr>
          <w:rFonts w:asciiTheme="majorHAnsi" w:eastAsia="Batang" w:hAnsiTheme="majorHAnsi"/>
          <w:sz w:val="20"/>
          <w:szCs w:val="20"/>
          <w:bdr w:val="none" w:sz="0" w:space="0" w:color="auto"/>
          <w:lang w:val="pt-BR"/>
        </w:rPr>
        <w:t>of</w:t>
      </w:r>
      <w:r w:rsidR="00BD3AB3" w:rsidRPr="006D1C74">
        <w:rPr>
          <w:rFonts w:asciiTheme="majorHAnsi" w:eastAsia="Batang" w:hAnsiTheme="majorHAnsi"/>
          <w:sz w:val="20"/>
          <w:szCs w:val="20"/>
          <w:bdr w:val="none" w:sz="0" w:space="0" w:color="auto"/>
          <w:lang w:val="pt-BR"/>
        </w:rPr>
        <w:t>e</w:t>
      </w:r>
      <w:r w:rsidR="002649F0" w:rsidRPr="006D1C74">
        <w:rPr>
          <w:rFonts w:asciiTheme="majorHAnsi" w:eastAsia="Batang" w:hAnsiTheme="majorHAnsi"/>
          <w:sz w:val="20"/>
          <w:szCs w:val="20"/>
          <w:bdr w:val="none" w:sz="0" w:space="0" w:color="auto"/>
          <w:lang w:val="pt-BR"/>
        </w:rPr>
        <w:t>rece</w:t>
      </w:r>
      <w:r w:rsidR="00030019" w:rsidRPr="006D1C74">
        <w:rPr>
          <w:rFonts w:asciiTheme="majorHAnsi" w:eastAsia="Batang" w:hAnsiTheme="majorHAnsi"/>
          <w:sz w:val="20"/>
          <w:szCs w:val="20"/>
          <w:bdr w:val="none" w:sz="0" w:space="0" w:color="auto"/>
          <w:lang w:val="pt-BR"/>
        </w:rPr>
        <w:t xml:space="preserve"> um </w:t>
      </w:r>
      <w:r w:rsidR="002649F0" w:rsidRPr="006D1C74">
        <w:rPr>
          <w:rFonts w:asciiTheme="majorHAnsi" w:eastAsia="Batang" w:hAnsiTheme="majorHAnsi"/>
          <w:sz w:val="20"/>
          <w:szCs w:val="20"/>
          <w:bdr w:val="none" w:sz="0" w:space="0" w:color="auto"/>
          <w:lang w:val="pt-BR"/>
        </w:rPr>
        <w:t>recurso judicial efetivo e imparcial</w:t>
      </w:r>
      <w:r w:rsidR="00F673C7" w:rsidRPr="006D1C74">
        <w:rPr>
          <w:rFonts w:asciiTheme="majorHAnsi" w:eastAsia="Batang" w:hAnsiTheme="majorHAnsi"/>
          <w:sz w:val="20"/>
          <w:szCs w:val="20"/>
          <w:bdr w:val="none" w:sz="0" w:space="0" w:color="auto"/>
          <w:lang w:val="pt-BR"/>
        </w:rPr>
        <w:t xml:space="preserve"> em </w:t>
      </w:r>
      <w:r w:rsidR="002649F0" w:rsidRPr="006D1C74">
        <w:rPr>
          <w:rFonts w:asciiTheme="majorHAnsi" w:eastAsia="Batang" w:hAnsiTheme="majorHAnsi"/>
          <w:sz w:val="20"/>
          <w:szCs w:val="20"/>
          <w:bdr w:val="none" w:sz="0" w:space="0" w:color="auto"/>
          <w:lang w:val="pt-BR"/>
        </w:rPr>
        <w:t>casos de viola</w:t>
      </w:r>
      <w:r w:rsidR="00CF037E" w:rsidRPr="006D1C74">
        <w:rPr>
          <w:rFonts w:asciiTheme="majorHAnsi" w:eastAsia="Batang" w:hAnsiTheme="majorHAnsi"/>
          <w:sz w:val="20"/>
          <w:szCs w:val="20"/>
          <w:bdr w:val="none" w:sz="0" w:space="0" w:color="auto"/>
          <w:lang w:val="pt-BR"/>
        </w:rPr>
        <w:t>ções</w:t>
      </w:r>
      <w:r w:rsidR="00700267" w:rsidRPr="006D1C74">
        <w:rPr>
          <w:rFonts w:asciiTheme="majorHAnsi" w:eastAsia="Batang" w:hAnsiTheme="majorHAnsi"/>
          <w:sz w:val="20"/>
          <w:szCs w:val="20"/>
          <w:bdr w:val="none" w:sz="0" w:space="0" w:color="auto"/>
          <w:lang w:val="pt-BR"/>
        </w:rPr>
        <w:t xml:space="preserve"> dos </w:t>
      </w:r>
      <w:r w:rsidR="00417BE8" w:rsidRPr="006D1C74">
        <w:rPr>
          <w:rFonts w:asciiTheme="majorHAnsi" w:eastAsia="Batang" w:hAnsiTheme="majorHAnsi"/>
          <w:sz w:val="20"/>
          <w:szCs w:val="20"/>
          <w:bdr w:val="none" w:sz="0" w:space="0" w:color="auto"/>
          <w:lang w:val="pt-BR"/>
        </w:rPr>
        <w:t>direito</w:t>
      </w:r>
      <w:r w:rsidR="002649F0" w:rsidRPr="006D1C74">
        <w:rPr>
          <w:rFonts w:asciiTheme="majorHAnsi" w:eastAsia="Batang" w:hAnsiTheme="majorHAnsi"/>
          <w:sz w:val="20"/>
          <w:szCs w:val="20"/>
          <w:bdr w:val="none" w:sz="0" w:space="0" w:color="auto"/>
          <w:lang w:val="pt-BR"/>
        </w:rPr>
        <w:t>s.</w:t>
      </w:r>
    </w:p>
    <w:p w14:paraId="11274453"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Batang" w:hAnsiTheme="majorHAnsi"/>
          <w:sz w:val="20"/>
          <w:szCs w:val="20"/>
          <w:bdr w:val="none" w:sz="0" w:space="0" w:color="auto"/>
          <w:lang w:val="pt-BR"/>
        </w:rPr>
      </w:pPr>
    </w:p>
    <w:p w14:paraId="2A74E4E4" w14:textId="77777777" w:rsidR="002649F0" w:rsidRPr="006D1C74" w:rsidRDefault="00B4216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Batang" w:hAnsiTheme="majorHAnsi"/>
          <w:sz w:val="20"/>
          <w:szCs w:val="20"/>
          <w:bdr w:val="none" w:sz="0" w:space="0" w:color="auto"/>
          <w:lang w:val="pt-BR"/>
        </w:rPr>
      </w:pPr>
      <w:r w:rsidRPr="006D1C74">
        <w:rPr>
          <w:rFonts w:asciiTheme="majorHAnsi" w:hAnsiTheme="majorHAnsi"/>
          <w:sz w:val="20"/>
          <w:szCs w:val="20"/>
          <w:lang w:val="pt-BR"/>
        </w:rPr>
        <w:t>A</w:t>
      </w:r>
      <w:r w:rsidR="002649F0" w:rsidRPr="006D1C74">
        <w:rPr>
          <w:rFonts w:asciiTheme="majorHAnsi" w:hAnsiTheme="majorHAnsi"/>
          <w:sz w:val="20"/>
          <w:szCs w:val="20"/>
          <w:lang w:val="pt-BR"/>
        </w:rPr>
        <w:t xml:space="preserve"> parte </w:t>
      </w:r>
      <w:r w:rsidR="00795010" w:rsidRPr="006D1C74">
        <w:rPr>
          <w:rFonts w:asciiTheme="majorHAnsi" w:hAnsiTheme="majorHAnsi"/>
          <w:sz w:val="20"/>
          <w:szCs w:val="20"/>
          <w:lang w:val="pt-BR"/>
        </w:rPr>
        <w:t>peticionária</w:t>
      </w:r>
      <w:r w:rsidR="002649F0" w:rsidRPr="006D1C74">
        <w:rPr>
          <w:rFonts w:asciiTheme="majorHAnsi" w:hAnsiTheme="majorHAnsi"/>
          <w:sz w:val="20"/>
          <w:szCs w:val="20"/>
          <w:lang w:val="pt-BR"/>
        </w:rPr>
        <w:t xml:space="preserve"> a</w:t>
      </w:r>
      <w:r w:rsidR="00455F22" w:rsidRPr="006D1C74">
        <w:rPr>
          <w:rFonts w:asciiTheme="majorHAnsi" w:hAnsiTheme="majorHAnsi"/>
          <w:sz w:val="20"/>
          <w:szCs w:val="20"/>
          <w:lang w:val="pt-BR"/>
        </w:rPr>
        <w:t>lega</w:t>
      </w:r>
      <w:r w:rsidR="002649F0" w:rsidRPr="006D1C74">
        <w:rPr>
          <w:rFonts w:asciiTheme="majorHAnsi" w:hAnsiTheme="majorHAnsi"/>
          <w:sz w:val="20"/>
          <w:szCs w:val="20"/>
          <w:lang w:val="pt-BR"/>
        </w:rPr>
        <w:t xml:space="preserve"> q</w:t>
      </w:r>
      <w:r w:rsidR="002649F0" w:rsidRPr="006D1C74">
        <w:rPr>
          <w:rFonts w:asciiTheme="majorHAnsi" w:eastAsia="Batang" w:hAnsiTheme="majorHAnsi"/>
          <w:sz w:val="20"/>
          <w:szCs w:val="20"/>
          <w:bdr w:val="none" w:sz="0" w:space="0" w:color="auto"/>
          <w:lang w:val="pt-BR"/>
        </w:rPr>
        <w:t>ue</w:t>
      </w:r>
      <w:r w:rsidR="00700267" w:rsidRPr="006D1C74">
        <w:rPr>
          <w:rFonts w:asciiTheme="majorHAnsi" w:eastAsia="Batang" w:hAnsiTheme="majorHAnsi"/>
          <w:sz w:val="20"/>
          <w:szCs w:val="20"/>
          <w:bdr w:val="none" w:sz="0" w:space="0" w:color="auto"/>
          <w:lang w:val="pt-BR"/>
        </w:rPr>
        <w:t xml:space="preserve"> os </w:t>
      </w:r>
      <w:r w:rsidR="00455F22" w:rsidRPr="006D1C74">
        <w:rPr>
          <w:rFonts w:asciiTheme="majorHAnsi" w:eastAsia="Batang" w:hAnsiTheme="majorHAnsi"/>
          <w:sz w:val="20"/>
          <w:szCs w:val="20"/>
          <w:bdr w:val="none" w:sz="0" w:space="0" w:color="auto"/>
          <w:lang w:val="pt-BR"/>
        </w:rPr>
        <w:t>crimes</w:t>
      </w:r>
      <w:r w:rsidR="002649F0" w:rsidRPr="006D1C74">
        <w:rPr>
          <w:rFonts w:asciiTheme="majorHAnsi" w:eastAsia="Batang" w:hAnsiTheme="majorHAnsi"/>
          <w:sz w:val="20"/>
          <w:szCs w:val="20"/>
          <w:bdr w:val="none" w:sz="0" w:space="0" w:color="auto"/>
          <w:lang w:val="pt-BR"/>
        </w:rPr>
        <w:t xml:space="preserve"> dolosos contra</w:t>
      </w:r>
      <w:r w:rsidR="00700267" w:rsidRPr="006D1C74">
        <w:rPr>
          <w:rFonts w:asciiTheme="majorHAnsi" w:eastAsia="Batang" w:hAnsiTheme="majorHAnsi"/>
          <w:sz w:val="20"/>
          <w:szCs w:val="20"/>
          <w:bdr w:val="none" w:sz="0" w:space="0" w:color="auto"/>
          <w:lang w:val="pt-BR"/>
        </w:rPr>
        <w:t xml:space="preserve"> a </w:t>
      </w:r>
      <w:r w:rsidR="002649F0" w:rsidRPr="006D1C74">
        <w:rPr>
          <w:rFonts w:asciiTheme="majorHAnsi" w:eastAsia="Batang" w:hAnsiTheme="majorHAnsi"/>
          <w:sz w:val="20"/>
          <w:szCs w:val="20"/>
          <w:bdr w:val="none" w:sz="0" w:space="0" w:color="auto"/>
          <w:lang w:val="pt-BR"/>
        </w:rPr>
        <w:t>vida de civis</w:t>
      </w:r>
      <w:r w:rsidR="00F37852" w:rsidRPr="006D1C74">
        <w:rPr>
          <w:rFonts w:asciiTheme="majorHAnsi" w:eastAsia="Batang" w:hAnsiTheme="majorHAnsi"/>
          <w:sz w:val="20"/>
          <w:szCs w:val="20"/>
          <w:bdr w:val="none" w:sz="0" w:space="0" w:color="auto"/>
          <w:lang w:val="pt-BR"/>
        </w:rPr>
        <w:t xml:space="preserve"> são </w:t>
      </w:r>
      <w:r w:rsidR="002649F0" w:rsidRPr="006D1C74">
        <w:rPr>
          <w:rFonts w:asciiTheme="majorHAnsi" w:eastAsia="Batang" w:hAnsiTheme="majorHAnsi"/>
          <w:sz w:val="20"/>
          <w:szCs w:val="20"/>
          <w:bdr w:val="none" w:sz="0" w:space="0" w:color="auto"/>
          <w:lang w:val="pt-BR"/>
        </w:rPr>
        <w:t>de compet</w:t>
      </w:r>
      <w:r w:rsidR="00BD3AB3" w:rsidRPr="006D1C74">
        <w:rPr>
          <w:rFonts w:asciiTheme="majorHAnsi" w:eastAsia="Batang" w:hAnsiTheme="majorHAnsi"/>
          <w:sz w:val="20"/>
          <w:szCs w:val="20"/>
          <w:bdr w:val="none" w:sz="0" w:space="0" w:color="auto"/>
          <w:lang w:val="pt-BR"/>
        </w:rPr>
        <w:t>ê</w:t>
      </w:r>
      <w:r w:rsidR="002649F0" w:rsidRPr="006D1C74">
        <w:rPr>
          <w:rFonts w:asciiTheme="majorHAnsi" w:eastAsia="Batang" w:hAnsiTheme="majorHAnsi"/>
          <w:sz w:val="20"/>
          <w:szCs w:val="20"/>
          <w:bdr w:val="none" w:sz="0" w:space="0" w:color="auto"/>
          <w:lang w:val="pt-BR"/>
        </w:rPr>
        <w:t>ncia</w:t>
      </w:r>
      <w:r w:rsidR="00030019" w:rsidRPr="006D1C74">
        <w:rPr>
          <w:rFonts w:asciiTheme="majorHAnsi" w:eastAsia="Batang" w:hAnsiTheme="majorHAnsi"/>
          <w:sz w:val="20"/>
          <w:szCs w:val="20"/>
          <w:bdr w:val="none" w:sz="0" w:space="0" w:color="auto"/>
          <w:lang w:val="pt-BR"/>
        </w:rPr>
        <w:t xml:space="preserve"> do </w:t>
      </w:r>
      <w:r w:rsidR="002649F0" w:rsidRPr="006D1C74">
        <w:rPr>
          <w:rFonts w:asciiTheme="majorHAnsi" w:eastAsia="Batang" w:hAnsiTheme="majorHAnsi"/>
          <w:sz w:val="20"/>
          <w:szCs w:val="20"/>
          <w:bdr w:val="none" w:sz="0" w:space="0" w:color="auto"/>
          <w:lang w:val="pt-BR"/>
        </w:rPr>
        <w:t>tribunal d</w:t>
      </w:r>
      <w:r w:rsidR="00455F22" w:rsidRPr="006D1C74">
        <w:rPr>
          <w:rFonts w:asciiTheme="majorHAnsi" w:eastAsia="Batang" w:hAnsiTheme="majorHAnsi"/>
          <w:sz w:val="20"/>
          <w:szCs w:val="20"/>
          <w:bdr w:val="none" w:sz="0" w:space="0" w:color="auto"/>
          <w:lang w:val="pt-BR"/>
        </w:rPr>
        <w:t>o júri</w:t>
      </w:r>
      <w:r w:rsidR="00CF037E" w:rsidRPr="006D1C74">
        <w:rPr>
          <w:rFonts w:asciiTheme="majorHAnsi" w:eastAsia="Batang" w:hAnsiTheme="majorHAnsi"/>
          <w:sz w:val="20"/>
          <w:szCs w:val="20"/>
          <w:bdr w:val="none" w:sz="0" w:space="0" w:color="auto"/>
          <w:lang w:val="pt-BR"/>
        </w:rPr>
        <w:t xml:space="preserve"> e</w:t>
      </w:r>
      <w:r w:rsidR="00F673C7" w:rsidRPr="006D1C74">
        <w:rPr>
          <w:rFonts w:asciiTheme="majorHAnsi" w:eastAsia="Batang" w:hAnsiTheme="majorHAnsi"/>
          <w:sz w:val="20"/>
          <w:szCs w:val="20"/>
          <w:bdr w:val="none" w:sz="0" w:space="0" w:color="auto"/>
          <w:lang w:val="pt-BR"/>
        </w:rPr>
        <w:t xml:space="preserve"> não </w:t>
      </w:r>
      <w:r w:rsidR="00795010" w:rsidRPr="006D1C74">
        <w:rPr>
          <w:rFonts w:asciiTheme="majorHAnsi" w:eastAsia="Batang" w:hAnsiTheme="majorHAnsi"/>
          <w:sz w:val="20"/>
          <w:szCs w:val="20"/>
          <w:bdr w:val="none" w:sz="0" w:space="0" w:color="auto"/>
          <w:lang w:val="pt-BR"/>
        </w:rPr>
        <w:t>da justiça</w:t>
      </w:r>
      <w:r w:rsidR="002649F0" w:rsidRPr="006D1C74">
        <w:rPr>
          <w:rFonts w:asciiTheme="majorHAnsi" w:eastAsia="Batang" w:hAnsiTheme="majorHAnsi"/>
          <w:sz w:val="20"/>
          <w:szCs w:val="20"/>
          <w:bdr w:val="none" w:sz="0" w:space="0" w:color="auto"/>
          <w:lang w:val="pt-BR"/>
        </w:rPr>
        <w:t xml:space="preserve"> militar,</w:t>
      </w:r>
      <w:r w:rsidR="00CF037E" w:rsidRPr="006D1C74">
        <w:rPr>
          <w:rFonts w:asciiTheme="majorHAnsi" w:eastAsia="Batang" w:hAnsiTheme="majorHAnsi"/>
          <w:sz w:val="20"/>
          <w:szCs w:val="20"/>
          <w:bdr w:val="none" w:sz="0" w:space="0" w:color="auto"/>
          <w:lang w:val="pt-BR"/>
        </w:rPr>
        <w:t xml:space="preserve"> e </w:t>
      </w:r>
      <w:r w:rsidR="002649F0" w:rsidRPr="006D1C74">
        <w:rPr>
          <w:rFonts w:asciiTheme="majorHAnsi" w:eastAsia="Batang" w:hAnsiTheme="majorHAnsi"/>
          <w:sz w:val="20"/>
          <w:szCs w:val="20"/>
          <w:bdr w:val="none" w:sz="0" w:space="0" w:color="auto"/>
          <w:lang w:val="pt-BR"/>
        </w:rPr>
        <w:t>que</w:t>
      </w:r>
      <w:r w:rsidR="00700267" w:rsidRPr="006D1C74">
        <w:rPr>
          <w:rFonts w:asciiTheme="majorHAnsi" w:eastAsia="Batang" w:hAnsiTheme="majorHAnsi"/>
          <w:sz w:val="20"/>
          <w:szCs w:val="20"/>
          <w:bdr w:val="none" w:sz="0" w:space="0" w:color="auto"/>
          <w:lang w:val="pt-BR"/>
        </w:rPr>
        <w:t xml:space="preserve"> </w:t>
      </w:r>
      <w:r w:rsidR="0004192B" w:rsidRPr="006D1C74">
        <w:rPr>
          <w:rFonts w:asciiTheme="majorHAnsi" w:eastAsia="Batang" w:hAnsiTheme="majorHAnsi"/>
          <w:sz w:val="20"/>
          <w:szCs w:val="20"/>
          <w:bdr w:val="none" w:sz="0" w:space="0" w:color="auto"/>
          <w:lang w:val="pt-BR"/>
        </w:rPr>
        <w:t>o</w:t>
      </w:r>
      <w:r w:rsidR="00455F22" w:rsidRPr="006D1C74">
        <w:rPr>
          <w:rFonts w:asciiTheme="majorHAnsi" w:eastAsia="Batang" w:hAnsiTheme="majorHAnsi"/>
          <w:sz w:val="20"/>
          <w:szCs w:val="20"/>
          <w:bdr w:val="none" w:sz="0" w:space="0" w:color="auto"/>
          <w:lang w:val="pt-BR"/>
        </w:rPr>
        <w:t xml:space="preserve"> </w:t>
      </w:r>
      <w:r w:rsidR="0004192B" w:rsidRPr="006D1C74">
        <w:rPr>
          <w:rFonts w:asciiTheme="majorHAnsi" w:eastAsia="Batang" w:hAnsiTheme="majorHAnsi"/>
          <w:sz w:val="20"/>
          <w:szCs w:val="20"/>
          <w:bdr w:val="none" w:sz="0" w:space="0" w:color="auto"/>
          <w:lang w:val="pt-BR"/>
        </w:rPr>
        <w:t>sobrestamento</w:t>
      </w:r>
      <w:r w:rsidR="00795010" w:rsidRPr="006D1C74">
        <w:rPr>
          <w:rFonts w:asciiTheme="majorHAnsi" w:eastAsia="Batang" w:hAnsiTheme="majorHAnsi"/>
          <w:sz w:val="20"/>
          <w:szCs w:val="20"/>
          <w:bdr w:val="none" w:sz="0" w:space="0" w:color="auto"/>
          <w:lang w:val="pt-BR"/>
        </w:rPr>
        <w:t xml:space="preserve"> da </w:t>
      </w:r>
      <w:r w:rsidR="002649F0" w:rsidRPr="006D1C74">
        <w:rPr>
          <w:rFonts w:asciiTheme="majorHAnsi" w:eastAsia="Batang" w:hAnsiTheme="majorHAnsi"/>
          <w:sz w:val="20"/>
          <w:szCs w:val="20"/>
          <w:bdr w:val="none" w:sz="0" w:space="0" w:color="auto"/>
          <w:lang w:val="pt-BR"/>
        </w:rPr>
        <w:t>a</w:t>
      </w:r>
      <w:r w:rsidR="00CF037E" w:rsidRPr="006D1C74">
        <w:rPr>
          <w:rFonts w:asciiTheme="majorHAnsi" w:eastAsia="Batang" w:hAnsiTheme="majorHAnsi"/>
          <w:sz w:val="20"/>
          <w:szCs w:val="20"/>
          <w:bdr w:val="none" w:sz="0" w:space="0" w:color="auto"/>
          <w:lang w:val="pt-BR"/>
        </w:rPr>
        <w:t>ção</w:t>
      </w:r>
      <w:r w:rsidR="002649F0" w:rsidRPr="006D1C74">
        <w:rPr>
          <w:rFonts w:asciiTheme="majorHAnsi" w:eastAsia="Batang" w:hAnsiTheme="majorHAnsi"/>
          <w:sz w:val="20"/>
          <w:szCs w:val="20"/>
          <w:bdr w:val="none" w:sz="0" w:space="0" w:color="auto"/>
          <w:lang w:val="pt-BR"/>
        </w:rPr>
        <w:t xml:space="preserve"> penal com</w:t>
      </w:r>
      <w:r w:rsidR="00BD3AB3" w:rsidRPr="006D1C74">
        <w:rPr>
          <w:rFonts w:asciiTheme="majorHAnsi" w:eastAsia="Batang" w:hAnsiTheme="majorHAnsi"/>
          <w:sz w:val="20"/>
          <w:szCs w:val="20"/>
          <w:bdr w:val="none" w:sz="0" w:space="0" w:color="auto"/>
          <w:lang w:val="pt-BR"/>
        </w:rPr>
        <w:t>um</w:t>
      </w:r>
      <w:r w:rsidR="002649F0" w:rsidRPr="006D1C74">
        <w:rPr>
          <w:rFonts w:asciiTheme="majorHAnsi" w:eastAsia="Batang" w:hAnsiTheme="majorHAnsi"/>
          <w:sz w:val="20"/>
          <w:szCs w:val="20"/>
          <w:bdr w:val="none" w:sz="0" w:space="0" w:color="auto"/>
          <w:lang w:val="pt-BR"/>
        </w:rPr>
        <w:t>, que impos</w:t>
      </w:r>
      <w:r w:rsidR="00BD3AB3" w:rsidRPr="006D1C74">
        <w:rPr>
          <w:rFonts w:asciiTheme="majorHAnsi" w:eastAsia="Batang" w:hAnsiTheme="majorHAnsi"/>
          <w:sz w:val="20"/>
          <w:szCs w:val="20"/>
          <w:bdr w:val="none" w:sz="0" w:space="0" w:color="auto"/>
          <w:lang w:val="pt-BR"/>
        </w:rPr>
        <w:t>s</w:t>
      </w:r>
      <w:r w:rsidR="002649F0" w:rsidRPr="006D1C74">
        <w:rPr>
          <w:rFonts w:asciiTheme="majorHAnsi" w:eastAsia="Batang" w:hAnsiTheme="majorHAnsi"/>
          <w:sz w:val="20"/>
          <w:szCs w:val="20"/>
          <w:bdr w:val="none" w:sz="0" w:space="0" w:color="auto"/>
          <w:lang w:val="pt-BR"/>
        </w:rPr>
        <w:t>ibilit</w:t>
      </w:r>
      <w:r w:rsidR="00455F22" w:rsidRPr="006D1C74">
        <w:rPr>
          <w:rFonts w:asciiTheme="majorHAnsi" w:eastAsia="Batang" w:hAnsiTheme="majorHAnsi"/>
          <w:sz w:val="20"/>
          <w:szCs w:val="20"/>
          <w:bdr w:val="none" w:sz="0" w:space="0" w:color="auto"/>
          <w:lang w:val="pt-BR"/>
        </w:rPr>
        <w:t xml:space="preserve">ou </w:t>
      </w:r>
      <w:r w:rsidR="00700267" w:rsidRPr="006D1C74">
        <w:rPr>
          <w:rFonts w:asciiTheme="majorHAnsi" w:eastAsia="Batang" w:hAnsiTheme="majorHAnsi"/>
          <w:sz w:val="20"/>
          <w:szCs w:val="20"/>
          <w:bdr w:val="none" w:sz="0" w:space="0" w:color="auto"/>
          <w:lang w:val="pt-BR"/>
        </w:rPr>
        <w:t xml:space="preserve">o </w:t>
      </w:r>
      <w:r w:rsidR="002649F0" w:rsidRPr="006D1C74">
        <w:rPr>
          <w:rFonts w:asciiTheme="majorHAnsi" w:eastAsia="Batang" w:hAnsiTheme="majorHAnsi"/>
          <w:sz w:val="20"/>
          <w:szCs w:val="20"/>
          <w:bdr w:val="none" w:sz="0" w:space="0" w:color="auto"/>
          <w:lang w:val="pt-BR"/>
        </w:rPr>
        <w:t>ju</w:t>
      </w:r>
      <w:r w:rsidR="00BD3AB3" w:rsidRPr="006D1C74">
        <w:rPr>
          <w:rFonts w:asciiTheme="majorHAnsi" w:eastAsia="Batang" w:hAnsiTheme="majorHAnsi"/>
          <w:sz w:val="20"/>
          <w:szCs w:val="20"/>
          <w:bdr w:val="none" w:sz="0" w:space="0" w:color="auto"/>
          <w:lang w:val="pt-BR"/>
        </w:rPr>
        <w:t>l</w:t>
      </w:r>
      <w:r w:rsidR="002649F0" w:rsidRPr="006D1C74">
        <w:rPr>
          <w:rFonts w:asciiTheme="majorHAnsi" w:eastAsia="Batang" w:hAnsiTheme="majorHAnsi"/>
          <w:sz w:val="20"/>
          <w:szCs w:val="20"/>
          <w:bdr w:val="none" w:sz="0" w:space="0" w:color="auto"/>
          <w:lang w:val="pt-BR"/>
        </w:rPr>
        <w:t>ga</w:t>
      </w:r>
      <w:r w:rsidR="00700267" w:rsidRPr="006D1C74">
        <w:rPr>
          <w:rFonts w:asciiTheme="majorHAnsi" w:eastAsia="Batang" w:hAnsiTheme="majorHAnsi"/>
          <w:sz w:val="20"/>
          <w:szCs w:val="20"/>
          <w:bdr w:val="none" w:sz="0" w:space="0" w:color="auto"/>
          <w:lang w:val="pt-BR"/>
        </w:rPr>
        <w:t>mento</w:t>
      </w:r>
      <w:r w:rsidR="00030019" w:rsidRPr="006D1C74">
        <w:rPr>
          <w:rFonts w:asciiTheme="majorHAnsi" w:eastAsia="Batang" w:hAnsiTheme="majorHAnsi"/>
          <w:sz w:val="20"/>
          <w:szCs w:val="20"/>
          <w:bdr w:val="none" w:sz="0" w:space="0" w:color="auto"/>
          <w:lang w:val="pt-BR"/>
        </w:rPr>
        <w:t xml:space="preserve"> do </w:t>
      </w:r>
      <w:r w:rsidR="002649F0" w:rsidRPr="006D1C74">
        <w:rPr>
          <w:rFonts w:asciiTheme="majorHAnsi" w:eastAsia="Batang" w:hAnsiTheme="majorHAnsi"/>
          <w:sz w:val="20"/>
          <w:szCs w:val="20"/>
          <w:bdr w:val="none" w:sz="0" w:space="0" w:color="auto"/>
          <w:lang w:val="pt-BR"/>
        </w:rPr>
        <w:t xml:space="preserve">agente de </w:t>
      </w:r>
      <w:r w:rsidR="00F37852" w:rsidRPr="006D1C74">
        <w:rPr>
          <w:rFonts w:asciiTheme="majorHAnsi" w:eastAsia="Batang" w:hAnsiTheme="majorHAnsi"/>
          <w:sz w:val="20"/>
          <w:szCs w:val="20"/>
          <w:bdr w:val="none" w:sz="0" w:space="0" w:color="auto"/>
          <w:lang w:val="pt-BR"/>
        </w:rPr>
        <w:t>polícia</w:t>
      </w:r>
      <w:r w:rsidR="002649F0" w:rsidRPr="006D1C74">
        <w:rPr>
          <w:rFonts w:asciiTheme="majorHAnsi" w:eastAsia="Batang" w:hAnsiTheme="majorHAnsi"/>
          <w:sz w:val="20"/>
          <w:szCs w:val="20"/>
          <w:bdr w:val="none" w:sz="0" w:space="0" w:color="auto"/>
          <w:lang w:val="pt-BR"/>
        </w:rPr>
        <w:t xml:space="preserve"> acusado de homic</w:t>
      </w:r>
      <w:r w:rsidR="00BD3AB3" w:rsidRPr="006D1C74">
        <w:rPr>
          <w:rFonts w:asciiTheme="majorHAnsi" w:eastAsia="Batang" w:hAnsiTheme="majorHAnsi"/>
          <w:sz w:val="20"/>
          <w:szCs w:val="20"/>
          <w:bdr w:val="none" w:sz="0" w:space="0" w:color="auto"/>
          <w:lang w:val="pt-BR"/>
        </w:rPr>
        <w:t>í</w:t>
      </w:r>
      <w:r w:rsidR="002649F0" w:rsidRPr="006D1C74">
        <w:rPr>
          <w:rFonts w:asciiTheme="majorHAnsi" w:eastAsia="Batang" w:hAnsiTheme="majorHAnsi"/>
          <w:sz w:val="20"/>
          <w:szCs w:val="20"/>
          <w:bdr w:val="none" w:sz="0" w:space="0" w:color="auto"/>
          <w:lang w:val="pt-BR"/>
        </w:rPr>
        <w:t xml:space="preserve">dio, </w:t>
      </w:r>
      <w:r w:rsidR="00BD3AB3" w:rsidRPr="006D1C74">
        <w:rPr>
          <w:rFonts w:asciiTheme="majorHAnsi" w:eastAsia="Batang" w:hAnsiTheme="majorHAnsi"/>
          <w:sz w:val="20"/>
          <w:szCs w:val="20"/>
          <w:bdr w:val="none" w:sz="0" w:space="0" w:color="auto"/>
          <w:lang w:val="pt-BR"/>
        </w:rPr>
        <w:t>foi devid</w:t>
      </w:r>
      <w:r w:rsidR="00F2107E">
        <w:rPr>
          <w:rFonts w:asciiTheme="majorHAnsi" w:eastAsia="Batang" w:hAnsiTheme="majorHAnsi"/>
          <w:sz w:val="20"/>
          <w:szCs w:val="20"/>
          <w:bdr w:val="none" w:sz="0" w:space="0" w:color="auto"/>
          <w:lang w:val="pt-BR"/>
        </w:rPr>
        <w:t>o</w:t>
      </w:r>
      <w:r w:rsidR="00BD3AB3" w:rsidRPr="006D1C74">
        <w:rPr>
          <w:rFonts w:asciiTheme="majorHAnsi" w:eastAsia="Batang" w:hAnsiTheme="majorHAnsi"/>
          <w:sz w:val="20"/>
          <w:szCs w:val="20"/>
          <w:bdr w:val="none" w:sz="0" w:space="0" w:color="auto"/>
          <w:lang w:val="pt-BR"/>
        </w:rPr>
        <w:t xml:space="preserve"> </w:t>
      </w:r>
      <w:r w:rsidR="002649F0" w:rsidRPr="006D1C74">
        <w:rPr>
          <w:rFonts w:asciiTheme="majorHAnsi" w:eastAsia="Batang" w:hAnsiTheme="majorHAnsi"/>
          <w:sz w:val="20"/>
          <w:szCs w:val="20"/>
          <w:bdr w:val="none" w:sz="0" w:space="0" w:color="auto"/>
          <w:lang w:val="pt-BR"/>
        </w:rPr>
        <w:t>a</w:t>
      </w:r>
      <w:r w:rsidR="00030019" w:rsidRPr="006D1C74">
        <w:rPr>
          <w:rFonts w:asciiTheme="majorHAnsi" w:eastAsia="Batang" w:hAnsiTheme="majorHAnsi"/>
          <w:sz w:val="20"/>
          <w:szCs w:val="20"/>
          <w:bdr w:val="none" w:sz="0" w:space="0" w:color="auto"/>
          <w:lang w:val="pt-BR"/>
        </w:rPr>
        <w:t xml:space="preserve"> uma </w:t>
      </w:r>
      <w:r w:rsidR="002649F0" w:rsidRPr="006D1C74">
        <w:rPr>
          <w:rFonts w:asciiTheme="majorHAnsi" w:eastAsia="Batang" w:hAnsiTheme="majorHAnsi"/>
          <w:sz w:val="20"/>
          <w:szCs w:val="20"/>
          <w:bdr w:val="none" w:sz="0" w:space="0" w:color="auto"/>
          <w:lang w:val="pt-BR"/>
        </w:rPr>
        <w:t>interpreta</w:t>
      </w:r>
      <w:r w:rsidR="00CF037E" w:rsidRPr="006D1C74">
        <w:rPr>
          <w:rFonts w:asciiTheme="majorHAnsi" w:eastAsia="Batang" w:hAnsiTheme="majorHAnsi"/>
          <w:sz w:val="20"/>
          <w:szCs w:val="20"/>
          <w:bdr w:val="none" w:sz="0" w:space="0" w:color="auto"/>
          <w:lang w:val="pt-BR"/>
        </w:rPr>
        <w:t>ção</w:t>
      </w:r>
      <w:r w:rsidR="002649F0" w:rsidRPr="006D1C74">
        <w:rPr>
          <w:rFonts w:asciiTheme="majorHAnsi" w:eastAsia="Batang" w:hAnsiTheme="majorHAnsi"/>
          <w:sz w:val="20"/>
          <w:szCs w:val="20"/>
          <w:bdr w:val="none" w:sz="0" w:space="0" w:color="auto"/>
          <w:lang w:val="pt-BR"/>
        </w:rPr>
        <w:t xml:space="preserve"> err</w:t>
      </w:r>
      <w:r w:rsidR="00BD3AB3" w:rsidRPr="006D1C74">
        <w:rPr>
          <w:rFonts w:asciiTheme="majorHAnsi" w:eastAsia="Batang" w:hAnsiTheme="majorHAnsi"/>
          <w:sz w:val="20"/>
          <w:szCs w:val="20"/>
          <w:bdr w:val="none" w:sz="0" w:space="0" w:color="auto"/>
          <w:lang w:val="pt-BR"/>
        </w:rPr>
        <w:t>ô</w:t>
      </w:r>
      <w:r w:rsidR="002649F0" w:rsidRPr="006D1C74">
        <w:rPr>
          <w:rFonts w:asciiTheme="majorHAnsi" w:eastAsia="Batang" w:hAnsiTheme="majorHAnsi"/>
          <w:sz w:val="20"/>
          <w:szCs w:val="20"/>
          <w:bdr w:val="none" w:sz="0" w:space="0" w:color="auto"/>
          <w:lang w:val="pt-BR"/>
        </w:rPr>
        <w:t>nea</w:t>
      </w:r>
      <w:r w:rsidR="00030019" w:rsidRPr="006D1C74">
        <w:rPr>
          <w:rFonts w:asciiTheme="majorHAnsi" w:eastAsia="Batang" w:hAnsiTheme="majorHAnsi"/>
          <w:sz w:val="20"/>
          <w:szCs w:val="20"/>
          <w:bdr w:val="none" w:sz="0" w:space="0" w:color="auto"/>
          <w:lang w:val="pt-BR"/>
        </w:rPr>
        <w:t xml:space="preserve"> do </w:t>
      </w:r>
      <w:r w:rsidR="002649F0" w:rsidRPr="006D1C74">
        <w:rPr>
          <w:rFonts w:asciiTheme="majorHAnsi" w:eastAsia="Batang" w:hAnsiTheme="majorHAnsi"/>
          <w:sz w:val="20"/>
          <w:szCs w:val="20"/>
          <w:bdr w:val="none" w:sz="0" w:space="0" w:color="auto"/>
          <w:lang w:val="pt-BR"/>
        </w:rPr>
        <w:t xml:space="preserve">Tribunal de </w:t>
      </w:r>
      <w:r w:rsidR="00795010" w:rsidRPr="006D1C74">
        <w:rPr>
          <w:rFonts w:asciiTheme="majorHAnsi" w:eastAsia="Batang" w:hAnsiTheme="majorHAnsi"/>
          <w:sz w:val="20"/>
          <w:szCs w:val="20"/>
          <w:bdr w:val="none" w:sz="0" w:space="0" w:color="auto"/>
          <w:lang w:val="pt-BR"/>
        </w:rPr>
        <w:t>Justiça</w:t>
      </w:r>
      <w:r w:rsidR="00030019" w:rsidRPr="006D1C74">
        <w:rPr>
          <w:rFonts w:asciiTheme="majorHAnsi" w:eastAsia="Batang" w:hAnsiTheme="majorHAnsi"/>
          <w:sz w:val="20"/>
          <w:szCs w:val="20"/>
          <w:bdr w:val="none" w:sz="0" w:space="0" w:color="auto"/>
          <w:lang w:val="pt-BR"/>
        </w:rPr>
        <w:t xml:space="preserve"> do </w:t>
      </w:r>
      <w:r w:rsidR="002649F0" w:rsidRPr="006D1C74">
        <w:rPr>
          <w:rFonts w:asciiTheme="majorHAnsi" w:eastAsia="Batang" w:hAnsiTheme="majorHAnsi"/>
          <w:sz w:val="20"/>
          <w:szCs w:val="20"/>
          <w:bdr w:val="none" w:sz="0" w:space="0" w:color="auto"/>
          <w:lang w:val="pt-BR"/>
        </w:rPr>
        <w:t>Estado de São Paulo,</w:t>
      </w:r>
      <w:r w:rsidR="00700267" w:rsidRPr="006D1C74">
        <w:rPr>
          <w:rFonts w:asciiTheme="majorHAnsi" w:eastAsia="Batang" w:hAnsiTheme="majorHAnsi"/>
          <w:sz w:val="20"/>
          <w:szCs w:val="20"/>
          <w:bdr w:val="none" w:sz="0" w:space="0" w:color="auto"/>
          <w:lang w:val="pt-BR"/>
        </w:rPr>
        <w:t xml:space="preserve"> o </w:t>
      </w:r>
      <w:r w:rsidR="00BD3AB3" w:rsidRPr="006D1C74">
        <w:rPr>
          <w:rFonts w:asciiTheme="majorHAnsi" w:eastAsia="Batang" w:hAnsiTheme="majorHAnsi"/>
          <w:sz w:val="20"/>
          <w:szCs w:val="20"/>
          <w:bdr w:val="none" w:sz="0" w:space="0" w:color="auto"/>
          <w:lang w:val="pt-BR"/>
        </w:rPr>
        <w:t>q</w:t>
      </w:r>
      <w:r w:rsidR="002649F0" w:rsidRPr="006D1C74">
        <w:rPr>
          <w:rFonts w:asciiTheme="majorHAnsi" w:eastAsia="Batang" w:hAnsiTheme="majorHAnsi"/>
          <w:sz w:val="20"/>
          <w:szCs w:val="20"/>
          <w:bdr w:val="none" w:sz="0" w:space="0" w:color="auto"/>
          <w:lang w:val="pt-BR"/>
        </w:rPr>
        <w:t>ual consider</w:t>
      </w:r>
      <w:r w:rsidR="00455F22" w:rsidRPr="006D1C74">
        <w:rPr>
          <w:rFonts w:asciiTheme="majorHAnsi" w:eastAsia="Batang" w:hAnsiTheme="majorHAnsi"/>
          <w:sz w:val="20"/>
          <w:szCs w:val="20"/>
          <w:bdr w:val="none" w:sz="0" w:space="0" w:color="auto"/>
          <w:lang w:val="pt-BR"/>
        </w:rPr>
        <w:t xml:space="preserve">ou </w:t>
      </w:r>
      <w:r w:rsidR="002649F0" w:rsidRPr="006D1C74">
        <w:rPr>
          <w:rFonts w:asciiTheme="majorHAnsi" w:eastAsia="Batang" w:hAnsiTheme="majorHAnsi"/>
          <w:sz w:val="20"/>
          <w:szCs w:val="20"/>
          <w:bdr w:val="none" w:sz="0" w:space="0" w:color="auto"/>
          <w:lang w:val="pt-BR"/>
        </w:rPr>
        <w:t>que</w:t>
      </w:r>
      <w:r w:rsidR="00700267" w:rsidRPr="006D1C74">
        <w:rPr>
          <w:rFonts w:asciiTheme="majorHAnsi" w:eastAsia="Batang" w:hAnsiTheme="majorHAnsi"/>
          <w:sz w:val="20"/>
          <w:szCs w:val="20"/>
          <w:bdr w:val="none" w:sz="0" w:space="0" w:color="auto"/>
          <w:lang w:val="pt-BR"/>
        </w:rPr>
        <w:t xml:space="preserve"> o </w:t>
      </w:r>
      <w:r w:rsidR="002649F0" w:rsidRPr="006D1C74">
        <w:rPr>
          <w:rFonts w:asciiTheme="majorHAnsi" w:eastAsia="Batang" w:hAnsiTheme="majorHAnsi"/>
          <w:sz w:val="20"/>
          <w:szCs w:val="20"/>
          <w:bdr w:val="none" w:sz="0" w:space="0" w:color="auto"/>
          <w:lang w:val="pt-BR"/>
        </w:rPr>
        <w:t>delito correspond</w:t>
      </w:r>
      <w:r w:rsidR="00055622" w:rsidRPr="006D1C74">
        <w:rPr>
          <w:rFonts w:asciiTheme="majorHAnsi" w:eastAsia="Batang" w:hAnsiTheme="majorHAnsi"/>
          <w:sz w:val="20"/>
          <w:szCs w:val="20"/>
          <w:bdr w:val="none" w:sz="0" w:space="0" w:color="auto"/>
          <w:lang w:val="pt-BR"/>
        </w:rPr>
        <w:t>ia</w:t>
      </w:r>
      <w:r w:rsidR="00217759" w:rsidRPr="006D1C74">
        <w:rPr>
          <w:rFonts w:asciiTheme="majorHAnsi" w:eastAsia="Batang" w:hAnsiTheme="majorHAnsi"/>
          <w:sz w:val="20"/>
          <w:szCs w:val="20"/>
          <w:bdr w:val="none" w:sz="0" w:space="0" w:color="auto"/>
          <w:lang w:val="pt-BR"/>
        </w:rPr>
        <w:t xml:space="preserve"> ao </w:t>
      </w:r>
      <w:r w:rsidR="002649F0" w:rsidRPr="006D1C74">
        <w:rPr>
          <w:rFonts w:asciiTheme="majorHAnsi" w:eastAsia="Batang" w:hAnsiTheme="majorHAnsi"/>
          <w:sz w:val="20"/>
          <w:szCs w:val="20"/>
          <w:bdr w:val="none" w:sz="0" w:space="0" w:color="auto"/>
          <w:lang w:val="pt-BR"/>
        </w:rPr>
        <w:t>f</w:t>
      </w:r>
      <w:r w:rsidR="00BD3AB3" w:rsidRPr="006D1C74">
        <w:rPr>
          <w:rFonts w:asciiTheme="majorHAnsi" w:eastAsia="Batang" w:hAnsiTheme="majorHAnsi"/>
          <w:sz w:val="20"/>
          <w:szCs w:val="20"/>
          <w:bdr w:val="none" w:sz="0" w:space="0" w:color="auto"/>
          <w:lang w:val="pt-BR"/>
        </w:rPr>
        <w:t>o</w:t>
      </w:r>
      <w:r w:rsidR="002649F0" w:rsidRPr="006D1C74">
        <w:rPr>
          <w:rFonts w:asciiTheme="majorHAnsi" w:eastAsia="Batang" w:hAnsiTheme="majorHAnsi"/>
          <w:sz w:val="20"/>
          <w:szCs w:val="20"/>
          <w:bdr w:val="none" w:sz="0" w:space="0" w:color="auto"/>
          <w:lang w:val="pt-BR"/>
        </w:rPr>
        <w:t xml:space="preserve">ro militar, </w:t>
      </w:r>
      <w:r w:rsidR="00BD3AB3" w:rsidRPr="006D1C74">
        <w:rPr>
          <w:rFonts w:asciiTheme="majorHAnsi" w:eastAsia="Batang" w:hAnsiTheme="majorHAnsi"/>
          <w:sz w:val="20"/>
          <w:szCs w:val="20"/>
          <w:bdr w:val="none" w:sz="0" w:space="0" w:color="auto"/>
          <w:lang w:val="pt-BR"/>
        </w:rPr>
        <w:t>q</w:t>
      </w:r>
      <w:r w:rsidR="002649F0" w:rsidRPr="006D1C74">
        <w:rPr>
          <w:rFonts w:asciiTheme="majorHAnsi" w:eastAsia="Batang" w:hAnsiTheme="majorHAnsi"/>
          <w:sz w:val="20"/>
          <w:szCs w:val="20"/>
          <w:bdr w:val="none" w:sz="0" w:space="0" w:color="auto"/>
          <w:lang w:val="pt-BR"/>
        </w:rPr>
        <w:t>uando</w:t>
      </w:r>
      <w:r w:rsidR="00F673C7" w:rsidRPr="006D1C74">
        <w:rPr>
          <w:rFonts w:asciiTheme="majorHAnsi" w:eastAsia="Batang" w:hAnsiTheme="majorHAnsi"/>
          <w:sz w:val="20"/>
          <w:szCs w:val="20"/>
          <w:bdr w:val="none" w:sz="0" w:space="0" w:color="auto"/>
          <w:lang w:val="pt-BR"/>
        </w:rPr>
        <w:t xml:space="preserve"> </w:t>
      </w:r>
      <w:r w:rsidR="00BD3AB3" w:rsidRPr="006D1C74">
        <w:rPr>
          <w:rFonts w:asciiTheme="majorHAnsi" w:eastAsia="Batang" w:hAnsiTheme="majorHAnsi"/>
          <w:sz w:val="20"/>
          <w:szCs w:val="20"/>
          <w:bdr w:val="none" w:sz="0" w:space="0" w:color="auto"/>
          <w:lang w:val="pt-BR"/>
        </w:rPr>
        <w:t>na</w:t>
      </w:r>
      <w:r w:rsidR="00F673C7" w:rsidRPr="006D1C74">
        <w:rPr>
          <w:rFonts w:asciiTheme="majorHAnsi" w:eastAsia="Batang" w:hAnsiTheme="majorHAnsi"/>
          <w:sz w:val="20"/>
          <w:szCs w:val="20"/>
          <w:bdr w:val="none" w:sz="0" w:space="0" w:color="auto"/>
          <w:lang w:val="pt-BR"/>
        </w:rPr>
        <w:t xml:space="preserve"> </w:t>
      </w:r>
      <w:r w:rsidR="002649F0" w:rsidRPr="006D1C74">
        <w:rPr>
          <w:rFonts w:asciiTheme="majorHAnsi" w:eastAsia="Batang" w:hAnsiTheme="majorHAnsi"/>
          <w:sz w:val="20"/>
          <w:szCs w:val="20"/>
          <w:bdr w:val="none" w:sz="0" w:space="0" w:color="auto"/>
          <w:lang w:val="pt-BR"/>
        </w:rPr>
        <w:t>reali</w:t>
      </w:r>
      <w:r w:rsidR="00F673C7" w:rsidRPr="006D1C74">
        <w:rPr>
          <w:rFonts w:asciiTheme="majorHAnsi" w:eastAsia="Batang" w:hAnsiTheme="majorHAnsi"/>
          <w:sz w:val="20"/>
          <w:szCs w:val="20"/>
          <w:bdr w:val="none" w:sz="0" w:space="0" w:color="auto"/>
          <w:lang w:val="pt-BR"/>
        </w:rPr>
        <w:t xml:space="preserve">dade </w:t>
      </w:r>
      <w:r w:rsidR="002649F0" w:rsidRPr="006D1C74">
        <w:rPr>
          <w:rFonts w:asciiTheme="majorHAnsi" w:eastAsia="Batang" w:hAnsiTheme="majorHAnsi"/>
          <w:sz w:val="20"/>
          <w:szCs w:val="20"/>
          <w:bdr w:val="none" w:sz="0" w:space="0" w:color="auto"/>
          <w:lang w:val="pt-BR"/>
        </w:rPr>
        <w:t>se trata</w:t>
      </w:r>
      <w:r w:rsidR="00BD3AB3" w:rsidRPr="006D1C74">
        <w:rPr>
          <w:rFonts w:asciiTheme="majorHAnsi" w:eastAsia="Batang" w:hAnsiTheme="majorHAnsi"/>
          <w:sz w:val="20"/>
          <w:szCs w:val="20"/>
          <w:bdr w:val="none" w:sz="0" w:space="0" w:color="auto"/>
          <w:lang w:val="pt-BR"/>
        </w:rPr>
        <w:t>v</w:t>
      </w:r>
      <w:r w:rsidR="002649F0" w:rsidRPr="006D1C74">
        <w:rPr>
          <w:rFonts w:asciiTheme="majorHAnsi" w:eastAsia="Batang" w:hAnsiTheme="majorHAnsi"/>
          <w:sz w:val="20"/>
          <w:szCs w:val="20"/>
          <w:bdr w:val="none" w:sz="0" w:space="0" w:color="auto"/>
          <w:lang w:val="pt-BR"/>
        </w:rPr>
        <w:t>a de</w:t>
      </w:r>
      <w:r w:rsidR="00030019" w:rsidRPr="006D1C74">
        <w:rPr>
          <w:rFonts w:asciiTheme="majorHAnsi" w:eastAsia="Batang" w:hAnsiTheme="majorHAnsi"/>
          <w:sz w:val="20"/>
          <w:szCs w:val="20"/>
          <w:bdr w:val="none" w:sz="0" w:space="0" w:color="auto"/>
          <w:lang w:val="pt-BR"/>
        </w:rPr>
        <w:t xml:space="preserve"> um </w:t>
      </w:r>
      <w:r w:rsidR="002649F0" w:rsidRPr="006D1C74">
        <w:rPr>
          <w:rFonts w:asciiTheme="majorHAnsi" w:eastAsia="Batang" w:hAnsiTheme="majorHAnsi"/>
          <w:sz w:val="20"/>
          <w:szCs w:val="20"/>
          <w:bdr w:val="none" w:sz="0" w:space="0" w:color="auto"/>
          <w:lang w:val="pt-BR"/>
        </w:rPr>
        <w:t>delito com</w:t>
      </w:r>
      <w:r w:rsidR="00BD3AB3" w:rsidRPr="006D1C74">
        <w:rPr>
          <w:rFonts w:asciiTheme="majorHAnsi" w:eastAsia="Batang" w:hAnsiTheme="majorHAnsi"/>
          <w:sz w:val="20"/>
          <w:szCs w:val="20"/>
          <w:bdr w:val="none" w:sz="0" w:space="0" w:color="auto"/>
          <w:lang w:val="pt-BR"/>
        </w:rPr>
        <w:t>um</w:t>
      </w:r>
      <w:r w:rsidR="002649F0" w:rsidRPr="006D1C74">
        <w:rPr>
          <w:rFonts w:asciiTheme="majorHAnsi" w:eastAsia="Batang" w:hAnsiTheme="majorHAnsi"/>
          <w:sz w:val="20"/>
          <w:szCs w:val="20"/>
          <w:bdr w:val="none" w:sz="0" w:space="0" w:color="auto"/>
          <w:lang w:val="pt-BR"/>
        </w:rPr>
        <w:t xml:space="preserve">. </w:t>
      </w:r>
    </w:p>
    <w:p w14:paraId="617DD645" w14:textId="77777777" w:rsidR="00910971" w:rsidRPr="006D1C74" w:rsidRDefault="00910971" w:rsidP="00910971">
      <w:pPr>
        <w:pStyle w:val="ListParagraph"/>
        <w:rPr>
          <w:rFonts w:asciiTheme="majorHAnsi" w:eastAsia="Batang" w:hAnsiTheme="majorHAnsi"/>
          <w:sz w:val="20"/>
          <w:szCs w:val="20"/>
          <w:bdr w:val="none" w:sz="0" w:space="0" w:color="auto"/>
          <w:lang w:val="pt-BR"/>
        </w:rPr>
      </w:pPr>
    </w:p>
    <w:p w14:paraId="3391EDEF"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Batang" w:hAnsiTheme="majorHAnsi"/>
          <w:sz w:val="20"/>
          <w:szCs w:val="20"/>
          <w:bdr w:val="none" w:sz="0" w:space="0" w:color="auto"/>
          <w:lang w:val="pt-BR"/>
        </w:rPr>
      </w:pPr>
      <w:r w:rsidRPr="006D1C74">
        <w:rPr>
          <w:rFonts w:asciiTheme="majorHAnsi" w:eastAsia="Batang" w:hAnsiTheme="majorHAnsi"/>
          <w:sz w:val="20"/>
          <w:szCs w:val="20"/>
          <w:bdr w:val="none" w:sz="0" w:space="0" w:color="auto"/>
          <w:lang w:val="pt-BR"/>
        </w:rPr>
        <w:t>Indica que,</w:t>
      </w:r>
      <w:r w:rsidR="00F673C7" w:rsidRPr="006D1C74">
        <w:rPr>
          <w:rFonts w:asciiTheme="majorHAnsi" w:eastAsia="Batang" w:hAnsiTheme="majorHAnsi"/>
          <w:sz w:val="20"/>
          <w:szCs w:val="20"/>
          <w:bdr w:val="none" w:sz="0" w:space="0" w:color="auto"/>
          <w:lang w:val="pt-BR"/>
        </w:rPr>
        <w:t xml:space="preserve"> </w:t>
      </w:r>
      <w:r w:rsidR="00BD3AB3" w:rsidRPr="006D1C74">
        <w:rPr>
          <w:rFonts w:asciiTheme="majorHAnsi" w:eastAsia="Batang" w:hAnsiTheme="majorHAnsi"/>
          <w:sz w:val="20"/>
          <w:szCs w:val="20"/>
          <w:bdr w:val="none" w:sz="0" w:space="0" w:color="auto"/>
          <w:lang w:val="pt-BR"/>
        </w:rPr>
        <w:t>q</w:t>
      </w:r>
      <w:r w:rsidRPr="006D1C74">
        <w:rPr>
          <w:rFonts w:asciiTheme="majorHAnsi" w:eastAsia="Batang" w:hAnsiTheme="majorHAnsi"/>
          <w:sz w:val="20"/>
          <w:szCs w:val="20"/>
          <w:bdr w:val="none" w:sz="0" w:space="0" w:color="auto"/>
          <w:lang w:val="pt-BR"/>
        </w:rPr>
        <w:t>uanto</w:t>
      </w:r>
      <w:r w:rsidR="00030019" w:rsidRPr="006D1C74">
        <w:rPr>
          <w:rFonts w:asciiTheme="majorHAnsi" w:eastAsia="Batang" w:hAnsiTheme="majorHAnsi"/>
          <w:sz w:val="20"/>
          <w:szCs w:val="20"/>
          <w:bdr w:val="none" w:sz="0" w:space="0" w:color="auto"/>
          <w:lang w:val="pt-BR"/>
        </w:rPr>
        <w:t xml:space="preserve"> à </w:t>
      </w:r>
      <w:r w:rsidRPr="006D1C74">
        <w:rPr>
          <w:rFonts w:asciiTheme="majorHAnsi" w:eastAsia="Batang" w:hAnsiTheme="majorHAnsi"/>
          <w:sz w:val="20"/>
          <w:szCs w:val="20"/>
          <w:bdr w:val="none" w:sz="0" w:space="0" w:color="auto"/>
          <w:lang w:val="pt-BR"/>
        </w:rPr>
        <w:t>a</w:t>
      </w:r>
      <w:r w:rsidR="00CF037E" w:rsidRPr="006D1C74">
        <w:rPr>
          <w:rFonts w:asciiTheme="majorHAnsi" w:eastAsia="Batang" w:hAnsiTheme="majorHAnsi"/>
          <w:sz w:val="20"/>
          <w:szCs w:val="20"/>
          <w:bdr w:val="none" w:sz="0" w:space="0" w:color="auto"/>
          <w:lang w:val="pt-BR"/>
        </w:rPr>
        <w:t>ção</w:t>
      </w:r>
      <w:r w:rsidRPr="006D1C74">
        <w:rPr>
          <w:rFonts w:asciiTheme="majorHAnsi" w:eastAsia="Batang" w:hAnsiTheme="majorHAnsi"/>
          <w:sz w:val="20"/>
          <w:szCs w:val="20"/>
          <w:bdr w:val="none" w:sz="0" w:space="0" w:color="auto"/>
          <w:lang w:val="pt-BR"/>
        </w:rPr>
        <w:t xml:space="preserve"> civil </w:t>
      </w:r>
      <w:r w:rsidR="004B4493" w:rsidRPr="006D1C74">
        <w:rPr>
          <w:rFonts w:asciiTheme="majorHAnsi" w:eastAsia="Batang" w:hAnsiTheme="majorHAnsi"/>
          <w:sz w:val="20"/>
          <w:szCs w:val="20"/>
          <w:bdr w:val="none" w:sz="0" w:space="0" w:color="auto"/>
          <w:lang w:val="pt-BR"/>
        </w:rPr>
        <w:t>pro</w:t>
      </w:r>
      <w:r w:rsidRPr="006D1C74">
        <w:rPr>
          <w:rFonts w:asciiTheme="majorHAnsi" w:eastAsia="Batang" w:hAnsiTheme="majorHAnsi"/>
          <w:sz w:val="20"/>
          <w:szCs w:val="20"/>
          <w:bdr w:val="none" w:sz="0" w:space="0" w:color="auto"/>
          <w:lang w:val="pt-BR"/>
        </w:rPr>
        <w:t>p</w:t>
      </w:r>
      <w:r w:rsidR="00BD3AB3" w:rsidRPr="006D1C74">
        <w:rPr>
          <w:rFonts w:asciiTheme="majorHAnsi" w:eastAsia="Batang" w:hAnsiTheme="majorHAnsi"/>
          <w:sz w:val="20"/>
          <w:szCs w:val="20"/>
          <w:bdr w:val="none" w:sz="0" w:space="0" w:color="auto"/>
          <w:lang w:val="pt-BR"/>
        </w:rPr>
        <w:t>o</w:t>
      </w:r>
      <w:r w:rsidRPr="006D1C74">
        <w:rPr>
          <w:rFonts w:asciiTheme="majorHAnsi" w:eastAsia="Batang" w:hAnsiTheme="majorHAnsi"/>
          <w:sz w:val="20"/>
          <w:szCs w:val="20"/>
          <w:bdr w:val="none" w:sz="0" w:space="0" w:color="auto"/>
          <w:lang w:val="pt-BR"/>
        </w:rPr>
        <w:t>sta</w:t>
      </w:r>
      <w:r w:rsidR="00BD3AB3" w:rsidRPr="006D1C74">
        <w:rPr>
          <w:rFonts w:asciiTheme="majorHAnsi" w:eastAsia="Batang" w:hAnsiTheme="majorHAnsi"/>
          <w:sz w:val="20"/>
          <w:szCs w:val="20"/>
          <w:bdr w:val="none" w:sz="0" w:space="0" w:color="auto"/>
          <w:lang w:val="pt-BR"/>
        </w:rPr>
        <w:t xml:space="preserve"> pelos </w:t>
      </w:r>
      <w:r w:rsidR="001E2392" w:rsidRPr="006D1C74">
        <w:rPr>
          <w:rFonts w:asciiTheme="majorHAnsi" w:eastAsia="Batang" w:hAnsiTheme="majorHAnsi"/>
          <w:sz w:val="20"/>
          <w:szCs w:val="20"/>
          <w:bdr w:val="none" w:sz="0" w:space="0" w:color="auto"/>
          <w:lang w:val="pt-BR"/>
        </w:rPr>
        <w:t>familiares</w:t>
      </w:r>
      <w:r w:rsidRPr="006D1C74">
        <w:rPr>
          <w:rFonts w:asciiTheme="majorHAnsi" w:eastAsia="Batang" w:hAnsiTheme="majorHAnsi"/>
          <w:sz w:val="20"/>
          <w:szCs w:val="20"/>
          <w:bdr w:val="none" w:sz="0" w:space="0" w:color="auto"/>
          <w:lang w:val="pt-BR"/>
        </w:rPr>
        <w:t xml:space="preserve"> de Antonio Tavares,</w:t>
      </w:r>
      <w:r w:rsidR="00F673C7" w:rsidRPr="006D1C74">
        <w:rPr>
          <w:rFonts w:asciiTheme="majorHAnsi" w:eastAsia="Batang" w:hAnsiTheme="majorHAnsi"/>
          <w:sz w:val="20"/>
          <w:szCs w:val="20"/>
          <w:bdr w:val="none" w:sz="0" w:space="0" w:color="auto"/>
          <w:lang w:val="pt-BR"/>
        </w:rPr>
        <w:t xml:space="preserve"> em </w:t>
      </w:r>
      <w:r w:rsidRPr="006D1C74">
        <w:rPr>
          <w:rFonts w:asciiTheme="majorHAnsi" w:eastAsia="Batang" w:hAnsiTheme="majorHAnsi"/>
          <w:sz w:val="20"/>
          <w:szCs w:val="20"/>
          <w:bdr w:val="none" w:sz="0" w:space="0" w:color="auto"/>
          <w:lang w:val="pt-BR"/>
        </w:rPr>
        <w:t xml:space="preserve">2013 </w:t>
      </w:r>
      <w:r w:rsidR="00BD3AB3" w:rsidRPr="006D1C74">
        <w:rPr>
          <w:rFonts w:asciiTheme="majorHAnsi" w:eastAsia="Batang" w:hAnsiTheme="majorHAnsi"/>
          <w:sz w:val="20"/>
          <w:szCs w:val="20"/>
          <w:bdr w:val="none" w:sz="0" w:space="0" w:color="auto"/>
          <w:lang w:val="pt-BR"/>
        </w:rPr>
        <w:t>proferiu-se</w:t>
      </w:r>
      <w:r w:rsidR="00030019" w:rsidRPr="006D1C74">
        <w:rPr>
          <w:rFonts w:asciiTheme="majorHAnsi" w:eastAsia="Batang" w:hAnsiTheme="majorHAnsi"/>
          <w:sz w:val="20"/>
          <w:szCs w:val="20"/>
          <w:bdr w:val="none" w:sz="0" w:space="0" w:color="auto"/>
          <w:lang w:val="pt-BR"/>
        </w:rPr>
        <w:t xml:space="preserve"> uma </w:t>
      </w:r>
      <w:r w:rsidRPr="006D1C74">
        <w:rPr>
          <w:rFonts w:asciiTheme="majorHAnsi" w:eastAsia="Batang" w:hAnsiTheme="majorHAnsi"/>
          <w:sz w:val="20"/>
          <w:szCs w:val="20"/>
          <w:bdr w:val="none" w:sz="0" w:space="0" w:color="auto"/>
          <w:lang w:val="pt-BR"/>
        </w:rPr>
        <w:t>deci</w:t>
      </w:r>
      <w:r w:rsidR="0094446B" w:rsidRPr="006D1C74">
        <w:rPr>
          <w:rFonts w:asciiTheme="majorHAnsi" w:eastAsia="Batang" w:hAnsiTheme="majorHAnsi"/>
          <w:sz w:val="20"/>
          <w:szCs w:val="20"/>
          <w:bdr w:val="none" w:sz="0" w:space="0" w:color="auto"/>
          <w:lang w:val="pt-BR"/>
        </w:rPr>
        <w:t>são</w:t>
      </w:r>
      <w:r w:rsidRPr="006D1C74">
        <w:rPr>
          <w:rFonts w:asciiTheme="majorHAnsi" w:eastAsia="Batang" w:hAnsiTheme="majorHAnsi"/>
          <w:sz w:val="20"/>
          <w:szCs w:val="20"/>
          <w:bdr w:val="none" w:sz="0" w:space="0" w:color="auto"/>
          <w:lang w:val="pt-BR"/>
        </w:rPr>
        <w:t xml:space="preserve"> judicial provis</w:t>
      </w:r>
      <w:r w:rsidR="00BD3AB3" w:rsidRPr="006D1C74">
        <w:rPr>
          <w:rFonts w:asciiTheme="majorHAnsi" w:eastAsia="Batang" w:hAnsiTheme="majorHAnsi"/>
          <w:sz w:val="20"/>
          <w:szCs w:val="20"/>
          <w:bdr w:val="none" w:sz="0" w:space="0" w:color="auto"/>
          <w:lang w:val="pt-BR"/>
        </w:rPr>
        <w:t xml:space="preserve">ória </w:t>
      </w:r>
      <w:r w:rsidRPr="006D1C74">
        <w:rPr>
          <w:rFonts w:asciiTheme="majorHAnsi" w:eastAsia="Batang" w:hAnsiTheme="majorHAnsi"/>
          <w:sz w:val="20"/>
          <w:szCs w:val="20"/>
          <w:bdr w:val="none" w:sz="0" w:space="0" w:color="auto"/>
          <w:lang w:val="pt-BR"/>
        </w:rPr>
        <w:t>de ac</w:t>
      </w:r>
      <w:r w:rsidR="00BD3AB3" w:rsidRPr="006D1C74">
        <w:rPr>
          <w:rFonts w:asciiTheme="majorHAnsi" w:eastAsia="Batang" w:hAnsiTheme="majorHAnsi"/>
          <w:sz w:val="20"/>
          <w:szCs w:val="20"/>
          <w:bdr w:val="none" w:sz="0" w:space="0" w:color="auto"/>
          <w:lang w:val="pt-BR"/>
        </w:rPr>
        <w:t>o</w:t>
      </w:r>
      <w:r w:rsidRPr="006D1C74">
        <w:rPr>
          <w:rFonts w:asciiTheme="majorHAnsi" w:eastAsia="Batang" w:hAnsiTheme="majorHAnsi"/>
          <w:sz w:val="20"/>
          <w:szCs w:val="20"/>
          <w:bdr w:val="none" w:sz="0" w:space="0" w:color="auto"/>
          <w:lang w:val="pt-BR"/>
        </w:rPr>
        <w:t>rdo</w:t>
      </w:r>
      <w:r w:rsidR="00F673C7" w:rsidRPr="006D1C74">
        <w:rPr>
          <w:rFonts w:asciiTheme="majorHAnsi" w:eastAsia="Batang" w:hAnsiTheme="majorHAnsi"/>
          <w:sz w:val="20"/>
          <w:szCs w:val="20"/>
          <w:bdr w:val="none" w:sz="0" w:space="0" w:color="auto"/>
          <w:lang w:val="pt-BR"/>
        </w:rPr>
        <w:t xml:space="preserve"> com </w:t>
      </w:r>
      <w:r w:rsidR="00700267" w:rsidRPr="006D1C74">
        <w:rPr>
          <w:rFonts w:asciiTheme="majorHAnsi" w:eastAsia="Batang" w:hAnsiTheme="majorHAnsi"/>
          <w:sz w:val="20"/>
          <w:szCs w:val="20"/>
          <w:bdr w:val="none" w:sz="0" w:space="0" w:color="auto"/>
          <w:lang w:val="pt-BR"/>
        </w:rPr>
        <w:t xml:space="preserve">a </w:t>
      </w:r>
      <w:r w:rsidR="00BD3AB3" w:rsidRPr="006D1C74">
        <w:rPr>
          <w:rFonts w:asciiTheme="majorHAnsi" w:eastAsia="Batang" w:hAnsiTheme="majorHAnsi"/>
          <w:sz w:val="20"/>
          <w:szCs w:val="20"/>
          <w:bdr w:val="none" w:sz="0" w:space="0" w:color="auto"/>
          <w:lang w:val="pt-BR"/>
        </w:rPr>
        <w:t>q</w:t>
      </w:r>
      <w:r w:rsidRPr="006D1C74">
        <w:rPr>
          <w:rFonts w:asciiTheme="majorHAnsi" w:eastAsia="Batang" w:hAnsiTheme="majorHAnsi"/>
          <w:sz w:val="20"/>
          <w:szCs w:val="20"/>
          <w:bdr w:val="none" w:sz="0" w:space="0" w:color="auto"/>
          <w:lang w:val="pt-BR"/>
        </w:rPr>
        <w:t>ual se inici</w:t>
      </w:r>
      <w:r w:rsidR="00455F22" w:rsidRPr="006D1C74">
        <w:rPr>
          <w:rFonts w:asciiTheme="majorHAnsi" w:eastAsia="Batang" w:hAnsiTheme="majorHAnsi"/>
          <w:sz w:val="20"/>
          <w:szCs w:val="20"/>
          <w:bdr w:val="none" w:sz="0" w:space="0" w:color="auto"/>
          <w:lang w:val="pt-BR"/>
        </w:rPr>
        <w:t xml:space="preserve">ou </w:t>
      </w:r>
      <w:r w:rsidR="00700267" w:rsidRPr="006D1C74">
        <w:rPr>
          <w:rFonts w:asciiTheme="majorHAnsi" w:eastAsia="Batang" w:hAnsiTheme="majorHAnsi"/>
          <w:sz w:val="20"/>
          <w:szCs w:val="20"/>
          <w:bdr w:val="none" w:sz="0" w:space="0" w:color="auto"/>
          <w:lang w:val="pt-BR"/>
        </w:rPr>
        <w:t xml:space="preserve">o </w:t>
      </w:r>
      <w:r w:rsidRPr="006D1C74">
        <w:rPr>
          <w:rFonts w:asciiTheme="majorHAnsi" w:eastAsia="Batang" w:hAnsiTheme="majorHAnsi"/>
          <w:sz w:val="20"/>
          <w:szCs w:val="20"/>
          <w:bdr w:val="none" w:sz="0" w:space="0" w:color="auto"/>
          <w:lang w:val="pt-BR"/>
        </w:rPr>
        <w:t>pag</w:t>
      </w:r>
      <w:r w:rsidR="00BD3AB3" w:rsidRPr="006D1C74">
        <w:rPr>
          <w:rFonts w:asciiTheme="majorHAnsi" w:eastAsia="Batang" w:hAnsiTheme="majorHAnsi"/>
          <w:sz w:val="20"/>
          <w:szCs w:val="20"/>
          <w:bdr w:val="none" w:sz="0" w:space="0" w:color="auto"/>
          <w:lang w:val="pt-BR"/>
        </w:rPr>
        <w:t>ament</w:t>
      </w:r>
      <w:r w:rsidRPr="006D1C74">
        <w:rPr>
          <w:rFonts w:asciiTheme="majorHAnsi" w:eastAsia="Batang" w:hAnsiTheme="majorHAnsi"/>
          <w:sz w:val="20"/>
          <w:szCs w:val="20"/>
          <w:bdr w:val="none" w:sz="0" w:space="0" w:color="auto"/>
          <w:lang w:val="pt-BR"/>
        </w:rPr>
        <w:t>o provis</w:t>
      </w:r>
      <w:r w:rsidR="00BD3AB3" w:rsidRPr="006D1C74">
        <w:rPr>
          <w:rFonts w:asciiTheme="majorHAnsi" w:eastAsia="Batang" w:hAnsiTheme="majorHAnsi"/>
          <w:sz w:val="20"/>
          <w:szCs w:val="20"/>
          <w:bdr w:val="none" w:sz="0" w:space="0" w:color="auto"/>
          <w:lang w:val="pt-BR"/>
        </w:rPr>
        <w:t>ório</w:t>
      </w:r>
      <w:r w:rsidR="00795010" w:rsidRPr="006D1C74">
        <w:rPr>
          <w:rFonts w:asciiTheme="majorHAnsi" w:eastAsia="Batang" w:hAnsiTheme="majorHAnsi"/>
          <w:sz w:val="20"/>
          <w:szCs w:val="20"/>
          <w:bdr w:val="none" w:sz="0" w:space="0" w:color="auto"/>
          <w:lang w:val="pt-BR"/>
        </w:rPr>
        <w:t xml:space="preserve"> da </w:t>
      </w:r>
      <w:r w:rsidRPr="006D1C74">
        <w:rPr>
          <w:rFonts w:asciiTheme="majorHAnsi" w:eastAsia="Batang" w:hAnsiTheme="majorHAnsi"/>
          <w:sz w:val="20"/>
          <w:szCs w:val="20"/>
          <w:bdr w:val="none" w:sz="0" w:space="0" w:color="auto"/>
          <w:lang w:val="pt-BR"/>
        </w:rPr>
        <w:t>pen</w:t>
      </w:r>
      <w:r w:rsidR="0094446B" w:rsidRPr="006D1C74">
        <w:rPr>
          <w:rFonts w:asciiTheme="majorHAnsi" w:eastAsia="Batang" w:hAnsiTheme="majorHAnsi"/>
          <w:sz w:val="20"/>
          <w:szCs w:val="20"/>
          <w:bdr w:val="none" w:sz="0" w:space="0" w:color="auto"/>
          <w:lang w:val="pt-BR"/>
        </w:rPr>
        <w:t>são</w:t>
      </w:r>
      <w:r w:rsidRPr="006D1C74">
        <w:rPr>
          <w:rFonts w:asciiTheme="majorHAnsi" w:eastAsia="Batang" w:hAnsiTheme="majorHAnsi"/>
          <w:sz w:val="20"/>
          <w:szCs w:val="20"/>
          <w:bdr w:val="none" w:sz="0" w:space="0" w:color="auto"/>
          <w:lang w:val="pt-BR"/>
        </w:rPr>
        <w:t xml:space="preserve"> </w:t>
      </w:r>
      <w:r w:rsidR="00BD3AB3" w:rsidRPr="006D1C74">
        <w:rPr>
          <w:rFonts w:asciiTheme="majorHAnsi" w:eastAsia="Batang" w:hAnsiTheme="majorHAnsi"/>
          <w:sz w:val="20"/>
          <w:szCs w:val="20"/>
          <w:bdr w:val="none" w:sz="0" w:space="0" w:color="auto"/>
          <w:lang w:val="pt-BR"/>
        </w:rPr>
        <w:t>dest</w:t>
      </w:r>
      <w:r w:rsidRPr="006D1C74">
        <w:rPr>
          <w:rFonts w:asciiTheme="majorHAnsi" w:eastAsia="Batang" w:hAnsiTheme="majorHAnsi"/>
          <w:sz w:val="20"/>
          <w:szCs w:val="20"/>
          <w:bdr w:val="none" w:sz="0" w:space="0" w:color="auto"/>
          <w:lang w:val="pt-BR"/>
        </w:rPr>
        <w:t>inada a</w:t>
      </w:r>
      <w:r w:rsidR="00700267" w:rsidRPr="006D1C74">
        <w:rPr>
          <w:rFonts w:asciiTheme="majorHAnsi" w:eastAsia="Batang" w:hAnsiTheme="majorHAnsi"/>
          <w:sz w:val="20"/>
          <w:szCs w:val="20"/>
          <w:bdr w:val="none" w:sz="0" w:space="0" w:color="auto"/>
          <w:lang w:val="pt-BR"/>
        </w:rPr>
        <w:t xml:space="preserve">os </w:t>
      </w:r>
      <w:r w:rsidR="001E2392" w:rsidRPr="006D1C74">
        <w:rPr>
          <w:rFonts w:asciiTheme="majorHAnsi" w:eastAsia="Batang" w:hAnsiTheme="majorHAnsi"/>
          <w:sz w:val="20"/>
          <w:szCs w:val="20"/>
          <w:bdr w:val="none" w:sz="0" w:space="0" w:color="auto"/>
          <w:lang w:val="pt-BR"/>
        </w:rPr>
        <w:t>familiares</w:t>
      </w:r>
      <w:r w:rsidRPr="006D1C74">
        <w:rPr>
          <w:rFonts w:asciiTheme="majorHAnsi" w:eastAsia="Batang" w:hAnsiTheme="majorHAnsi"/>
          <w:sz w:val="20"/>
          <w:szCs w:val="20"/>
          <w:bdr w:val="none" w:sz="0" w:space="0" w:color="auto"/>
          <w:lang w:val="pt-BR"/>
        </w:rPr>
        <w:t xml:space="preserve"> </w:t>
      </w:r>
      <w:r w:rsidR="00BD3AB3" w:rsidRPr="006D1C74">
        <w:rPr>
          <w:rFonts w:asciiTheme="majorHAnsi" w:eastAsia="Batang" w:hAnsiTheme="majorHAnsi"/>
          <w:sz w:val="20"/>
          <w:szCs w:val="20"/>
          <w:bdr w:val="none" w:sz="0" w:space="0" w:color="auto"/>
          <w:lang w:val="pt-BR"/>
        </w:rPr>
        <w:t>até</w:t>
      </w:r>
      <w:r w:rsidRPr="006D1C74">
        <w:rPr>
          <w:rFonts w:asciiTheme="majorHAnsi" w:eastAsia="Batang" w:hAnsiTheme="majorHAnsi"/>
          <w:sz w:val="20"/>
          <w:szCs w:val="20"/>
          <w:bdr w:val="none" w:sz="0" w:space="0" w:color="auto"/>
          <w:lang w:val="pt-BR"/>
        </w:rPr>
        <w:t xml:space="preserve"> que </w:t>
      </w:r>
      <w:r w:rsidR="00BD3AB3" w:rsidRPr="006D1C74">
        <w:rPr>
          <w:rFonts w:asciiTheme="majorHAnsi" w:eastAsia="Batang" w:hAnsiTheme="majorHAnsi"/>
          <w:sz w:val="20"/>
          <w:szCs w:val="20"/>
          <w:bdr w:val="none" w:sz="0" w:space="0" w:color="auto"/>
          <w:lang w:val="pt-BR"/>
        </w:rPr>
        <w:t>foss</w:t>
      </w:r>
      <w:r w:rsidRPr="006D1C74">
        <w:rPr>
          <w:rFonts w:asciiTheme="majorHAnsi" w:eastAsia="Batang" w:hAnsiTheme="majorHAnsi"/>
          <w:sz w:val="20"/>
          <w:szCs w:val="20"/>
          <w:bdr w:val="none" w:sz="0" w:space="0" w:color="auto"/>
          <w:lang w:val="pt-BR"/>
        </w:rPr>
        <w:t>e emiti</w:t>
      </w:r>
      <w:r w:rsidR="00BD3AB3" w:rsidRPr="006D1C74">
        <w:rPr>
          <w:rFonts w:asciiTheme="majorHAnsi" w:eastAsia="Batang" w:hAnsiTheme="majorHAnsi"/>
          <w:sz w:val="20"/>
          <w:szCs w:val="20"/>
          <w:bdr w:val="none" w:sz="0" w:space="0" w:color="auto"/>
          <w:lang w:val="pt-BR"/>
        </w:rPr>
        <w:t>d</w:t>
      </w:r>
      <w:r w:rsidRPr="006D1C74">
        <w:rPr>
          <w:rFonts w:asciiTheme="majorHAnsi" w:eastAsia="Batang" w:hAnsiTheme="majorHAnsi"/>
          <w:sz w:val="20"/>
          <w:szCs w:val="20"/>
          <w:bdr w:val="none" w:sz="0" w:space="0" w:color="auto"/>
          <w:lang w:val="pt-BR"/>
        </w:rPr>
        <w:t>a</w:t>
      </w:r>
      <w:r w:rsidR="00030019" w:rsidRPr="006D1C74">
        <w:rPr>
          <w:rFonts w:asciiTheme="majorHAnsi" w:eastAsia="Batang" w:hAnsiTheme="majorHAnsi"/>
          <w:sz w:val="20"/>
          <w:szCs w:val="20"/>
          <w:bdr w:val="none" w:sz="0" w:space="0" w:color="auto"/>
          <w:lang w:val="pt-BR"/>
        </w:rPr>
        <w:t xml:space="preserve"> uma </w:t>
      </w:r>
      <w:r w:rsidRPr="006D1C74">
        <w:rPr>
          <w:rFonts w:asciiTheme="majorHAnsi" w:eastAsia="Batang" w:hAnsiTheme="majorHAnsi"/>
          <w:sz w:val="20"/>
          <w:szCs w:val="20"/>
          <w:bdr w:val="none" w:sz="0" w:space="0" w:color="auto"/>
          <w:lang w:val="pt-BR"/>
        </w:rPr>
        <w:t>deci</w:t>
      </w:r>
      <w:r w:rsidR="0094446B" w:rsidRPr="006D1C74">
        <w:rPr>
          <w:rFonts w:asciiTheme="majorHAnsi" w:eastAsia="Batang" w:hAnsiTheme="majorHAnsi"/>
          <w:sz w:val="20"/>
          <w:szCs w:val="20"/>
          <w:bdr w:val="none" w:sz="0" w:space="0" w:color="auto"/>
          <w:lang w:val="pt-BR"/>
        </w:rPr>
        <w:t>são</w:t>
      </w:r>
      <w:r w:rsidRPr="006D1C74">
        <w:rPr>
          <w:rFonts w:asciiTheme="majorHAnsi" w:eastAsia="Batang" w:hAnsiTheme="majorHAnsi"/>
          <w:sz w:val="20"/>
          <w:szCs w:val="20"/>
          <w:bdr w:val="none" w:sz="0" w:space="0" w:color="auto"/>
          <w:lang w:val="pt-BR"/>
        </w:rPr>
        <w:t xml:space="preserve"> definitiva</w:t>
      </w:r>
      <w:r w:rsidR="00FC2F62" w:rsidRPr="006D1C74">
        <w:rPr>
          <w:rFonts w:asciiTheme="majorHAnsi" w:eastAsia="Batang" w:hAnsiTheme="majorHAnsi"/>
          <w:sz w:val="20"/>
          <w:szCs w:val="20"/>
          <w:bdr w:val="none" w:sz="0" w:space="0" w:color="auto"/>
          <w:lang w:val="pt-BR"/>
        </w:rPr>
        <w:t xml:space="preserve"> no </w:t>
      </w:r>
      <w:r w:rsidR="00AB7F30" w:rsidRPr="006D1C74">
        <w:rPr>
          <w:rFonts w:asciiTheme="majorHAnsi" w:eastAsia="Batang" w:hAnsiTheme="majorHAnsi"/>
          <w:sz w:val="20"/>
          <w:szCs w:val="20"/>
          <w:bdr w:val="none" w:sz="0" w:space="0" w:color="auto"/>
          <w:lang w:val="pt-BR"/>
        </w:rPr>
        <w:t>processo</w:t>
      </w:r>
      <w:r w:rsidRPr="006D1C74">
        <w:rPr>
          <w:rFonts w:asciiTheme="majorHAnsi" w:eastAsia="Batang" w:hAnsiTheme="majorHAnsi"/>
          <w:sz w:val="20"/>
          <w:szCs w:val="20"/>
          <w:bdr w:val="none" w:sz="0" w:space="0" w:color="auto"/>
          <w:lang w:val="pt-BR"/>
        </w:rPr>
        <w:t>.</w:t>
      </w:r>
      <w:r w:rsidR="00F673C7" w:rsidRPr="006D1C74">
        <w:rPr>
          <w:rFonts w:asciiTheme="majorHAnsi" w:eastAsia="Batang" w:hAnsiTheme="majorHAnsi"/>
          <w:sz w:val="20"/>
          <w:szCs w:val="20"/>
          <w:bdr w:val="none" w:sz="0" w:space="0" w:color="auto"/>
          <w:lang w:val="pt-BR"/>
        </w:rPr>
        <w:t xml:space="preserve"> </w:t>
      </w:r>
      <w:r w:rsidR="00BD3AB3" w:rsidRPr="006D1C74">
        <w:rPr>
          <w:rFonts w:asciiTheme="majorHAnsi" w:eastAsia="Batang" w:hAnsiTheme="majorHAnsi"/>
          <w:sz w:val="20"/>
          <w:szCs w:val="20"/>
          <w:bdr w:val="none" w:sz="0" w:space="0" w:color="auto"/>
          <w:lang w:val="pt-BR"/>
        </w:rPr>
        <w:t>E</w:t>
      </w:r>
      <w:r w:rsidR="00F673C7" w:rsidRPr="006D1C74">
        <w:rPr>
          <w:rFonts w:asciiTheme="majorHAnsi" w:eastAsia="Batang" w:hAnsiTheme="majorHAnsi"/>
          <w:sz w:val="20"/>
          <w:szCs w:val="20"/>
          <w:bdr w:val="none" w:sz="0" w:space="0" w:color="auto"/>
          <w:lang w:val="pt-BR"/>
        </w:rPr>
        <w:t xml:space="preserve">m </w:t>
      </w:r>
      <w:r w:rsidRPr="006D1C74">
        <w:rPr>
          <w:rFonts w:asciiTheme="majorHAnsi" w:eastAsia="Batang" w:hAnsiTheme="majorHAnsi"/>
          <w:sz w:val="20"/>
          <w:szCs w:val="20"/>
          <w:bdr w:val="none" w:sz="0" w:space="0" w:color="auto"/>
          <w:lang w:val="pt-BR"/>
        </w:rPr>
        <w:t>novembr</w:t>
      </w:r>
      <w:r w:rsidR="00BD3AB3" w:rsidRPr="006D1C74">
        <w:rPr>
          <w:rFonts w:asciiTheme="majorHAnsi" w:eastAsia="Batang" w:hAnsiTheme="majorHAnsi"/>
          <w:sz w:val="20"/>
          <w:szCs w:val="20"/>
          <w:bdr w:val="none" w:sz="0" w:space="0" w:color="auto"/>
          <w:lang w:val="pt-BR"/>
        </w:rPr>
        <w:t>o</w:t>
      </w:r>
      <w:r w:rsidRPr="006D1C74">
        <w:rPr>
          <w:rFonts w:asciiTheme="majorHAnsi" w:eastAsia="Batang" w:hAnsiTheme="majorHAnsi"/>
          <w:sz w:val="20"/>
          <w:szCs w:val="20"/>
          <w:bdr w:val="none" w:sz="0" w:space="0" w:color="auto"/>
          <w:lang w:val="pt-BR"/>
        </w:rPr>
        <w:t xml:space="preserve"> de 2013,</w:t>
      </w:r>
      <w:r w:rsidR="00700267" w:rsidRPr="006D1C74">
        <w:rPr>
          <w:rFonts w:asciiTheme="majorHAnsi" w:eastAsia="Batang" w:hAnsiTheme="majorHAnsi"/>
          <w:sz w:val="20"/>
          <w:szCs w:val="20"/>
          <w:bdr w:val="none" w:sz="0" w:space="0" w:color="auto"/>
          <w:lang w:val="pt-BR"/>
        </w:rPr>
        <w:t xml:space="preserve"> o </w:t>
      </w:r>
      <w:r w:rsidRPr="006D1C74">
        <w:rPr>
          <w:rFonts w:asciiTheme="majorHAnsi" w:eastAsia="Batang" w:hAnsiTheme="majorHAnsi"/>
          <w:sz w:val="20"/>
          <w:szCs w:val="20"/>
          <w:bdr w:val="none" w:sz="0" w:space="0" w:color="auto"/>
          <w:lang w:val="pt-BR"/>
        </w:rPr>
        <w:t>estado d</w:t>
      </w:r>
      <w:r w:rsidR="00BD3AB3" w:rsidRPr="006D1C74">
        <w:rPr>
          <w:rFonts w:asciiTheme="majorHAnsi" w:eastAsia="Batang" w:hAnsiTheme="majorHAnsi"/>
          <w:sz w:val="20"/>
          <w:szCs w:val="20"/>
          <w:bdr w:val="none" w:sz="0" w:space="0" w:color="auto"/>
          <w:lang w:val="pt-BR"/>
        </w:rPr>
        <w:t>o</w:t>
      </w:r>
      <w:r w:rsidRPr="006D1C74">
        <w:rPr>
          <w:rFonts w:asciiTheme="majorHAnsi" w:eastAsia="Batang" w:hAnsiTheme="majorHAnsi"/>
          <w:sz w:val="20"/>
          <w:szCs w:val="20"/>
          <w:bdr w:val="none" w:sz="0" w:space="0" w:color="auto"/>
          <w:lang w:val="pt-BR"/>
        </w:rPr>
        <w:t xml:space="preserve"> Paraná inici</w:t>
      </w:r>
      <w:r w:rsidR="00455F22" w:rsidRPr="006D1C74">
        <w:rPr>
          <w:rFonts w:asciiTheme="majorHAnsi" w:eastAsia="Batang" w:hAnsiTheme="majorHAnsi"/>
          <w:sz w:val="20"/>
          <w:szCs w:val="20"/>
          <w:bdr w:val="none" w:sz="0" w:space="0" w:color="auto"/>
          <w:lang w:val="pt-BR"/>
        </w:rPr>
        <w:t xml:space="preserve">ou </w:t>
      </w:r>
      <w:r w:rsidR="00700267" w:rsidRPr="006D1C74">
        <w:rPr>
          <w:rFonts w:asciiTheme="majorHAnsi" w:eastAsia="Batang" w:hAnsiTheme="majorHAnsi"/>
          <w:sz w:val="20"/>
          <w:szCs w:val="20"/>
          <w:bdr w:val="none" w:sz="0" w:space="0" w:color="auto"/>
          <w:lang w:val="pt-BR"/>
        </w:rPr>
        <w:t xml:space="preserve">os </w:t>
      </w:r>
      <w:r w:rsidRPr="006D1C74">
        <w:rPr>
          <w:rFonts w:asciiTheme="majorHAnsi" w:eastAsia="Batang" w:hAnsiTheme="majorHAnsi"/>
          <w:sz w:val="20"/>
          <w:szCs w:val="20"/>
          <w:bdr w:val="none" w:sz="0" w:space="0" w:color="auto"/>
          <w:lang w:val="pt-BR"/>
        </w:rPr>
        <w:t>pag</w:t>
      </w:r>
      <w:r w:rsidR="00BD3AB3" w:rsidRPr="006D1C74">
        <w:rPr>
          <w:rFonts w:asciiTheme="majorHAnsi" w:eastAsia="Batang" w:hAnsiTheme="majorHAnsi"/>
          <w:sz w:val="20"/>
          <w:szCs w:val="20"/>
          <w:bdr w:val="none" w:sz="0" w:space="0" w:color="auto"/>
          <w:lang w:val="pt-BR"/>
        </w:rPr>
        <w:t>ament</w:t>
      </w:r>
      <w:r w:rsidRPr="006D1C74">
        <w:rPr>
          <w:rFonts w:asciiTheme="majorHAnsi" w:eastAsia="Batang" w:hAnsiTheme="majorHAnsi"/>
          <w:sz w:val="20"/>
          <w:szCs w:val="20"/>
          <w:bdr w:val="none" w:sz="0" w:space="0" w:color="auto"/>
          <w:lang w:val="pt-BR"/>
        </w:rPr>
        <w:t xml:space="preserve">os, </w:t>
      </w:r>
      <w:r w:rsidR="00BD3AB3" w:rsidRPr="006D1C74">
        <w:rPr>
          <w:rFonts w:asciiTheme="majorHAnsi" w:eastAsia="Batang" w:hAnsiTheme="majorHAnsi"/>
          <w:sz w:val="20"/>
          <w:szCs w:val="20"/>
          <w:bdr w:val="none" w:sz="0" w:space="0" w:color="auto"/>
          <w:lang w:val="pt-BR"/>
        </w:rPr>
        <w:t>fic</w:t>
      </w:r>
      <w:r w:rsidRPr="006D1C74">
        <w:rPr>
          <w:rFonts w:asciiTheme="majorHAnsi" w:eastAsia="Batang" w:hAnsiTheme="majorHAnsi"/>
          <w:sz w:val="20"/>
          <w:szCs w:val="20"/>
          <w:bdr w:val="none" w:sz="0" w:space="0" w:color="auto"/>
          <w:lang w:val="pt-BR"/>
        </w:rPr>
        <w:t>ando pendentes</w:t>
      </w:r>
      <w:r w:rsidR="00700267" w:rsidRPr="006D1C74">
        <w:rPr>
          <w:rFonts w:asciiTheme="majorHAnsi" w:eastAsia="Batang" w:hAnsiTheme="majorHAnsi"/>
          <w:sz w:val="20"/>
          <w:szCs w:val="20"/>
          <w:bdr w:val="none" w:sz="0" w:space="0" w:color="auto"/>
          <w:lang w:val="pt-BR"/>
        </w:rPr>
        <w:t xml:space="preserve"> as </w:t>
      </w:r>
      <w:r w:rsidRPr="006D1C74">
        <w:rPr>
          <w:rFonts w:asciiTheme="majorHAnsi" w:eastAsia="Batang" w:hAnsiTheme="majorHAnsi"/>
          <w:sz w:val="20"/>
          <w:szCs w:val="20"/>
          <w:bdr w:val="none" w:sz="0" w:space="0" w:color="auto"/>
          <w:lang w:val="pt-BR"/>
        </w:rPr>
        <w:t>cotas atrasadas</w:t>
      </w:r>
      <w:r w:rsidR="00CF037E" w:rsidRPr="006D1C74">
        <w:rPr>
          <w:rFonts w:asciiTheme="majorHAnsi" w:eastAsia="Batang" w:hAnsiTheme="majorHAnsi"/>
          <w:sz w:val="20"/>
          <w:szCs w:val="20"/>
          <w:bdr w:val="none" w:sz="0" w:space="0" w:color="auto"/>
          <w:lang w:val="pt-BR"/>
        </w:rPr>
        <w:t xml:space="preserve"> e</w:t>
      </w:r>
      <w:r w:rsidR="00700267" w:rsidRPr="006D1C74">
        <w:rPr>
          <w:rFonts w:asciiTheme="majorHAnsi" w:eastAsia="Batang" w:hAnsiTheme="majorHAnsi"/>
          <w:sz w:val="20"/>
          <w:szCs w:val="20"/>
          <w:bdr w:val="none" w:sz="0" w:space="0" w:color="auto"/>
          <w:lang w:val="pt-BR"/>
        </w:rPr>
        <w:t xml:space="preserve"> os </w:t>
      </w:r>
      <w:r w:rsidR="00BD3AB3" w:rsidRPr="006D1C74">
        <w:rPr>
          <w:rFonts w:asciiTheme="majorHAnsi" w:eastAsia="Batang" w:hAnsiTheme="majorHAnsi"/>
          <w:sz w:val="20"/>
          <w:szCs w:val="20"/>
          <w:bdr w:val="none" w:sz="0" w:space="0" w:color="auto"/>
          <w:lang w:val="pt-BR"/>
        </w:rPr>
        <w:t>valores</w:t>
      </w:r>
      <w:r w:rsidRPr="006D1C74">
        <w:rPr>
          <w:rFonts w:asciiTheme="majorHAnsi" w:eastAsia="Batang" w:hAnsiTheme="majorHAnsi"/>
          <w:sz w:val="20"/>
          <w:szCs w:val="20"/>
          <w:bdr w:val="none" w:sz="0" w:space="0" w:color="auto"/>
          <w:lang w:val="pt-BR"/>
        </w:rPr>
        <w:t xml:space="preserve"> correspondentes a</w:t>
      </w:r>
      <w:r w:rsidR="00700267" w:rsidRPr="006D1C74">
        <w:rPr>
          <w:rFonts w:asciiTheme="majorHAnsi" w:eastAsia="Batang" w:hAnsiTheme="majorHAnsi"/>
          <w:sz w:val="20"/>
          <w:szCs w:val="20"/>
          <w:bdr w:val="none" w:sz="0" w:space="0" w:color="auto"/>
          <w:lang w:val="pt-BR"/>
        </w:rPr>
        <w:t xml:space="preserve">os </w:t>
      </w:r>
      <w:r w:rsidRPr="006D1C74">
        <w:rPr>
          <w:rFonts w:asciiTheme="majorHAnsi" w:eastAsia="Batang" w:hAnsiTheme="majorHAnsi"/>
          <w:sz w:val="20"/>
          <w:szCs w:val="20"/>
          <w:bdr w:val="none" w:sz="0" w:space="0" w:color="auto"/>
          <w:lang w:val="pt-BR"/>
        </w:rPr>
        <w:t>da</w:t>
      </w:r>
      <w:r w:rsidR="00BD3AB3" w:rsidRPr="006D1C74">
        <w:rPr>
          <w:rFonts w:asciiTheme="majorHAnsi" w:eastAsia="Batang" w:hAnsiTheme="majorHAnsi"/>
          <w:sz w:val="20"/>
          <w:szCs w:val="20"/>
          <w:bdr w:val="none" w:sz="0" w:space="0" w:color="auto"/>
          <w:lang w:val="pt-BR"/>
        </w:rPr>
        <w:t>n</w:t>
      </w:r>
      <w:r w:rsidRPr="006D1C74">
        <w:rPr>
          <w:rFonts w:asciiTheme="majorHAnsi" w:eastAsia="Batang" w:hAnsiTheme="majorHAnsi"/>
          <w:sz w:val="20"/>
          <w:szCs w:val="20"/>
          <w:bdr w:val="none" w:sz="0" w:space="0" w:color="auto"/>
          <w:lang w:val="pt-BR"/>
        </w:rPr>
        <w:t>os mor</w:t>
      </w:r>
      <w:r w:rsidR="00700267" w:rsidRPr="006D1C74">
        <w:rPr>
          <w:rFonts w:asciiTheme="majorHAnsi" w:eastAsia="Batang" w:hAnsiTheme="majorHAnsi"/>
          <w:sz w:val="20"/>
          <w:szCs w:val="20"/>
          <w:bdr w:val="none" w:sz="0" w:space="0" w:color="auto"/>
          <w:lang w:val="pt-BR"/>
        </w:rPr>
        <w:t>ais</w:t>
      </w:r>
      <w:r w:rsidRPr="006D1C74">
        <w:rPr>
          <w:rFonts w:asciiTheme="majorHAnsi" w:eastAsia="Batang" w:hAnsiTheme="majorHAnsi"/>
          <w:sz w:val="20"/>
          <w:szCs w:val="20"/>
          <w:bdr w:val="none" w:sz="0" w:space="0" w:color="auto"/>
          <w:lang w:val="pt-BR"/>
        </w:rPr>
        <w:t xml:space="preserve">. </w:t>
      </w:r>
      <w:r w:rsidR="009C4F60" w:rsidRPr="006D1C74">
        <w:rPr>
          <w:rFonts w:asciiTheme="majorHAnsi" w:eastAsia="Batang" w:hAnsiTheme="majorHAnsi"/>
          <w:sz w:val="20"/>
          <w:szCs w:val="20"/>
          <w:bdr w:val="none" w:sz="0" w:space="0" w:color="auto"/>
          <w:lang w:val="pt-BR"/>
        </w:rPr>
        <w:t>A</w:t>
      </w:r>
      <w:r w:rsidR="00BD3AB3" w:rsidRPr="006D1C74">
        <w:rPr>
          <w:rFonts w:asciiTheme="majorHAnsi" w:eastAsia="Batang" w:hAnsiTheme="majorHAnsi"/>
          <w:sz w:val="20"/>
          <w:szCs w:val="20"/>
          <w:bdr w:val="none" w:sz="0" w:space="0" w:color="auto"/>
          <w:lang w:val="pt-BR"/>
        </w:rPr>
        <w:t>crescent</w:t>
      </w:r>
      <w:r w:rsidR="009C4F60" w:rsidRPr="006D1C74">
        <w:rPr>
          <w:rFonts w:asciiTheme="majorHAnsi" w:eastAsia="Batang" w:hAnsiTheme="majorHAnsi"/>
          <w:sz w:val="20"/>
          <w:szCs w:val="20"/>
          <w:bdr w:val="none" w:sz="0" w:space="0" w:color="auto"/>
          <w:lang w:val="pt-BR"/>
        </w:rPr>
        <w:t>a que</w:t>
      </w:r>
      <w:r w:rsidR="00572827" w:rsidRPr="006D1C74">
        <w:rPr>
          <w:rFonts w:asciiTheme="majorHAnsi" w:eastAsia="Batang" w:hAnsiTheme="majorHAnsi"/>
          <w:sz w:val="20"/>
          <w:szCs w:val="20"/>
          <w:bdr w:val="none" w:sz="0" w:space="0" w:color="auto"/>
          <w:lang w:val="pt-BR"/>
        </w:rPr>
        <w:t>,</w:t>
      </w:r>
      <w:r w:rsidR="009C4F60" w:rsidRPr="006D1C74">
        <w:rPr>
          <w:rFonts w:asciiTheme="majorHAnsi" w:eastAsia="Batang" w:hAnsiTheme="majorHAnsi"/>
          <w:sz w:val="20"/>
          <w:szCs w:val="20"/>
          <w:bdr w:val="none" w:sz="0" w:space="0" w:color="auto"/>
          <w:lang w:val="pt-BR"/>
        </w:rPr>
        <w:t xml:space="preserve"> </w:t>
      </w:r>
      <w:r w:rsidR="00BD3AB3" w:rsidRPr="006D1C74">
        <w:rPr>
          <w:rFonts w:asciiTheme="majorHAnsi" w:eastAsia="Batang" w:hAnsiTheme="majorHAnsi"/>
          <w:sz w:val="20"/>
          <w:szCs w:val="20"/>
          <w:bdr w:val="none" w:sz="0" w:space="0" w:color="auto"/>
          <w:lang w:val="pt-BR"/>
        </w:rPr>
        <w:t>em</w:t>
      </w:r>
      <w:r w:rsidRPr="006D1C74">
        <w:rPr>
          <w:rFonts w:asciiTheme="majorHAnsi" w:eastAsia="Batang" w:hAnsiTheme="majorHAnsi"/>
          <w:sz w:val="20"/>
          <w:szCs w:val="20"/>
          <w:bdr w:val="none" w:sz="0" w:space="0" w:color="auto"/>
          <w:lang w:val="pt-BR"/>
        </w:rPr>
        <w:t xml:space="preserve"> fe</w:t>
      </w:r>
      <w:r w:rsidR="00BD3AB3" w:rsidRPr="006D1C74">
        <w:rPr>
          <w:rFonts w:asciiTheme="majorHAnsi" w:eastAsia="Batang" w:hAnsiTheme="majorHAnsi"/>
          <w:sz w:val="20"/>
          <w:szCs w:val="20"/>
          <w:bdr w:val="none" w:sz="0" w:space="0" w:color="auto"/>
          <w:lang w:val="pt-BR"/>
        </w:rPr>
        <w:t>ve</w:t>
      </w:r>
      <w:r w:rsidRPr="006D1C74">
        <w:rPr>
          <w:rFonts w:asciiTheme="majorHAnsi" w:eastAsia="Batang" w:hAnsiTheme="majorHAnsi"/>
          <w:sz w:val="20"/>
          <w:szCs w:val="20"/>
          <w:bdr w:val="none" w:sz="0" w:space="0" w:color="auto"/>
          <w:lang w:val="pt-BR"/>
        </w:rPr>
        <w:t>re</w:t>
      </w:r>
      <w:r w:rsidR="00BD3AB3" w:rsidRPr="006D1C74">
        <w:rPr>
          <w:rFonts w:asciiTheme="majorHAnsi" w:eastAsia="Batang" w:hAnsiTheme="majorHAnsi"/>
          <w:sz w:val="20"/>
          <w:szCs w:val="20"/>
          <w:bdr w:val="none" w:sz="0" w:space="0" w:color="auto"/>
          <w:lang w:val="pt-BR"/>
        </w:rPr>
        <w:t>i</w:t>
      </w:r>
      <w:r w:rsidRPr="006D1C74">
        <w:rPr>
          <w:rFonts w:asciiTheme="majorHAnsi" w:eastAsia="Batang" w:hAnsiTheme="majorHAnsi"/>
          <w:sz w:val="20"/>
          <w:szCs w:val="20"/>
          <w:bdr w:val="none" w:sz="0" w:space="0" w:color="auto"/>
          <w:lang w:val="pt-BR"/>
        </w:rPr>
        <w:t>ro de 2015</w:t>
      </w:r>
      <w:r w:rsidR="00572827" w:rsidRPr="006D1C74">
        <w:rPr>
          <w:rFonts w:asciiTheme="majorHAnsi" w:eastAsia="Batang" w:hAnsiTheme="majorHAnsi"/>
          <w:sz w:val="20"/>
          <w:szCs w:val="20"/>
          <w:bdr w:val="none" w:sz="0" w:space="0" w:color="auto"/>
          <w:lang w:val="pt-BR"/>
        </w:rPr>
        <w:t>,</w:t>
      </w:r>
      <w:r w:rsidRPr="006D1C74">
        <w:rPr>
          <w:rFonts w:asciiTheme="majorHAnsi" w:eastAsia="Batang" w:hAnsiTheme="majorHAnsi"/>
          <w:sz w:val="20"/>
          <w:szCs w:val="20"/>
          <w:bdr w:val="none" w:sz="0" w:space="0" w:color="auto"/>
          <w:lang w:val="pt-BR"/>
        </w:rPr>
        <w:t xml:space="preserve"> </w:t>
      </w:r>
      <w:r w:rsidR="00BD3AB3" w:rsidRPr="006D1C74">
        <w:rPr>
          <w:rFonts w:asciiTheme="majorHAnsi" w:eastAsia="Batang" w:hAnsiTheme="majorHAnsi"/>
          <w:sz w:val="20"/>
          <w:szCs w:val="20"/>
          <w:bdr w:val="none" w:sz="0" w:space="0" w:color="auto"/>
          <w:lang w:val="pt-BR"/>
        </w:rPr>
        <w:t>ainda estava</w:t>
      </w:r>
      <w:r w:rsidRPr="006D1C74">
        <w:rPr>
          <w:rFonts w:asciiTheme="majorHAnsi" w:eastAsia="Batang" w:hAnsiTheme="majorHAnsi"/>
          <w:sz w:val="20"/>
          <w:szCs w:val="20"/>
          <w:bdr w:val="none" w:sz="0" w:space="0" w:color="auto"/>
          <w:lang w:val="pt-BR"/>
        </w:rPr>
        <w:t xml:space="preserve"> pendente</w:t>
      </w:r>
      <w:r w:rsidR="00030019" w:rsidRPr="006D1C74">
        <w:rPr>
          <w:rFonts w:asciiTheme="majorHAnsi" w:eastAsia="Batang" w:hAnsiTheme="majorHAnsi"/>
          <w:sz w:val="20"/>
          <w:szCs w:val="20"/>
          <w:bdr w:val="none" w:sz="0" w:space="0" w:color="auto"/>
          <w:lang w:val="pt-BR"/>
        </w:rPr>
        <w:t xml:space="preserve"> um </w:t>
      </w:r>
      <w:r w:rsidRPr="006D1C74">
        <w:rPr>
          <w:rFonts w:asciiTheme="majorHAnsi" w:eastAsia="Batang" w:hAnsiTheme="majorHAnsi"/>
          <w:sz w:val="20"/>
          <w:szCs w:val="20"/>
          <w:bdr w:val="none" w:sz="0" w:space="0" w:color="auto"/>
          <w:lang w:val="pt-BR"/>
        </w:rPr>
        <w:t xml:space="preserve">recurso </w:t>
      </w:r>
      <w:r w:rsidR="00BD3AB3" w:rsidRPr="006D1C74">
        <w:rPr>
          <w:rFonts w:asciiTheme="majorHAnsi" w:eastAsia="Batang" w:hAnsiTheme="majorHAnsi"/>
          <w:sz w:val="20"/>
          <w:szCs w:val="20"/>
          <w:bdr w:val="none" w:sz="0" w:space="0" w:color="auto"/>
          <w:lang w:val="pt-BR"/>
        </w:rPr>
        <w:t>a</w:t>
      </w:r>
      <w:r w:rsidR="009C4F60" w:rsidRPr="006D1C74">
        <w:rPr>
          <w:rFonts w:asciiTheme="majorHAnsi" w:eastAsia="Batang" w:hAnsiTheme="majorHAnsi"/>
          <w:sz w:val="20"/>
          <w:szCs w:val="20"/>
          <w:bdr w:val="none" w:sz="0" w:space="0" w:color="auto"/>
          <w:lang w:val="pt-BR"/>
        </w:rPr>
        <w:t>presentado</w:t>
      </w:r>
      <w:r w:rsidR="00700267" w:rsidRPr="006D1C74">
        <w:rPr>
          <w:rFonts w:asciiTheme="majorHAnsi" w:eastAsia="Batang" w:hAnsiTheme="majorHAnsi"/>
          <w:sz w:val="20"/>
          <w:szCs w:val="20"/>
          <w:bdr w:val="none" w:sz="0" w:space="0" w:color="auto"/>
          <w:lang w:val="pt-BR"/>
        </w:rPr>
        <w:t xml:space="preserve"> pelo </w:t>
      </w:r>
      <w:r w:rsidR="009C4F60" w:rsidRPr="006D1C74">
        <w:rPr>
          <w:rFonts w:asciiTheme="majorHAnsi" w:eastAsia="Batang" w:hAnsiTheme="majorHAnsi"/>
          <w:sz w:val="20"/>
          <w:szCs w:val="20"/>
          <w:bdr w:val="none" w:sz="0" w:space="0" w:color="auto"/>
          <w:lang w:val="pt-BR"/>
        </w:rPr>
        <w:t>estado d</w:t>
      </w:r>
      <w:r w:rsidR="00BD3AB3" w:rsidRPr="006D1C74">
        <w:rPr>
          <w:rFonts w:asciiTheme="majorHAnsi" w:eastAsia="Batang" w:hAnsiTheme="majorHAnsi"/>
          <w:sz w:val="20"/>
          <w:szCs w:val="20"/>
          <w:bdr w:val="none" w:sz="0" w:space="0" w:color="auto"/>
          <w:lang w:val="pt-BR"/>
        </w:rPr>
        <w:t>o</w:t>
      </w:r>
      <w:r w:rsidR="009C4F60" w:rsidRPr="006D1C74">
        <w:rPr>
          <w:rFonts w:asciiTheme="majorHAnsi" w:eastAsia="Batang" w:hAnsiTheme="majorHAnsi"/>
          <w:sz w:val="20"/>
          <w:szCs w:val="20"/>
          <w:bdr w:val="none" w:sz="0" w:space="0" w:color="auto"/>
          <w:lang w:val="pt-BR"/>
        </w:rPr>
        <w:t xml:space="preserve"> Paraná </w:t>
      </w:r>
      <w:r w:rsidRPr="006D1C74">
        <w:rPr>
          <w:rFonts w:asciiTheme="majorHAnsi" w:eastAsia="Batang" w:hAnsiTheme="majorHAnsi"/>
          <w:sz w:val="20"/>
          <w:szCs w:val="20"/>
          <w:bdr w:val="none" w:sz="0" w:space="0" w:color="auto"/>
          <w:lang w:val="pt-BR"/>
        </w:rPr>
        <w:t>contra</w:t>
      </w:r>
      <w:r w:rsidR="00700267" w:rsidRPr="006D1C74">
        <w:rPr>
          <w:rFonts w:asciiTheme="majorHAnsi" w:eastAsia="Batang" w:hAnsiTheme="majorHAnsi"/>
          <w:sz w:val="20"/>
          <w:szCs w:val="20"/>
          <w:bdr w:val="none" w:sz="0" w:space="0" w:color="auto"/>
          <w:lang w:val="pt-BR"/>
        </w:rPr>
        <w:t xml:space="preserve"> a </w:t>
      </w:r>
      <w:r w:rsidRPr="006D1C74">
        <w:rPr>
          <w:rFonts w:asciiTheme="majorHAnsi" w:eastAsia="Batang" w:hAnsiTheme="majorHAnsi"/>
          <w:sz w:val="20"/>
          <w:szCs w:val="20"/>
          <w:bdr w:val="none" w:sz="0" w:space="0" w:color="auto"/>
          <w:lang w:val="pt-BR"/>
        </w:rPr>
        <w:t>condena</w:t>
      </w:r>
      <w:r w:rsidR="00BD3AB3" w:rsidRPr="006D1C74">
        <w:rPr>
          <w:rFonts w:asciiTheme="majorHAnsi" w:eastAsia="Batang" w:hAnsiTheme="majorHAnsi"/>
          <w:sz w:val="20"/>
          <w:szCs w:val="20"/>
          <w:bdr w:val="none" w:sz="0" w:space="0" w:color="auto"/>
          <w:lang w:val="pt-BR"/>
        </w:rPr>
        <w:t>ção</w:t>
      </w:r>
      <w:r w:rsidR="00217759" w:rsidRPr="006D1C74">
        <w:rPr>
          <w:rFonts w:asciiTheme="majorHAnsi" w:eastAsia="Batang" w:hAnsiTheme="majorHAnsi"/>
          <w:sz w:val="20"/>
          <w:szCs w:val="20"/>
          <w:bdr w:val="none" w:sz="0" w:space="0" w:color="auto"/>
          <w:lang w:val="pt-BR"/>
        </w:rPr>
        <w:t xml:space="preserve"> ao </w:t>
      </w:r>
      <w:r w:rsidRPr="006D1C74">
        <w:rPr>
          <w:rFonts w:asciiTheme="majorHAnsi" w:eastAsia="Batang" w:hAnsiTheme="majorHAnsi"/>
          <w:sz w:val="20"/>
          <w:szCs w:val="20"/>
          <w:bdr w:val="none" w:sz="0" w:space="0" w:color="auto"/>
          <w:lang w:val="pt-BR"/>
        </w:rPr>
        <w:t>pag</w:t>
      </w:r>
      <w:r w:rsidR="00BD3AB3" w:rsidRPr="006D1C74">
        <w:rPr>
          <w:rFonts w:asciiTheme="majorHAnsi" w:eastAsia="Batang" w:hAnsiTheme="majorHAnsi"/>
          <w:sz w:val="20"/>
          <w:szCs w:val="20"/>
          <w:bdr w:val="none" w:sz="0" w:space="0" w:color="auto"/>
          <w:lang w:val="pt-BR"/>
        </w:rPr>
        <w:t>ament</w:t>
      </w:r>
      <w:r w:rsidRPr="006D1C74">
        <w:rPr>
          <w:rFonts w:asciiTheme="majorHAnsi" w:eastAsia="Batang" w:hAnsiTheme="majorHAnsi"/>
          <w:sz w:val="20"/>
          <w:szCs w:val="20"/>
          <w:bdr w:val="none" w:sz="0" w:space="0" w:color="auto"/>
          <w:lang w:val="pt-BR"/>
        </w:rPr>
        <w:t>o de indeniza</w:t>
      </w:r>
      <w:r w:rsidR="00CF037E" w:rsidRPr="006D1C74">
        <w:rPr>
          <w:rFonts w:asciiTheme="majorHAnsi" w:eastAsia="Batang" w:hAnsiTheme="majorHAnsi"/>
          <w:sz w:val="20"/>
          <w:szCs w:val="20"/>
          <w:bdr w:val="none" w:sz="0" w:space="0" w:color="auto"/>
          <w:lang w:val="pt-BR"/>
        </w:rPr>
        <w:t>ção</w:t>
      </w:r>
      <w:r w:rsidR="00030019" w:rsidRPr="006D1C74">
        <w:rPr>
          <w:rFonts w:asciiTheme="majorHAnsi" w:eastAsia="Batang" w:hAnsiTheme="majorHAnsi"/>
          <w:sz w:val="20"/>
          <w:szCs w:val="20"/>
          <w:bdr w:val="none" w:sz="0" w:space="0" w:color="auto"/>
          <w:lang w:val="pt-BR"/>
        </w:rPr>
        <w:t xml:space="preserve"> à </w:t>
      </w:r>
      <w:r w:rsidRPr="006D1C74">
        <w:rPr>
          <w:rFonts w:asciiTheme="majorHAnsi" w:eastAsia="Batang" w:hAnsiTheme="majorHAnsi"/>
          <w:sz w:val="20"/>
          <w:szCs w:val="20"/>
          <w:bdr w:val="none" w:sz="0" w:space="0" w:color="auto"/>
          <w:lang w:val="pt-BR"/>
        </w:rPr>
        <w:t>fam</w:t>
      </w:r>
      <w:r w:rsidR="00BD3AB3" w:rsidRPr="006D1C74">
        <w:rPr>
          <w:rFonts w:asciiTheme="majorHAnsi" w:eastAsia="Batang" w:hAnsiTheme="majorHAnsi"/>
          <w:sz w:val="20"/>
          <w:szCs w:val="20"/>
          <w:bdr w:val="none" w:sz="0" w:space="0" w:color="auto"/>
          <w:lang w:val="pt-BR"/>
        </w:rPr>
        <w:t>í</w:t>
      </w:r>
      <w:r w:rsidRPr="006D1C74">
        <w:rPr>
          <w:rFonts w:asciiTheme="majorHAnsi" w:eastAsia="Batang" w:hAnsiTheme="majorHAnsi"/>
          <w:sz w:val="20"/>
          <w:szCs w:val="20"/>
          <w:bdr w:val="none" w:sz="0" w:space="0" w:color="auto"/>
          <w:lang w:val="pt-BR"/>
        </w:rPr>
        <w:t xml:space="preserve">lia. </w:t>
      </w:r>
    </w:p>
    <w:p w14:paraId="0061ADA3" w14:textId="77777777" w:rsidR="002649F0" w:rsidRPr="006D1C74" w:rsidRDefault="002649F0" w:rsidP="002649F0">
      <w:pPr>
        <w:ind w:left="720"/>
        <w:rPr>
          <w:rFonts w:asciiTheme="majorHAnsi" w:eastAsia="Cambria" w:hAnsiTheme="majorHAnsi" w:cs="Cambria"/>
          <w:sz w:val="20"/>
          <w:szCs w:val="20"/>
          <w:u w:color="000000"/>
          <w:lang w:val="pt-BR" w:eastAsia="es-ES"/>
        </w:rPr>
      </w:pPr>
    </w:p>
    <w:p w14:paraId="3E4F0874" w14:textId="3E2BB1DD" w:rsidR="002649F0" w:rsidRPr="006D1C74" w:rsidRDefault="0091097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pt-BR"/>
        </w:rPr>
      </w:pPr>
      <w:r w:rsidRPr="006D1C74">
        <w:rPr>
          <w:rFonts w:asciiTheme="majorHAnsi" w:hAnsiTheme="majorHAnsi"/>
          <w:sz w:val="20"/>
          <w:szCs w:val="20"/>
          <w:lang w:val="pt-BR"/>
        </w:rPr>
        <w:t>A</w:t>
      </w:r>
      <w:r w:rsidR="002649F0" w:rsidRPr="006D1C74">
        <w:rPr>
          <w:rFonts w:asciiTheme="majorHAnsi" w:hAnsiTheme="majorHAnsi"/>
          <w:sz w:val="20"/>
          <w:szCs w:val="20"/>
          <w:lang w:val="pt-BR"/>
        </w:rPr>
        <w:t xml:space="preserve">lega </w:t>
      </w:r>
      <w:r w:rsidR="00572827" w:rsidRPr="006D1C74">
        <w:rPr>
          <w:rFonts w:asciiTheme="majorHAnsi" w:hAnsiTheme="majorHAnsi"/>
          <w:sz w:val="20"/>
          <w:szCs w:val="20"/>
          <w:lang w:val="pt-BR"/>
        </w:rPr>
        <w:t>também</w:t>
      </w:r>
      <w:r w:rsidR="002649F0" w:rsidRPr="006D1C74">
        <w:rPr>
          <w:rFonts w:asciiTheme="majorHAnsi" w:hAnsiTheme="majorHAnsi"/>
          <w:sz w:val="20"/>
          <w:szCs w:val="20"/>
          <w:lang w:val="pt-BR"/>
        </w:rPr>
        <w:t xml:space="preserve"> que</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estado d</w:t>
      </w:r>
      <w:r w:rsidR="00572827" w:rsidRPr="006D1C74">
        <w:rPr>
          <w:rFonts w:asciiTheme="majorHAnsi" w:hAnsiTheme="majorHAnsi"/>
          <w:sz w:val="20"/>
          <w:szCs w:val="20"/>
          <w:lang w:val="pt-BR"/>
        </w:rPr>
        <w:t>o</w:t>
      </w:r>
      <w:r w:rsidR="002649F0" w:rsidRPr="006D1C74">
        <w:rPr>
          <w:rFonts w:asciiTheme="majorHAnsi" w:hAnsiTheme="majorHAnsi"/>
          <w:sz w:val="20"/>
          <w:szCs w:val="20"/>
          <w:lang w:val="pt-BR"/>
        </w:rPr>
        <w:t xml:space="preserve"> Paraná se caracteriza por</w:t>
      </w:r>
      <w:r w:rsidR="00030019" w:rsidRPr="006D1C74">
        <w:rPr>
          <w:rFonts w:asciiTheme="majorHAnsi" w:hAnsiTheme="majorHAnsi"/>
          <w:sz w:val="20"/>
          <w:szCs w:val="20"/>
          <w:lang w:val="pt-BR"/>
        </w:rPr>
        <w:t xml:space="preserve"> uma </w:t>
      </w:r>
      <w:r w:rsidR="002649F0" w:rsidRPr="006D1C74">
        <w:rPr>
          <w:rFonts w:asciiTheme="majorHAnsi" w:hAnsiTheme="majorHAnsi"/>
          <w:sz w:val="20"/>
          <w:szCs w:val="20"/>
          <w:lang w:val="pt-BR"/>
        </w:rPr>
        <w:t>gran</w:t>
      </w:r>
      <w:r w:rsidR="00572827" w:rsidRPr="006D1C74">
        <w:rPr>
          <w:rFonts w:asciiTheme="majorHAnsi" w:hAnsiTheme="majorHAnsi"/>
          <w:sz w:val="20"/>
          <w:szCs w:val="20"/>
          <w:lang w:val="pt-BR"/>
        </w:rPr>
        <w:t>de</w:t>
      </w:r>
      <w:r w:rsidR="002649F0" w:rsidRPr="006D1C74">
        <w:rPr>
          <w:rFonts w:asciiTheme="majorHAnsi" w:hAnsiTheme="majorHAnsi"/>
          <w:sz w:val="20"/>
          <w:szCs w:val="20"/>
          <w:lang w:val="pt-BR"/>
        </w:rPr>
        <w:t xml:space="preserve"> concentra</w:t>
      </w:r>
      <w:r w:rsidR="00CF037E" w:rsidRPr="006D1C74">
        <w:rPr>
          <w:rFonts w:asciiTheme="majorHAnsi" w:hAnsiTheme="majorHAnsi"/>
          <w:sz w:val="20"/>
          <w:szCs w:val="20"/>
          <w:lang w:val="pt-BR"/>
        </w:rPr>
        <w:t>ção</w:t>
      </w:r>
      <w:r w:rsidR="00795010" w:rsidRPr="006D1C74">
        <w:rPr>
          <w:rFonts w:asciiTheme="majorHAnsi" w:hAnsiTheme="majorHAnsi"/>
          <w:sz w:val="20"/>
          <w:szCs w:val="20"/>
          <w:lang w:val="pt-BR"/>
        </w:rPr>
        <w:t xml:space="preserve"> da </w:t>
      </w:r>
      <w:r w:rsidR="002649F0" w:rsidRPr="006D1C74">
        <w:rPr>
          <w:rFonts w:asciiTheme="majorHAnsi" w:hAnsiTheme="majorHAnsi"/>
          <w:sz w:val="20"/>
          <w:szCs w:val="20"/>
          <w:lang w:val="pt-BR"/>
        </w:rPr>
        <w:t>prop</w:t>
      </w:r>
      <w:r w:rsidR="00572827" w:rsidRPr="006D1C74">
        <w:rPr>
          <w:rFonts w:asciiTheme="majorHAnsi" w:hAnsiTheme="majorHAnsi"/>
          <w:sz w:val="20"/>
          <w:szCs w:val="20"/>
          <w:lang w:val="pt-BR"/>
        </w:rPr>
        <w:t>r</w:t>
      </w:r>
      <w:r w:rsidR="002649F0" w:rsidRPr="006D1C74">
        <w:rPr>
          <w:rFonts w:asciiTheme="majorHAnsi" w:hAnsiTheme="majorHAnsi"/>
          <w:sz w:val="20"/>
          <w:szCs w:val="20"/>
          <w:lang w:val="pt-BR"/>
        </w:rPr>
        <w:t>ie</w:t>
      </w:r>
      <w:r w:rsidR="00F673C7" w:rsidRPr="006D1C74">
        <w:rPr>
          <w:rFonts w:asciiTheme="majorHAnsi" w:hAnsiTheme="majorHAnsi"/>
          <w:sz w:val="20"/>
          <w:szCs w:val="20"/>
          <w:lang w:val="pt-BR"/>
        </w:rPr>
        <w:t>dade</w:t>
      </w:r>
      <w:r w:rsidR="00D74A93" w:rsidRPr="006D1C74">
        <w:rPr>
          <w:rFonts w:asciiTheme="majorHAnsi" w:hAnsiTheme="majorHAnsi"/>
          <w:sz w:val="20"/>
          <w:szCs w:val="20"/>
          <w:lang w:val="pt-BR"/>
        </w:rPr>
        <w:t xml:space="preserve"> das </w:t>
      </w:r>
      <w:r w:rsidR="00795010" w:rsidRPr="006D1C74">
        <w:rPr>
          <w:rFonts w:asciiTheme="majorHAnsi" w:hAnsiTheme="majorHAnsi"/>
          <w:sz w:val="20"/>
          <w:szCs w:val="20"/>
          <w:lang w:val="pt-BR"/>
        </w:rPr>
        <w:t>terra</w:t>
      </w:r>
      <w:r w:rsidR="002649F0" w:rsidRPr="006D1C74">
        <w:rPr>
          <w:rFonts w:asciiTheme="majorHAnsi" w:hAnsiTheme="majorHAnsi"/>
          <w:sz w:val="20"/>
          <w:szCs w:val="20"/>
          <w:lang w:val="pt-BR"/>
        </w:rPr>
        <w:t>s rur</w:t>
      </w:r>
      <w:r w:rsidR="00700267" w:rsidRPr="006D1C74">
        <w:rPr>
          <w:rFonts w:asciiTheme="majorHAnsi" w:hAnsiTheme="majorHAnsi"/>
          <w:sz w:val="20"/>
          <w:szCs w:val="20"/>
          <w:lang w:val="pt-BR"/>
        </w:rPr>
        <w:t>ais</w:t>
      </w:r>
      <w:r w:rsidR="00F673C7" w:rsidRPr="006D1C74">
        <w:rPr>
          <w:rFonts w:asciiTheme="majorHAnsi" w:hAnsiTheme="majorHAnsi"/>
          <w:sz w:val="20"/>
          <w:szCs w:val="20"/>
          <w:lang w:val="pt-BR"/>
        </w:rPr>
        <w:t xml:space="preserve"> </w:t>
      </w:r>
      <w:r w:rsidR="003178DA">
        <w:rPr>
          <w:rFonts w:asciiTheme="majorHAnsi" w:hAnsiTheme="majorHAnsi"/>
          <w:sz w:val="20"/>
          <w:szCs w:val="20"/>
          <w:lang w:val="pt-BR"/>
        </w:rPr>
        <w:t>nas mãos de</w:t>
      </w:r>
      <w:r w:rsidR="00F673C7" w:rsidRPr="006D1C74">
        <w:rPr>
          <w:rFonts w:asciiTheme="majorHAnsi" w:hAnsiTheme="majorHAnsi"/>
          <w:sz w:val="20"/>
          <w:szCs w:val="20"/>
          <w:lang w:val="pt-BR"/>
        </w:rPr>
        <w:t xml:space="preserve"> </w:t>
      </w:r>
      <w:r w:rsidR="002649F0" w:rsidRPr="006D1C74">
        <w:rPr>
          <w:rFonts w:asciiTheme="majorHAnsi" w:hAnsiTheme="majorHAnsi"/>
          <w:sz w:val="20"/>
          <w:szCs w:val="20"/>
          <w:lang w:val="pt-BR"/>
        </w:rPr>
        <w:t>po</w:t>
      </w:r>
      <w:r w:rsidR="00572827" w:rsidRPr="006D1C74">
        <w:rPr>
          <w:rFonts w:asciiTheme="majorHAnsi" w:hAnsiTheme="majorHAnsi"/>
          <w:sz w:val="20"/>
          <w:szCs w:val="20"/>
          <w:lang w:val="pt-BR"/>
        </w:rPr>
        <w:t>u</w:t>
      </w:r>
      <w:r w:rsidR="002649F0" w:rsidRPr="006D1C74">
        <w:rPr>
          <w:rFonts w:asciiTheme="majorHAnsi" w:hAnsiTheme="majorHAnsi"/>
          <w:sz w:val="20"/>
          <w:szCs w:val="20"/>
          <w:lang w:val="pt-BR"/>
        </w:rPr>
        <w:t>cos latifundi</w:t>
      </w:r>
      <w:r w:rsidR="00572827" w:rsidRPr="006D1C74">
        <w:rPr>
          <w:rFonts w:asciiTheme="majorHAnsi" w:hAnsiTheme="majorHAnsi"/>
          <w:sz w:val="20"/>
          <w:szCs w:val="20"/>
          <w:lang w:val="pt-BR"/>
        </w:rPr>
        <w:t>ário</w:t>
      </w:r>
      <w:r w:rsidR="002649F0" w:rsidRPr="006D1C74">
        <w:rPr>
          <w:rFonts w:asciiTheme="majorHAnsi" w:hAnsiTheme="majorHAnsi"/>
          <w:sz w:val="20"/>
          <w:szCs w:val="20"/>
          <w:lang w:val="pt-BR"/>
        </w:rPr>
        <w:t>s, que pos</w:t>
      </w:r>
      <w:r w:rsidR="00572827" w:rsidRPr="006D1C74">
        <w:rPr>
          <w:rFonts w:asciiTheme="majorHAnsi" w:hAnsiTheme="majorHAnsi"/>
          <w:sz w:val="20"/>
          <w:szCs w:val="20"/>
          <w:lang w:val="pt-BR"/>
        </w:rPr>
        <w:t>suem</w:t>
      </w:r>
      <w:r w:rsidR="002649F0" w:rsidRPr="006D1C74">
        <w:rPr>
          <w:rFonts w:asciiTheme="majorHAnsi" w:hAnsiTheme="majorHAnsi"/>
          <w:sz w:val="20"/>
          <w:szCs w:val="20"/>
          <w:lang w:val="pt-BR"/>
        </w:rPr>
        <w:t xml:space="preserve"> 65%</w:t>
      </w:r>
      <w:r w:rsidR="00D74A93" w:rsidRPr="006D1C74">
        <w:rPr>
          <w:rFonts w:asciiTheme="majorHAnsi" w:hAnsiTheme="majorHAnsi"/>
          <w:sz w:val="20"/>
          <w:szCs w:val="20"/>
          <w:lang w:val="pt-BR"/>
        </w:rPr>
        <w:t xml:space="preserve"> das </w:t>
      </w:r>
      <w:r w:rsidR="00795010" w:rsidRPr="006D1C74">
        <w:rPr>
          <w:rFonts w:asciiTheme="majorHAnsi" w:hAnsiTheme="majorHAnsi"/>
          <w:sz w:val="20"/>
          <w:szCs w:val="20"/>
          <w:lang w:val="pt-BR"/>
        </w:rPr>
        <w:t>terra</w:t>
      </w:r>
      <w:r w:rsidR="002649F0" w:rsidRPr="006D1C74">
        <w:rPr>
          <w:rFonts w:asciiTheme="majorHAnsi" w:hAnsiTheme="majorHAnsi"/>
          <w:sz w:val="20"/>
          <w:szCs w:val="20"/>
          <w:lang w:val="pt-BR"/>
        </w:rPr>
        <w:t>s dispon</w:t>
      </w:r>
      <w:r w:rsidR="00572827" w:rsidRPr="006D1C74">
        <w:rPr>
          <w:rFonts w:asciiTheme="majorHAnsi" w:hAnsiTheme="majorHAnsi"/>
          <w:sz w:val="20"/>
          <w:szCs w:val="20"/>
          <w:lang w:val="pt-BR"/>
        </w:rPr>
        <w:t>ívei</w:t>
      </w:r>
      <w:r w:rsidR="002649F0" w:rsidRPr="006D1C74">
        <w:rPr>
          <w:rFonts w:asciiTheme="majorHAnsi" w:hAnsiTheme="majorHAnsi"/>
          <w:sz w:val="20"/>
          <w:szCs w:val="20"/>
          <w:lang w:val="pt-BR"/>
        </w:rPr>
        <w:t>s. E</w:t>
      </w:r>
      <w:r w:rsidR="00572827" w:rsidRPr="006D1C74">
        <w:rPr>
          <w:rFonts w:asciiTheme="majorHAnsi" w:hAnsiTheme="majorHAnsi"/>
          <w:sz w:val="20"/>
          <w:szCs w:val="20"/>
          <w:lang w:val="pt-BR"/>
        </w:rPr>
        <w:t>s</w:t>
      </w:r>
      <w:r w:rsidR="002649F0" w:rsidRPr="006D1C74">
        <w:rPr>
          <w:rFonts w:asciiTheme="majorHAnsi" w:hAnsiTheme="majorHAnsi"/>
          <w:sz w:val="20"/>
          <w:szCs w:val="20"/>
          <w:lang w:val="pt-BR"/>
        </w:rPr>
        <w:t>sa ser</w:t>
      </w:r>
      <w:r w:rsidR="00055622" w:rsidRPr="006D1C74">
        <w:rPr>
          <w:rFonts w:asciiTheme="majorHAnsi" w:hAnsiTheme="majorHAnsi"/>
          <w:sz w:val="20"/>
          <w:szCs w:val="20"/>
          <w:lang w:val="pt-BR"/>
        </w:rPr>
        <w:t>ia</w:t>
      </w:r>
      <w:r w:rsidR="00700267" w:rsidRPr="006D1C74">
        <w:rPr>
          <w:rFonts w:asciiTheme="majorHAnsi" w:hAnsiTheme="majorHAnsi"/>
          <w:sz w:val="20"/>
          <w:szCs w:val="20"/>
          <w:lang w:val="pt-BR"/>
        </w:rPr>
        <w:t xml:space="preserve"> a </w:t>
      </w:r>
      <w:r w:rsidR="002649F0" w:rsidRPr="006D1C74">
        <w:rPr>
          <w:rFonts w:asciiTheme="majorHAnsi" w:hAnsiTheme="majorHAnsi"/>
          <w:sz w:val="20"/>
          <w:szCs w:val="20"/>
          <w:lang w:val="pt-BR"/>
        </w:rPr>
        <w:t>causa</w:t>
      </w:r>
      <w:r w:rsidR="00700267" w:rsidRPr="006D1C74">
        <w:rPr>
          <w:rFonts w:asciiTheme="majorHAnsi" w:hAnsiTheme="majorHAnsi"/>
          <w:sz w:val="20"/>
          <w:szCs w:val="20"/>
          <w:lang w:val="pt-BR"/>
        </w:rPr>
        <w:t xml:space="preserve"> dos </w:t>
      </w:r>
      <w:r w:rsidR="002649F0" w:rsidRPr="006D1C74">
        <w:rPr>
          <w:rFonts w:asciiTheme="majorHAnsi" w:hAnsiTheme="majorHAnsi"/>
          <w:sz w:val="20"/>
          <w:szCs w:val="20"/>
          <w:lang w:val="pt-BR"/>
        </w:rPr>
        <w:t>altos índices de viol</w:t>
      </w:r>
      <w:r w:rsidR="00572827" w:rsidRPr="006D1C74">
        <w:rPr>
          <w:rFonts w:asciiTheme="majorHAnsi" w:hAnsiTheme="majorHAnsi"/>
          <w:sz w:val="20"/>
          <w:szCs w:val="20"/>
          <w:lang w:val="pt-BR"/>
        </w:rPr>
        <w:t>ê</w:t>
      </w:r>
      <w:r w:rsidR="002649F0" w:rsidRPr="006D1C74">
        <w:rPr>
          <w:rFonts w:asciiTheme="majorHAnsi" w:hAnsiTheme="majorHAnsi"/>
          <w:sz w:val="20"/>
          <w:szCs w:val="20"/>
          <w:lang w:val="pt-BR"/>
        </w:rPr>
        <w:t>ncia contra</w:t>
      </w:r>
      <w:r w:rsidR="00700267" w:rsidRPr="006D1C74">
        <w:rPr>
          <w:rFonts w:asciiTheme="majorHAnsi" w:hAnsiTheme="majorHAnsi"/>
          <w:sz w:val="20"/>
          <w:szCs w:val="20"/>
          <w:lang w:val="pt-BR"/>
        </w:rPr>
        <w:t xml:space="preserve"> os trabalh</w:t>
      </w:r>
      <w:r w:rsidR="002649F0" w:rsidRPr="006D1C74">
        <w:rPr>
          <w:rFonts w:asciiTheme="majorHAnsi" w:hAnsiTheme="majorHAnsi"/>
          <w:sz w:val="20"/>
          <w:szCs w:val="20"/>
          <w:lang w:val="pt-BR"/>
        </w:rPr>
        <w:t>adores rur</w:t>
      </w:r>
      <w:r w:rsidR="00700267" w:rsidRPr="006D1C74">
        <w:rPr>
          <w:rFonts w:asciiTheme="majorHAnsi" w:hAnsiTheme="majorHAnsi"/>
          <w:sz w:val="20"/>
          <w:szCs w:val="20"/>
          <w:lang w:val="pt-BR"/>
        </w:rPr>
        <w:t xml:space="preserve">ais sem </w:t>
      </w:r>
      <w:r w:rsidR="00795010" w:rsidRPr="006D1C74">
        <w:rPr>
          <w:rFonts w:asciiTheme="majorHAnsi" w:hAnsiTheme="majorHAnsi"/>
          <w:sz w:val="20"/>
          <w:szCs w:val="20"/>
          <w:lang w:val="pt-BR"/>
        </w:rPr>
        <w:t>terra</w:t>
      </w:r>
      <w:r w:rsidR="002649F0" w:rsidRPr="006D1C74">
        <w:rPr>
          <w:rFonts w:asciiTheme="majorHAnsi" w:hAnsiTheme="majorHAnsi"/>
          <w:sz w:val="20"/>
          <w:szCs w:val="20"/>
          <w:lang w:val="pt-BR"/>
        </w:rPr>
        <w:t xml:space="preserve"> que lu</w:t>
      </w:r>
      <w:r w:rsidR="001E7651" w:rsidRPr="006D1C74">
        <w:rPr>
          <w:rFonts w:asciiTheme="majorHAnsi" w:hAnsiTheme="majorHAnsi"/>
          <w:sz w:val="20"/>
          <w:szCs w:val="20"/>
          <w:lang w:val="pt-BR"/>
        </w:rPr>
        <w:t>tam</w:t>
      </w:r>
      <w:r w:rsidR="00F37852" w:rsidRPr="006D1C74">
        <w:rPr>
          <w:rFonts w:asciiTheme="majorHAnsi" w:hAnsiTheme="majorHAnsi"/>
          <w:sz w:val="20"/>
          <w:szCs w:val="20"/>
          <w:lang w:val="pt-BR"/>
        </w:rPr>
        <w:t xml:space="preserve"> pela </w:t>
      </w:r>
      <w:r w:rsidR="002649F0" w:rsidRPr="006D1C74">
        <w:rPr>
          <w:rFonts w:asciiTheme="majorHAnsi" w:hAnsiTheme="majorHAnsi"/>
          <w:sz w:val="20"/>
          <w:szCs w:val="20"/>
          <w:lang w:val="pt-BR"/>
        </w:rPr>
        <w:t>reforma agr</w:t>
      </w:r>
      <w:r w:rsidR="001E7651" w:rsidRPr="006D1C74">
        <w:rPr>
          <w:rFonts w:asciiTheme="majorHAnsi" w:hAnsiTheme="majorHAnsi"/>
          <w:sz w:val="20"/>
          <w:szCs w:val="20"/>
          <w:lang w:val="pt-BR"/>
        </w:rPr>
        <w:t>á</w:t>
      </w:r>
      <w:r w:rsidR="002649F0" w:rsidRPr="006D1C74">
        <w:rPr>
          <w:rFonts w:asciiTheme="majorHAnsi" w:hAnsiTheme="majorHAnsi"/>
          <w:sz w:val="20"/>
          <w:szCs w:val="20"/>
          <w:lang w:val="pt-BR"/>
        </w:rPr>
        <w:t>ria. A</w:t>
      </w:r>
      <w:r w:rsidR="001E7651" w:rsidRPr="006D1C74">
        <w:rPr>
          <w:rFonts w:asciiTheme="majorHAnsi" w:hAnsiTheme="majorHAnsi"/>
          <w:sz w:val="20"/>
          <w:szCs w:val="20"/>
          <w:lang w:val="pt-BR"/>
        </w:rPr>
        <w:t>lém disso</w:t>
      </w:r>
      <w:r w:rsidR="002649F0" w:rsidRPr="006D1C74">
        <w:rPr>
          <w:rFonts w:asciiTheme="majorHAnsi" w:hAnsiTheme="majorHAnsi"/>
          <w:sz w:val="20"/>
          <w:szCs w:val="20"/>
          <w:lang w:val="pt-BR"/>
        </w:rPr>
        <w:t xml:space="preserve">, </w:t>
      </w:r>
      <w:r w:rsidR="001E7651" w:rsidRPr="006D1C74">
        <w:rPr>
          <w:rFonts w:asciiTheme="majorHAnsi" w:hAnsiTheme="majorHAnsi"/>
          <w:sz w:val="20"/>
          <w:szCs w:val="20"/>
          <w:lang w:val="pt-BR"/>
        </w:rPr>
        <w:t>faz</w:t>
      </w:r>
      <w:r w:rsidR="002649F0" w:rsidRPr="006D1C74">
        <w:rPr>
          <w:rFonts w:asciiTheme="majorHAnsi" w:hAnsiTheme="majorHAnsi"/>
          <w:sz w:val="20"/>
          <w:szCs w:val="20"/>
          <w:lang w:val="pt-BR"/>
        </w:rPr>
        <w:t xml:space="preserve"> refer</w:t>
      </w:r>
      <w:r w:rsidR="001E7651" w:rsidRPr="006D1C74">
        <w:rPr>
          <w:rFonts w:asciiTheme="majorHAnsi" w:hAnsiTheme="majorHAnsi"/>
          <w:sz w:val="20"/>
          <w:szCs w:val="20"/>
          <w:lang w:val="pt-BR"/>
        </w:rPr>
        <w:t>ê</w:t>
      </w:r>
      <w:r w:rsidR="002649F0" w:rsidRPr="006D1C74">
        <w:rPr>
          <w:rFonts w:asciiTheme="majorHAnsi" w:hAnsiTheme="majorHAnsi"/>
          <w:sz w:val="20"/>
          <w:szCs w:val="20"/>
          <w:lang w:val="pt-BR"/>
        </w:rPr>
        <w:t xml:space="preserve">ncia a </w:t>
      </w:r>
      <w:r w:rsidR="00CF037E" w:rsidRPr="006D1C74">
        <w:rPr>
          <w:rFonts w:asciiTheme="majorHAnsi" w:hAnsiTheme="majorHAnsi"/>
          <w:sz w:val="20"/>
          <w:szCs w:val="20"/>
          <w:lang w:val="pt-BR"/>
        </w:rPr>
        <w:t>outr</w:t>
      </w:r>
      <w:r w:rsidR="002649F0" w:rsidRPr="006D1C74">
        <w:rPr>
          <w:rFonts w:asciiTheme="majorHAnsi" w:hAnsiTheme="majorHAnsi"/>
          <w:sz w:val="20"/>
          <w:szCs w:val="20"/>
          <w:lang w:val="pt-BR"/>
        </w:rPr>
        <w:t>os casos que tramita</w:t>
      </w:r>
      <w:r w:rsidR="001E7651" w:rsidRPr="006D1C74">
        <w:rPr>
          <w:rFonts w:asciiTheme="majorHAnsi" w:hAnsiTheme="majorHAnsi"/>
          <w:sz w:val="20"/>
          <w:szCs w:val="20"/>
          <w:lang w:val="pt-BR"/>
        </w:rPr>
        <w:t>m</w:t>
      </w:r>
      <w:r w:rsidR="00CF037E" w:rsidRPr="006D1C74">
        <w:rPr>
          <w:rFonts w:asciiTheme="majorHAnsi" w:hAnsiTheme="majorHAnsi"/>
          <w:sz w:val="20"/>
          <w:szCs w:val="20"/>
          <w:lang w:val="pt-BR"/>
        </w:rPr>
        <w:t xml:space="preserve"> e </w:t>
      </w:r>
      <w:r w:rsidR="002649F0" w:rsidRPr="006D1C74">
        <w:rPr>
          <w:rFonts w:asciiTheme="majorHAnsi" w:hAnsiTheme="majorHAnsi"/>
          <w:sz w:val="20"/>
          <w:szCs w:val="20"/>
          <w:lang w:val="pt-BR"/>
        </w:rPr>
        <w:t>tramitar</w:t>
      </w:r>
      <w:r w:rsidR="001E7651" w:rsidRPr="006D1C74">
        <w:rPr>
          <w:rFonts w:asciiTheme="majorHAnsi" w:hAnsiTheme="majorHAnsi"/>
          <w:sz w:val="20"/>
          <w:szCs w:val="20"/>
          <w:lang w:val="pt-BR"/>
        </w:rPr>
        <w:t>am</w:t>
      </w:r>
      <w:r w:rsidR="002649F0" w:rsidRPr="006D1C74">
        <w:rPr>
          <w:rFonts w:asciiTheme="majorHAnsi" w:hAnsiTheme="majorHAnsi"/>
          <w:sz w:val="20"/>
          <w:szCs w:val="20"/>
          <w:lang w:val="pt-BR"/>
        </w:rPr>
        <w:t xml:space="preserve"> </w:t>
      </w:r>
      <w:r w:rsidR="001E7651" w:rsidRPr="006D1C74">
        <w:rPr>
          <w:rFonts w:asciiTheme="majorHAnsi" w:hAnsiTheme="majorHAnsi"/>
          <w:sz w:val="20"/>
          <w:szCs w:val="20"/>
          <w:lang w:val="pt-BR"/>
        </w:rPr>
        <w:t>n</w:t>
      </w:r>
      <w:r w:rsidR="00700267" w:rsidRPr="006D1C74">
        <w:rPr>
          <w:rFonts w:asciiTheme="majorHAnsi" w:hAnsiTheme="majorHAnsi"/>
          <w:sz w:val="20"/>
          <w:szCs w:val="20"/>
          <w:lang w:val="pt-BR"/>
        </w:rPr>
        <w:t xml:space="preserve">a </w:t>
      </w:r>
      <w:r w:rsidR="002649F0" w:rsidRPr="006D1C74">
        <w:rPr>
          <w:rFonts w:asciiTheme="majorHAnsi" w:hAnsiTheme="majorHAnsi"/>
          <w:sz w:val="20"/>
          <w:szCs w:val="20"/>
          <w:lang w:val="pt-BR"/>
        </w:rPr>
        <w:t>CIDH sobre</w:t>
      </w:r>
      <w:r w:rsidR="00700267" w:rsidRPr="006D1C74">
        <w:rPr>
          <w:rFonts w:asciiTheme="majorHAnsi" w:hAnsiTheme="majorHAnsi"/>
          <w:sz w:val="20"/>
          <w:szCs w:val="20"/>
          <w:lang w:val="pt-BR"/>
        </w:rPr>
        <w:t xml:space="preserve"> a </w:t>
      </w:r>
      <w:r w:rsidR="002649F0" w:rsidRPr="006D1C74">
        <w:rPr>
          <w:rFonts w:asciiTheme="majorHAnsi" w:hAnsiTheme="majorHAnsi"/>
          <w:sz w:val="20"/>
          <w:szCs w:val="20"/>
          <w:lang w:val="pt-BR"/>
        </w:rPr>
        <w:t>m</w:t>
      </w:r>
      <w:r w:rsidR="001E7651" w:rsidRPr="006D1C74">
        <w:rPr>
          <w:rFonts w:asciiTheme="majorHAnsi" w:hAnsiTheme="majorHAnsi"/>
          <w:sz w:val="20"/>
          <w:szCs w:val="20"/>
          <w:lang w:val="pt-BR"/>
        </w:rPr>
        <w:t>e</w:t>
      </w:r>
      <w:r w:rsidR="002649F0" w:rsidRPr="006D1C74">
        <w:rPr>
          <w:rFonts w:asciiTheme="majorHAnsi" w:hAnsiTheme="majorHAnsi"/>
          <w:sz w:val="20"/>
          <w:szCs w:val="20"/>
          <w:lang w:val="pt-BR"/>
        </w:rPr>
        <w:t>sma problemática contextual de viol</w:t>
      </w:r>
      <w:r w:rsidR="001E7651" w:rsidRPr="006D1C74">
        <w:rPr>
          <w:rFonts w:asciiTheme="majorHAnsi" w:hAnsiTheme="majorHAnsi"/>
          <w:sz w:val="20"/>
          <w:szCs w:val="20"/>
          <w:lang w:val="pt-BR"/>
        </w:rPr>
        <w:t>ê</w:t>
      </w:r>
      <w:r w:rsidR="002649F0" w:rsidRPr="006D1C74">
        <w:rPr>
          <w:rFonts w:asciiTheme="majorHAnsi" w:hAnsiTheme="majorHAnsi"/>
          <w:sz w:val="20"/>
          <w:szCs w:val="20"/>
          <w:lang w:val="pt-BR"/>
        </w:rPr>
        <w:t>ncia</w:t>
      </w:r>
      <w:r w:rsidR="00FC2F62" w:rsidRPr="006D1C74">
        <w:rPr>
          <w:rFonts w:asciiTheme="majorHAnsi" w:hAnsiTheme="majorHAnsi"/>
          <w:sz w:val="20"/>
          <w:szCs w:val="20"/>
          <w:lang w:val="pt-BR"/>
        </w:rPr>
        <w:t xml:space="preserve"> no </w:t>
      </w:r>
      <w:r w:rsidR="002649F0" w:rsidRPr="006D1C74">
        <w:rPr>
          <w:rFonts w:asciiTheme="majorHAnsi" w:hAnsiTheme="majorHAnsi"/>
          <w:sz w:val="20"/>
          <w:szCs w:val="20"/>
          <w:lang w:val="pt-BR"/>
        </w:rPr>
        <w:t>campo. Re</w:t>
      </w:r>
      <w:r w:rsidR="001E7651" w:rsidRPr="006D1C74">
        <w:rPr>
          <w:rFonts w:asciiTheme="majorHAnsi" w:hAnsiTheme="majorHAnsi"/>
          <w:sz w:val="20"/>
          <w:szCs w:val="20"/>
          <w:lang w:val="pt-BR"/>
        </w:rPr>
        <w:t>ss</w:t>
      </w:r>
      <w:r w:rsidR="002649F0" w:rsidRPr="006D1C74">
        <w:rPr>
          <w:rFonts w:asciiTheme="majorHAnsi" w:hAnsiTheme="majorHAnsi"/>
          <w:sz w:val="20"/>
          <w:szCs w:val="20"/>
          <w:lang w:val="pt-BR"/>
        </w:rPr>
        <w:t>al</w:t>
      </w:r>
      <w:r w:rsidR="001E7651" w:rsidRPr="006D1C74">
        <w:rPr>
          <w:rFonts w:asciiTheme="majorHAnsi" w:hAnsiTheme="majorHAnsi"/>
          <w:sz w:val="20"/>
          <w:szCs w:val="20"/>
          <w:lang w:val="pt-BR"/>
        </w:rPr>
        <w:t>t</w:t>
      </w:r>
      <w:r w:rsidR="002649F0" w:rsidRPr="006D1C74">
        <w:rPr>
          <w:rFonts w:asciiTheme="majorHAnsi" w:hAnsiTheme="majorHAnsi"/>
          <w:sz w:val="20"/>
          <w:szCs w:val="20"/>
          <w:lang w:val="pt-BR"/>
        </w:rPr>
        <w:t>a que</w:t>
      </w:r>
      <w:r w:rsidR="00700267" w:rsidRPr="006D1C74">
        <w:rPr>
          <w:rFonts w:asciiTheme="majorHAnsi" w:hAnsiTheme="majorHAnsi"/>
          <w:sz w:val="20"/>
          <w:szCs w:val="20"/>
          <w:lang w:val="pt-BR"/>
        </w:rPr>
        <w:t xml:space="preserve"> as </w:t>
      </w:r>
      <w:r w:rsidR="002649F0" w:rsidRPr="006D1C74">
        <w:rPr>
          <w:rFonts w:asciiTheme="majorHAnsi" w:hAnsiTheme="majorHAnsi"/>
          <w:sz w:val="20"/>
          <w:szCs w:val="20"/>
          <w:lang w:val="pt-BR"/>
        </w:rPr>
        <w:t>viola</w:t>
      </w:r>
      <w:r w:rsidR="00CF037E" w:rsidRPr="006D1C74">
        <w:rPr>
          <w:rFonts w:asciiTheme="majorHAnsi" w:hAnsiTheme="majorHAnsi"/>
          <w:sz w:val="20"/>
          <w:szCs w:val="20"/>
          <w:lang w:val="pt-BR"/>
        </w:rPr>
        <w:t>ções</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presente caso se en</w:t>
      </w:r>
      <w:r w:rsidR="001E7651" w:rsidRPr="006D1C74">
        <w:rPr>
          <w:rFonts w:asciiTheme="majorHAnsi" w:hAnsiTheme="majorHAnsi"/>
          <w:sz w:val="20"/>
          <w:szCs w:val="20"/>
          <w:lang w:val="pt-BR"/>
        </w:rPr>
        <w:t>q</w:t>
      </w:r>
      <w:r w:rsidR="002649F0" w:rsidRPr="006D1C74">
        <w:rPr>
          <w:rFonts w:asciiTheme="majorHAnsi" w:hAnsiTheme="majorHAnsi"/>
          <w:sz w:val="20"/>
          <w:szCs w:val="20"/>
          <w:lang w:val="pt-BR"/>
        </w:rPr>
        <w:t>uadra</w:t>
      </w:r>
      <w:r w:rsidR="001E7651" w:rsidRPr="006D1C74">
        <w:rPr>
          <w:rFonts w:asciiTheme="majorHAnsi" w:hAnsiTheme="majorHAnsi"/>
          <w:sz w:val="20"/>
          <w:szCs w:val="20"/>
          <w:lang w:val="pt-BR"/>
        </w:rPr>
        <w:t>m n</w:t>
      </w:r>
      <w:r w:rsidR="00030019" w:rsidRPr="006D1C74">
        <w:rPr>
          <w:rFonts w:asciiTheme="majorHAnsi" w:hAnsiTheme="majorHAnsi"/>
          <w:sz w:val="20"/>
          <w:szCs w:val="20"/>
          <w:lang w:val="pt-BR"/>
        </w:rPr>
        <w:t xml:space="preserve">um </w:t>
      </w:r>
      <w:r w:rsidR="002649F0" w:rsidRPr="006D1C74">
        <w:rPr>
          <w:rFonts w:asciiTheme="majorHAnsi" w:hAnsiTheme="majorHAnsi"/>
          <w:sz w:val="20"/>
          <w:szCs w:val="20"/>
          <w:lang w:val="pt-BR"/>
        </w:rPr>
        <w:t xml:space="preserve">contexto de violenta </w:t>
      </w:r>
      <w:r w:rsidR="002649F0" w:rsidRPr="006D1C74">
        <w:rPr>
          <w:rFonts w:asciiTheme="majorHAnsi" w:hAnsiTheme="majorHAnsi"/>
          <w:sz w:val="20"/>
          <w:szCs w:val="20"/>
          <w:lang w:val="pt-BR"/>
        </w:rPr>
        <w:lastRenderedPageBreak/>
        <w:t>repre</w:t>
      </w:r>
      <w:r w:rsidR="0094446B" w:rsidRPr="006D1C74">
        <w:rPr>
          <w:rFonts w:asciiTheme="majorHAnsi" w:hAnsiTheme="majorHAnsi"/>
          <w:sz w:val="20"/>
          <w:szCs w:val="20"/>
          <w:lang w:val="pt-BR"/>
        </w:rPr>
        <w:t>s</w:t>
      </w:r>
      <w:r w:rsidR="001E7651" w:rsidRPr="006D1C74">
        <w:rPr>
          <w:rFonts w:asciiTheme="majorHAnsi" w:hAnsiTheme="majorHAnsi"/>
          <w:sz w:val="20"/>
          <w:szCs w:val="20"/>
          <w:lang w:val="pt-BR"/>
        </w:rPr>
        <w:t>s</w:t>
      </w:r>
      <w:r w:rsidR="0094446B" w:rsidRPr="006D1C74">
        <w:rPr>
          <w:rFonts w:asciiTheme="majorHAnsi" w:hAnsiTheme="majorHAnsi"/>
          <w:sz w:val="20"/>
          <w:szCs w:val="20"/>
          <w:lang w:val="pt-BR"/>
        </w:rPr>
        <w:t>ão</w:t>
      </w:r>
      <w:r w:rsidR="002649F0" w:rsidRPr="006D1C74">
        <w:rPr>
          <w:rFonts w:asciiTheme="majorHAnsi" w:hAnsiTheme="majorHAnsi"/>
          <w:sz w:val="20"/>
          <w:szCs w:val="20"/>
          <w:lang w:val="pt-BR"/>
        </w:rPr>
        <w:t xml:space="preserve"> estatal</w:t>
      </w:r>
      <w:r w:rsidR="00795010" w:rsidRPr="006D1C74">
        <w:rPr>
          <w:rFonts w:asciiTheme="majorHAnsi" w:hAnsiTheme="majorHAnsi"/>
          <w:sz w:val="20"/>
          <w:szCs w:val="20"/>
          <w:lang w:val="pt-BR"/>
        </w:rPr>
        <w:t xml:space="preserve"> da </w:t>
      </w:r>
      <w:r w:rsidR="002649F0" w:rsidRPr="006D1C74">
        <w:rPr>
          <w:rFonts w:asciiTheme="majorHAnsi" w:hAnsiTheme="majorHAnsi"/>
          <w:sz w:val="20"/>
          <w:szCs w:val="20"/>
          <w:lang w:val="pt-BR"/>
        </w:rPr>
        <w:t>lu</w:t>
      </w:r>
      <w:r w:rsidR="001E7651" w:rsidRPr="006D1C74">
        <w:rPr>
          <w:rFonts w:asciiTheme="majorHAnsi" w:hAnsiTheme="majorHAnsi"/>
          <w:sz w:val="20"/>
          <w:szCs w:val="20"/>
          <w:lang w:val="pt-BR"/>
        </w:rPr>
        <w:t>t</w:t>
      </w:r>
      <w:r w:rsidR="002649F0" w:rsidRPr="006D1C74">
        <w:rPr>
          <w:rFonts w:asciiTheme="majorHAnsi" w:hAnsiTheme="majorHAnsi"/>
          <w:sz w:val="20"/>
          <w:szCs w:val="20"/>
          <w:lang w:val="pt-BR"/>
        </w:rPr>
        <w:t>a</w:t>
      </w:r>
      <w:r w:rsidR="00F37852" w:rsidRPr="006D1C74">
        <w:rPr>
          <w:rFonts w:asciiTheme="majorHAnsi" w:hAnsiTheme="majorHAnsi"/>
          <w:sz w:val="20"/>
          <w:szCs w:val="20"/>
          <w:lang w:val="pt-BR"/>
        </w:rPr>
        <w:t xml:space="preserve"> pela </w:t>
      </w:r>
      <w:r w:rsidR="002649F0" w:rsidRPr="006D1C74">
        <w:rPr>
          <w:rFonts w:asciiTheme="majorHAnsi" w:hAnsiTheme="majorHAnsi"/>
          <w:sz w:val="20"/>
          <w:szCs w:val="20"/>
          <w:lang w:val="pt-BR"/>
        </w:rPr>
        <w:t>reforma agr</w:t>
      </w:r>
      <w:r w:rsidR="001E7651" w:rsidRPr="006D1C74">
        <w:rPr>
          <w:rFonts w:asciiTheme="majorHAnsi" w:hAnsiTheme="majorHAnsi"/>
          <w:sz w:val="20"/>
          <w:szCs w:val="20"/>
          <w:lang w:val="pt-BR"/>
        </w:rPr>
        <w:t>á</w:t>
      </w:r>
      <w:r w:rsidR="002649F0" w:rsidRPr="006D1C74">
        <w:rPr>
          <w:rFonts w:asciiTheme="majorHAnsi" w:hAnsiTheme="majorHAnsi"/>
          <w:sz w:val="20"/>
          <w:szCs w:val="20"/>
          <w:lang w:val="pt-BR"/>
        </w:rPr>
        <w:t>ria</w:t>
      </w:r>
      <w:r w:rsidR="00F673C7" w:rsidRPr="006D1C74">
        <w:rPr>
          <w:rFonts w:asciiTheme="majorHAnsi" w:hAnsiTheme="majorHAnsi"/>
          <w:sz w:val="20"/>
          <w:szCs w:val="20"/>
          <w:lang w:val="pt-BR"/>
        </w:rPr>
        <w:t xml:space="preserve"> </w:t>
      </w:r>
      <w:r w:rsidR="001E7651" w:rsidRPr="006D1C74">
        <w:rPr>
          <w:rFonts w:asciiTheme="majorHAnsi" w:hAnsiTheme="majorHAnsi"/>
          <w:sz w:val="20"/>
          <w:szCs w:val="20"/>
          <w:lang w:val="pt-BR"/>
        </w:rPr>
        <w:t>no</w:t>
      </w:r>
      <w:r w:rsidR="00F673C7" w:rsidRPr="006D1C74">
        <w:rPr>
          <w:rFonts w:asciiTheme="majorHAnsi" w:hAnsiTheme="majorHAnsi"/>
          <w:sz w:val="20"/>
          <w:szCs w:val="20"/>
          <w:lang w:val="pt-BR"/>
        </w:rPr>
        <w:t xml:space="preserve"> </w:t>
      </w:r>
      <w:r w:rsidR="002649F0" w:rsidRPr="006D1C74">
        <w:rPr>
          <w:rFonts w:asciiTheme="majorHAnsi" w:hAnsiTheme="majorHAnsi"/>
          <w:sz w:val="20"/>
          <w:szCs w:val="20"/>
          <w:lang w:val="pt-BR"/>
        </w:rPr>
        <w:t>Brasil,</w:t>
      </w:r>
      <w:r w:rsidR="00F673C7" w:rsidRPr="006D1C74">
        <w:rPr>
          <w:rFonts w:asciiTheme="majorHAnsi" w:hAnsiTheme="majorHAnsi"/>
          <w:sz w:val="20"/>
          <w:szCs w:val="20"/>
          <w:lang w:val="pt-BR"/>
        </w:rPr>
        <w:t xml:space="preserve"> em </w:t>
      </w:r>
      <w:r w:rsidR="002649F0" w:rsidRPr="006D1C74">
        <w:rPr>
          <w:rFonts w:asciiTheme="majorHAnsi" w:hAnsiTheme="majorHAnsi"/>
          <w:sz w:val="20"/>
          <w:szCs w:val="20"/>
          <w:lang w:val="pt-BR"/>
        </w:rPr>
        <w:t>particular</w:t>
      </w:r>
      <w:r w:rsidR="00FC2F62" w:rsidRPr="006D1C74">
        <w:rPr>
          <w:rFonts w:asciiTheme="majorHAnsi" w:hAnsiTheme="majorHAnsi"/>
          <w:sz w:val="20"/>
          <w:szCs w:val="20"/>
          <w:lang w:val="pt-BR"/>
        </w:rPr>
        <w:t xml:space="preserve"> no </w:t>
      </w:r>
      <w:r w:rsidR="002649F0" w:rsidRPr="006D1C74">
        <w:rPr>
          <w:rFonts w:asciiTheme="majorHAnsi" w:hAnsiTheme="majorHAnsi"/>
          <w:sz w:val="20"/>
          <w:szCs w:val="20"/>
          <w:lang w:val="pt-BR"/>
        </w:rPr>
        <w:t>estado d</w:t>
      </w:r>
      <w:r w:rsidR="001E7651" w:rsidRPr="006D1C74">
        <w:rPr>
          <w:rFonts w:asciiTheme="majorHAnsi" w:hAnsiTheme="majorHAnsi"/>
          <w:sz w:val="20"/>
          <w:szCs w:val="20"/>
          <w:lang w:val="pt-BR"/>
        </w:rPr>
        <w:t>o</w:t>
      </w:r>
      <w:r w:rsidR="002649F0" w:rsidRPr="006D1C74">
        <w:rPr>
          <w:rFonts w:asciiTheme="majorHAnsi" w:hAnsiTheme="majorHAnsi"/>
          <w:sz w:val="20"/>
          <w:szCs w:val="20"/>
          <w:lang w:val="pt-BR"/>
        </w:rPr>
        <w:t xml:space="preserve"> Paraná</w:t>
      </w:r>
      <w:r w:rsidR="001E7651" w:rsidRPr="006D1C74">
        <w:rPr>
          <w:rFonts w:asciiTheme="majorHAnsi" w:hAnsiTheme="majorHAnsi"/>
          <w:sz w:val="20"/>
          <w:szCs w:val="20"/>
          <w:lang w:val="pt-BR"/>
        </w:rPr>
        <w:t>,</w:t>
      </w:r>
      <w:r w:rsidR="002649F0" w:rsidRPr="006D1C74">
        <w:rPr>
          <w:rFonts w:asciiTheme="majorHAnsi" w:hAnsiTheme="majorHAnsi"/>
          <w:sz w:val="20"/>
          <w:szCs w:val="20"/>
          <w:lang w:val="pt-BR"/>
        </w:rPr>
        <w:t xml:space="preserve"> contexto que a</w:t>
      </w:r>
      <w:r w:rsidR="001E7651" w:rsidRPr="006D1C74">
        <w:rPr>
          <w:rFonts w:asciiTheme="majorHAnsi" w:hAnsiTheme="majorHAnsi"/>
          <w:sz w:val="20"/>
          <w:szCs w:val="20"/>
          <w:lang w:val="pt-BR"/>
        </w:rPr>
        <w:t>i</w:t>
      </w:r>
      <w:r w:rsidR="002649F0" w:rsidRPr="006D1C74">
        <w:rPr>
          <w:rFonts w:asciiTheme="majorHAnsi" w:hAnsiTheme="majorHAnsi"/>
          <w:sz w:val="20"/>
          <w:szCs w:val="20"/>
          <w:lang w:val="pt-BR"/>
        </w:rPr>
        <w:t>n</w:t>
      </w:r>
      <w:r w:rsidR="001E7651" w:rsidRPr="006D1C74">
        <w:rPr>
          <w:rFonts w:asciiTheme="majorHAnsi" w:hAnsiTheme="majorHAnsi"/>
          <w:sz w:val="20"/>
          <w:szCs w:val="20"/>
          <w:lang w:val="pt-BR"/>
        </w:rPr>
        <w:t>da</w:t>
      </w:r>
      <w:r w:rsidR="002649F0" w:rsidRPr="006D1C74">
        <w:rPr>
          <w:rFonts w:asciiTheme="majorHAnsi" w:hAnsiTheme="majorHAnsi"/>
          <w:sz w:val="20"/>
          <w:szCs w:val="20"/>
          <w:lang w:val="pt-BR"/>
        </w:rPr>
        <w:t xml:space="preserve"> persiste</w:t>
      </w:r>
      <w:r w:rsidR="001E7651" w:rsidRPr="006D1C74">
        <w:rPr>
          <w:rFonts w:asciiTheme="majorHAnsi" w:hAnsiTheme="majorHAnsi"/>
          <w:sz w:val="20"/>
          <w:szCs w:val="20"/>
          <w:lang w:val="pt-BR"/>
        </w:rPr>
        <w:t>.</w:t>
      </w:r>
      <w:r w:rsidR="002649F0" w:rsidRPr="006D1C74">
        <w:rPr>
          <w:rFonts w:asciiTheme="majorHAnsi" w:hAnsiTheme="majorHAnsi"/>
          <w:sz w:val="20"/>
          <w:szCs w:val="20"/>
          <w:lang w:val="pt-BR"/>
        </w:rPr>
        <w:t xml:space="preserve"> </w:t>
      </w:r>
    </w:p>
    <w:p w14:paraId="7904137E" w14:textId="77777777" w:rsidR="002649F0" w:rsidRPr="006D1C74" w:rsidRDefault="002649F0" w:rsidP="002649F0">
      <w:pPr>
        <w:ind w:left="720"/>
        <w:rPr>
          <w:rFonts w:asciiTheme="majorHAnsi" w:eastAsia="Cambria" w:hAnsiTheme="majorHAnsi" w:cs="Cambria"/>
          <w:sz w:val="20"/>
          <w:szCs w:val="20"/>
          <w:u w:color="000000"/>
          <w:lang w:val="pt-BR" w:eastAsia="es-ES"/>
        </w:rPr>
      </w:pPr>
    </w:p>
    <w:p w14:paraId="2C6CD0B2"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color w:val="FF0000"/>
          <w:sz w:val="20"/>
          <w:szCs w:val="20"/>
          <w:lang w:val="pt-BR"/>
        </w:rPr>
      </w:pPr>
      <w:r w:rsidRPr="006D1C74">
        <w:rPr>
          <w:rFonts w:asciiTheme="majorHAnsi" w:hAnsiTheme="majorHAnsi"/>
          <w:sz w:val="20"/>
          <w:szCs w:val="20"/>
          <w:lang w:val="pt-BR"/>
        </w:rPr>
        <w:t xml:space="preserve"> Frente a esta situa</w:t>
      </w:r>
      <w:r w:rsidR="00CF037E" w:rsidRPr="006D1C74">
        <w:rPr>
          <w:rFonts w:asciiTheme="majorHAnsi" w:hAnsiTheme="majorHAnsi"/>
          <w:sz w:val="20"/>
          <w:szCs w:val="20"/>
          <w:lang w:val="pt-BR"/>
        </w:rPr>
        <w:t>ção</w:t>
      </w:r>
      <w:r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 xml:space="preserve">parte </w:t>
      </w:r>
      <w:r w:rsidR="00795010" w:rsidRPr="006D1C74">
        <w:rPr>
          <w:rFonts w:asciiTheme="majorHAnsi" w:hAnsiTheme="majorHAnsi"/>
          <w:sz w:val="20"/>
          <w:szCs w:val="20"/>
          <w:lang w:val="pt-BR"/>
        </w:rPr>
        <w:t>peticionária</w:t>
      </w:r>
      <w:r w:rsidRPr="006D1C74">
        <w:rPr>
          <w:rFonts w:asciiTheme="majorHAnsi" w:hAnsiTheme="majorHAnsi"/>
          <w:sz w:val="20"/>
          <w:szCs w:val="20"/>
          <w:lang w:val="pt-BR"/>
        </w:rPr>
        <w:t xml:space="preserve"> solicita que</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Pr="006D1C74">
        <w:rPr>
          <w:rFonts w:asciiTheme="majorHAnsi" w:hAnsiTheme="majorHAnsi"/>
          <w:sz w:val="20"/>
          <w:szCs w:val="20"/>
          <w:lang w:val="pt-BR"/>
        </w:rPr>
        <w:t xml:space="preserve"> recon</w:t>
      </w:r>
      <w:r w:rsidR="001E7651" w:rsidRPr="006D1C74">
        <w:rPr>
          <w:rFonts w:asciiTheme="majorHAnsi" w:hAnsiTheme="majorHAnsi"/>
          <w:sz w:val="20"/>
          <w:szCs w:val="20"/>
          <w:lang w:val="pt-BR"/>
        </w:rPr>
        <w:t>heç</w:t>
      </w:r>
      <w:r w:rsidRPr="006D1C74">
        <w:rPr>
          <w:rFonts w:asciiTheme="majorHAnsi" w:hAnsiTheme="majorHAnsi"/>
          <w:sz w:val="20"/>
          <w:szCs w:val="20"/>
          <w:lang w:val="pt-BR"/>
        </w:rPr>
        <w:t>a</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responsabili</w:t>
      </w:r>
      <w:r w:rsidR="00F673C7" w:rsidRPr="006D1C74">
        <w:rPr>
          <w:rFonts w:asciiTheme="majorHAnsi" w:hAnsiTheme="majorHAnsi"/>
          <w:sz w:val="20"/>
          <w:szCs w:val="20"/>
          <w:lang w:val="pt-BR"/>
        </w:rPr>
        <w:t xml:space="preserve">dade </w:t>
      </w:r>
      <w:r w:rsidRPr="006D1C74">
        <w:rPr>
          <w:rFonts w:asciiTheme="majorHAnsi" w:hAnsiTheme="majorHAnsi"/>
          <w:sz w:val="20"/>
          <w:szCs w:val="20"/>
          <w:lang w:val="pt-BR"/>
        </w:rPr>
        <w:t>internacional</w:t>
      </w:r>
      <w:r w:rsidR="00030019" w:rsidRPr="006D1C74">
        <w:rPr>
          <w:rFonts w:asciiTheme="majorHAnsi" w:hAnsiTheme="majorHAnsi"/>
          <w:sz w:val="20"/>
          <w:szCs w:val="20"/>
          <w:lang w:val="pt-BR"/>
        </w:rPr>
        <w:t xml:space="preserve"> do </w:t>
      </w:r>
      <w:r w:rsidRPr="006D1C74">
        <w:rPr>
          <w:rFonts w:asciiTheme="majorHAnsi" w:hAnsiTheme="majorHAnsi"/>
          <w:sz w:val="20"/>
          <w:szCs w:val="20"/>
          <w:lang w:val="pt-BR"/>
        </w:rPr>
        <w:t xml:space="preserve">Estado por </w:t>
      </w:r>
      <w:r w:rsidRPr="006D1C74">
        <w:rPr>
          <w:rFonts w:asciiTheme="majorHAnsi" w:eastAsia="Batang" w:hAnsiTheme="majorHAnsi"/>
          <w:sz w:val="20"/>
          <w:szCs w:val="20"/>
          <w:bdr w:val="none" w:sz="0" w:space="0" w:color="auto"/>
          <w:lang w:val="pt-BR"/>
        </w:rPr>
        <w:t>viola</w:t>
      </w:r>
      <w:r w:rsidR="00CF037E" w:rsidRPr="006D1C74">
        <w:rPr>
          <w:rFonts w:asciiTheme="majorHAnsi" w:eastAsia="Batang" w:hAnsiTheme="majorHAnsi"/>
          <w:sz w:val="20"/>
          <w:szCs w:val="20"/>
          <w:bdr w:val="none" w:sz="0" w:space="0" w:color="auto"/>
          <w:lang w:val="pt-BR"/>
        </w:rPr>
        <w:t>ções</w:t>
      </w:r>
      <w:r w:rsidRPr="006D1C74">
        <w:rPr>
          <w:rFonts w:asciiTheme="majorHAnsi" w:eastAsia="Batang" w:hAnsiTheme="majorHAnsi"/>
          <w:sz w:val="20"/>
          <w:szCs w:val="20"/>
          <w:bdr w:val="none" w:sz="0" w:space="0" w:color="auto"/>
          <w:lang w:val="pt-BR"/>
        </w:rPr>
        <w:t xml:space="preserve"> </w:t>
      </w:r>
      <w:r w:rsidR="001E7651" w:rsidRPr="006D1C74">
        <w:rPr>
          <w:rFonts w:asciiTheme="majorHAnsi" w:eastAsia="Batang" w:hAnsiTheme="majorHAnsi"/>
          <w:sz w:val="20"/>
          <w:szCs w:val="20"/>
          <w:bdr w:val="none" w:sz="0" w:space="0" w:color="auto"/>
          <w:lang w:val="pt-BR"/>
        </w:rPr>
        <w:t>d</w:t>
      </w:r>
      <w:r w:rsidR="00700267" w:rsidRPr="006D1C74">
        <w:rPr>
          <w:rFonts w:asciiTheme="majorHAnsi" w:eastAsia="Batang" w:hAnsiTheme="majorHAnsi"/>
          <w:sz w:val="20"/>
          <w:szCs w:val="20"/>
          <w:bdr w:val="none" w:sz="0" w:space="0" w:color="auto"/>
          <w:lang w:val="pt-BR"/>
        </w:rPr>
        <w:t xml:space="preserve">os </w:t>
      </w:r>
      <w:r w:rsidR="00F673C7" w:rsidRPr="006D1C74">
        <w:rPr>
          <w:rFonts w:asciiTheme="majorHAnsi" w:hAnsiTheme="majorHAnsi"/>
          <w:sz w:val="20"/>
          <w:szCs w:val="20"/>
          <w:lang w:val="pt-BR"/>
        </w:rPr>
        <w:t>artigo</w:t>
      </w:r>
      <w:r w:rsidRPr="006D1C74">
        <w:rPr>
          <w:rFonts w:asciiTheme="majorHAnsi" w:hAnsiTheme="majorHAnsi"/>
          <w:sz w:val="20"/>
          <w:szCs w:val="20"/>
          <w:lang w:val="pt-BR"/>
        </w:rPr>
        <w:t>s 4 (</w:t>
      </w:r>
      <w:r w:rsidR="00417BE8" w:rsidRPr="006D1C74">
        <w:rPr>
          <w:rFonts w:asciiTheme="majorHAnsi" w:hAnsiTheme="majorHAnsi"/>
          <w:sz w:val="20"/>
          <w:szCs w:val="20"/>
          <w:lang w:val="pt-BR"/>
        </w:rPr>
        <w:t>direito</w:t>
      </w:r>
      <w:r w:rsidR="00030019" w:rsidRPr="006D1C74">
        <w:rPr>
          <w:rFonts w:asciiTheme="majorHAnsi" w:hAnsiTheme="majorHAnsi"/>
          <w:sz w:val="20"/>
          <w:szCs w:val="20"/>
          <w:lang w:val="pt-BR"/>
        </w:rPr>
        <w:t xml:space="preserve"> à </w:t>
      </w:r>
      <w:r w:rsidRPr="006D1C74">
        <w:rPr>
          <w:rFonts w:asciiTheme="majorHAnsi" w:hAnsiTheme="majorHAnsi"/>
          <w:sz w:val="20"/>
          <w:szCs w:val="20"/>
          <w:lang w:val="pt-BR"/>
        </w:rPr>
        <w:t>vida), 5 (</w:t>
      </w:r>
      <w:r w:rsidR="00417BE8" w:rsidRPr="006D1C74">
        <w:rPr>
          <w:rFonts w:asciiTheme="majorHAnsi" w:hAnsiTheme="majorHAnsi"/>
          <w:sz w:val="20"/>
          <w:szCs w:val="20"/>
          <w:lang w:val="pt-BR"/>
        </w:rPr>
        <w:t>direito</w:t>
      </w:r>
      <w:r w:rsidR="00030019" w:rsidRPr="006D1C74">
        <w:rPr>
          <w:rFonts w:asciiTheme="majorHAnsi" w:hAnsiTheme="majorHAnsi"/>
          <w:sz w:val="20"/>
          <w:szCs w:val="20"/>
          <w:lang w:val="pt-BR"/>
        </w:rPr>
        <w:t xml:space="preserve"> à </w:t>
      </w:r>
      <w:r w:rsidRPr="006D1C74">
        <w:rPr>
          <w:rFonts w:asciiTheme="majorHAnsi" w:hAnsiTheme="majorHAnsi"/>
          <w:sz w:val="20"/>
          <w:szCs w:val="20"/>
          <w:lang w:val="pt-BR"/>
        </w:rPr>
        <w:t>integri</w:t>
      </w:r>
      <w:r w:rsidR="00F673C7" w:rsidRPr="006D1C74">
        <w:rPr>
          <w:rFonts w:asciiTheme="majorHAnsi" w:hAnsiTheme="majorHAnsi"/>
          <w:sz w:val="20"/>
          <w:szCs w:val="20"/>
          <w:lang w:val="pt-BR"/>
        </w:rPr>
        <w:t xml:space="preserve">dade </w:t>
      </w:r>
      <w:r w:rsidR="00CA7940" w:rsidRPr="006D1C74">
        <w:rPr>
          <w:rFonts w:asciiTheme="majorHAnsi" w:hAnsiTheme="majorHAnsi"/>
          <w:sz w:val="20"/>
          <w:szCs w:val="20"/>
          <w:lang w:val="pt-BR"/>
        </w:rPr>
        <w:t>pessoa</w:t>
      </w:r>
      <w:r w:rsidRPr="006D1C74">
        <w:rPr>
          <w:rFonts w:asciiTheme="majorHAnsi" w:hAnsiTheme="majorHAnsi"/>
          <w:sz w:val="20"/>
          <w:szCs w:val="20"/>
          <w:lang w:val="pt-BR"/>
        </w:rPr>
        <w:t>l), 8 (garant</w:t>
      </w:r>
      <w:r w:rsidR="00055622" w:rsidRPr="006D1C74">
        <w:rPr>
          <w:rFonts w:asciiTheme="majorHAnsi" w:hAnsiTheme="majorHAnsi"/>
          <w:sz w:val="20"/>
          <w:szCs w:val="20"/>
          <w:lang w:val="pt-BR"/>
        </w:rPr>
        <w:t>ia</w:t>
      </w:r>
      <w:r w:rsidRPr="006D1C74">
        <w:rPr>
          <w:rFonts w:asciiTheme="majorHAnsi" w:hAnsiTheme="majorHAnsi"/>
          <w:sz w:val="20"/>
          <w:szCs w:val="20"/>
          <w:lang w:val="pt-BR"/>
        </w:rPr>
        <w:t>s judici</w:t>
      </w:r>
      <w:r w:rsidR="00700267" w:rsidRPr="006D1C74">
        <w:rPr>
          <w:rFonts w:asciiTheme="majorHAnsi" w:hAnsiTheme="majorHAnsi"/>
          <w:sz w:val="20"/>
          <w:szCs w:val="20"/>
          <w:lang w:val="pt-BR"/>
        </w:rPr>
        <w:t>ais</w:t>
      </w:r>
      <w:r w:rsidRPr="006D1C74">
        <w:rPr>
          <w:rFonts w:asciiTheme="majorHAnsi" w:hAnsiTheme="majorHAnsi"/>
          <w:sz w:val="20"/>
          <w:szCs w:val="20"/>
          <w:lang w:val="pt-BR"/>
        </w:rPr>
        <w:t>), 13 (liber</w:t>
      </w:r>
      <w:r w:rsidR="001E7651" w:rsidRPr="006D1C74">
        <w:rPr>
          <w:rFonts w:asciiTheme="majorHAnsi" w:hAnsiTheme="majorHAnsi"/>
          <w:sz w:val="20"/>
          <w:szCs w:val="20"/>
          <w:lang w:val="pt-BR"/>
        </w:rPr>
        <w:t>d</w:t>
      </w:r>
      <w:r w:rsidRPr="006D1C74">
        <w:rPr>
          <w:rFonts w:asciiTheme="majorHAnsi" w:hAnsiTheme="majorHAnsi"/>
          <w:sz w:val="20"/>
          <w:szCs w:val="20"/>
          <w:lang w:val="pt-BR"/>
        </w:rPr>
        <w:t>ad</w:t>
      </w:r>
      <w:r w:rsidR="001E7651" w:rsidRPr="006D1C74">
        <w:rPr>
          <w:rFonts w:asciiTheme="majorHAnsi" w:hAnsiTheme="majorHAnsi"/>
          <w:sz w:val="20"/>
          <w:szCs w:val="20"/>
          <w:lang w:val="pt-BR"/>
        </w:rPr>
        <w:t>e</w:t>
      </w:r>
      <w:r w:rsidRPr="006D1C74">
        <w:rPr>
          <w:rFonts w:asciiTheme="majorHAnsi" w:hAnsiTheme="majorHAnsi"/>
          <w:sz w:val="20"/>
          <w:szCs w:val="20"/>
          <w:lang w:val="pt-BR"/>
        </w:rPr>
        <w:t xml:space="preserve"> de pensa</w:t>
      </w:r>
      <w:r w:rsidR="00700267" w:rsidRPr="006D1C74">
        <w:rPr>
          <w:rFonts w:asciiTheme="majorHAnsi" w:hAnsiTheme="majorHAnsi"/>
          <w:sz w:val="20"/>
          <w:szCs w:val="20"/>
          <w:lang w:val="pt-BR"/>
        </w:rPr>
        <w:t>mento</w:t>
      </w:r>
      <w:r w:rsidR="00CF037E" w:rsidRPr="006D1C74">
        <w:rPr>
          <w:rFonts w:asciiTheme="majorHAnsi" w:hAnsiTheme="majorHAnsi"/>
          <w:sz w:val="20"/>
          <w:szCs w:val="20"/>
          <w:lang w:val="pt-BR"/>
        </w:rPr>
        <w:t xml:space="preserve"> e </w:t>
      </w:r>
      <w:r w:rsidRPr="006D1C74">
        <w:rPr>
          <w:rFonts w:asciiTheme="majorHAnsi" w:hAnsiTheme="majorHAnsi"/>
          <w:sz w:val="20"/>
          <w:szCs w:val="20"/>
          <w:lang w:val="pt-BR"/>
        </w:rPr>
        <w:t>de expre</w:t>
      </w:r>
      <w:r w:rsidR="0094446B" w:rsidRPr="006D1C74">
        <w:rPr>
          <w:rFonts w:asciiTheme="majorHAnsi" w:hAnsiTheme="majorHAnsi"/>
          <w:sz w:val="20"/>
          <w:szCs w:val="20"/>
          <w:lang w:val="pt-BR"/>
        </w:rPr>
        <w:t>s</w:t>
      </w:r>
      <w:r w:rsidR="001E7651" w:rsidRPr="006D1C74">
        <w:rPr>
          <w:rFonts w:asciiTheme="majorHAnsi" w:hAnsiTheme="majorHAnsi"/>
          <w:sz w:val="20"/>
          <w:szCs w:val="20"/>
          <w:lang w:val="pt-BR"/>
        </w:rPr>
        <w:t>s</w:t>
      </w:r>
      <w:r w:rsidR="0094446B" w:rsidRPr="006D1C74">
        <w:rPr>
          <w:rFonts w:asciiTheme="majorHAnsi" w:hAnsiTheme="majorHAnsi"/>
          <w:sz w:val="20"/>
          <w:szCs w:val="20"/>
          <w:lang w:val="pt-BR"/>
        </w:rPr>
        <w:t>ão</w:t>
      </w:r>
      <w:r w:rsidRPr="006D1C74">
        <w:rPr>
          <w:rFonts w:asciiTheme="majorHAnsi" w:hAnsiTheme="majorHAnsi"/>
          <w:sz w:val="20"/>
          <w:szCs w:val="20"/>
          <w:lang w:val="pt-BR"/>
        </w:rPr>
        <w:t>), 15 (</w:t>
      </w:r>
      <w:r w:rsidR="00417BE8" w:rsidRPr="006D1C74">
        <w:rPr>
          <w:rFonts w:asciiTheme="majorHAnsi" w:hAnsiTheme="majorHAnsi"/>
          <w:sz w:val="20"/>
          <w:szCs w:val="20"/>
          <w:lang w:val="pt-BR"/>
        </w:rPr>
        <w:t>direito</w:t>
      </w:r>
      <w:r w:rsidRPr="006D1C74">
        <w:rPr>
          <w:rFonts w:asciiTheme="majorHAnsi" w:hAnsiTheme="majorHAnsi"/>
          <w:sz w:val="20"/>
          <w:szCs w:val="20"/>
          <w:lang w:val="pt-BR"/>
        </w:rPr>
        <w:t xml:space="preserve"> de reuni</w:t>
      </w:r>
      <w:r w:rsidR="001E7651" w:rsidRPr="006D1C74">
        <w:rPr>
          <w:rFonts w:asciiTheme="majorHAnsi" w:hAnsiTheme="majorHAnsi"/>
          <w:sz w:val="20"/>
          <w:szCs w:val="20"/>
          <w:lang w:val="pt-BR"/>
        </w:rPr>
        <w:t>ão</w:t>
      </w:r>
      <w:r w:rsidRPr="006D1C74">
        <w:rPr>
          <w:rFonts w:asciiTheme="majorHAnsi" w:hAnsiTheme="majorHAnsi"/>
          <w:sz w:val="20"/>
          <w:szCs w:val="20"/>
          <w:lang w:val="pt-BR"/>
        </w:rPr>
        <w:t>), 22 (</w:t>
      </w:r>
      <w:r w:rsidR="00417BE8" w:rsidRPr="006D1C74">
        <w:rPr>
          <w:rFonts w:asciiTheme="majorHAnsi" w:hAnsiTheme="majorHAnsi"/>
          <w:sz w:val="20"/>
          <w:szCs w:val="20"/>
          <w:lang w:val="pt-BR"/>
        </w:rPr>
        <w:t>direito</w:t>
      </w:r>
      <w:r w:rsidRPr="006D1C74">
        <w:rPr>
          <w:rFonts w:asciiTheme="majorHAnsi" w:hAnsiTheme="majorHAnsi"/>
          <w:sz w:val="20"/>
          <w:szCs w:val="20"/>
          <w:lang w:val="pt-BR"/>
        </w:rPr>
        <w:t xml:space="preserve"> de circula</w:t>
      </w:r>
      <w:r w:rsidR="00CF037E" w:rsidRPr="006D1C74">
        <w:rPr>
          <w:rFonts w:asciiTheme="majorHAnsi" w:hAnsiTheme="majorHAnsi"/>
          <w:sz w:val="20"/>
          <w:szCs w:val="20"/>
          <w:lang w:val="pt-BR"/>
        </w:rPr>
        <w:t xml:space="preserve">ção e </w:t>
      </w:r>
      <w:r w:rsidRPr="006D1C74">
        <w:rPr>
          <w:rFonts w:asciiTheme="majorHAnsi" w:hAnsiTheme="majorHAnsi"/>
          <w:sz w:val="20"/>
          <w:szCs w:val="20"/>
          <w:lang w:val="pt-BR"/>
        </w:rPr>
        <w:t>de resid</w:t>
      </w:r>
      <w:r w:rsidR="001E7651" w:rsidRPr="006D1C74">
        <w:rPr>
          <w:rFonts w:asciiTheme="majorHAnsi" w:hAnsiTheme="majorHAnsi"/>
          <w:sz w:val="20"/>
          <w:szCs w:val="20"/>
          <w:lang w:val="pt-BR"/>
        </w:rPr>
        <w:t>ê</w:t>
      </w:r>
      <w:r w:rsidRPr="006D1C74">
        <w:rPr>
          <w:rFonts w:asciiTheme="majorHAnsi" w:hAnsiTheme="majorHAnsi"/>
          <w:sz w:val="20"/>
          <w:szCs w:val="20"/>
          <w:lang w:val="pt-BR"/>
        </w:rPr>
        <w:t>ncia)</w:t>
      </w:r>
      <w:r w:rsidR="00CF037E" w:rsidRPr="006D1C74">
        <w:rPr>
          <w:rFonts w:asciiTheme="majorHAnsi" w:hAnsiTheme="majorHAnsi"/>
          <w:sz w:val="20"/>
          <w:szCs w:val="20"/>
          <w:lang w:val="pt-BR"/>
        </w:rPr>
        <w:t xml:space="preserve"> e </w:t>
      </w:r>
      <w:r w:rsidRPr="006D1C74">
        <w:rPr>
          <w:rFonts w:asciiTheme="majorHAnsi" w:hAnsiTheme="majorHAnsi"/>
          <w:sz w:val="20"/>
          <w:szCs w:val="20"/>
          <w:lang w:val="pt-BR"/>
        </w:rPr>
        <w:t>25 (prote</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judicial)</w:t>
      </w:r>
      <w:r w:rsidR="00795010" w:rsidRPr="006D1C74">
        <w:rPr>
          <w:rFonts w:asciiTheme="majorHAnsi" w:hAnsiTheme="majorHAnsi"/>
          <w:sz w:val="20"/>
          <w:szCs w:val="20"/>
          <w:lang w:val="pt-BR"/>
        </w:rPr>
        <w:t xml:space="preserve"> da </w:t>
      </w:r>
      <w:r w:rsidRPr="006D1C74">
        <w:rPr>
          <w:rFonts w:asciiTheme="majorHAnsi" w:hAnsiTheme="majorHAnsi"/>
          <w:sz w:val="20"/>
          <w:szCs w:val="20"/>
          <w:lang w:val="pt-BR"/>
        </w:rPr>
        <w:t>Conven</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Americana sobre </w:t>
      </w:r>
      <w:r w:rsidR="00417BE8" w:rsidRPr="006D1C74">
        <w:rPr>
          <w:rFonts w:asciiTheme="majorHAnsi" w:hAnsiTheme="majorHAnsi"/>
          <w:sz w:val="20"/>
          <w:szCs w:val="20"/>
          <w:lang w:val="pt-BR"/>
        </w:rPr>
        <w:t>Direito</w:t>
      </w:r>
      <w:r w:rsidRPr="006D1C74">
        <w:rPr>
          <w:rFonts w:asciiTheme="majorHAnsi" w:hAnsiTheme="majorHAnsi"/>
          <w:sz w:val="20"/>
          <w:szCs w:val="20"/>
          <w:lang w:val="pt-BR"/>
        </w:rPr>
        <w:t>s Humanos (“Conven</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Americana” o</w:t>
      </w:r>
      <w:r w:rsidR="001E7651" w:rsidRPr="006D1C74">
        <w:rPr>
          <w:rFonts w:asciiTheme="majorHAnsi" w:hAnsiTheme="majorHAnsi"/>
          <w:sz w:val="20"/>
          <w:szCs w:val="20"/>
          <w:lang w:val="pt-BR"/>
        </w:rPr>
        <w:t>u</w:t>
      </w:r>
      <w:r w:rsidRPr="006D1C74">
        <w:rPr>
          <w:rFonts w:asciiTheme="majorHAnsi" w:hAnsiTheme="majorHAnsi"/>
          <w:sz w:val="20"/>
          <w:szCs w:val="20"/>
          <w:lang w:val="pt-BR"/>
        </w:rPr>
        <w:t xml:space="preserve"> “Conven</w:t>
      </w:r>
      <w:r w:rsidR="00CF037E" w:rsidRPr="006D1C74">
        <w:rPr>
          <w:rFonts w:asciiTheme="majorHAnsi" w:hAnsiTheme="majorHAnsi"/>
          <w:sz w:val="20"/>
          <w:szCs w:val="20"/>
          <w:lang w:val="pt-BR"/>
        </w:rPr>
        <w:t>ção</w:t>
      </w:r>
      <w:r w:rsidRPr="006D1C74">
        <w:rPr>
          <w:rFonts w:asciiTheme="majorHAnsi" w:hAnsiTheme="majorHAnsi"/>
          <w:sz w:val="20"/>
          <w:szCs w:val="20"/>
          <w:lang w:val="pt-BR"/>
        </w:rPr>
        <w:t>”) e, igualmente,</w:t>
      </w:r>
      <w:r w:rsidR="00700267" w:rsidRPr="006D1C74">
        <w:rPr>
          <w:rFonts w:asciiTheme="majorHAnsi" w:hAnsiTheme="majorHAnsi"/>
          <w:sz w:val="20"/>
          <w:szCs w:val="20"/>
          <w:lang w:val="pt-BR"/>
        </w:rPr>
        <w:t xml:space="preserve"> pelo </w:t>
      </w:r>
      <w:r w:rsidR="001E7651" w:rsidRPr="006D1C74">
        <w:rPr>
          <w:rFonts w:asciiTheme="majorHAnsi" w:hAnsiTheme="majorHAnsi"/>
          <w:sz w:val="20"/>
          <w:szCs w:val="20"/>
          <w:lang w:val="pt-BR"/>
        </w:rPr>
        <w:t>des</w:t>
      </w:r>
      <w:r w:rsidRPr="006D1C74">
        <w:rPr>
          <w:rFonts w:asciiTheme="majorHAnsi" w:hAnsiTheme="majorHAnsi"/>
          <w:sz w:val="20"/>
          <w:szCs w:val="20"/>
          <w:lang w:val="pt-BR"/>
        </w:rPr>
        <w:t>cump</w:t>
      </w:r>
      <w:r w:rsidR="001E7651" w:rsidRPr="006D1C74">
        <w:rPr>
          <w:rFonts w:asciiTheme="majorHAnsi" w:hAnsiTheme="majorHAnsi"/>
          <w:sz w:val="20"/>
          <w:szCs w:val="20"/>
          <w:lang w:val="pt-BR"/>
        </w:rPr>
        <w:t>r</w:t>
      </w:r>
      <w:r w:rsidRPr="006D1C74">
        <w:rPr>
          <w:rFonts w:asciiTheme="majorHAnsi" w:hAnsiTheme="majorHAnsi"/>
          <w:sz w:val="20"/>
          <w:szCs w:val="20"/>
          <w:lang w:val="pt-BR"/>
        </w:rPr>
        <w:t>i</w:t>
      </w:r>
      <w:r w:rsidR="00700267" w:rsidRPr="006D1C74">
        <w:rPr>
          <w:rFonts w:asciiTheme="majorHAnsi" w:hAnsiTheme="majorHAnsi"/>
          <w:sz w:val="20"/>
          <w:szCs w:val="20"/>
          <w:lang w:val="pt-BR"/>
        </w:rPr>
        <w:t>mento</w:t>
      </w:r>
      <w:r w:rsidR="00D74A93" w:rsidRPr="006D1C74">
        <w:rPr>
          <w:rFonts w:asciiTheme="majorHAnsi" w:hAnsiTheme="majorHAnsi"/>
          <w:sz w:val="20"/>
          <w:szCs w:val="20"/>
          <w:lang w:val="pt-BR"/>
        </w:rPr>
        <w:t xml:space="preserve"> das </w:t>
      </w:r>
      <w:r w:rsidRPr="006D1C74">
        <w:rPr>
          <w:rFonts w:asciiTheme="majorHAnsi" w:hAnsiTheme="majorHAnsi"/>
          <w:sz w:val="20"/>
          <w:szCs w:val="20"/>
          <w:lang w:val="pt-BR"/>
        </w:rPr>
        <w:t>ob</w:t>
      </w:r>
      <w:r w:rsidR="001E7651" w:rsidRPr="006D1C74">
        <w:rPr>
          <w:rFonts w:asciiTheme="majorHAnsi" w:hAnsiTheme="majorHAnsi"/>
          <w:sz w:val="20"/>
          <w:szCs w:val="20"/>
          <w:lang w:val="pt-BR"/>
        </w:rPr>
        <w:t>r</w:t>
      </w:r>
      <w:r w:rsidRPr="006D1C74">
        <w:rPr>
          <w:rFonts w:asciiTheme="majorHAnsi" w:hAnsiTheme="majorHAnsi"/>
          <w:sz w:val="20"/>
          <w:szCs w:val="20"/>
          <w:lang w:val="pt-BR"/>
        </w:rPr>
        <w:t>iga</w:t>
      </w:r>
      <w:r w:rsidR="00CF037E" w:rsidRPr="006D1C74">
        <w:rPr>
          <w:rFonts w:asciiTheme="majorHAnsi" w:hAnsiTheme="majorHAnsi"/>
          <w:sz w:val="20"/>
          <w:szCs w:val="20"/>
          <w:lang w:val="pt-BR"/>
        </w:rPr>
        <w:t>ções</w:t>
      </w:r>
      <w:r w:rsidRPr="006D1C74">
        <w:rPr>
          <w:rFonts w:asciiTheme="majorHAnsi" w:hAnsiTheme="majorHAnsi"/>
          <w:sz w:val="20"/>
          <w:szCs w:val="20"/>
          <w:lang w:val="pt-BR"/>
        </w:rPr>
        <w:t xml:space="preserve"> ger</w:t>
      </w:r>
      <w:r w:rsidR="00700267" w:rsidRPr="006D1C74">
        <w:rPr>
          <w:rFonts w:asciiTheme="majorHAnsi" w:hAnsiTheme="majorHAnsi"/>
          <w:sz w:val="20"/>
          <w:szCs w:val="20"/>
          <w:lang w:val="pt-BR"/>
        </w:rPr>
        <w:t>ais</w:t>
      </w:r>
      <w:r w:rsidRPr="006D1C74">
        <w:rPr>
          <w:rFonts w:asciiTheme="majorHAnsi" w:hAnsiTheme="majorHAnsi"/>
          <w:sz w:val="20"/>
          <w:szCs w:val="20"/>
          <w:lang w:val="pt-BR"/>
        </w:rPr>
        <w:t xml:space="preserve"> previstas</w:t>
      </w:r>
      <w:r w:rsidR="00217759" w:rsidRPr="006D1C74">
        <w:rPr>
          <w:rFonts w:asciiTheme="majorHAnsi" w:hAnsiTheme="majorHAnsi"/>
          <w:sz w:val="20"/>
          <w:szCs w:val="20"/>
          <w:lang w:val="pt-BR"/>
        </w:rPr>
        <w:t xml:space="preserve"> nos </w:t>
      </w:r>
      <w:r w:rsidR="00F673C7" w:rsidRPr="006D1C74">
        <w:rPr>
          <w:rFonts w:asciiTheme="majorHAnsi" w:hAnsiTheme="majorHAnsi"/>
          <w:sz w:val="20"/>
          <w:szCs w:val="20"/>
          <w:lang w:val="pt-BR"/>
        </w:rPr>
        <w:t>artigo</w:t>
      </w:r>
      <w:r w:rsidRPr="006D1C74">
        <w:rPr>
          <w:rFonts w:asciiTheme="majorHAnsi" w:hAnsiTheme="majorHAnsi"/>
          <w:sz w:val="20"/>
          <w:szCs w:val="20"/>
          <w:lang w:val="pt-BR"/>
        </w:rPr>
        <w:t>s 1.1</w:t>
      </w:r>
      <w:r w:rsidR="00CF037E" w:rsidRPr="006D1C74">
        <w:rPr>
          <w:rFonts w:asciiTheme="majorHAnsi" w:hAnsiTheme="majorHAnsi"/>
          <w:sz w:val="20"/>
          <w:szCs w:val="20"/>
          <w:lang w:val="pt-BR"/>
        </w:rPr>
        <w:t xml:space="preserve"> e </w:t>
      </w:r>
      <w:r w:rsidRPr="006D1C74">
        <w:rPr>
          <w:rFonts w:asciiTheme="majorHAnsi" w:hAnsiTheme="majorHAnsi"/>
          <w:sz w:val="20"/>
          <w:szCs w:val="20"/>
          <w:lang w:val="pt-BR"/>
        </w:rPr>
        <w:t>2 de</w:t>
      </w:r>
      <w:r w:rsidR="001E7651" w:rsidRPr="006D1C74">
        <w:rPr>
          <w:rFonts w:asciiTheme="majorHAnsi" w:hAnsiTheme="majorHAnsi"/>
          <w:sz w:val="20"/>
          <w:szCs w:val="20"/>
          <w:lang w:val="pt-BR"/>
        </w:rPr>
        <w:t>sse</w:t>
      </w:r>
      <w:r w:rsidRPr="006D1C74">
        <w:rPr>
          <w:rFonts w:asciiTheme="majorHAnsi" w:hAnsiTheme="majorHAnsi"/>
          <w:sz w:val="20"/>
          <w:szCs w:val="20"/>
          <w:lang w:val="pt-BR"/>
        </w:rPr>
        <w:t xml:space="preserve"> instrumento.</w:t>
      </w:r>
    </w:p>
    <w:p w14:paraId="658F0352" w14:textId="77777777" w:rsidR="002649F0" w:rsidRPr="006D1C74" w:rsidRDefault="002649F0" w:rsidP="002649F0">
      <w:pPr>
        <w:ind w:left="720"/>
        <w:rPr>
          <w:rFonts w:asciiTheme="majorHAnsi" w:eastAsia="Cambria" w:hAnsiTheme="majorHAnsi" w:cs="Cambria"/>
          <w:color w:val="FF0000"/>
          <w:sz w:val="20"/>
          <w:szCs w:val="20"/>
          <w:u w:color="000000"/>
          <w:lang w:val="pt-BR" w:eastAsia="es-ES"/>
        </w:rPr>
      </w:pPr>
    </w:p>
    <w:p w14:paraId="3A7F45A5" w14:textId="77777777" w:rsidR="002649F0" w:rsidRPr="006D1C74" w:rsidRDefault="002649F0" w:rsidP="00E46227">
      <w:pPr>
        <w:pStyle w:val="Heading2"/>
        <w:rPr>
          <w:lang w:val="pt-BR"/>
        </w:rPr>
      </w:pPr>
      <w:bookmarkStart w:id="9" w:name="_Toc7618499"/>
      <w:bookmarkStart w:id="10" w:name="_Toc43554268"/>
      <w:r w:rsidRPr="006D1C74">
        <w:rPr>
          <w:lang w:val="pt-BR"/>
        </w:rPr>
        <w:t>Posi</w:t>
      </w:r>
      <w:r w:rsidR="00CF037E" w:rsidRPr="006D1C74">
        <w:rPr>
          <w:lang w:val="pt-BR"/>
        </w:rPr>
        <w:t>ção</w:t>
      </w:r>
      <w:r w:rsidR="00030019" w:rsidRPr="006D1C74">
        <w:rPr>
          <w:lang w:val="pt-BR"/>
        </w:rPr>
        <w:t xml:space="preserve"> do </w:t>
      </w:r>
      <w:r w:rsidRPr="006D1C74">
        <w:rPr>
          <w:lang w:val="pt-BR"/>
        </w:rPr>
        <w:t>Estado</w:t>
      </w:r>
      <w:bookmarkEnd w:id="9"/>
      <w:bookmarkEnd w:id="10"/>
    </w:p>
    <w:p w14:paraId="3F9F9126" w14:textId="77777777" w:rsidR="002649F0" w:rsidRPr="006D1C74" w:rsidRDefault="002649F0" w:rsidP="002649F0">
      <w:pPr>
        <w:tabs>
          <w:tab w:val="num" w:pos="540"/>
        </w:tabs>
        <w:jc w:val="both"/>
        <w:rPr>
          <w:rFonts w:asciiTheme="majorHAnsi" w:eastAsia="Times New Roman" w:hAnsiTheme="majorHAnsi" w:cs="Cambria"/>
          <w:color w:val="FF0000"/>
          <w:sz w:val="20"/>
          <w:szCs w:val="20"/>
          <w:u w:color="000000"/>
          <w:lang w:val="pt-BR" w:eastAsia="es-ES"/>
        </w:rPr>
      </w:pPr>
    </w:p>
    <w:p w14:paraId="67904036" w14:textId="77777777" w:rsidR="002649F0" w:rsidRPr="006D1C74" w:rsidRDefault="00B4216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pt-BR"/>
        </w:rPr>
      </w:pPr>
      <w:r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 xml:space="preserve"> Estado destaca que</w:t>
      </w:r>
      <w:r w:rsidR="00F673C7" w:rsidRPr="006D1C74">
        <w:rPr>
          <w:rFonts w:asciiTheme="majorHAnsi" w:eastAsia="Times New Roman" w:hAnsiTheme="majorHAnsi"/>
          <w:sz w:val="20"/>
          <w:szCs w:val="20"/>
          <w:lang w:val="pt-BR"/>
        </w:rPr>
        <w:t xml:space="preserve"> não </w:t>
      </w:r>
      <w:r w:rsidR="002649F0" w:rsidRPr="006D1C74">
        <w:rPr>
          <w:rFonts w:asciiTheme="majorHAnsi" w:eastAsia="Times New Roman" w:hAnsiTheme="majorHAnsi"/>
          <w:sz w:val="20"/>
          <w:szCs w:val="20"/>
          <w:lang w:val="pt-BR"/>
        </w:rPr>
        <w:t>h</w:t>
      </w:r>
      <w:r w:rsidR="001E7651" w:rsidRPr="006D1C74">
        <w:rPr>
          <w:rFonts w:asciiTheme="majorHAnsi" w:eastAsia="Times New Roman" w:hAnsiTheme="majorHAnsi"/>
          <w:sz w:val="20"/>
          <w:szCs w:val="20"/>
          <w:lang w:val="pt-BR"/>
        </w:rPr>
        <w:t>á</w:t>
      </w:r>
      <w:r w:rsidR="002649F0" w:rsidRPr="006D1C74">
        <w:rPr>
          <w:rFonts w:asciiTheme="majorHAnsi" w:eastAsia="Times New Roman" w:hAnsiTheme="majorHAnsi"/>
          <w:sz w:val="20"/>
          <w:szCs w:val="20"/>
          <w:lang w:val="pt-BR"/>
        </w:rPr>
        <w:t xml:space="preserve"> controv</w:t>
      </w:r>
      <w:r w:rsidR="001E7651" w:rsidRPr="006D1C74">
        <w:rPr>
          <w:rFonts w:asciiTheme="majorHAnsi" w:eastAsia="Times New Roman" w:hAnsiTheme="majorHAnsi"/>
          <w:sz w:val="20"/>
          <w:szCs w:val="20"/>
          <w:lang w:val="pt-BR"/>
        </w:rPr>
        <w:t>é</w:t>
      </w:r>
      <w:r w:rsidR="002649F0" w:rsidRPr="006D1C74">
        <w:rPr>
          <w:rFonts w:asciiTheme="majorHAnsi" w:eastAsia="Times New Roman" w:hAnsiTheme="majorHAnsi"/>
          <w:sz w:val="20"/>
          <w:szCs w:val="20"/>
          <w:lang w:val="pt-BR"/>
        </w:rPr>
        <w:t>rsia</w:t>
      </w:r>
      <w:r w:rsidR="00F673C7" w:rsidRPr="006D1C74">
        <w:rPr>
          <w:rFonts w:asciiTheme="majorHAnsi" w:eastAsia="Times New Roman" w:hAnsiTheme="majorHAnsi"/>
          <w:sz w:val="20"/>
          <w:szCs w:val="20"/>
          <w:lang w:val="pt-BR"/>
        </w:rPr>
        <w:t xml:space="preserve"> </w:t>
      </w:r>
      <w:r w:rsidR="001E7651" w:rsidRPr="006D1C74">
        <w:rPr>
          <w:rFonts w:asciiTheme="majorHAnsi" w:eastAsia="Times New Roman" w:hAnsiTheme="majorHAnsi"/>
          <w:sz w:val="20"/>
          <w:szCs w:val="20"/>
          <w:lang w:val="pt-BR"/>
        </w:rPr>
        <w:t>q</w:t>
      </w:r>
      <w:r w:rsidR="002649F0" w:rsidRPr="006D1C74">
        <w:rPr>
          <w:rFonts w:asciiTheme="majorHAnsi" w:eastAsia="Times New Roman" w:hAnsiTheme="majorHAnsi"/>
          <w:sz w:val="20"/>
          <w:szCs w:val="20"/>
          <w:lang w:val="pt-BR"/>
        </w:rPr>
        <w:t>uanto a que</w:t>
      </w:r>
      <w:r w:rsidR="00700267" w:rsidRPr="006D1C74">
        <w:rPr>
          <w:rFonts w:asciiTheme="majorHAnsi" w:eastAsia="Times New Roman" w:hAnsiTheme="majorHAnsi"/>
          <w:sz w:val="20"/>
          <w:szCs w:val="20"/>
          <w:lang w:val="pt-BR"/>
        </w:rPr>
        <w:t xml:space="preserve"> </w:t>
      </w:r>
      <w:r w:rsidR="001E7651" w:rsidRPr="006D1C74">
        <w:rPr>
          <w:rFonts w:asciiTheme="majorHAnsi" w:eastAsia="Times New Roman" w:hAnsiTheme="majorHAnsi"/>
          <w:sz w:val="20"/>
          <w:szCs w:val="20"/>
          <w:lang w:val="pt-BR"/>
        </w:rPr>
        <w:t>em</w:t>
      </w:r>
      <w:r w:rsidR="00700267" w:rsidRPr="006D1C74">
        <w:rPr>
          <w:rFonts w:asciiTheme="majorHAnsi" w:eastAsia="Times New Roman" w:hAnsiTheme="majorHAnsi"/>
          <w:sz w:val="20"/>
          <w:szCs w:val="20"/>
          <w:lang w:val="pt-BR"/>
        </w:rPr>
        <w:t xml:space="preserve"> </w:t>
      </w:r>
      <w:r w:rsidR="002649F0" w:rsidRPr="006D1C74">
        <w:rPr>
          <w:rFonts w:asciiTheme="majorHAnsi" w:eastAsia="Times New Roman" w:hAnsiTheme="majorHAnsi"/>
          <w:sz w:val="20"/>
          <w:szCs w:val="20"/>
          <w:lang w:val="pt-BR"/>
        </w:rPr>
        <w:t>2 de ma</w:t>
      </w:r>
      <w:r w:rsidR="001E7651" w:rsidRPr="006D1C74">
        <w:rPr>
          <w:rFonts w:asciiTheme="majorHAnsi" w:eastAsia="Times New Roman" w:hAnsiTheme="majorHAnsi"/>
          <w:sz w:val="20"/>
          <w:szCs w:val="20"/>
          <w:lang w:val="pt-BR"/>
        </w:rPr>
        <w:t>i</w:t>
      </w:r>
      <w:r w:rsidR="002649F0" w:rsidRPr="006D1C74">
        <w:rPr>
          <w:rFonts w:asciiTheme="majorHAnsi" w:eastAsia="Times New Roman" w:hAnsiTheme="majorHAnsi"/>
          <w:sz w:val="20"/>
          <w:szCs w:val="20"/>
          <w:lang w:val="pt-BR"/>
        </w:rPr>
        <w:t>o de 2000</w:t>
      </w:r>
      <w:r w:rsidR="00700267" w:rsidRPr="006D1C74">
        <w:rPr>
          <w:rFonts w:asciiTheme="majorHAnsi" w:eastAsia="Times New Roman" w:hAnsiTheme="majorHAnsi"/>
          <w:sz w:val="20"/>
          <w:szCs w:val="20"/>
          <w:lang w:val="pt-BR"/>
        </w:rPr>
        <w:t xml:space="preserve"> a </w:t>
      </w:r>
      <w:r w:rsidR="00F37852" w:rsidRPr="006D1C74">
        <w:rPr>
          <w:rFonts w:asciiTheme="majorHAnsi" w:eastAsia="Times New Roman" w:hAnsiTheme="majorHAnsi"/>
          <w:sz w:val="20"/>
          <w:szCs w:val="20"/>
          <w:lang w:val="pt-BR"/>
        </w:rPr>
        <w:t>polícia</w:t>
      </w:r>
      <w:r w:rsidR="002649F0" w:rsidRPr="006D1C74">
        <w:rPr>
          <w:rFonts w:asciiTheme="majorHAnsi" w:eastAsia="Times New Roman" w:hAnsiTheme="majorHAnsi"/>
          <w:sz w:val="20"/>
          <w:szCs w:val="20"/>
          <w:lang w:val="pt-BR"/>
        </w:rPr>
        <w:t xml:space="preserve"> militar</w:t>
      </w:r>
      <w:r w:rsidR="00030019" w:rsidRPr="006D1C74">
        <w:rPr>
          <w:rFonts w:asciiTheme="majorHAnsi" w:eastAsia="Times New Roman" w:hAnsiTheme="majorHAnsi"/>
          <w:sz w:val="20"/>
          <w:szCs w:val="20"/>
          <w:lang w:val="pt-BR"/>
        </w:rPr>
        <w:t xml:space="preserve"> do </w:t>
      </w:r>
      <w:r w:rsidR="002649F0" w:rsidRPr="006D1C74">
        <w:rPr>
          <w:rFonts w:asciiTheme="majorHAnsi" w:eastAsia="Times New Roman" w:hAnsiTheme="majorHAnsi"/>
          <w:sz w:val="20"/>
          <w:szCs w:val="20"/>
          <w:lang w:val="pt-BR"/>
        </w:rPr>
        <w:t>estado d</w:t>
      </w:r>
      <w:r w:rsidR="001E7651"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 xml:space="preserve"> Paraná particip</w:t>
      </w:r>
      <w:r w:rsidR="00455F22" w:rsidRPr="006D1C74">
        <w:rPr>
          <w:rFonts w:asciiTheme="majorHAnsi" w:eastAsia="Times New Roman" w:hAnsiTheme="majorHAnsi"/>
          <w:sz w:val="20"/>
          <w:szCs w:val="20"/>
          <w:lang w:val="pt-BR"/>
        </w:rPr>
        <w:t xml:space="preserve">ou </w:t>
      </w:r>
      <w:r w:rsidR="001E7651" w:rsidRPr="006D1C74">
        <w:rPr>
          <w:rFonts w:asciiTheme="majorHAnsi" w:eastAsia="Times New Roman" w:hAnsiTheme="majorHAnsi"/>
          <w:sz w:val="20"/>
          <w:szCs w:val="20"/>
          <w:lang w:val="pt-BR"/>
        </w:rPr>
        <w:t>d</w:t>
      </w:r>
      <w:r w:rsidR="00F673C7" w:rsidRPr="006D1C74">
        <w:rPr>
          <w:rFonts w:asciiTheme="majorHAnsi" w:eastAsia="Times New Roman" w:hAnsiTheme="majorHAnsi"/>
          <w:sz w:val="20"/>
          <w:szCs w:val="20"/>
          <w:lang w:val="pt-BR"/>
        </w:rPr>
        <w:t xml:space="preserve">e </w:t>
      </w:r>
      <w:r w:rsidR="00030019" w:rsidRPr="006D1C74">
        <w:rPr>
          <w:rFonts w:asciiTheme="majorHAnsi" w:eastAsia="Times New Roman" w:hAnsiTheme="majorHAnsi"/>
          <w:sz w:val="20"/>
          <w:szCs w:val="20"/>
          <w:lang w:val="pt-BR"/>
        </w:rPr>
        <w:t xml:space="preserve">um </w:t>
      </w:r>
      <w:r w:rsidR="001E7651" w:rsidRPr="006D1C74">
        <w:rPr>
          <w:rFonts w:asciiTheme="majorHAnsi" w:eastAsia="Times New Roman" w:hAnsiTheme="majorHAnsi"/>
          <w:sz w:val="20"/>
          <w:szCs w:val="20"/>
          <w:lang w:val="pt-BR"/>
        </w:rPr>
        <w:t>confronto</w:t>
      </w:r>
      <w:r w:rsidR="00F673C7" w:rsidRPr="006D1C74">
        <w:rPr>
          <w:rFonts w:asciiTheme="majorHAnsi" w:eastAsia="Times New Roman" w:hAnsiTheme="majorHAnsi"/>
          <w:sz w:val="20"/>
          <w:szCs w:val="20"/>
          <w:lang w:val="pt-BR"/>
        </w:rPr>
        <w:t xml:space="preserve"> com </w:t>
      </w:r>
      <w:r w:rsidR="00700267" w:rsidRPr="006D1C74">
        <w:rPr>
          <w:rFonts w:asciiTheme="majorHAnsi" w:eastAsia="Times New Roman" w:hAnsiTheme="majorHAnsi"/>
          <w:sz w:val="20"/>
          <w:szCs w:val="20"/>
          <w:lang w:val="pt-BR"/>
        </w:rPr>
        <w:t>trabalh</w:t>
      </w:r>
      <w:r w:rsidR="002649F0" w:rsidRPr="006D1C74">
        <w:rPr>
          <w:rFonts w:asciiTheme="majorHAnsi" w:eastAsia="Times New Roman" w:hAnsiTheme="majorHAnsi"/>
          <w:sz w:val="20"/>
          <w:szCs w:val="20"/>
          <w:lang w:val="pt-BR"/>
        </w:rPr>
        <w:t>adores rur</w:t>
      </w:r>
      <w:r w:rsidR="00700267" w:rsidRPr="006D1C74">
        <w:rPr>
          <w:rFonts w:asciiTheme="majorHAnsi" w:eastAsia="Times New Roman" w:hAnsiTheme="majorHAnsi"/>
          <w:sz w:val="20"/>
          <w:szCs w:val="20"/>
          <w:lang w:val="pt-BR"/>
        </w:rPr>
        <w:t xml:space="preserve">ais sem </w:t>
      </w:r>
      <w:r w:rsidR="00795010" w:rsidRPr="006D1C74">
        <w:rPr>
          <w:rFonts w:asciiTheme="majorHAnsi" w:eastAsia="Times New Roman" w:hAnsiTheme="majorHAnsi"/>
          <w:sz w:val="20"/>
          <w:szCs w:val="20"/>
          <w:lang w:val="pt-BR"/>
        </w:rPr>
        <w:t>terra</w:t>
      </w:r>
      <w:r w:rsidR="002649F0" w:rsidRPr="006D1C74">
        <w:rPr>
          <w:rFonts w:asciiTheme="majorHAnsi" w:eastAsia="Times New Roman" w:hAnsiTheme="majorHAnsi"/>
          <w:sz w:val="20"/>
          <w:szCs w:val="20"/>
          <w:lang w:val="pt-BR"/>
        </w:rPr>
        <w:t xml:space="preserve"> que se dirig</w:t>
      </w:r>
      <w:r w:rsidR="00055622" w:rsidRPr="006D1C74">
        <w:rPr>
          <w:rFonts w:asciiTheme="majorHAnsi" w:eastAsia="Times New Roman" w:hAnsiTheme="majorHAnsi"/>
          <w:sz w:val="20"/>
          <w:szCs w:val="20"/>
          <w:lang w:val="pt-BR"/>
        </w:rPr>
        <w:t>ia</w:t>
      </w:r>
      <w:r w:rsidR="001E7651" w:rsidRPr="006D1C74">
        <w:rPr>
          <w:rFonts w:asciiTheme="majorHAnsi" w:eastAsia="Times New Roman" w:hAnsiTheme="majorHAnsi"/>
          <w:sz w:val="20"/>
          <w:szCs w:val="20"/>
          <w:lang w:val="pt-BR"/>
        </w:rPr>
        <w:t>m</w:t>
      </w:r>
      <w:r w:rsidR="00030019" w:rsidRPr="006D1C74">
        <w:rPr>
          <w:rFonts w:asciiTheme="majorHAnsi" w:eastAsia="Times New Roman" w:hAnsiTheme="majorHAnsi"/>
          <w:sz w:val="20"/>
          <w:szCs w:val="20"/>
          <w:lang w:val="pt-BR"/>
        </w:rPr>
        <w:t xml:space="preserve"> à </w:t>
      </w:r>
      <w:r w:rsidR="002649F0" w:rsidRPr="006D1C74">
        <w:rPr>
          <w:rFonts w:asciiTheme="majorHAnsi" w:eastAsia="Times New Roman" w:hAnsiTheme="majorHAnsi"/>
          <w:sz w:val="20"/>
          <w:szCs w:val="20"/>
          <w:lang w:val="pt-BR"/>
        </w:rPr>
        <w:t>capital</w:t>
      </w:r>
      <w:r w:rsidR="00030019" w:rsidRPr="006D1C74">
        <w:rPr>
          <w:rFonts w:asciiTheme="majorHAnsi" w:eastAsia="Times New Roman" w:hAnsiTheme="majorHAnsi"/>
          <w:sz w:val="20"/>
          <w:szCs w:val="20"/>
          <w:lang w:val="pt-BR"/>
        </w:rPr>
        <w:t xml:space="preserve"> do </w:t>
      </w:r>
      <w:r w:rsidR="002649F0" w:rsidRPr="006D1C74">
        <w:rPr>
          <w:rFonts w:asciiTheme="majorHAnsi" w:eastAsia="Times New Roman" w:hAnsiTheme="majorHAnsi"/>
          <w:sz w:val="20"/>
          <w:szCs w:val="20"/>
          <w:lang w:val="pt-BR"/>
        </w:rPr>
        <w:t>estado para participar</w:t>
      </w:r>
      <w:r w:rsidR="00F673C7" w:rsidRPr="006D1C74">
        <w:rPr>
          <w:rFonts w:asciiTheme="majorHAnsi" w:eastAsia="Times New Roman" w:hAnsiTheme="majorHAnsi"/>
          <w:sz w:val="20"/>
          <w:szCs w:val="20"/>
          <w:lang w:val="pt-BR"/>
        </w:rPr>
        <w:t xml:space="preserve"> </w:t>
      </w:r>
      <w:r w:rsidR="001E7651" w:rsidRPr="006D1C74">
        <w:rPr>
          <w:rFonts w:asciiTheme="majorHAnsi" w:eastAsia="Times New Roman" w:hAnsiTheme="majorHAnsi"/>
          <w:sz w:val="20"/>
          <w:szCs w:val="20"/>
          <w:lang w:val="pt-BR"/>
        </w:rPr>
        <w:t>d</w:t>
      </w:r>
      <w:r w:rsidR="00F673C7" w:rsidRPr="006D1C74">
        <w:rPr>
          <w:rFonts w:asciiTheme="majorHAnsi" w:eastAsia="Times New Roman" w:hAnsiTheme="majorHAnsi"/>
          <w:sz w:val="20"/>
          <w:szCs w:val="20"/>
          <w:lang w:val="pt-BR"/>
        </w:rPr>
        <w:t xml:space="preserve">e </w:t>
      </w:r>
      <w:r w:rsidR="00030019" w:rsidRPr="006D1C74">
        <w:rPr>
          <w:rFonts w:asciiTheme="majorHAnsi" w:eastAsia="Times New Roman" w:hAnsiTheme="majorHAnsi"/>
          <w:sz w:val="20"/>
          <w:szCs w:val="20"/>
          <w:lang w:val="pt-BR"/>
        </w:rPr>
        <w:t xml:space="preserve">uma </w:t>
      </w:r>
      <w:r w:rsidR="002649F0" w:rsidRPr="006D1C74">
        <w:rPr>
          <w:rFonts w:asciiTheme="majorHAnsi" w:eastAsia="Times New Roman" w:hAnsiTheme="majorHAnsi"/>
          <w:sz w:val="20"/>
          <w:szCs w:val="20"/>
          <w:lang w:val="pt-BR"/>
        </w:rPr>
        <w:t>manifesta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w:t>
      </w:r>
      <w:r w:rsidR="00F673C7" w:rsidRPr="006D1C74">
        <w:rPr>
          <w:rFonts w:asciiTheme="majorHAnsi" w:eastAsia="Times New Roman" w:hAnsiTheme="majorHAnsi"/>
          <w:sz w:val="20"/>
          <w:szCs w:val="20"/>
          <w:lang w:val="pt-BR"/>
        </w:rPr>
        <w:t xml:space="preserve"> </w:t>
      </w:r>
      <w:r w:rsidR="001E7651" w:rsidRPr="006D1C74">
        <w:rPr>
          <w:rFonts w:asciiTheme="majorHAnsi" w:eastAsia="Times New Roman" w:hAnsiTheme="majorHAnsi"/>
          <w:sz w:val="20"/>
          <w:szCs w:val="20"/>
          <w:lang w:val="pt-BR"/>
        </w:rPr>
        <w:t>N</w:t>
      </w:r>
      <w:r w:rsidR="00F673C7" w:rsidRPr="006D1C74">
        <w:rPr>
          <w:rFonts w:asciiTheme="majorHAnsi" w:eastAsia="Times New Roman" w:hAnsiTheme="majorHAnsi"/>
          <w:sz w:val="20"/>
          <w:szCs w:val="20"/>
          <w:lang w:val="pt-BR"/>
        </w:rPr>
        <w:t xml:space="preserve">ão </w:t>
      </w:r>
      <w:r w:rsidR="002649F0" w:rsidRPr="006D1C74">
        <w:rPr>
          <w:rFonts w:asciiTheme="majorHAnsi" w:eastAsia="Times New Roman" w:hAnsiTheme="majorHAnsi"/>
          <w:sz w:val="20"/>
          <w:szCs w:val="20"/>
          <w:lang w:val="pt-BR"/>
        </w:rPr>
        <w:t>obstante, alega que</w:t>
      </w:r>
      <w:r w:rsidR="00F673C7" w:rsidRPr="006D1C74">
        <w:rPr>
          <w:rFonts w:asciiTheme="majorHAnsi" w:eastAsia="Times New Roman" w:hAnsiTheme="majorHAnsi"/>
          <w:sz w:val="20"/>
          <w:szCs w:val="20"/>
          <w:lang w:val="pt-BR"/>
        </w:rPr>
        <w:t xml:space="preserve"> não </w:t>
      </w:r>
      <w:r w:rsidR="002649F0" w:rsidRPr="006D1C74">
        <w:rPr>
          <w:rFonts w:asciiTheme="majorHAnsi" w:eastAsia="Times New Roman" w:hAnsiTheme="majorHAnsi"/>
          <w:sz w:val="20"/>
          <w:szCs w:val="20"/>
          <w:lang w:val="pt-BR"/>
        </w:rPr>
        <w:t>viol</w:t>
      </w:r>
      <w:r w:rsidR="001E7651" w:rsidRPr="006D1C74">
        <w:rPr>
          <w:rFonts w:asciiTheme="majorHAnsi" w:eastAsia="Times New Roman" w:hAnsiTheme="majorHAnsi"/>
          <w:sz w:val="20"/>
          <w:szCs w:val="20"/>
          <w:lang w:val="pt-BR"/>
        </w:rPr>
        <w:t>ou</w:t>
      </w:r>
      <w:r w:rsidR="002649F0" w:rsidRPr="006D1C74">
        <w:rPr>
          <w:rFonts w:asciiTheme="majorHAnsi" w:eastAsia="Times New Roman" w:hAnsiTheme="majorHAnsi"/>
          <w:sz w:val="20"/>
          <w:szCs w:val="20"/>
          <w:lang w:val="pt-BR"/>
        </w:rPr>
        <w:t>, por 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w:t>
      </w:r>
      <w:r w:rsidR="001E7651"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u omi</w:t>
      </w:r>
      <w:r w:rsidR="0094446B" w:rsidRPr="006D1C74">
        <w:rPr>
          <w:rFonts w:asciiTheme="majorHAnsi" w:eastAsia="Times New Roman" w:hAnsiTheme="majorHAnsi"/>
          <w:sz w:val="20"/>
          <w:szCs w:val="20"/>
          <w:lang w:val="pt-BR"/>
        </w:rPr>
        <w:t>s</w:t>
      </w:r>
      <w:r w:rsidR="001E7651" w:rsidRPr="006D1C74">
        <w:rPr>
          <w:rFonts w:asciiTheme="majorHAnsi" w:eastAsia="Times New Roman" w:hAnsiTheme="majorHAnsi"/>
          <w:sz w:val="20"/>
          <w:szCs w:val="20"/>
          <w:lang w:val="pt-BR"/>
        </w:rPr>
        <w:t>s</w:t>
      </w:r>
      <w:r w:rsidR="0094446B" w:rsidRPr="006D1C74">
        <w:rPr>
          <w:rFonts w:asciiTheme="majorHAnsi" w:eastAsia="Times New Roman" w:hAnsiTheme="majorHAnsi"/>
          <w:sz w:val="20"/>
          <w:szCs w:val="20"/>
          <w:lang w:val="pt-BR"/>
        </w:rPr>
        <w:t>ão</w:t>
      </w:r>
      <w:r w:rsidR="002649F0" w:rsidRPr="006D1C74">
        <w:rPr>
          <w:rFonts w:asciiTheme="majorHAnsi" w:eastAsia="Times New Roman" w:hAnsiTheme="majorHAnsi"/>
          <w:sz w:val="20"/>
          <w:szCs w:val="20"/>
          <w:lang w:val="pt-BR"/>
        </w:rPr>
        <w:t>, n</w:t>
      </w:r>
      <w:r w:rsidR="001E7651" w:rsidRPr="006D1C74">
        <w:rPr>
          <w:rFonts w:asciiTheme="majorHAnsi" w:eastAsia="Times New Roman" w:hAnsiTheme="majorHAnsi"/>
          <w:sz w:val="20"/>
          <w:szCs w:val="20"/>
          <w:lang w:val="pt-BR"/>
        </w:rPr>
        <w:t>enhum</w:t>
      </w:r>
      <w:r w:rsidR="00700267" w:rsidRPr="006D1C74">
        <w:rPr>
          <w:rFonts w:asciiTheme="majorHAnsi" w:eastAsia="Times New Roman" w:hAnsiTheme="majorHAnsi"/>
          <w:sz w:val="20"/>
          <w:szCs w:val="20"/>
          <w:lang w:val="pt-BR"/>
        </w:rPr>
        <w:t xml:space="preserve"> dos </w:t>
      </w:r>
      <w:r w:rsidR="00417BE8" w:rsidRPr="006D1C74">
        <w:rPr>
          <w:rFonts w:asciiTheme="majorHAnsi" w:eastAsia="Times New Roman" w:hAnsiTheme="majorHAnsi"/>
          <w:sz w:val="20"/>
          <w:szCs w:val="20"/>
          <w:lang w:val="pt-BR"/>
        </w:rPr>
        <w:t>direito</w:t>
      </w:r>
      <w:r w:rsidR="002649F0" w:rsidRPr="006D1C74">
        <w:rPr>
          <w:rFonts w:asciiTheme="majorHAnsi" w:eastAsia="Times New Roman" w:hAnsiTheme="majorHAnsi"/>
          <w:sz w:val="20"/>
          <w:szCs w:val="20"/>
          <w:lang w:val="pt-BR"/>
        </w:rPr>
        <w:t>s protegidos</w:t>
      </w:r>
      <w:r w:rsidR="00F37852" w:rsidRPr="006D1C74">
        <w:rPr>
          <w:rFonts w:asciiTheme="majorHAnsi" w:eastAsia="Times New Roman" w:hAnsiTheme="majorHAnsi"/>
          <w:sz w:val="20"/>
          <w:szCs w:val="20"/>
          <w:lang w:val="pt-BR"/>
        </w:rPr>
        <w:t xml:space="preserve"> pela </w:t>
      </w:r>
      <w:r w:rsidR="002649F0" w:rsidRPr="006D1C74">
        <w:rPr>
          <w:rFonts w:asciiTheme="majorHAnsi" w:eastAsia="Times New Roman" w:hAnsiTheme="majorHAnsi"/>
          <w:sz w:val="20"/>
          <w:szCs w:val="20"/>
          <w:lang w:val="pt-BR"/>
        </w:rPr>
        <w:t>Conven</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Americana. </w:t>
      </w:r>
      <w:r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 xml:space="preserve"> Estado afirma,</w:t>
      </w:r>
      <w:r w:rsidR="00F673C7" w:rsidRPr="006D1C74">
        <w:rPr>
          <w:rFonts w:asciiTheme="majorHAnsi" w:eastAsia="Times New Roman" w:hAnsiTheme="majorHAnsi"/>
          <w:sz w:val="20"/>
          <w:szCs w:val="20"/>
          <w:lang w:val="pt-BR"/>
        </w:rPr>
        <w:t xml:space="preserve"> em </w:t>
      </w:r>
      <w:r w:rsidR="002649F0" w:rsidRPr="006D1C74">
        <w:rPr>
          <w:rFonts w:asciiTheme="majorHAnsi" w:eastAsia="Times New Roman" w:hAnsiTheme="majorHAnsi"/>
          <w:sz w:val="20"/>
          <w:szCs w:val="20"/>
          <w:lang w:val="pt-BR"/>
        </w:rPr>
        <w:t>resum</w:t>
      </w:r>
      <w:r w:rsidR="001E7651"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w:t>
      </w:r>
      <w:r w:rsidR="002649F0" w:rsidRPr="006D1C74">
        <w:rPr>
          <w:rFonts w:asciiTheme="majorHAnsi" w:hAnsiTheme="majorHAnsi"/>
          <w:sz w:val="20"/>
          <w:szCs w:val="20"/>
          <w:lang w:val="pt-BR"/>
        </w:rPr>
        <w:t xml:space="preserve"> </w:t>
      </w:r>
      <w:r w:rsidR="002649F0" w:rsidRPr="006D1C74">
        <w:rPr>
          <w:rFonts w:asciiTheme="majorHAnsi" w:eastAsia="Times New Roman" w:hAnsiTheme="majorHAnsi"/>
          <w:sz w:val="20"/>
          <w:szCs w:val="20"/>
          <w:lang w:val="pt-BR"/>
        </w:rPr>
        <w:t>que</w:t>
      </w:r>
      <w:r w:rsidR="00700267" w:rsidRPr="006D1C74">
        <w:rPr>
          <w:rFonts w:asciiTheme="majorHAnsi" w:eastAsia="Times New Roman" w:hAnsiTheme="majorHAnsi"/>
          <w:sz w:val="20"/>
          <w:szCs w:val="20"/>
          <w:lang w:val="pt-BR"/>
        </w:rPr>
        <w:t xml:space="preserve"> os </w:t>
      </w:r>
      <w:r w:rsidR="002649F0" w:rsidRPr="006D1C74">
        <w:rPr>
          <w:rFonts w:asciiTheme="majorHAnsi" w:eastAsia="Times New Roman" w:hAnsiTheme="majorHAnsi"/>
          <w:sz w:val="20"/>
          <w:szCs w:val="20"/>
          <w:lang w:val="pt-BR"/>
        </w:rPr>
        <w:t xml:space="preserve">agentes de </w:t>
      </w:r>
      <w:r w:rsidR="00F37852" w:rsidRPr="006D1C74">
        <w:rPr>
          <w:rFonts w:asciiTheme="majorHAnsi" w:eastAsia="Times New Roman" w:hAnsiTheme="majorHAnsi"/>
          <w:sz w:val="20"/>
          <w:szCs w:val="20"/>
          <w:lang w:val="pt-BR"/>
        </w:rPr>
        <w:t>polícia</w:t>
      </w:r>
      <w:r w:rsidR="002649F0" w:rsidRPr="006D1C74">
        <w:rPr>
          <w:rFonts w:asciiTheme="majorHAnsi" w:eastAsia="Times New Roman" w:hAnsiTheme="majorHAnsi"/>
          <w:sz w:val="20"/>
          <w:szCs w:val="20"/>
          <w:lang w:val="pt-BR"/>
        </w:rPr>
        <w:t xml:space="preserve"> esta</w:t>
      </w:r>
      <w:r w:rsidR="001E7651" w:rsidRPr="006D1C74">
        <w:rPr>
          <w:rFonts w:asciiTheme="majorHAnsi" w:eastAsia="Times New Roman" w:hAnsiTheme="majorHAnsi"/>
          <w:sz w:val="20"/>
          <w:szCs w:val="20"/>
          <w:lang w:val="pt-BR"/>
        </w:rPr>
        <w:t>vam</w:t>
      </w:r>
      <w:r w:rsidR="002649F0" w:rsidRPr="006D1C74">
        <w:rPr>
          <w:rFonts w:asciiTheme="majorHAnsi" w:eastAsia="Times New Roman" w:hAnsiTheme="majorHAnsi"/>
          <w:sz w:val="20"/>
          <w:szCs w:val="20"/>
          <w:lang w:val="pt-BR"/>
        </w:rPr>
        <w:t xml:space="preserve"> cump</w:t>
      </w:r>
      <w:r w:rsidR="001E7651" w:rsidRPr="006D1C74">
        <w:rPr>
          <w:rFonts w:asciiTheme="majorHAnsi" w:eastAsia="Times New Roman" w:hAnsiTheme="majorHAnsi"/>
          <w:sz w:val="20"/>
          <w:szCs w:val="20"/>
          <w:lang w:val="pt-BR"/>
        </w:rPr>
        <w:t>r</w:t>
      </w:r>
      <w:r w:rsidR="002649F0" w:rsidRPr="006D1C74">
        <w:rPr>
          <w:rFonts w:asciiTheme="majorHAnsi" w:eastAsia="Times New Roman" w:hAnsiTheme="majorHAnsi"/>
          <w:sz w:val="20"/>
          <w:szCs w:val="20"/>
          <w:lang w:val="pt-BR"/>
        </w:rPr>
        <w:t>indo</w:t>
      </w:r>
      <w:r w:rsidR="00030019" w:rsidRPr="006D1C74">
        <w:rPr>
          <w:rFonts w:asciiTheme="majorHAnsi" w:eastAsia="Times New Roman" w:hAnsiTheme="majorHAnsi"/>
          <w:sz w:val="20"/>
          <w:szCs w:val="20"/>
          <w:lang w:val="pt-BR"/>
        </w:rPr>
        <w:t xml:space="preserve"> um </w:t>
      </w:r>
      <w:r w:rsidR="00585D35" w:rsidRPr="006D1C74">
        <w:rPr>
          <w:rFonts w:asciiTheme="majorHAnsi" w:eastAsia="Times New Roman" w:hAnsiTheme="majorHAnsi"/>
          <w:sz w:val="20"/>
          <w:szCs w:val="20"/>
          <w:lang w:val="pt-BR"/>
        </w:rPr>
        <w:t>dev</w:t>
      </w:r>
      <w:r w:rsidR="002649F0" w:rsidRPr="006D1C74">
        <w:rPr>
          <w:rFonts w:asciiTheme="majorHAnsi" w:eastAsia="Times New Roman" w:hAnsiTheme="majorHAnsi"/>
          <w:sz w:val="20"/>
          <w:szCs w:val="20"/>
          <w:lang w:val="pt-BR"/>
        </w:rPr>
        <w:t>er legal</w:t>
      </w:r>
      <w:r w:rsidR="00CF037E" w:rsidRPr="006D1C74">
        <w:rPr>
          <w:rFonts w:asciiTheme="majorHAnsi" w:eastAsia="Times New Roman" w:hAnsiTheme="majorHAnsi"/>
          <w:sz w:val="20"/>
          <w:szCs w:val="20"/>
          <w:lang w:val="pt-BR"/>
        </w:rPr>
        <w:t xml:space="preserve"> e </w:t>
      </w:r>
      <w:r w:rsidR="00854BC6" w:rsidRPr="006D1C74">
        <w:rPr>
          <w:rFonts w:asciiTheme="majorHAnsi" w:eastAsia="Times New Roman" w:hAnsiTheme="majorHAnsi"/>
          <w:sz w:val="20"/>
          <w:szCs w:val="20"/>
          <w:lang w:val="pt-BR"/>
        </w:rPr>
        <w:t>que</w:t>
      </w:r>
      <w:r w:rsidR="00700267" w:rsidRPr="006D1C74">
        <w:rPr>
          <w:rFonts w:asciiTheme="majorHAnsi" w:eastAsia="Times New Roman" w:hAnsiTheme="majorHAnsi"/>
          <w:sz w:val="20"/>
          <w:szCs w:val="20"/>
          <w:lang w:val="pt-BR"/>
        </w:rPr>
        <w:t xml:space="preserve"> as </w:t>
      </w:r>
      <w:r w:rsidR="002649F0" w:rsidRPr="006D1C74">
        <w:rPr>
          <w:rFonts w:asciiTheme="majorHAnsi" w:eastAsia="Times New Roman" w:hAnsiTheme="majorHAnsi"/>
          <w:sz w:val="20"/>
          <w:szCs w:val="20"/>
          <w:lang w:val="pt-BR"/>
        </w:rPr>
        <w:t>autoridades estat</w:t>
      </w:r>
      <w:r w:rsidR="00700267" w:rsidRPr="006D1C74">
        <w:rPr>
          <w:rFonts w:asciiTheme="majorHAnsi" w:eastAsia="Times New Roman" w:hAnsiTheme="majorHAnsi"/>
          <w:sz w:val="20"/>
          <w:szCs w:val="20"/>
          <w:lang w:val="pt-BR"/>
        </w:rPr>
        <w:t>ais</w:t>
      </w:r>
      <w:r w:rsidR="002649F0" w:rsidRPr="006D1C74">
        <w:rPr>
          <w:rFonts w:asciiTheme="majorHAnsi" w:eastAsia="Times New Roman" w:hAnsiTheme="majorHAnsi"/>
          <w:sz w:val="20"/>
          <w:szCs w:val="20"/>
          <w:lang w:val="pt-BR"/>
        </w:rPr>
        <w:t xml:space="preserve"> f</w:t>
      </w:r>
      <w:r w:rsidR="001E7651" w:rsidRPr="006D1C74">
        <w:rPr>
          <w:rFonts w:asciiTheme="majorHAnsi" w:eastAsia="Times New Roman" w:hAnsiTheme="majorHAnsi"/>
          <w:sz w:val="20"/>
          <w:szCs w:val="20"/>
          <w:lang w:val="pt-BR"/>
        </w:rPr>
        <w:t>oram</w:t>
      </w:r>
      <w:r w:rsidR="002649F0" w:rsidRPr="006D1C74">
        <w:rPr>
          <w:rFonts w:asciiTheme="majorHAnsi" w:eastAsia="Times New Roman" w:hAnsiTheme="majorHAnsi"/>
          <w:sz w:val="20"/>
          <w:szCs w:val="20"/>
          <w:lang w:val="pt-BR"/>
        </w:rPr>
        <w:t xml:space="preserve"> diligentes</w:t>
      </w:r>
      <w:r w:rsidR="00217759" w:rsidRPr="006D1C74">
        <w:rPr>
          <w:rFonts w:asciiTheme="majorHAnsi" w:eastAsia="Times New Roman" w:hAnsiTheme="majorHAnsi"/>
          <w:sz w:val="20"/>
          <w:szCs w:val="20"/>
          <w:lang w:val="pt-BR"/>
        </w:rPr>
        <w:t xml:space="preserve"> ao </w:t>
      </w:r>
      <w:r w:rsidR="002649F0" w:rsidRPr="006D1C74">
        <w:rPr>
          <w:rFonts w:asciiTheme="majorHAnsi" w:eastAsia="Times New Roman" w:hAnsiTheme="majorHAnsi"/>
          <w:sz w:val="20"/>
          <w:szCs w:val="20"/>
          <w:lang w:val="pt-BR"/>
        </w:rPr>
        <w:t>iniciar de imediato d</w:t>
      </w:r>
      <w:r w:rsidR="001E7651" w:rsidRPr="006D1C74">
        <w:rPr>
          <w:rFonts w:asciiTheme="majorHAnsi" w:eastAsia="Times New Roman" w:hAnsiTheme="majorHAnsi"/>
          <w:sz w:val="20"/>
          <w:szCs w:val="20"/>
          <w:lang w:val="pt-BR"/>
        </w:rPr>
        <w:t>ua</w:t>
      </w:r>
      <w:r w:rsidR="002649F0" w:rsidRPr="006D1C74">
        <w:rPr>
          <w:rFonts w:asciiTheme="majorHAnsi" w:eastAsia="Times New Roman" w:hAnsiTheme="majorHAnsi"/>
          <w:sz w:val="20"/>
          <w:szCs w:val="20"/>
          <w:lang w:val="pt-BR"/>
        </w:rPr>
        <w:t>s investiga</w:t>
      </w:r>
      <w:r w:rsidR="00CF037E" w:rsidRPr="006D1C74">
        <w:rPr>
          <w:rFonts w:asciiTheme="majorHAnsi" w:eastAsia="Times New Roman" w:hAnsiTheme="majorHAnsi"/>
          <w:sz w:val="20"/>
          <w:szCs w:val="20"/>
          <w:lang w:val="pt-BR"/>
        </w:rPr>
        <w:t>ções</w:t>
      </w:r>
      <w:r w:rsidR="002649F0" w:rsidRPr="006D1C74">
        <w:rPr>
          <w:rFonts w:asciiTheme="majorHAnsi" w:eastAsia="Times New Roman" w:hAnsiTheme="majorHAnsi"/>
          <w:sz w:val="20"/>
          <w:szCs w:val="20"/>
          <w:lang w:val="pt-BR"/>
        </w:rPr>
        <w:t xml:space="preserve"> polici</w:t>
      </w:r>
      <w:r w:rsidR="00700267" w:rsidRPr="006D1C74">
        <w:rPr>
          <w:rFonts w:asciiTheme="majorHAnsi" w:eastAsia="Times New Roman" w:hAnsiTheme="majorHAnsi"/>
          <w:sz w:val="20"/>
          <w:szCs w:val="20"/>
          <w:lang w:val="pt-BR"/>
        </w:rPr>
        <w:t>ais</w:t>
      </w:r>
      <w:r w:rsidR="002649F0" w:rsidRPr="006D1C74">
        <w:rPr>
          <w:rFonts w:asciiTheme="majorHAnsi" w:eastAsia="Times New Roman" w:hAnsiTheme="majorHAnsi"/>
          <w:sz w:val="20"/>
          <w:szCs w:val="20"/>
          <w:lang w:val="pt-BR"/>
        </w:rPr>
        <w:t xml:space="preserve"> sobre</w:t>
      </w:r>
      <w:r w:rsidR="00700267" w:rsidRPr="006D1C74">
        <w:rPr>
          <w:rFonts w:asciiTheme="majorHAnsi" w:eastAsia="Times New Roman" w:hAnsiTheme="majorHAnsi"/>
          <w:sz w:val="20"/>
          <w:szCs w:val="20"/>
          <w:lang w:val="pt-BR"/>
        </w:rPr>
        <w:t xml:space="preserve"> os </w:t>
      </w:r>
      <w:r w:rsidR="00F37852" w:rsidRPr="006D1C74">
        <w:rPr>
          <w:rFonts w:asciiTheme="majorHAnsi" w:eastAsia="Times New Roman" w:hAnsiTheme="majorHAnsi"/>
          <w:sz w:val="20"/>
          <w:szCs w:val="20"/>
          <w:lang w:val="pt-BR"/>
        </w:rPr>
        <w:t>fato</w:t>
      </w:r>
      <w:r w:rsidR="002649F0" w:rsidRPr="006D1C74">
        <w:rPr>
          <w:rFonts w:asciiTheme="majorHAnsi" w:eastAsia="Times New Roman" w:hAnsiTheme="majorHAnsi"/>
          <w:sz w:val="20"/>
          <w:szCs w:val="20"/>
          <w:lang w:val="pt-BR"/>
        </w:rPr>
        <w:t>s,</w:t>
      </w:r>
      <w:r w:rsidR="00030019" w:rsidRPr="006D1C74">
        <w:rPr>
          <w:rFonts w:asciiTheme="majorHAnsi" w:eastAsia="Times New Roman" w:hAnsiTheme="majorHAnsi"/>
          <w:sz w:val="20"/>
          <w:szCs w:val="20"/>
          <w:lang w:val="pt-BR"/>
        </w:rPr>
        <w:t xml:space="preserve"> uma</w:t>
      </w:r>
      <w:r w:rsidR="00FC2F62" w:rsidRPr="006D1C74">
        <w:rPr>
          <w:rFonts w:asciiTheme="majorHAnsi" w:eastAsia="Times New Roman" w:hAnsiTheme="majorHAnsi"/>
          <w:sz w:val="20"/>
          <w:szCs w:val="20"/>
          <w:lang w:val="pt-BR"/>
        </w:rPr>
        <w:t xml:space="preserve"> no </w:t>
      </w:r>
      <w:r w:rsidR="002649F0" w:rsidRPr="006D1C74">
        <w:rPr>
          <w:rFonts w:asciiTheme="majorHAnsi" w:eastAsia="Times New Roman" w:hAnsiTheme="majorHAnsi"/>
          <w:sz w:val="20"/>
          <w:szCs w:val="20"/>
          <w:lang w:val="pt-BR"/>
        </w:rPr>
        <w:t>f</w:t>
      </w:r>
      <w:r w:rsidR="001E7651"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ro com</w:t>
      </w:r>
      <w:r w:rsidR="001E7651" w:rsidRPr="006D1C74">
        <w:rPr>
          <w:rFonts w:asciiTheme="majorHAnsi" w:eastAsia="Times New Roman" w:hAnsiTheme="majorHAnsi"/>
          <w:sz w:val="20"/>
          <w:szCs w:val="20"/>
          <w:lang w:val="pt-BR"/>
        </w:rPr>
        <w:t>um</w:t>
      </w:r>
      <w:r w:rsidR="00CF037E" w:rsidRPr="006D1C74">
        <w:rPr>
          <w:rFonts w:asciiTheme="majorHAnsi" w:eastAsia="Times New Roman" w:hAnsiTheme="majorHAnsi"/>
          <w:sz w:val="20"/>
          <w:szCs w:val="20"/>
          <w:lang w:val="pt-BR"/>
        </w:rPr>
        <w:t xml:space="preserve"> e outr</w:t>
      </w:r>
      <w:r w:rsidR="002649F0" w:rsidRPr="006D1C74">
        <w:rPr>
          <w:rFonts w:asciiTheme="majorHAnsi" w:eastAsia="Times New Roman" w:hAnsiTheme="majorHAnsi"/>
          <w:sz w:val="20"/>
          <w:szCs w:val="20"/>
          <w:lang w:val="pt-BR"/>
        </w:rPr>
        <w:t>a</w:t>
      </w:r>
      <w:r w:rsidR="00FC2F62" w:rsidRPr="006D1C74">
        <w:rPr>
          <w:rFonts w:asciiTheme="majorHAnsi" w:eastAsia="Times New Roman" w:hAnsiTheme="majorHAnsi"/>
          <w:sz w:val="20"/>
          <w:szCs w:val="20"/>
          <w:lang w:val="pt-BR"/>
        </w:rPr>
        <w:t xml:space="preserve"> no </w:t>
      </w:r>
      <w:r w:rsidR="002649F0" w:rsidRPr="006D1C74">
        <w:rPr>
          <w:rFonts w:asciiTheme="majorHAnsi" w:eastAsia="Times New Roman" w:hAnsiTheme="majorHAnsi"/>
          <w:sz w:val="20"/>
          <w:szCs w:val="20"/>
          <w:lang w:val="pt-BR"/>
        </w:rPr>
        <w:t>f</w:t>
      </w:r>
      <w:r w:rsidR="001E7651"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ro militar.</w:t>
      </w:r>
      <w:r w:rsidR="00FC2F62" w:rsidRPr="006D1C74">
        <w:rPr>
          <w:rFonts w:asciiTheme="majorHAnsi" w:eastAsia="Times New Roman" w:hAnsiTheme="majorHAnsi"/>
          <w:sz w:val="20"/>
          <w:szCs w:val="20"/>
          <w:lang w:val="pt-BR"/>
        </w:rPr>
        <w:t xml:space="preserve"> </w:t>
      </w:r>
      <w:r w:rsidR="001E7651" w:rsidRPr="006D1C74">
        <w:rPr>
          <w:rFonts w:asciiTheme="majorHAnsi" w:eastAsia="Times New Roman" w:hAnsiTheme="majorHAnsi"/>
          <w:sz w:val="20"/>
          <w:szCs w:val="20"/>
          <w:lang w:val="pt-BR"/>
        </w:rPr>
        <w:t>N</w:t>
      </w:r>
      <w:r w:rsidR="00FC2F62" w:rsidRPr="006D1C74">
        <w:rPr>
          <w:rFonts w:asciiTheme="majorHAnsi" w:eastAsia="Times New Roman" w:hAnsiTheme="majorHAnsi"/>
          <w:sz w:val="20"/>
          <w:szCs w:val="20"/>
          <w:lang w:val="pt-BR"/>
        </w:rPr>
        <w:t xml:space="preserve">o </w:t>
      </w:r>
      <w:r w:rsidR="001E7651" w:rsidRPr="006D1C74">
        <w:rPr>
          <w:rFonts w:asciiTheme="majorHAnsi" w:eastAsia="Times New Roman" w:hAnsiTheme="majorHAnsi"/>
          <w:sz w:val="20"/>
          <w:szCs w:val="20"/>
          <w:lang w:val="pt-BR"/>
        </w:rPr>
        <w:t>âmbit</w:t>
      </w:r>
      <w:r w:rsidR="002649F0" w:rsidRPr="006D1C74">
        <w:rPr>
          <w:rFonts w:asciiTheme="majorHAnsi" w:eastAsia="Times New Roman" w:hAnsiTheme="majorHAnsi"/>
          <w:sz w:val="20"/>
          <w:szCs w:val="20"/>
          <w:lang w:val="pt-BR"/>
        </w:rPr>
        <w:t>o de</w:t>
      </w:r>
      <w:r w:rsidR="001E7651" w:rsidRPr="006D1C74">
        <w:rPr>
          <w:rFonts w:asciiTheme="majorHAnsi" w:eastAsia="Times New Roman" w:hAnsiTheme="majorHAnsi"/>
          <w:sz w:val="20"/>
          <w:szCs w:val="20"/>
          <w:lang w:val="pt-BR"/>
        </w:rPr>
        <w:t>sses</w:t>
      </w:r>
      <w:r w:rsidR="002649F0" w:rsidRPr="006D1C74">
        <w:rPr>
          <w:rFonts w:asciiTheme="majorHAnsi" w:eastAsia="Times New Roman" w:hAnsiTheme="majorHAnsi"/>
          <w:sz w:val="20"/>
          <w:szCs w:val="20"/>
          <w:lang w:val="pt-BR"/>
        </w:rPr>
        <w:t xml:space="preserve"> procedi</w:t>
      </w:r>
      <w:r w:rsidR="00700267" w:rsidRPr="006D1C74">
        <w:rPr>
          <w:rFonts w:asciiTheme="majorHAnsi" w:eastAsia="Times New Roman" w:hAnsiTheme="majorHAnsi"/>
          <w:sz w:val="20"/>
          <w:szCs w:val="20"/>
          <w:lang w:val="pt-BR"/>
        </w:rPr>
        <w:t>mento</w:t>
      </w:r>
      <w:r w:rsidR="002649F0" w:rsidRPr="006D1C74">
        <w:rPr>
          <w:rFonts w:asciiTheme="majorHAnsi" w:eastAsia="Times New Roman" w:hAnsiTheme="majorHAnsi"/>
          <w:sz w:val="20"/>
          <w:szCs w:val="20"/>
          <w:lang w:val="pt-BR"/>
        </w:rPr>
        <w:t>s, se</w:t>
      </w:r>
      <w:r w:rsidR="00585D35" w:rsidRPr="006D1C74">
        <w:rPr>
          <w:rFonts w:asciiTheme="majorHAnsi" w:eastAsia="Times New Roman" w:hAnsiTheme="majorHAnsi"/>
          <w:sz w:val="20"/>
          <w:szCs w:val="20"/>
          <w:lang w:val="pt-BR"/>
        </w:rPr>
        <w:t>gu</w:t>
      </w:r>
      <w:r w:rsidR="002649F0" w:rsidRPr="006D1C74">
        <w:rPr>
          <w:rFonts w:asciiTheme="majorHAnsi" w:eastAsia="Times New Roman" w:hAnsiTheme="majorHAnsi"/>
          <w:sz w:val="20"/>
          <w:szCs w:val="20"/>
          <w:lang w:val="pt-BR"/>
        </w:rPr>
        <w:t>n</w:t>
      </w:r>
      <w:r w:rsidR="001E7651" w:rsidRPr="006D1C74">
        <w:rPr>
          <w:rFonts w:asciiTheme="majorHAnsi" w:eastAsia="Times New Roman" w:hAnsiTheme="majorHAnsi"/>
          <w:sz w:val="20"/>
          <w:szCs w:val="20"/>
          <w:lang w:val="pt-BR"/>
        </w:rPr>
        <w:t>do</w:t>
      </w:r>
      <w:r w:rsidR="00700267" w:rsidRPr="006D1C74">
        <w:rPr>
          <w:rFonts w:asciiTheme="majorHAnsi" w:eastAsia="Times New Roman" w:hAnsiTheme="majorHAnsi"/>
          <w:sz w:val="20"/>
          <w:szCs w:val="20"/>
          <w:lang w:val="pt-BR"/>
        </w:rPr>
        <w:t xml:space="preserve"> o </w:t>
      </w:r>
      <w:r w:rsidR="002649F0" w:rsidRPr="006D1C74">
        <w:rPr>
          <w:rFonts w:asciiTheme="majorHAnsi" w:eastAsia="Times New Roman" w:hAnsiTheme="majorHAnsi"/>
          <w:sz w:val="20"/>
          <w:szCs w:val="20"/>
          <w:lang w:val="pt-BR"/>
        </w:rPr>
        <w:t>Estado, efetua</w:t>
      </w:r>
      <w:r w:rsidR="001E7651" w:rsidRPr="006D1C74">
        <w:rPr>
          <w:rFonts w:asciiTheme="majorHAnsi" w:eastAsia="Times New Roman" w:hAnsiTheme="majorHAnsi"/>
          <w:sz w:val="20"/>
          <w:szCs w:val="20"/>
          <w:lang w:val="pt-BR"/>
        </w:rPr>
        <w:t>ram-se</w:t>
      </w:r>
      <w:r w:rsidR="002649F0" w:rsidRPr="006D1C74">
        <w:rPr>
          <w:rFonts w:asciiTheme="majorHAnsi" w:eastAsia="Times New Roman" w:hAnsiTheme="majorHAnsi"/>
          <w:sz w:val="20"/>
          <w:szCs w:val="20"/>
          <w:lang w:val="pt-BR"/>
        </w:rPr>
        <w:t xml:space="preserve"> per</w:t>
      </w:r>
      <w:r w:rsidR="001E7651" w:rsidRPr="006D1C74">
        <w:rPr>
          <w:rFonts w:asciiTheme="majorHAnsi" w:eastAsia="Times New Roman" w:hAnsiTheme="majorHAnsi"/>
          <w:sz w:val="20"/>
          <w:szCs w:val="20"/>
          <w:lang w:val="pt-BR"/>
        </w:rPr>
        <w:t>ícias</w:t>
      </w:r>
      <w:r w:rsidR="002649F0" w:rsidRPr="006D1C74">
        <w:rPr>
          <w:rFonts w:asciiTheme="majorHAnsi" w:eastAsia="Times New Roman" w:hAnsiTheme="majorHAnsi"/>
          <w:sz w:val="20"/>
          <w:szCs w:val="20"/>
          <w:lang w:val="pt-BR"/>
        </w:rPr>
        <w:t xml:space="preserve">, </w:t>
      </w:r>
      <w:r w:rsidR="001E7651" w:rsidRPr="006D1C74">
        <w:rPr>
          <w:rFonts w:asciiTheme="majorHAnsi" w:eastAsia="Times New Roman" w:hAnsiTheme="majorHAnsi"/>
          <w:sz w:val="20"/>
          <w:szCs w:val="20"/>
          <w:lang w:val="pt-BR"/>
        </w:rPr>
        <w:t xml:space="preserve">foram </w:t>
      </w:r>
      <w:r w:rsidR="002649F0" w:rsidRPr="006D1C74">
        <w:rPr>
          <w:rFonts w:asciiTheme="majorHAnsi" w:eastAsia="Times New Roman" w:hAnsiTheme="majorHAnsi"/>
          <w:sz w:val="20"/>
          <w:szCs w:val="20"/>
          <w:lang w:val="pt-BR"/>
        </w:rPr>
        <w:t>tomad</w:t>
      </w:r>
      <w:r w:rsidR="001E7651" w:rsidRPr="006D1C74">
        <w:rPr>
          <w:rFonts w:asciiTheme="majorHAnsi" w:eastAsia="Times New Roman" w:hAnsiTheme="majorHAnsi"/>
          <w:sz w:val="20"/>
          <w:szCs w:val="20"/>
          <w:lang w:val="pt-BR"/>
        </w:rPr>
        <w:t>as</w:t>
      </w:r>
      <w:r w:rsidR="002649F0" w:rsidRPr="006D1C74">
        <w:rPr>
          <w:rFonts w:asciiTheme="majorHAnsi" w:eastAsia="Times New Roman" w:hAnsiTheme="majorHAnsi"/>
          <w:sz w:val="20"/>
          <w:szCs w:val="20"/>
          <w:lang w:val="pt-BR"/>
        </w:rPr>
        <w:t xml:space="preserve"> declara</w:t>
      </w:r>
      <w:r w:rsidR="00CF037E" w:rsidRPr="006D1C74">
        <w:rPr>
          <w:rFonts w:asciiTheme="majorHAnsi" w:eastAsia="Times New Roman" w:hAnsiTheme="majorHAnsi"/>
          <w:sz w:val="20"/>
          <w:szCs w:val="20"/>
          <w:lang w:val="pt-BR"/>
        </w:rPr>
        <w:t>ç</w:t>
      </w:r>
      <w:r w:rsidR="001E7651" w:rsidRPr="006D1C74">
        <w:rPr>
          <w:rFonts w:asciiTheme="majorHAnsi" w:eastAsia="Times New Roman" w:hAnsiTheme="majorHAnsi"/>
          <w:sz w:val="20"/>
          <w:szCs w:val="20"/>
          <w:lang w:val="pt-BR"/>
        </w:rPr>
        <w:t>ões de</w:t>
      </w:r>
      <w:r w:rsidR="002649F0" w:rsidRPr="006D1C74">
        <w:rPr>
          <w:rFonts w:asciiTheme="majorHAnsi" w:eastAsia="Times New Roman" w:hAnsiTheme="majorHAnsi"/>
          <w:sz w:val="20"/>
          <w:szCs w:val="20"/>
          <w:lang w:val="pt-BR"/>
        </w:rPr>
        <w:t xml:space="preserve"> test</w:t>
      </w:r>
      <w:r w:rsidR="001E7651" w:rsidRPr="006D1C74">
        <w:rPr>
          <w:rFonts w:asciiTheme="majorHAnsi" w:eastAsia="Times New Roman" w:hAnsiTheme="majorHAnsi"/>
          <w:sz w:val="20"/>
          <w:szCs w:val="20"/>
          <w:lang w:val="pt-BR"/>
        </w:rPr>
        <w:t>emunhas</w:t>
      </w:r>
      <w:r w:rsidR="002649F0" w:rsidRPr="006D1C74">
        <w:rPr>
          <w:rFonts w:asciiTheme="majorHAnsi" w:eastAsia="Times New Roman" w:hAnsiTheme="majorHAnsi"/>
          <w:sz w:val="20"/>
          <w:szCs w:val="20"/>
          <w:lang w:val="pt-BR"/>
        </w:rPr>
        <w:t xml:space="preserve"> </w:t>
      </w:r>
      <w:r w:rsidR="001E7651" w:rsidRPr="006D1C74">
        <w:rPr>
          <w:rFonts w:asciiTheme="majorHAnsi" w:eastAsia="Times New Roman" w:hAnsiTheme="majorHAnsi"/>
          <w:sz w:val="20"/>
          <w:szCs w:val="20"/>
          <w:lang w:val="pt-BR"/>
        </w:rPr>
        <w:t>e</w:t>
      </w:r>
      <w:r w:rsidR="002649F0" w:rsidRPr="006D1C74">
        <w:rPr>
          <w:rFonts w:asciiTheme="majorHAnsi" w:eastAsia="Times New Roman" w:hAnsiTheme="majorHAnsi"/>
          <w:sz w:val="20"/>
          <w:szCs w:val="20"/>
          <w:lang w:val="pt-BR"/>
        </w:rPr>
        <w:t>,</w:t>
      </w:r>
      <w:r w:rsidR="00F673C7" w:rsidRPr="006D1C74">
        <w:rPr>
          <w:rFonts w:asciiTheme="majorHAnsi" w:eastAsia="Times New Roman" w:hAnsiTheme="majorHAnsi"/>
          <w:sz w:val="20"/>
          <w:szCs w:val="20"/>
          <w:lang w:val="pt-BR"/>
        </w:rPr>
        <w:t xml:space="preserve"> em </w:t>
      </w:r>
      <w:r w:rsidR="002649F0" w:rsidRPr="006D1C74">
        <w:rPr>
          <w:rFonts w:asciiTheme="majorHAnsi" w:eastAsia="Times New Roman" w:hAnsiTheme="majorHAnsi"/>
          <w:sz w:val="20"/>
          <w:szCs w:val="20"/>
          <w:lang w:val="pt-BR"/>
        </w:rPr>
        <w:t>virtud</w:t>
      </w:r>
      <w:r w:rsidR="001E7651" w:rsidRPr="006D1C74">
        <w:rPr>
          <w:rFonts w:asciiTheme="majorHAnsi" w:eastAsia="Times New Roman" w:hAnsiTheme="majorHAnsi"/>
          <w:sz w:val="20"/>
          <w:szCs w:val="20"/>
          <w:lang w:val="pt-BR"/>
        </w:rPr>
        <w:t>e</w:t>
      </w:r>
      <w:r w:rsidR="002649F0" w:rsidRPr="006D1C74">
        <w:rPr>
          <w:rFonts w:asciiTheme="majorHAnsi" w:eastAsia="Times New Roman" w:hAnsiTheme="majorHAnsi"/>
          <w:sz w:val="20"/>
          <w:szCs w:val="20"/>
          <w:lang w:val="pt-BR"/>
        </w:rPr>
        <w:t xml:space="preserve"> de</w:t>
      </w:r>
      <w:r w:rsidR="00030019" w:rsidRPr="006D1C74">
        <w:rPr>
          <w:rFonts w:asciiTheme="majorHAnsi" w:eastAsia="Times New Roman" w:hAnsiTheme="majorHAnsi"/>
          <w:sz w:val="20"/>
          <w:szCs w:val="20"/>
          <w:lang w:val="pt-BR"/>
        </w:rPr>
        <w:t xml:space="preserve"> uma </w:t>
      </w:r>
      <w:r w:rsidR="002649F0" w:rsidRPr="006D1C74">
        <w:rPr>
          <w:rFonts w:asciiTheme="majorHAnsi" w:eastAsia="Times New Roman" w:hAnsiTheme="majorHAnsi"/>
          <w:sz w:val="20"/>
          <w:szCs w:val="20"/>
          <w:lang w:val="pt-BR"/>
        </w:rPr>
        <w:t>deci</w:t>
      </w:r>
      <w:r w:rsidR="0094446B" w:rsidRPr="006D1C74">
        <w:rPr>
          <w:rFonts w:asciiTheme="majorHAnsi" w:eastAsia="Times New Roman" w:hAnsiTheme="majorHAnsi"/>
          <w:sz w:val="20"/>
          <w:szCs w:val="20"/>
          <w:lang w:val="pt-BR"/>
        </w:rPr>
        <w:t>são</w:t>
      </w:r>
      <w:r w:rsidR="002649F0" w:rsidRPr="006D1C74">
        <w:rPr>
          <w:rFonts w:asciiTheme="majorHAnsi" w:eastAsia="Times New Roman" w:hAnsiTheme="majorHAnsi"/>
          <w:sz w:val="20"/>
          <w:szCs w:val="20"/>
          <w:lang w:val="pt-BR"/>
        </w:rPr>
        <w:t xml:space="preserve"> judicial,</w:t>
      </w:r>
      <w:r w:rsidR="00700267" w:rsidRPr="006D1C74">
        <w:rPr>
          <w:rFonts w:asciiTheme="majorHAnsi" w:eastAsia="Times New Roman" w:hAnsiTheme="majorHAnsi"/>
          <w:sz w:val="20"/>
          <w:szCs w:val="20"/>
          <w:lang w:val="pt-BR"/>
        </w:rPr>
        <w:t xml:space="preserve"> o </w:t>
      </w:r>
      <w:r w:rsidR="002649F0" w:rsidRPr="006D1C74">
        <w:rPr>
          <w:rFonts w:asciiTheme="majorHAnsi" w:eastAsia="Times New Roman" w:hAnsiTheme="majorHAnsi"/>
          <w:sz w:val="20"/>
          <w:szCs w:val="20"/>
          <w:lang w:val="pt-BR"/>
        </w:rPr>
        <w:t>acusado</w:t>
      </w:r>
      <w:r w:rsidR="00CA7940" w:rsidRPr="006D1C74">
        <w:rPr>
          <w:rFonts w:asciiTheme="majorHAnsi" w:eastAsia="Times New Roman" w:hAnsiTheme="majorHAnsi"/>
          <w:sz w:val="20"/>
          <w:szCs w:val="20"/>
          <w:lang w:val="pt-BR"/>
        </w:rPr>
        <w:t xml:space="preserve"> foi </w:t>
      </w:r>
      <w:r w:rsidR="002649F0" w:rsidRPr="006D1C74">
        <w:rPr>
          <w:rFonts w:asciiTheme="majorHAnsi" w:eastAsia="Times New Roman" w:hAnsiTheme="majorHAnsi"/>
          <w:sz w:val="20"/>
          <w:szCs w:val="20"/>
          <w:lang w:val="pt-BR"/>
        </w:rPr>
        <w:t>abs</w:t>
      </w:r>
      <w:r w:rsidR="001E7651" w:rsidRPr="006D1C74">
        <w:rPr>
          <w:rFonts w:asciiTheme="majorHAnsi" w:eastAsia="Times New Roman" w:hAnsiTheme="majorHAnsi"/>
          <w:sz w:val="20"/>
          <w:szCs w:val="20"/>
          <w:lang w:val="pt-BR"/>
        </w:rPr>
        <w:t>olvid</w:t>
      </w:r>
      <w:r w:rsidR="002649F0" w:rsidRPr="006D1C74">
        <w:rPr>
          <w:rFonts w:asciiTheme="majorHAnsi" w:eastAsia="Times New Roman" w:hAnsiTheme="majorHAnsi"/>
          <w:sz w:val="20"/>
          <w:szCs w:val="20"/>
          <w:lang w:val="pt-BR"/>
        </w:rPr>
        <w:t xml:space="preserve">o. </w:t>
      </w:r>
    </w:p>
    <w:p w14:paraId="23FC368E" w14:textId="77777777" w:rsidR="002649F0" w:rsidRPr="006D1C74" w:rsidRDefault="002649F0" w:rsidP="002649F0">
      <w:pPr>
        <w:ind w:left="720"/>
        <w:rPr>
          <w:rFonts w:asciiTheme="majorHAnsi" w:eastAsia="Times New Roman" w:hAnsiTheme="majorHAnsi" w:cs="Cambria"/>
          <w:sz w:val="20"/>
          <w:szCs w:val="20"/>
          <w:u w:color="000000"/>
          <w:lang w:val="pt-BR" w:eastAsia="es-ES"/>
        </w:rPr>
      </w:pPr>
    </w:p>
    <w:p w14:paraId="1DC59E62"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pt-BR"/>
        </w:rPr>
      </w:pPr>
      <w:r w:rsidRPr="006D1C74">
        <w:rPr>
          <w:rFonts w:asciiTheme="majorHAnsi" w:eastAsia="Times New Roman" w:hAnsiTheme="majorHAnsi"/>
          <w:sz w:val="20"/>
          <w:szCs w:val="20"/>
          <w:lang w:val="pt-BR"/>
        </w:rPr>
        <w:t>Co</w:t>
      </w:r>
      <w:r w:rsidR="001E7651" w:rsidRPr="006D1C74">
        <w:rPr>
          <w:rFonts w:asciiTheme="majorHAnsi" w:eastAsia="Times New Roman" w:hAnsiTheme="majorHAnsi"/>
          <w:sz w:val="20"/>
          <w:szCs w:val="20"/>
          <w:lang w:val="pt-BR"/>
        </w:rPr>
        <w:t>m</w:t>
      </w:r>
      <w:r w:rsidRPr="006D1C74">
        <w:rPr>
          <w:rFonts w:asciiTheme="majorHAnsi" w:eastAsia="Times New Roman" w:hAnsiTheme="majorHAnsi"/>
          <w:sz w:val="20"/>
          <w:szCs w:val="20"/>
          <w:lang w:val="pt-BR"/>
        </w:rPr>
        <w:t xml:space="preserve"> respe</w:t>
      </w:r>
      <w:r w:rsidR="001E7651" w:rsidRPr="006D1C74">
        <w:rPr>
          <w:rFonts w:asciiTheme="majorHAnsi" w:eastAsia="Times New Roman" w:hAnsiTheme="majorHAnsi"/>
          <w:sz w:val="20"/>
          <w:szCs w:val="20"/>
          <w:lang w:val="pt-BR"/>
        </w:rPr>
        <w:t>i</w:t>
      </w:r>
      <w:r w:rsidRPr="006D1C74">
        <w:rPr>
          <w:rFonts w:asciiTheme="majorHAnsi" w:eastAsia="Times New Roman" w:hAnsiTheme="majorHAnsi"/>
          <w:sz w:val="20"/>
          <w:szCs w:val="20"/>
          <w:lang w:val="pt-BR"/>
        </w:rPr>
        <w:t>to</w:t>
      </w:r>
      <w:r w:rsidR="00030019" w:rsidRPr="006D1C74">
        <w:rPr>
          <w:rFonts w:asciiTheme="majorHAnsi" w:eastAsia="Times New Roman" w:hAnsiTheme="majorHAnsi"/>
          <w:sz w:val="20"/>
          <w:szCs w:val="20"/>
          <w:lang w:val="pt-BR"/>
        </w:rPr>
        <w:t xml:space="preserve"> à </w:t>
      </w:r>
      <w:r w:rsidR="00FC2F62" w:rsidRPr="006D1C74">
        <w:rPr>
          <w:rFonts w:asciiTheme="majorHAnsi" w:eastAsia="Times New Roman" w:hAnsiTheme="majorHAnsi"/>
          <w:sz w:val="20"/>
          <w:szCs w:val="20"/>
          <w:lang w:val="pt-BR"/>
        </w:rPr>
        <w:t>morte</w:t>
      </w:r>
      <w:r w:rsidRPr="006D1C74">
        <w:rPr>
          <w:rFonts w:asciiTheme="majorHAnsi" w:eastAsia="Times New Roman" w:hAnsiTheme="majorHAnsi"/>
          <w:sz w:val="20"/>
          <w:szCs w:val="20"/>
          <w:lang w:val="pt-BR"/>
        </w:rPr>
        <w:t xml:space="preserve"> de Antonio Tavares,</w:t>
      </w:r>
      <w:r w:rsidR="00700267" w:rsidRPr="006D1C74">
        <w:rPr>
          <w:rFonts w:asciiTheme="majorHAnsi" w:eastAsia="Times New Roman" w:hAnsiTheme="majorHAnsi"/>
          <w:sz w:val="20"/>
          <w:szCs w:val="20"/>
          <w:lang w:val="pt-BR"/>
        </w:rPr>
        <w:t xml:space="preserve"> o </w:t>
      </w:r>
      <w:r w:rsidRPr="006D1C74">
        <w:rPr>
          <w:rFonts w:asciiTheme="majorHAnsi" w:eastAsia="Times New Roman" w:hAnsiTheme="majorHAnsi"/>
          <w:sz w:val="20"/>
          <w:szCs w:val="20"/>
          <w:lang w:val="pt-BR"/>
        </w:rPr>
        <w:t xml:space="preserve">Estado </w:t>
      </w:r>
      <w:r w:rsidR="00D55011" w:rsidRPr="006D1C74">
        <w:rPr>
          <w:rFonts w:asciiTheme="majorHAnsi" w:eastAsia="Times New Roman" w:hAnsiTheme="majorHAnsi"/>
          <w:sz w:val="20"/>
          <w:szCs w:val="20"/>
          <w:lang w:val="pt-BR"/>
        </w:rPr>
        <w:t>indica</w:t>
      </w:r>
      <w:r w:rsidRPr="006D1C74">
        <w:rPr>
          <w:rFonts w:asciiTheme="majorHAnsi" w:eastAsia="Times New Roman" w:hAnsiTheme="majorHAnsi"/>
          <w:sz w:val="20"/>
          <w:szCs w:val="20"/>
          <w:lang w:val="pt-BR"/>
        </w:rPr>
        <w:t xml:space="preserve"> que</w:t>
      </w:r>
      <w:r w:rsidR="00700267" w:rsidRPr="006D1C74">
        <w:rPr>
          <w:rFonts w:asciiTheme="majorHAnsi" w:eastAsia="Times New Roman" w:hAnsiTheme="majorHAnsi"/>
          <w:sz w:val="20"/>
          <w:szCs w:val="20"/>
          <w:lang w:val="pt-BR"/>
        </w:rPr>
        <w:t xml:space="preserve"> o </w:t>
      </w:r>
      <w:r w:rsidR="00927E16" w:rsidRPr="006D1C74">
        <w:rPr>
          <w:rFonts w:asciiTheme="majorHAnsi" w:eastAsia="Times New Roman" w:hAnsiTheme="majorHAnsi"/>
          <w:sz w:val="20"/>
          <w:szCs w:val="20"/>
          <w:lang w:val="pt-BR"/>
        </w:rPr>
        <w:t>relatório</w:t>
      </w:r>
      <w:r w:rsidRPr="006D1C74">
        <w:rPr>
          <w:rFonts w:asciiTheme="majorHAnsi" w:eastAsia="Times New Roman" w:hAnsiTheme="majorHAnsi"/>
          <w:sz w:val="20"/>
          <w:szCs w:val="20"/>
          <w:lang w:val="pt-BR"/>
        </w:rPr>
        <w:t xml:space="preserve"> final</w:t>
      </w:r>
      <w:r w:rsidR="00795010" w:rsidRPr="006D1C74">
        <w:rPr>
          <w:rFonts w:asciiTheme="majorHAnsi" w:eastAsia="Times New Roman" w:hAnsiTheme="majorHAnsi"/>
          <w:sz w:val="20"/>
          <w:szCs w:val="20"/>
          <w:lang w:val="pt-BR"/>
        </w:rPr>
        <w:t xml:space="preserve"> da </w:t>
      </w:r>
      <w:r w:rsidRPr="006D1C74">
        <w:rPr>
          <w:rFonts w:asciiTheme="majorHAnsi" w:eastAsia="Times New Roman" w:hAnsiTheme="majorHAnsi"/>
          <w:sz w:val="20"/>
          <w:szCs w:val="20"/>
          <w:lang w:val="pt-BR"/>
        </w:rPr>
        <w:t>investiga</w:t>
      </w:r>
      <w:r w:rsidR="00CF037E" w:rsidRPr="006D1C74">
        <w:rPr>
          <w:rFonts w:asciiTheme="majorHAnsi" w:eastAsia="Times New Roman" w:hAnsiTheme="majorHAnsi"/>
          <w:sz w:val="20"/>
          <w:szCs w:val="20"/>
          <w:lang w:val="pt-BR"/>
        </w:rPr>
        <w:t>ção</w:t>
      </w:r>
      <w:r w:rsidRPr="006D1C74">
        <w:rPr>
          <w:rFonts w:asciiTheme="majorHAnsi" w:eastAsia="Times New Roman" w:hAnsiTheme="majorHAnsi"/>
          <w:sz w:val="20"/>
          <w:szCs w:val="20"/>
          <w:lang w:val="pt-BR"/>
        </w:rPr>
        <w:t xml:space="preserve"> realizada</w:t>
      </w:r>
      <w:r w:rsidR="00F37852" w:rsidRPr="006D1C74">
        <w:rPr>
          <w:rFonts w:asciiTheme="majorHAnsi" w:eastAsia="Times New Roman" w:hAnsiTheme="majorHAnsi"/>
          <w:sz w:val="20"/>
          <w:szCs w:val="20"/>
          <w:lang w:val="pt-BR"/>
        </w:rPr>
        <w:t xml:space="preserve"> pela polícia</w:t>
      </w:r>
      <w:r w:rsidRPr="006D1C74">
        <w:rPr>
          <w:rFonts w:asciiTheme="majorHAnsi" w:eastAsia="Times New Roman" w:hAnsiTheme="majorHAnsi"/>
          <w:sz w:val="20"/>
          <w:szCs w:val="20"/>
          <w:lang w:val="pt-BR"/>
        </w:rPr>
        <w:t xml:space="preserve"> militar </w:t>
      </w:r>
      <w:r w:rsidR="001E7651" w:rsidRPr="006D1C74">
        <w:rPr>
          <w:rFonts w:asciiTheme="majorHAnsi" w:eastAsia="Times New Roman" w:hAnsiTheme="majorHAnsi"/>
          <w:sz w:val="20"/>
          <w:szCs w:val="20"/>
          <w:lang w:val="pt-BR"/>
        </w:rPr>
        <w:t>a</w:t>
      </w:r>
      <w:r w:rsidRPr="006D1C74">
        <w:rPr>
          <w:rFonts w:asciiTheme="majorHAnsi" w:eastAsia="Times New Roman" w:hAnsiTheme="majorHAnsi"/>
          <w:sz w:val="20"/>
          <w:szCs w:val="20"/>
          <w:lang w:val="pt-BR"/>
        </w:rPr>
        <w:t>present</w:t>
      </w:r>
      <w:r w:rsidR="00455F22" w:rsidRPr="006D1C74">
        <w:rPr>
          <w:rFonts w:asciiTheme="majorHAnsi" w:eastAsia="Times New Roman" w:hAnsiTheme="majorHAnsi"/>
          <w:sz w:val="20"/>
          <w:szCs w:val="20"/>
          <w:lang w:val="pt-BR"/>
        </w:rPr>
        <w:t xml:space="preserve">ou </w:t>
      </w:r>
      <w:r w:rsidR="00700267" w:rsidRPr="006D1C74">
        <w:rPr>
          <w:rFonts w:asciiTheme="majorHAnsi" w:eastAsia="Times New Roman" w:hAnsiTheme="majorHAnsi"/>
          <w:sz w:val="20"/>
          <w:szCs w:val="20"/>
          <w:lang w:val="pt-BR"/>
        </w:rPr>
        <w:t xml:space="preserve">as </w:t>
      </w:r>
      <w:r w:rsidRPr="006D1C74">
        <w:rPr>
          <w:rFonts w:asciiTheme="majorHAnsi" w:eastAsia="Times New Roman" w:hAnsiTheme="majorHAnsi"/>
          <w:sz w:val="20"/>
          <w:szCs w:val="20"/>
          <w:lang w:val="pt-BR"/>
        </w:rPr>
        <w:t>circunst</w:t>
      </w:r>
      <w:r w:rsidR="001E7651" w:rsidRPr="006D1C74">
        <w:rPr>
          <w:rFonts w:asciiTheme="majorHAnsi" w:eastAsia="Times New Roman" w:hAnsiTheme="majorHAnsi"/>
          <w:sz w:val="20"/>
          <w:szCs w:val="20"/>
          <w:lang w:val="pt-BR"/>
        </w:rPr>
        <w:t>â</w:t>
      </w:r>
      <w:r w:rsidRPr="006D1C74">
        <w:rPr>
          <w:rFonts w:asciiTheme="majorHAnsi" w:eastAsia="Times New Roman" w:hAnsiTheme="majorHAnsi"/>
          <w:sz w:val="20"/>
          <w:szCs w:val="20"/>
          <w:lang w:val="pt-BR"/>
        </w:rPr>
        <w:t>ncias de mane</w:t>
      </w:r>
      <w:r w:rsidR="001E7651" w:rsidRPr="006D1C74">
        <w:rPr>
          <w:rFonts w:asciiTheme="majorHAnsi" w:eastAsia="Times New Roman" w:hAnsiTheme="majorHAnsi"/>
          <w:sz w:val="20"/>
          <w:szCs w:val="20"/>
          <w:lang w:val="pt-BR"/>
        </w:rPr>
        <w:t>i</w:t>
      </w:r>
      <w:r w:rsidRPr="006D1C74">
        <w:rPr>
          <w:rFonts w:asciiTheme="majorHAnsi" w:eastAsia="Times New Roman" w:hAnsiTheme="majorHAnsi"/>
          <w:sz w:val="20"/>
          <w:szCs w:val="20"/>
          <w:lang w:val="pt-BR"/>
        </w:rPr>
        <w:t>ra imparcial e indic</w:t>
      </w:r>
      <w:r w:rsidR="001E7651" w:rsidRPr="006D1C74">
        <w:rPr>
          <w:rFonts w:asciiTheme="majorHAnsi" w:eastAsia="Times New Roman" w:hAnsiTheme="majorHAnsi"/>
          <w:sz w:val="20"/>
          <w:szCs w:val="20"/>
          <w:lang w:val="pt-BR"/>
        </w:rPr>
        <w:t>ou</w:t>
      </w:r>
      <w:r w:rsidRPr="006D1C74">
        <w:rPr>
          <w:rFonts w:asciiTheme="majorHAnsi" w:eastAsia="Times New Roman" w:hAnsiTheme="majorHAnsi"/>
          <w:sz w:val="20"/>
          <w:szCs w:val="20"/>
          <w:lang w:val="pt-BR"/>
        </w:rPr>
        <w:t xml:space="preserve">, </w:t>
      </w:r>
      <w:r w:rsidR="001E7651" w:rsidRPr="006D1C74">
        <w:rPr>
          <w:rFonts w:asciiTheme="majorHAnsi" w:eastAsia="Times New Roman" w:hAnsiTheme="majorHAnsi"/>
          <w:sz w:val="20"/>
          <w:szCs w:val="20"/>
          <w:lang w:val="pt-BR"/>
        </w:rPr>
        <w:t xml:space="preserve">com </w:t>
      </w:r>
      <w:r w:rsidRPr="006D1C74">
        <w:rPr>
          <w:rFonts w:asciiTheme="majorHAnsi" w:eastAsia="Times New Roman" w:hAnsiTheme="majorHAnsi"/>
          <w:sz w:val="20"/>
          <w:szCs w:val="20"/>
          <w:lang w:val="pt-BR"/>
        </w:rPr>
        <w:t>base</w:t>
      </w:r>
      <w:r w:rsidR="00030019" w:rsidRPr="006D1C74">
        <w:rPr>
          <w:rFonts w:asciiTheme="majorHAnsi" w:eastAsia="Times New Roman" w:hAnsiTheme="majorHAnsi"/>
          <w:sz w:val="20"/>
          <w:szCs w:val="20"/>
          <w:lang w:val="pt-BR"/>
        </w:rPr>
        <w:t xml:space="preserve"> </w:t>
      </w:r>
      <w:r w:rsidR="001E7651" w:rsidRPr="006D1C74">
        <w:rPr>
          <w:rFonts w:asciiTheme="majorHAnsi" w:eastAsia="Times New Roman" w:hAnsiTheme="majorHAnsi"/>
          <w:sz w:val="20"/>
          <w:szCs w:val="20"/>
          <w:lang w:val="pt-BR"/>
        </w:rPr>
        <w:t>na perícia</w:t>
      </w:r>
      <w:r w:rsidRPr="006D1C74">
        <w:rPr>
          <w:rFonts w:asciiTheme="majorHAnsi" w:eastAsia="Times New Roman" w:hAnsiTheme="majorHAnsi"/>
          <w:sz w:val="20"/>
          <w:szCs w:val="20"/>
          <w:lang w:val="pt-BR"/>
        </w:rPr>
        <w:t>, que</w:t>
      </w:r>
      <w:r w:rsidR="00700267" w:rsidRPr="006D1C74">
        <w:rPr>
          <w:rFonts w:asciiTheme="majorHAnsi" w:eastAsia="Times New Roman" w:hAnsiTheme="majorHAnsi"/>
          <w:sz w:val="20"/>
          <w:szCs w:val="20"/>
          <w:lang w:val="pt-BR"/>
        </w:rPr>
        <w:t xml:space="preserve"> o </w:t>
      </w:r>
      <w:r w:rsidRPr="006D1C74">
        <w:rPr>
          <w:rFonts w:asciiTheme="majorHAnsi" w:eastAsia="Times New Roman" w:hAnsiTheme="majorHAnsi"/>
          <w:sz w:val="20"/>
          <w:szCs w:val="20"/>
          <w:lang w:val="pt-BR"/>
        </w:rPr>
        <w:t>tiro que mat</w:t>
      </w:r>
      <w:r w:rsidR="00455F22" w:rsidRPr="006D1C74">
        <w:rPr>
          <w:rFonts w:asciiTheme="majorHAnsi" w:eastAsia="Times New Roman" w:hAnsiTheme="majorHAnsi"/>
          <w:sz w:val="20"/>
          <w:szCs w:val="20"/>
          <w:lang w:val="pt-BR"/>
        </w:rPr>
        <w:t xml:space="preserve">ou </w:t>
      </w:r>
      <w:r w:rsidRPr="006D1C74">
        <w:rPr>
          <w:rFonts w:asciiTheme="majorHAnsi" w:eastAsia="Times New Roman" w:hAnsiTheme="majorHAnsi"/>
          <w:sz w:val="20"/>
          <w:szCs w:val="20"/>
          <w:lang w:val="pt-BR"/>
        </w:rPr>
        <w:t>Antonio Tavares part</w:t>
      </w:r>
      <w:r w:rsidR="001E7651" w:rsidRPr="006D1C74">
        <w:rPr>
          <w:rFonts w:asciiTheme="majorHAnsi" w:eastAsia="Times New Roman" w:hAnsiTheme="majorHAnsi"/>
          <w:sz w:val="20"/>
          <w:szCs w:val="20"/>
          <w:lang w:val="pt-BR"/>
        </w:rPr>
        <w:t>iu</w:t>
      </w:r>
      <w:r w:rsidR="00030019" w:rsidRPr="006D1C74">
        <w:rPr>
          <w:rFonts w:asciiTheme="majorHAnsi" w:eastAsia="Times New Roman" w:hAnsiTheme="majorHAnsi"/>
          <w:sz w:val="20"/>
          <w:szCs w:val="20"/>
          <w:lang w:val="pt-BR"/>
        </w:rPr>
        <w:t xml:space="preserve"> d</w:t>
      </w:r>
      <w:r w:rsidR="001E7651" w:rsidRPr="006D1C74">
        <w:rPr>
          <w:rFonts w:asciiTheme="majorHAnsi" w:eastAsia="Times New Roman" w:hAnsiTheme="majorHAnsi"/>
          <w:sz w:val="20"/>
          <w:szCs w:val="20"/>
          <w:lang w:val="pt-BR"/>
        </w:rPr>
        <w:t>a</w:t>
      </w:r>
      <w:r w:rsidR="00030019" w:rsidRPr="006D1C74">
        <w:rPr>
          <w:rFonts w:asciiTheme="majorHAnsi" w:eastAsia="Times New Roman" w:hAnsiTheme="majorHAnsi"/>
          <w:sz w:val="20"/>
          <w:szCs w:val="20"/>
          <w:lang w:val="pt-BR"/>
        </w:rPr>
        <w:t xml:space="preserve"> </w:t>
      </w:r>
      <w:r w:rsidRPr="006D1C74">
        <w:rPr>
          <w:rFonts w:asciiTheme="majorHAnsi" w:eastAsia="Times New Roman" w:hAnsiTheme="majorHAnsi"/>
          <w:sz w:val="20"/>
          <w:szCs w:val="20"/>
          <w:lang w:val="pt-BR"/>
        </w:rPr>
        <w:t>arma</w:t>
      </w:r>
      <w:r w:rsidR="00030019" w:rsidRPr="006D1C74">
        <w:rPr>
          <w:rFonts w:asciiTheme="majorHAnsi" w:eastAsia="Times New Roman" w:hAnsiTheme="majorHAnsi"/>
          <w:sz w:val="20"/>
          <w:szCs w:val="20"/>
          <w:lang w:val="pt-BR"/>
        </w:rPr>
        <w:t xml:space="preserve"> do </w:t>
      </w:r>
      <w:r w:rsidRPr="006D1C74">
        <w:rPr>
          <w:rFonts w:asciiTheme="majorHAnsi" w:eastAsia="Times New Roman" w:hAnsiTheme="majorHAnsi"/>
          <w:sz w:val="20"/>
          <w:szCs w:val="20"/>
          <w:lang w:val="pt-BR"/>
        </w:rPr>
        <w:t>soldado Joel de Lima Santa Ana</w:t>
      </w:r>
      <w:r w:rsidR="00CF037E" w:rsidRPr="006D1C74">
        <w:rPr>
          <w:rFonts w:asciiTheme="majorHAnsi" w:eastAsia="Times New Roman" w:hAnsiTheme="majorHAnsi"/>
          <w:sz w:val="20"/>
          <w:szCs w:val="20"/>
          <w:lang w:val="pt-BR"/>
        </w:rPr>
        <w:t xml:space="preserve"> e </w:t>
      </w:r>
      <w:r w:rsidRPr="006D1C74">
        <w:rPr>
          <w:rFonts w:asciiTheme="majorHAnsi" w:eastAsia="Times New Roman" w:hAnsiTheme="majorHAnsi"/>
          <w:sz w:val="20"/>
          <w:szCs w:val="20"/>
          <w:lang w:val="pt-BR"/>
        </w:rPr>
        <w:t>r</w:t>
      </w:r>
      <w:r w:rsidR="008617AD" w:rsidRPr="006D1C74">
        <w:rPr>
          <w:rFonts w:asciiTheme="majorHAnsi" w:eastAsia="Times New Roman" w:hAnsiTheme="majorHAnsi"/>
          <w:sz w:val="20"/>
          <w:szCs w:val="20"/>
          <w:lang w:val="pt-BR"/>
        </w:rPr>
        <w:t>icoche</w:t>
      </w:r>
      <w:r w:rsidRPr="006D1C74">
        <w:rPr>
          <w:rFonts w:asciiTheme="majorHAnsi" w:eastAsia="Times New Roman" w:hAnsiTheme="majorHAnsi"/>
          <w:sz w:val="20"/>
          <w:szCs w:val="20"/>
          <w:lang w:val="pt-BR"/>
        </w:rPr>
        <w:t>t</w:t>
      </w:r>
      <w:r w:rsidR="008617AD" w:rsidRPr="006D1C74">
        <w:rPr>
          <w:rFonts w:asciiTheme="majorHAnsi" w:eastAsia="Times New Roman" w:hAnsiTheme="majorHAnsi"/>
          <w:sz w:val="20"/>
          <w:szCs w:val="20"/>
          <w:lang w:val="pt-BR"/>
        </w:rPr>
        <w:t>e</w:t>
      </w:r>
      <w:r w:rsidR="00455F22" w:rsidRPr="006D1C74">
        <w:rPr>
          <w:rFonts w:asciiTheme="majorHAnsi" w:eastAsia="Times New Roman" w:hAnsiTheme="majorHAnsi"/>
          <w:sz w:val="20"/>
          <w:szCs w:val="20"/>
          <w:lang w:val="pt-BR"/>
        </w:rPr>
        <w:t xml:space="preserve">ou </w:t>
      </w:r>
      <w:r w:rsidR="00FC2F62" w:rsidRPr="006D1C74">
        <w:rPr>
          <w:rFonts w:asciiTheme="majorHAnsi" w:eastAsia="Times New Roman" w:hAnsiTheme="majorHAnsi"/>
          <w:sz w:val="20"/>
          <w:szCs w:val="20"/>
          <w:lang w:val="pt-BR"/>
        </w:rPr>
        <w:t xml:space="preserve">no </w:t>
      </w:r>
      <w:r w:rsidRPr="006D1C74">
        <w:rPr>
          <w:rFonts w:asciiTheme="majorHAnsi" w:eastAsia="Times New Roman" w:hAnsiTheme="majorHAnsi"/>
          <w:sz w:val="20"/>
          <w:szCs w:val="20"/>
          <w:lang w:val="pt-BR"/>
        </w:rPr>
        <w:t xml:space="preserve">asfalto. </w:t>
      </w:r>
      <w:r w:rsidR="00B42161" w:rsidRPr="006D1C74">
        <w:rPr>
          <w:rFonts w:asciiTheme="majorHAnsi" w:eastAsia="Times New Roman" w:hAnsiTheme="majorHAnsi"/>
          <w:sz w:val="20"/>
          <w:szCs w:val="20"/>
          <w:lang w:val="pt-BR"/>
        </w:rPr>
        <w:t>O</w:t>
      </w:r>
      <w:r w:rsidRPr="006D1C74">
        <w:rPr>
          <w:rFonts w:asciiTheme="majorHAnsi" w:eastAsia="Times New Roman" w:hAnsiTheme="majorHAnsi"/>
          <w:sz w:val="20"/>
          <w:szCs w:val="20"/>
          <w:lang w:val="pt-BR"/>
        </w:rPr>
        <w:t xml:space="preserve"> Estado re</w:t>
      </w:r>
      <w:r w:rsidR="001E7651" w:rsidRPr="006D1C74">
        <w:rPr>
          <w:rFonts w:asciiTheme="majorHAnsi" w:eastAsia="Times New Roman" w:hAnsiTheme="majorHAnsi"/>
          <w:sz w:val="20"/>
          <w:szCs w:val="20"/>
          <w:lang w:val="pt-BR"/>
        </w:rPr>
        <w:t>ss</w:t>
      </w:r>
      <w:r w:rsidRPr="006D1C74">
        <w:rPr>
          <w:rFonts w:asciiTheme="majorHAnsi" w:eastAsia="Times New Roman" w:hAnsiTheme="majorHAnsi"/>
          <w:sz w:val="20"/>
          <w:szCs w:val="20"/>
          <w:lang w:val="pt-BR"/>
        </w:rPr>
        <w:t>al</w:t>
      </w:r>
      <w:r w:rsidR="001E7651" w:rsidRPr="006D1C74">
        <w:rPr>
          <w:rFonts w:asciiTheme="majorHAnsi" w:eastAsia="Times New Roman" w:hAnsiTheme="majorHAnsi"/>
          <w:sz w:val="20"/>
          <w:szCs w:val="20"/>
          <w:lang w:val="pt-BR"/>
        </w:rPr>
        <w:t>t</w:t>
      </w:r>
      <w:r w:rsidRPr="006D1C74">
        <w:rPr>
          <w:rFonts w:asciiTheme="majorHAnsi" w:eastAsia="Times New Roman" w:hAnsiTheme="majorHAnsi"/>
          <w:sz w:val="20"/>
          <w:szCs w:val="20"/>
          <w:lang w:val="pt-BR"/>
        </w:rPr>
        <w:t>a que,</w:t>
      </w:r>
      <w:r w:rsidR="00FC2F62" w:rsidRPr="006D1C74">
        <w:rPr>
          <w:rFonts w:asciiTheme="majorHAnsi" w:eastAsia="Times New Roman" w:hAnsiTheme="majorHAnsi"/>
          <w:sz w:val="20"/>
          <w:szCs w:val="20"/>
          <w:lang w:val="pt-BR"/>
        </w:rPr>
        <w:t xml:space="preserve"> no </w:t>
      </w:r>
      <w:r w:rsidR="00927E16" w:rsidRPr="006D1C74">
        <w:rPr>
          <w:rFonts w:asciiTheme="majorHAnsi" w:eastAsia="Times New Roman" w:hAnsiTheme="majorHAnsi"/>
          <w:sz w:val="20"/>
          <w:szCs w:val="20"/>
          <w:lang w:val="pt-BR"/>
        </w:rPr>
        <w:t>relatório</w:t>
      </w:r>
      <w:r w:rsidRPr="006D1C74">
        <w:rPr>
          <w:rFonts w:asciiTheme="majorHAnsi" w:eastAsia="Times New Roman" w:hAnsiTheme="majorHAnsi"/>
          <w:sz w:val="20"/>
          <w:szCs w:val="20"/>
          <w:lang w:val="pt-BR"/>
        </w:rPr>
        <w:t xml:space="preserve"> final,</w:t>
      </w:r>
      <w:r w:rsidR="00700267" w:rsidRPr="006D1C74">
        <w:rPr>
          <w:rFonts w:asciiTheme="majorHAnsi" w:eastAsia="Times New Roman" w:hAnsiTheme="majorHAnsi"/>
          <w:sz w:val="20"/>
          <w:szCs w:val="20"/>
          <w:lang w:val="pt-BR"/>
        </w:rPr>
        <w:t xml:space="preserve"> o </w:t>
      </w:r>
      <w:r w:rsidRPr="006D1C74">
        <w:rPr>
          <w:rFonts w:asciiTheme="majorHAnsi" w:eastAsia="Times New Roman" w:hAnsiTheme="majorHAnsi"/>
          <w:sz w:val="20"/>
          <w:szCs w:val="20"/>
          <w:lang w:val="pt-BR"/>
        </w:rPr>
        <w:t>exame de</w:t>
      </w:r>
      <w:r w:rsidR="00030019" w:rsidRPr="006D1C74">
        <w:rPr>
          <w:rFonts w:asciiTheme="majorHAnsi" w:eastAsia="Times New Roman" w:hAnsiTheme="majorHAnsi"/>
          <w:sz w:val="20"/>
          <w:szCs w:val="20"/>
          <w:lang w:val="pt-BR"/>
        </w:rPr>
        <w:t xml:space="preserve"> uma </w:t>
      </w:r>
      <w:r w:rsidRPr="006D1C74">
        <w:rPr>
          <w:rFonts w:asciiTheme="majorHAnsi" w:eastAsia="Times New Roman" w:hAnsiTheme="majorHAnsi"/>
          <w:sz w:val="20"/>
          <w:szCs w:val="20"/>
          <w:lang w:val="pt-BR"/>
        </w:rPr>
        <w:t>pos</w:t>
      </w:r>
      <w:r w:rsidR="001E7651" w:rsidRPr="006D1C74">
        <w:rPr>
          <w:rFonts w:asciiTheme="majorHAnsi" w:eastAsia="Times New Roman" w:hAnsiTheme="majorHAnsi"/>
          <w:sz w:val="20"/>
          <w:szCs w:val="20"/>
          <w:lang w:val="pt-BR"/>
        </w:rPr>
        <w:t>sível</w:t>
      </w:r>
      <w:r w:rsidRPr="006D1C74">
        <w:rPr>
          <w:rFonts w:asciiTheme="majorHAnsi" w:eastAsia="Times New Roman" w:hAnsiTheme="majorHAnsi"/>
          <w:sz w:val="20"/>
          <w:szCs w:val="20"/>
          <w:lang w:val="pt-BR"/>
        </w:rPr>
        <w:t xml:space="preserve"> exclu</w:t>
      </w:r>
      <w:r w:rsidR="001E7651" w:rsidRPr="006D1C74">
        <w:rPr>
          <w:rFonts w:asciiTheme="majorHAnsi" w:eastAsia="Times New Roman" w:hAnsiTheme="majorHAnsi"/>
          <w:sz w:val="20"/>
          <w:szCs w:val="20"/>
          <w:lang w:val="pt-BR"/>
        </w:rPr>
        <w:t>d</w:t>
      </w:r>
      <w:r w:rsidRPr="006D1C74">
        <w:rPr>
          <w:rFonts w:asciiTheme="majorHAnsi" w:eastAsia="Times New Roman" w:hAnsiTheme="majorHAnsi"/>
          <w:sz w:val="20"/>
          <w:szCs w:val="20"/>
          <w:lang w:val="pt-BR"/>
        </w:rPr>
        <w:t>ente de il</w:t>
      </w:r>
      <w:r w:rsidR="007F3328" w:rsidRPr="006D1C74">
        <w:rPr>
          <w:rFonts w:asciiTheme="majorHAnsi" w:eastAsia="Times New Roman" w:hAnsiTheme="majorHAnsi"/>
          <w:sz w:val="20"/>
          <w:szCs w:val="20"/>
          <w:lang w:val="pt-BR"/>
        </w:rPr>
        <w:t>icitude</w:t>
      </w:r>
      <w:r w:rsidRPr="006D1C74">
        <w:rPr>
          <w:rFonts w:asciiTheme="majorHAnsi" w:eastAsia="Times New Roman" w:hAnsiTheme="majorHAnsi"/>
          <w:sz w:val="20"/>
          <w:szCs w:val="20"/>
          <w:lang w:val="pt-BR"/>
        </w:rPr>
        <w:t xml:space="preserve"> </w:t>
      </w:r>
      <w:r w:rsidR="001E7651" w:rsidRPr="006D1C74">
        <w:rPr>
          <w:rFonts w:asciiTheme="majorHAnsi" w:eastAsia="Times New Roman" w:hAnsiTheme="majorHAnsi"/>
          <w:sz w:val="20"/>
          <w:szCs w:val="20"/>
          <w:lang w:val="pt-BR"/>
        </w:rPr>
        <w:t>fic</w:t>
      </w:r>
      <w:r w:rsidR="00455F22" w:rsidRPr="006D1C74">
        <w:rPr>
          <w:rFonts w:asciiTheme="majorHAnsi" w:eastAsia="Times New Roman" w:hAnsiTheme="majorHAnsi"/>
          <w:sz w:val="20"/>
          <w:szCs w:val="20"/>
          <w:lang w:val="pt-BR"/>
        </w:rPr>
        <w:t xml:space="preserve">ou </w:t>
      </w:r>
      <w:r w:rsidRPr="006D1C74">
        <w:rPr>
          <w:rFonts w:asciiTheme="majorHAnsi" w:eastAsia="Times New Roman" w:hAnsiTheme="majorHAnsi"/>
          <w:sz w:val="20"/>
          <w:szCs w:val="20"/>
          <w:lang w:val="pt-BR"/>
        </w:rPr>
        <w:t>a crit</w:t>
      </w:r>
      <w:r w:rsidR="001E7651" w:rsidRPr="006D1C74">
        <w:rPr>
          <w:rFonts w:asciiTheme="majorHAnsi" w:eastAsia="Times New Roman" w:hAnsiTheme="majorHAnsi"/>
          <w:sz w:val="20"/>
          <w:szCs w:val="20"/>
          <w:lang w:val="pt-BR"/>
        </w:rPr>
        <w:t>é</w:t>
      </w:r>
      <w:r w:rsidRPr="006D1C74">
        <w:rPr>
          <w:rFonts w:asciiTheme="majorHAnsi" w:eastAsia="Times New Roman" w:hAnsiTheme="majorHAnsi"/>
          <w:sz w:val="20"/>
          <w:szCs w:val="20"/>
          <w:lang w:val="pt-BR"/>
        </w:rPr>
        <w:t>rio</w:t>
      </w:r>
      <w:r w:rsidR="00030019" w:rsidRPr="006D1C74">
        <w:rPr>
          <w:rFonts w:asciiTheme="majorHAnsi" w:eastAsia="Times New Roman" w:hAnsiTheme="majorHAnsi"/>
          <w:sz w:val="20"/>
          <w:szCs w:val="20"/>
          <w:lang w:val="pt-BR"/>
        </w:rPr>
        <w:t xml:space="preserve"> do </w:t>
      </w:r>
      <w:r w:rsidR="001E7651" w:rsidRPr="006D1C74">
        <w:rPr>
          <w:rFonts w:asciiTheme="majorHAnsi" w:eastAsia="Times New Roman" w:hAnsiTheme="majorHAnsi"/>
          <w:sz w:val="20"/>
          <w:szCs w:val="20"/>
          <w:lang w:val="pt-BR"/>
        </w:rPr>
        <w:t>Ministério</w:t>
      </w:r>
      <w:r w:rsidRPr="006D1C74">
        <w:rPr>
          <w:rFonts w:asciiTheme="majorHAnsi" w:eastAsia="Times New Roman" w:hAnsiTheme="majorHAnsi"/>
          <w:sz w:val="20"/>
          <w:szCs w:val="20"/>
          <w:lang w:val="pt-BR"/>
        </w:rPr>
        <w:t xml:space="preserve"> Público</w:t>
      </w:r>
      <w:r w:rsidR="00CF037E" w:rsidRPr="006D1C74">
        <w:rPr>
          <w:rFonts w:asciiTheme="majorHAnsi" w:eastAsia="Times New Roman" w:hAnsiTheme="majorHAnsi"/>
          <w:sz w:val="20"/>
          <w:szCs w:val="20"/>
          <w:lang w:val="pt-BR"/>
        </w:rPr>
        <w:t xml:space="preserve"> e</w:t>
      </w:r>
      <w:r w:rsidR="00030019" w:rsidRPr="006D1C74">
        <w:rPr>
          <w:rFonts w:asciiTheme="majorHAnsi" w:eastAsia="Times New Roman" w:hAnsiTheme="majorHAnsi"/>
          <w:sz w:val="20"/>
          <w:szCs w:val="20"/>
          <w:lang w:val="pt-BR"/>
        </w:rPr>
        <w:t xml:space="preserve"> do </w:t>
      </w:r>
      <w:r w:rsidR="008617AD" w:rsidRPr="006D1C74">
        <w:rPr>
          <w:rFonts w:asciiTheme="majorHAnsi" w:eastAsia="Times New Roman" w:hAnsiTheme="majorHAnsi"/>
          <w:sz w:val="20"/>
          <w:szCs w:val="20"/>
          <w:lang w:val="pt-BR"/>
        </w:rPr>
        <w:t>juiz</w:t>
      </w:r>
      <w:r w:rsidRPr="006D1C74">
        <w:rPr>
          <w:rFonts w:asciiTheme="majorHAnsi" w:eastAsia="Times New Roman" w:hAnsiTheme="majorHAnsi"/>
          <w:sz w:val="20"/>
          <w:szCs w:val="20"/>
          <w:lang w:val="pt-BR"/>
        </w:rPr>
        <w:t>.</w:t>
      </w:r>
    </w:p>
    <w:p w14:paraId="4159E34D" w14:textId="77777777" w:rsidR="002649F0" w:rsidRPr="006D1C74" w:rsidRDefault="002649F0" w:rsidP="002649F0">
      <w:pPr>
        <w:ind w:left="720"/>
        <w:rPr>
          <w:rFonts w:asciiTheme="majorHAnsi" w:eastAsia="Times New Roman" w:hAnsiTheme="majorHAnsi" w:cs="Cambria"/>
          <w:sz w:val="20"/>
          <w:szCs w:val="20"/>
          <w:u w:color="000000"/>
          <w:lang w:val="pt-BR" w:eastAsia="es-ES"/>
        </w:rPr>
      </w:pPr>
    </w:p>
    <w:p w14:paraId="3071E8AD"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pt-BR"/>
        </w:rPr>
      </w:pPr>
      <w:r w:rsidRPr="006D1C74">
        <w:rPr>
          <w:rFonts w:asciiTheme="majorHAnsi" w:eastAsia="Times New Roman" w:hAnsiTheme="majorHAnsi"/>
          <w:sz w:val="20"/>
          <w:szCs w:val="20"/>
          <w:lang w:val="pt-BR"/>
        </w:rPr>
        <w:t>A</w:t>
      </w:r>
      <w:r w:rsidR="008617AD" w:rsidRPr="006D1C74">
        <w:rPr>
          <w:rFonts w:asciiTheme="majorHAnsi" w:eastAsia="Times New Roman" w:hAnsiTheme="majorHAnsi"/>
          <w:sz w:val="20"/>
          <w:szCs w:val="20"/>
          <w:lang w:val="pt-BR"/>
        </w:rPr>
        <w:t>o</w:t>
      </w:r>
      <w:r w:rsidRPr="006D1C74">
        <w:rPr>
          <w:rFonts w:asciiTheme="majorHAnsi" w:eastAsia="Times New Roman" w:hAnsiTheme="majorHAnsi"/>
          <w:sz w:val="20"/>
          <w:szCs w:val="20"/>
          <w:lang w:val="pt-BR"/>
        </w:rPr>
        <w:t xml:space="preserve"> referir</w:t>
      </w:r>
      <w:r w:rsidR="008617AD" w:rsidRPr="006D1C74">
        <w:rPr>
          <w:rFonts w:asciiTheme="majorHAnsi" w:eastAsia="Times New Roman" w:hAnsiTheme="majorHAnsi"/>
          <w:sz w:val="20"/>
          <w:szCs w:val="20"/>
          <w:lang w:val="pt-BR"/>
        </w:rPr>
        <w:t>-</w:t>
      </w:r>
      <w:r w:rsidRPr="006D1C74">
        <w:rPr>
          <w:rFonts w:asciiTheme="majorHAnsi" w:eastAsia="Times New Roman" w:hAnsiTheme="majorHAnsi"/>
          <w:sz w:val="20"/>
          <w:szCs w:val="20"/>
          <w:lang w:val="pt-BR"/>
        </w:rPr>
        <w:t>se</w:t>
      </w:r>
      <w:r w:rsidR="00030019" w:rsidRPr="006D1C74">
        <w:rPr>
          <w:rFonts w:asciiTheme="majorHAnsi" w:eastAsia="Times New Roman" w:hAnsiTheme="majorHAnsi"/>
          <w:sz w:val="20"/>
          <w:szCs w:val="20"/>
          <w:lang w:val="pt-BR"/>
        </w:rPr>
        <w:t xml:space="preserve"> às </w:t>
      </w:r>
      <w:r w:rsidRPr="006D1C74">
        <w:rPr>
          <w:rFonts w:asciiTheme="majorHAnsi" w:eastAsia="Times New Roman" w:hAnsiTheme="majorHAnsi"/>
          <w:sz w:val="20"/>
          <w:szCs w:val="20"/>
          <w:lang w:val="pt-BR"/>
        </w:rPr>
        <w:t>conclus</w:t>
      </w:r>
      <w:r w:rsidR="008617AD" w:rsidRPr="006D1C74">
        <w:rPr>
          <w:rFonts w:asciiTheme="majorHAnsi" w:eastAsia="Times New Roman" w:hAnsiTheme="majorHAnsi"/>
          <w:sz w:val="20"/>
          <w:szCs w:val="20"/>
          <w:lang w:val="pt-BR"/>
        </w:rPr>
        <w:t>õ</w:t>
      </w:r>
      <w:r w:rsidRPr="006D1C74">
        <w:rPr>
          <w:rFonts w:asciiTheme="majorHAnsi" w:eastAsia="Times New Roman" w:hAnsiTheme="majorHAnsi"/>
          <w:sz w:val="20"/>
          <w:szCs w:val="20"/>
          <w:lang w:val="pt-BR"/>
        </w:rPr>
        <w:t>es</w:t>
      </w:r>
      <w:r w:rsidR="00795010" w:rsidRPr="006D1C74">
        <w:rPr>
          <w:rFonts w:asciiTheme="majorHAnsi" w:eastAsia="Times New Roman" w:hAnsiTheme="majorHAnsi"/>
          <w:sz w:val="20"/>
          <w:szCs w:val="20"/>
          <w:lang w:val="pt-BR"/>
        </w:rPr>
        <w:t xml:space="preserve"> da </w:t>
      </w:r>
      <w:r w:rsidRPr="006D1C74">
        <w:rPr>
          <w:rFonts w:asciiTheme="majorHAnsi" w:eastAsia="Times New Roman" w:hAnsiTheme="majorHAnsi"/>
          <w:sz w:val="20"/>
          <w:szCs w:val="20"/>
          <w:lang w:val="pt-BR"/>
        </w:rPr>
        <w:t>investiga</w:t>
      </w:r>
      <w:r w:rsidR="00CF037E" w:rsidRPr="006D1C74">
        <w:rPr>
          <w:rFonts w:asciiTheme="majorHAnsi" w:eastAsia="Times New Roman" w:hAnsiTheme="majorHAnsi"/>
          <w:sz w:val="20"/>
          <w:szCs w:val="20"/>
          <w:lang w:val="pt-BR"/>
        </w:rPr>
        <w:t>ção</w:t>
      </w:r>
      <w:r w:rsidRPr="006D1C74">
        <w:rPr>
          <w:rFonts w:asciiTheme="majorHAnsi" w:eastAsia="Times New Roman" w:hAnsiTheme="majorHAnsi"/>
          <w:sz w:val="20"/>
          <w:szCs w:val="20"/>
          <w:lang w:val="pt-BR"/>
        </w:rPr>
        <w:t xml:space="preserve"> realizada</w:t>
      </w:r>
      <w:r w:rsidR="00F37852" w:rsidRPr="006D1C74">
        <w:rPr>
          <w:rFonts w:asciiTheme="majorHAnsi" w:eastAsia="Times New Roman" w:hAnsiTheme="majorHAnsi"/>
          <w:sz w:val="20"/>
          <w:szCs w:val="20"/>
          <w:lang w:val="pt-BR"/>
        </w:rPr>
        <w:t xml:space="preserve"> pela polícia</w:t>
      </w:r>
      <w:r w:rsidRPr="006D1C74">
        <w:rPr>
          <w:rFonts w:asciiTheme="majorHAnsi" w:eastAsia="Times New Roman" w:hAnsiTheme="majorHAnsi"/>
          <w:sz w:val="20"/>
          <w:szCs w:val="20"/>
          <w:lang w:val="pt-BR"/>
        </w:rPr>
        <w:t xml:space="preserve"> militar,</w:t>
      </w:r>
      <w:r w:rsidR="00700267" w:rsidRPr="006D1C74">
        <w:rPr>
          <w:rFonts w:asciiTheme="majorHAnsi" w:eastAsia="Times New Roman" w:hAnsiTheme="majorHAnsi"/>
          <w:sz w:val="20"/>
          <w:szCs w:val="20"/>
          <w:lang w:val="pt-BR"/>
        </w:rPr>
        <w:t xml:space="preserve"> o </w:t>
      </w:r>
      <w:r w:rsidRPr="006D1C74">
        <w:rPr>
          <w:rFonts w:asciiTheme="majorHAnsi" w:eastAsia="Times New Roman" w:hAnsiTheme="majorHAnsi"/>
          <w:sz w:val="20"/>
          <w:szCs w:val="20"/>
          <w:lang w:val="pt-BR"/>
        </w:rPr>
        <w:t>Estado explica que</w:t>
      </w:r>
      <w:r w:rsidR="00700267" w:rsidRPr="006D1C74">
        <w:rPr>
          <w:rFonts w:asciiTheme="majorHAnsi" w:eastAsia="Times New Roman" w:hAnsiTheme="majorHAnsi"/>
          <w:sz w:val="20"/>
          <w:szCs w:val="20"/>
          <w:lang w:val="pt-BR"/>
        </w:rPr>
        <w:t xml:space="preserve"> o </w:t>
      </w:r>
      <w:r w:rsidR="008617AD" w:rsidRPr="006D1C74">
        <w:rPr>
          <w:rFonts w:asciiTheme="majorHAnsi" w:eastAsia="Times New Roman" w:hAnsiTheme="majorHAnsi"/>
          <w:sz w:val="20"/>
          <w:szCs w:val="20"/>
          <w:lang w:val="pt-BR"/>
        </w:rPr>
        <w:t>Promotor</w:t>
      </w:r>
      <w:r w:rsidRPr="006D1C74">
        <w:rPr>
          <w:rFonts w:asciiTheme="majorHAnsi" w:eastAsia="Times New Roman" w:hAnsiTheme="majorHAnsi"/>
          <w:sz w:val="20"/>
          <w:szCs w:val="20"/>
          <w:lang w:val="pt-BR"/>
        </w:rPr>
        <w:t xml:space="preserve"> solicit</w:t>
      </w:r>
      <w:r w:rsidR="00455F22" w:rsidRPr="006D1C74">
        <w:rPr>
          <w:rFonts w:asciiTheme="majorHAnsi" w:eastAsia="Times New Roman" w:hAnsiTheme="majorHAnsi"/>
          <w:sz w:val="20"/>
          <w:szCs w:val="20"/>
          <w:lang w:val="pt-BR"/>
        </w:rPr>
        <w:t xml:space="preserve">ou </w:t>
      </w:r>
      <w:r w:rsidR="00217759" w:rsidRPr="006D1C74">
        <w:rPr>
          <w:rFonts w:asciiTheme="majorHAnsi" w:eastAsia="Times New Roman" w:hAnsiTheme="majorHAnsi"/>
          <w:sz w:val="20"/>
          <w:szCs w:val="20"/>
          <w:lang w:val="pt-BR"/>
        </w:rPr>
        <w:t xml:space="preserve">ao </w:t>
      </w:r>
      <w:r w:rsidR="008617AD" w:rsidRPr="006D1C74">
        <w:rPr>
          <w:rFonts w:asciiTheme="majorHAnsi" w:eastAsia="Times New Roman" w:hAnsiTheme="majorHAnsi"/>
          <w:sz w:val="20"/>
          <w:szCs w:val="20"/>
          <w:lang w:val="pt-BR"/>
        </w:rPr>
        <w:t>juiz</w:t>
      </w:r>
      <w:r w:rsidRPr="006D1C74">
        <w:rPr>
          <w:rFonts w:asciiTheme="majorHAnsi" w:eastAsia="Times New Roman" w:hAnsiTheme="majorHAnsi"/>
          <w:sz w:val="20"/>
          <w:szCs w:val="20"/>
          <w:lang w:val="pt-BR"/>
        </w:rPr>
        <w:t xml:space="preserve"> auditor</w:t>
      </w:r>
      <w:r w:rsidR="00700267" w:rsidRPr="006D1C74">
        <w:rPr>
          <w:rFonts w:asciiTheme="majorHAnsi" w:eastAsia="Times New Roman" w:hAnsiTheme="majorHAnsi"/>
          <w:sz w:val="20"/>
          <w:szCs w:val="20"/>
          <w:lang w:val="pt-BR"/>
        </w:rPr>
        <w:t xml:space="preserve"> o </w:t>
      </w:r>
      <w:r w:rsidRPr="006D1C74">
        <w:rPr>
          <w:rFonts w:asciiTheme="majorHAnsi" w:eastAsia="Times New Roman" w:hAnsiTheme="majorHAnsi"/>
          <w:sz w:val="20"/>
          <w:szCs w:val="20"/>
          <w:lang w:val="pt-BR"/>
        </w:rPr>
        <w:t>ar</w:t>
      </w:r>
      <w:r w:rsidR="008617AD" w:rsidRPr="006D1C74">
        <w:rPr>
          <w:rFonts w:asciiTheme="majorHAnsi" w:eastAsia="Times New Roman" w:hAnsiTheme="majorHAnsi"/>
          <w:sz w:val="20"/>
          <w:szCs w:val="20"/>
          <w:lang w:val="pt-BR"/>
        </w:rPr>
        <w:t>qu</w:t>
      </w:r>
      <w:r w:rsidRPr="006D1C74">
        <w:rPr>
          <w:rFonts w:asciiTheme="majorHAnsi" w:eastAsia="Times New Roman" w:hAnsiTheme="majorHAnsi"/>
          <w:sz w:val="20"/>
          <w:szCs w:val="20"/>
          <w:lang w:val="pt-BR"/>
        </w:rPr>
        <w:t>iv</w:t>
      </w:r>
      <w:r w:rsidR="008617AD" w:rsidRPr="006D1C74">
        <w:rPr>
          <w:rFonts w:asciiTheme="majorHAnsi" w:eastAsia="Times New Roman" w:hAnsiTheme="majorHAnsi"/>
          <w:sz w:val="20"/>
          <w:szCs w:val="20"/>
          <w:lang w:val="pt-BR"/>
        </w:rPr>
        <w:t>ament</w:t>
      </w:r>
      <w:r w:rsidRPr="006D1C74">
        <w:rPr>
          <w:rFonts w:asciiTheme="majorHAnsi" w:eastAsia="Times New Roman" w:hAnsiTheme="majorHAnsi"/>
          <w:sz w:val="20"/>
          <w:szCs w:val="20"/>
          <w:lang w:val="pt-BR"/>
        </w:rPr>
        <w:t>o</w:t>
      </w:r>
      <w:r w:rsidR="00795010" w:rsidRPr="006D1C74">
        <w:rPr>
          <w:rFonts w:asciiTheme="majorHAnsi" w:eastAsia="Times New Roman" w:hAnsiTheme="majorHAnsi"/>
          <w:sz w:val="20"/>
          <w:szCs w:val="20"/>
          <w:lang w:val="pt-BR"/>
        </w:rPr>
        <w:t xml:space="preserve"> da </w:t>
      </w:r>
      <w:r w:rsidRPr="006D1C74">
        <w:rPr>
          <w:rFonts w:asciiTheme="majorHAnsi" w:eastAsia="Times New Roman" w:hAnsiTheme="majorHAnsi"/>
          <w:sz w:val="20"/>
          <w:szCs w:val="20"/>
          <w:lang w:val="pt-BR"/>
        </w:rPr>
        <w:t>investiga</w:t>
      </w:r>
      <w:r w:rsidR="00CF037E" w:rsidRPr="006D1C74">
        <w:rPr>
          <w:rFonts w:asciiTheme="majorHAnsi" w:eastAsia="Times New Roman" w:hAnsiTheme="majorHAnsi"/>
          <w:sz w:val="20"/>
          <w:szCs w:val="20"/>
          <w:lang w:val="pt-BR"/>
        </w:rPr>
        <w:t>ção</w:t>
      </w:r>
      <w:r w:rsidRPr="006D1C74">
        <w:rPr>
          <w:rFonts w:asciiTheme="majorHAnsi" w:eastAsia="Times New Roman" w:hAnsiTheme="majorHAnsi"/>
          <w:sz w:val="20"/>
          <w:szCs w:val="20"/>
          <w:lang w:val="pt-BR"/>
        </w:rPr>
        <w:t xml:space="preserve"> porque</w:t>
      </w:r>
      <w:r w:rsidR="00F673C7" w:rsidRPr="006D1C74">
        <w:rPr>
          <w:rFonts w:asciiTheme="majorHAnsi" w:eastAsia="Times New Roman" w:hAnsiTheme="majorHAnsi"/>
          <w:sz w:val="20"/>
          <w:szCs w:val="20"/>
          <w:lang w:val="pt-BR"/>
        </w:rPr>
        <w:t xml:space="preserve"> não </w:t>
      </w:r>
      <w:r w:rsidRPr="006D1C74">
        <w:rPr>
          <w:rFonts w:asciiTheme="majorHAnsi" w:eastAsia="Times New Roman" w:hAnsiTheme="majorHAnsi"/>
          <w:sz w:val="20"/>
          <w:szCs w:val="20"/>
          <w:lang w:val="pt-BR"/>
        </w:rPr>
        <w:t>se vislumbra</w:t>
      </w:r>
      <w:r w:rsidR="008617AD" w:rsidRPr="006D1C74">
        <w:rPr>
          <w:rFonts w:asciiTheme="majorHAnsi" w:eastAsia="Times New Roman" w:hAnsiTheme="majorHAnsi"/>
          <w:sz w:val="20"/>
          <w:szCs w:val="20"/>
          <w:lang w:val="pt-BR"/>
        </w:rPr>
        <w:t>v</w:t>
      </w:r>
      <w:r w:rsidRPr="006D1C74">
        <w:rPr>
          <w:rFonts w:asciiTheme="majorHAnsi" w:eastAsia="Times New Roman" w:hAnsiTheme="majorHAnsi"/>
          <w:sz w:val="20"/>
          <w:szCs w:val="20"/>
          <w:lang w:val="pt-BR"/>
        </w:rPr>
        <w:t>a</w:t>
      </w:r>
      <w:r w:rsidR="00030019" w:rsidRPr="006D1C74">
        <w:rPr>
          <w:rFonts w:asciiTheme="majorHAnsi" w:eastAsia="Times New Roman" w:hAnsiTheme="majorHAnsi"/>
          <w:sz w:val="20"/>
          <w:szCs w:val="20"/>
          <w:lang w:val="pt-BR"/>
        </w:rPr>
        <w:t xml:space="preserve"> um </w:t>
      </w:r>
      <w:r w:rsidRPr="006D1C74">
        <w:rPr>
          <w:rFonts w:asciiTheme="majorHAnsi" w:eastAsia="Times New Roman" w:hAnsiTheme="majorHAnsi"/>
          <w:sz w:val="20"/>
          <w:szCs w:val="20"/>
          <w:lang w:val="pt-BR"/>
        </w:rPr>
        <w:t>delito militar o</w:t>
      </w:r>
      <w:r w:rsidR="008617AD" w:rsidRPr="006D1C74">
        <w:rPr>
          <w:rFonts w:asciiTheme="majorHAnsi" w:eastAsia="Times New Roman" w:hAnsiTheme="majorHAnsi"/>
          <w:sz w:val="20"/>
          <w:szCs w:val="20"/>
          <w:lang w:val="pt-BR"/>
        </w:rPr>
        <w:t>u</w:t>
      </w:r>
      <w:r w:rsidRPr="006D1C74">
        <w:rPr>
          <w:rFonts w:asciiTheme="majorHAnsi" w:eastAsia="Times New Roman" w:hAnsiTheme="majorHAnsi"/>
          <w:sz w:val="20"/>
          <w:szCs w:val="20"/>
          <w:lang w:val="pt-BR"/>
        </w:rPr>
        <w:t xml:space="preserve"> com</w:t>
      </w:r>
      <w:r w:rsidR="008617AD" w:rsidRPr="006D1C74">
        <w:rPr>
          <w:rFonts w:asciiTheme="majorHAnsi" w:eastAsia="Times New Roman" w:hAnsiTheme="majorHAnsi"/>
          <w:sz w:val="20"/>
          <w:szCs w:val="20"/>
          <w:lang w:val="pt-BR"/>
        </w:rPr>
        <w:t>um</w:t>
      </w:r>
      <w:r w:rsidR="00F673C7" w:rsidRPr="006D1C74">
        <w:rPr>
          <w:rFonts w:asciiTheme="majorHAnsi" w:eastAsia="Times New Roman" w:hAnsiTheme="majorHAnsi"/>
          <w:sz w:val="20"/>
          <w:szCs w:val="20"/>
          <w:lang w:val="pt-BR"/>
        </w:rPr>
        <w:t xml:space="preserve"> na </w:t>
      </w:r>
      <w:r w:rsidRPr="006D1C74">
        <w:rPr>
          <w:rFonts w:asciiTheme="majorHAnsi" w:eastAsia="Times New Roman" w:hAnsiTheme="majorHAnsi"/>
          <w:sz w:val="20"/>
          <w:szCs w:val="20"/>
          <w:lang w:val="pt-BR"/>
        </w:rPr>
        <w:t>conduta</w:t>
      </w:r>
      <w:r w:rsidR="00030019" w:rsidRPr="006D1C74">
        <w:rPr>
          <w:rFonts w:asciiTheme="majorHAnsi" w:eastAsia="Times New Roman" w:hAnsiTheme="majorHAnsi"/>
          <w:sz w:val="20"/>
          <w:szCs w:val="20"/>
          <w:lang w:val="pt-BR"/>
        </w:rPr>
        <w:t xml:space="preserve"> do </w:t>
      </w:r>
      <w:r w:rsidRPr="006D1C74">
        <w:rPr>
          <w:rFonts w:asciiTheme="majorHAnsi" w:eastAsia="Times New Roman" w:hAnsiTheme="majorHAnsi"/>
          <w:sz w:val="20"/>
          <w:szCs w:val="20"/>
          <w:lang w:val="pt-BR"/>
        </w:rPr>
        <w:t>soldado Joel de Lima Santa Ana</w:t>
      </w:r>
      <w:r w:rsidR="00854BC6" w:rsidRPr="006D1C74">
        <w:rPr>
          <w:rFonts w:asciiTheme="majorHAnsi" w:eastAsia="Times New Roman" w:hAnsiTheme="majorHAnsi"/>
          <w:sz w:val="20"/>
          <w:szCs w:val="20"/>
          <w:lang w:val="pt-BR"/>
        </w:rPr>
        <w:t>.</w:t>
      </w:r>
      <w:r w:rsidRPr="006D1C74">
        <w:rPr>
          <w:rFonts w:asciiTheme="majorHAnsi" w:eastAsia="Times New Roman" w:hAnsiTheme="majorHAnsi"/>
          <w:sz w:val="20"/>
          <w:szCs w:val="20"/>
          <w:lang w:val="pt-BR"/>
        </w:rPr>
        <w:t xml:space="preserve"> A</w:t>
      </w:r>
      <w:r w:rsidR="008617AD" w:rsidRPr="006D1C74">
        <w:rPr>
          <w:rFonts w:asciiTheme="majorHAnsi" w:eastAsia="Times New Roman" w:hAnsiTheme="majorHAnsi"/>
          <w:sz w:val="20"/>
          <w:szCs w:val="20"/>
          <w:lang w:val="pt-BR"/>
        </w:rPr>
        <w:t>crescent</w:t>
      </w:r>
      <w:r w:rsidRPr="006D1C74">
        <w:rPr>
          <w:rFonts w:asciiTheme="majorHAnsi" w:eastAsia="Times New Roman" w:hAnsiTheme="majorHAnsi"/>
          <w:sz w:val="20"/>
          <w:szCs w:val="20"/>
          <w:lang w:val="pt-BR"/>
        </w:rPr>
        <w:t>a que</w:t>
      </w:r>
      <w:r w:rsidR="00700267" w:rsidRPr="006D1C74">
        <w:rPr>
          <w:rFonts w:asciiTheme="majorHAnsi" w:eastAsia="Times New Roman" w:hAnsiTheme="majorHAnsi"/>
          <w:sz w:val="20"/>
          <w:szCs w:val="20"/>
          <w:lang w:val="pt-BR"/>
        </w:rPr>
        <w:t xml:space="preserve"> o </w:t>
      </w:r>
      <w:r w:rsidR="008617AD" w:rsidRPr="006D1C74">
        <w:rPr>
          <w:rFonts w:asciiTheme="majorHAnsi" w:eastAsia="Times New Roman" w:hAnsiTheme="majorHAnsi"/>
          <w:sz w:val="20"/>
          <w:szCs w:val="20"/>
          <w:lang w:val="pt-BR"/>
        </w:rPr>
        <w:t>juiz</w:t>
      </w:r>
      <w:r w:rsidRPr="006D1C74">
        <w:rPr>
          <w:rFonts w:asciiTheme="majorHAnsi" w:eastAsia="Times New Roman" w:hAnsiTheme="majorHAnsi"/>
          <w:sz w:val="20"/>
          <w:szCs w:val="20"/>
          <w:lang w:val="pt-BR"/>
        </w:rPr>
        <w:t>,</w:t>
      </w:r>
      <w:r w:rsidR="00F673C7" w:rsidRPr="006D1C74">
        <w:rPr>
          <w:rFonts w:asciiTheme="majorHAnsi" w:eastAsia="Times New Roman" w:hAnsiTheme="majorHAnsi"/>
          <w:sz w:val="20"/>
          <w:szCs w:val="20"/>
          <w:lang w:val="pt-BR"/>
        </w:rPr>
        <w:t xml:space="preserve"> </w:t>
      </w:r>
      <w:r w:rsidR="008617AD" w:rsidRPr="006D1C74">
        <w:rPr>
          <w:rFonts w:asciiTheme="majorHAnsi" w:eastAsia="Times New Roman" w:hAnsiTheme="majorHAnsi"/>
          <w:sz w:val="20"/>
          <w:szCs w:val="20"/>
          <w:lang w:val="pt-BR"/>
        </w:rPr>
        <w:t>visando</w:t>
      </w:r>
      <w:r w:rsidRPr="006D1C74">
        <w:rPr>
          <w:rFonts w:asciiTheme="majorHAnsi" w:eastAsia="Times New Roman" w:hAnsiTheme="majorHAnsi"/>
          <w:sz w:val="20"/>
          <w:szCs w:val="20"/>
          <w:lang w:val="pt-BR"/>
        </w:rPr>
        <w:t xml:space="preserve"> a</w:t>
      </w:r>
      <w:r w:rsidR="00030019" w:rsidRPr="006D1C74">
        <w:rPr>
          <w:rFonts w:asciiTheme="majorHAnsi" w:eastAsia="Times New Roman" w:hAnsiTheme="majorHAnsi"/>
          <w:sz w:val="20"/>
          <w:szCs w:val="20"/>
          <w:lang w:val="pt-BR"/>
        </w:rPr>
        <w:t xml:space="preserve"> um </w:t>
      </w:r>
      <w:r w:rsidRPr="006D1C74">
        <w:rPr>
          <w:rFonts w:asciiTheme="majorHAnsi" w:eastAsia="Times New Roman" w:hAnsiTheme="majorHAnsi"/>
          <w:sz w:val="20"/>
          <w:szCs w:val="20"/>
          <w:lang w:val="pt-BR"/>
        </w:rPr>
        <w:t>eventual desar</w:t>
      </w:r>
      <w:r w:rsidR="008617AD" w:rsidRPr="006D1C74">
        <w:rPr>
          <w:rFonts w:asciiTheme="majorHAnsi" w:eastAsia="Times New Roman" w:hAnsiTheme="majorHAnsi"/>
          <w:sz w:val="20"/>
          <w:szCs w:val="20"/>
          <w:lang w:val="pt-BR"/>
        </w:rPr>
        <w:t>qu</w:t>
      </w:r>
      <w:r w:rsidRPr="006D1C74">
        <w:rPr>
          <w:rFonts w:asciiTheme="majorHAnsi" w:eastAsia="Times New Roman" w:hAnsiTheme="majorHAnsi"/>
          <w:sz w:val="20"/>
          <w:szCs w:val="20"/>
          <w:lang w:val="pt-BR"/>
        </w:rPr>
        <w:t>iv</w:t>
      </w:r>
      <w:r w:rsidR="008617AD" w:rsidRPr="006D1C74">
        <w:rPr>
          <w:rFonts w:asciiTheme="majorHAnsi" w:eastAsia="Times New Roman" w:hAnsiTheme="majorHAnsi"/>
          <w:sz w:val="20"/>
          <w:szCs w:val="20"/>
          <w:lang w:val="pt-BR"/>
        </w:rPr>
        <w:t>ament</w:t>
      </w:r>
      <w:r w:rsidRPr="006D1C74">
        <w:rPr>
          <w:rFonts w:asciiTheme="majorHAnsi" w:eastAsia="Times New Roman" w:hAnsiTheme="majorHAnsi"/>
          <w:sz w:val="20"/>
          <w:szCs w:val="20"/>
          <w:lang w:val="pt-BR"/>
        </w:rPr>
        <w:t>o</w:t>
      </w:r>
      <w:r w:rsidR="00795010" w:rsidRPr="006D1C74">
        <w:rPr>
          <w:rFonts w:asciiTheme="majorHAnsi" w:eastAsia="Times New Roman" w:hAnsiTheme="majorHAnsi"/>
          <w:sz w:val="20"/>
          <w:szCs w:val="20"/>
          <w:lang w:val="pt-BR"/>
        </w:rPr>
        <w:t xml:space="preserve"> da </w:t>
      </w:r>
      <w:r w:rsidRPr="006D1C74">
        <w:rPr>
          <w:rFonts w:asciiTheme="majorHAnsi" w:eastAsia="Times New Roman" w:hAnsiTheme="majorHAnsi"/>
          <w:sz w:val="20"/>
          <w:szCs w:val="20"/>
          <w:lang w:val="pt-BR"/>
        </w:rPr>
        <w:t>investiga</w:t>
      </w:r>
      <w:r w:rsidR="00CF037E" w:rsidRPr="006D1C74">
        <w:rPr>
          <w:rFonts w:asciiTheme="majorHAnsi" w:eastAsia="Times New Roman" w:hAnsiTheme="majorHAnsi"/>
          <w:sz w:val="20"/>
          <w:szCs w:val="20"/>
          <w:lang w:val="pt-BR"/>
        </w:rPr>
        <w:t>ção</w:t>
      </w:r>
      <w:r w:rsidRPr="006D1C74">
        <w:rPr>
          <w:rFonts w:asciiTheme="majorHAnsi" w:eastAsia="Times New Roman" w:hAnsiTheme="majorHAnsi"/>
          <w:sz w:val="20"/>
          <w:szCs w:val="20"/>
          <w:lang w:val="pt-BR"/>
        </w:rPr>
        <w:t>, a</w:t>
      </w:r>
      <w:r w:rsidR="00B42A60" w:rsidRPr="006D1C74">
        <w:rPr>
          <w:rFonts w:asciiTheme="majorHAnsi" w:eastAsia="Times New Roman" w:hAnsiTheme="majorHAnsi"/>
          <w:sz w:val="20"/>
          <w:szCs w:val="20"/>
          <w:lang w:val="pt-BR"/>
        </w:rPr>
        <w:t>dicion</w:t>
      </w:r>
      <w:r w:rsidR="00455F22" w:rsidRPr="006D1C74">
        <w:rPr>
          <w:rFonts w:asciiTheme="majorHAnsi" w:eastAsia="Times New Roman" w:hAnsiTheme="majorHAnsi"/>
          <w:sz w:val="20"/>
          <w:szCs w:val="20"/>
          <w:lang w:val="pt-BR"/>
        </w:rPr>
        <w:t xml:space="preserve">ou </w:t>
      </w:r>
      <w:r w:rsidR="00217759" w:rsidRPr="006D1C74">
        <w:rPr>
          <w:rFonts w:asciiTheme="majorHAnsi" w:eastAsia="Times New Roman" w:hAnsiTheme="majorHAnsi"/>
          <w:sz w:val="20"/>
          <w:szCs w:val="20"/>
          <w:lang w:val="pt-BR"/>
        </w:rPr>
        <w:t xml:space="preserve">ao </w:t>
      </w:r>
      <w:r w:rsidR="008617AD" w:rsidRPr="006D1C74">
        <w:rPr>
          <w:rFonts w:asciiTheme="majorHAnsi" w:eastAsia="Times New Roman" w:hAnsiTheme="majorHAnsi"/>
          <w:sz w:val="20"/>
          <w:szCs w:val="20"/>
          <w:lang w:val="pt-BR"/>
        </w:rPr>
        <w:t>processo</w:t>
      </w:r>
      <w:r w:rsidRPr="006D1C74">
        <w:rPr>
          <w:rFonts w:asciiTheme="majorHAnsi" w:eastAsia="Times New Roman" w:hAnsiTheme="majorHAnsi"/>
          <w:sz w:val="20"/>
          <w:szCs w:val="20"/>
          <w:lang w:val="pt-BR"/>
        </w:rPr>
        <w:t xml:space="preserve"> c</w:t>
      </w:r>
      <w:r w:rsidR="008617AD" w:rsidRPr="006D1C74">
        <w:rPr>
          <w:rFonts w:asciiTheme="majorHAnsi" w:eastAsia="Times New Roman" w:hAnsiTheme="majorHAnsi"/>
          <w:sz w:val="20"/>
          <w:szCs w:val="20"/>
          <w:lang w:val="pt-BR"/>
        </w:rPr>
        <w:t>ó</w:t>
      </w:r>
      <w:r w:rsidRPr="006D1C74">
        <w:rPr>
          <w:rFonts w:asciiTheme="majorHAnsi" w:eastAsia="Times New Roman" w:hAnsiTheme="majorHAnsi"/>
          <w:sz w:val="20"/>
          <w:szCs w:val="20"/>
          <w:lang w:val="pt-BR"/>
        </w:rPr>
        <w:t>pias</w:t>
      </w:r>
      <w:r w:rsidR="00795010" w:rsidRPr="006D1C74">
        <w:rPr>
          <w:rFonts w:asciiTheme="majorHAnsi" w:eastAsia="Times New Roman" w:hAnsiTheme="majorHAnsi"/>
          <w:sz w:val="20"/>
          <w:szCs w:val="20"/>
          <w:lang w:val="pt-BR"/>
        </w:rPr>
        <w:t xml:space="preserve"> da </w:t>
      </w:r>
      <w:r w:rsidRPr="006D1C74">
        <w:rPr>
          <w:rFonts w:asciiTheme="majorHAnsi" w:eastAsia="Times New Roman" w:hAnsiTheme="majorHAnsi"/>
          <w:sz w:val="20"/>
          <w:szCs w:val="20"/>
          <w:lang w:val="pt-BR"/>
        </w:rPr>
        <w:t>declara</w:t>
      </w:r>
      <w:r w:rsidR="00CF037E" w:rsidRPr="006D1C74">
        <w:rPr>
          <w:rFonts w:asciiTheme="majorHAnsi" w:eastAsia="Times New Roman" w:hAnsiTheme="majorHAnsi"/>
          <w:sz w:val="20"/>
          <w:szCs w:val="20"/>
          <w:lang w:val="pt-BR"/>
        </w:rPr>
        <w:t>ção</w:t>
      </w:r>
      <w:r w:rsidRPr="006D1C74">
        <w:rPr>
          <w:rFonts w:asciiTheme="majorHAnsi" w:eastAsia="Times New Roman" w:hAnsiTheme="majorHAnsi"/>
          <w:sz w:val="20"/>
          <w:szCs w:val="20"/>
          <w:lang w:val="pt-BR"/>
        </w:rPr>
        <w:t xml:space="preserve"> de</w:t>
      </w:r>
      <w:r w:rsidR="00030019" w:rsidRPr="006D1C74">
        <w:rPr>
          <w:rFonts w:asciiTheme="majorHAnsi" w:eastAsia="Times New Roman" w:hAnsiTheme="majorHAnsi"/>
          <w:sz w:val="20"/>
          <w:szCs w:val="20"/>
          <w:lang w:val="pt-BR"/>
        </w:rPr>
        <w:t xml:space="preserve"> um</w:t>
      </w:r>
      <w:r w:rsidR="008617AD" w:rsidRPr="006D1C74">
        <w:rPr>
          <w:rFonts w:asciiTheme="majorHAnsi" w:eastAsia="Times New Roman" w:hAnsiTheme="majorHAnsi"/>
          <w:sz w:val="20"/>
          <w:szCs w:val="20"/>
          <w:lang w:val="pt-BR"/>
        </w:rPr>
        <w:t>a</w:t>
      </w:r>
      <w:r w:rsidR="00030019" w:rsidRPr="006D1C74">
        <w:rPr>
          <w:rFonts w:asciiTheme="majorHAnsi" w:eastAsia="Times New Roman" w:hAnsiTheme="majorHAnsi"/>
          <w:sz w:val="20"/>
          <w:szCs w:val="20"/>
          <w:lang w:val="pt-BR"/>
        </w:rPr>
        <w:t xml:space="preserve"> </w:t>
      </w:r>
      <w:r w:rsidRPr="006D1C74">
        <w:rPr>
          <w:rFonts w:asciiTheme="majorHAnsi" w:eastAsia="Times New Roman" w:hAnsiTheme="majorHAnsi"/>
          <w:sz w:val="20"/>
          <w:szCs w:val="20"/>
          <w:lang w:val="pt-BR"/>
        </w:rPr>
        <w:t>test</w:t>
      </w:r>
      <w:r w:rsidR="008617AD" w:rsidRPr="006D1C74">
        <w:rPr>
          <w:rFonts w:asciiTheme="majorHAnsi" w:eastAsia="Times New Roman" w:hAnsiTheme="majorHAnsi"/>
          <w:sz w:val="20"/>
          <w:szCs w:val="20"/>
          <w:lang w:val="pt-BR"/>
        </w:rPr>
        <w:t>emunha</w:t>
      </w:r>
      <w:r w:rsidR="00854BC6" w:rsidRPr="006D1C74">
        <w:rPr>
          <w:rFonts w:asciiTheme="majorHAnsi" w:eastAsia="Times New Roman" w:hAnsiTheme="majorHAnsi"/>
          <w:sz w:val="20"/>
          <w:szCs w:val="20"/>
          <w:lang w:val="pt-BR"/>
        </w:rPr>
        <w:t>,</w:t>
      </w:r>
      <w:r w:rsidRPr="006D1C74">
        <w:rPr>
          <w:rFonts w:asciiTheme="majorHAnsi" w:eastAsia="Times New Roman" w:hAnsiTheme="majorHAnsi"/>
          <w:sz w:val="20"/>
          <w:szCs w:val="20"/>
          <w:lang w:val="pt-BR"/>
        </w:rPr>
        <w:t xml:space="preserve"> efetuada</w:t>
      </w:r>
      <w:r w:rsidR="00FC2F62" w:rsidRPr="006D1C74">
        <w:rPr>
          <w:rFonts w:asciiTheme="majorHAnsi" w:eastAsia="Times New Roman" w:hAnsiTheme="majorHAnsi"/>
          <w:sz w:val="20"/>
          <w:szCs w:val="20"/>
          <w:lang w:val="pt-BR"/>
        </w:rPr>
        <w:t xml:space="preserve"> no </w:t>
      </w:r>
      <w:r w:rsidR="008617AD" w:rsidRPr="006D1C74">
        <w:rPr>
          <w:rFonts w:asciiTheme="majorHAnsi" w:eastAsia="Times New Roman" w:hAnsiTheme="majorHAnsi"/>
          <w:sz w:val="20"/>
          <w:szCs w:val="20"/>
          <w:lang w:val="pt-BR"/>
        </w:rPr>
        <w:t>âmbito</w:t>
      </w:r>
      <w:r w:rsidR="00795010" w:rsidRPr="006D1C74">
        <w:rPr>
          <w:rFonts w:asciiTheme="majorHAnsi" w:eastAsia="Times New Roman" w:hAnsiTheme="majorHAnsi"/>
          <w:sz w:val="20"/>
          <w:szCs w:val="20"/>
          <w:lang w:val="pt-BR"/>
        </w:rPr>
        <w:t xml:space="preserve"> da </w:t>
      </w:r>
      <w:r w:rsidRPr="006D1C74">
        <w:rPr>
          <w:rFonts w:asciiTheme="majorHAnsi" w:eastAsia="Times New Roman" w:hAnsiTheme="majorHAnsi"/>
          <w:sz w:val="20"/>
          <w:szCs w:val="20"/>
          <w:lang w:val="pt-BR"/>
        </w:rPr>
        <w:t>a</w:t>
      </w:r>
      <w:r w:rsidR="00CF037E" w:rsidRPr="006D1C74">
        <w:rPr>
          <w:rFonts w:asciiTheme="majorHAnsi" w:eastAsia="Times New Roman" w:hAnsiTheme="majorHAnsi"/>
          <w:sz w:val="20"/>
          <w:szCs w:val="20"/>
          <w:lang w:val="pt-BR"/>
        </w:rPr>
        <w:t>ção</w:t>
      </w:r>
      <w:r w:rsidRPr="006D1C74">
        <w:rPr>
          <w:rFonts w:asciiTheme="majorHAnsi" w:eastAsia="Times New Roman" w:hAnsiTheme="majorHAnsi"/>
          <w:sz w:val="20"/>
          <w:szCs w:val="20"/>
          <w:lang w:val="pt-BR"/>
        </w:rPr>
        <w:t xml:space="preserve"> de indeniza</w:t>
      </w:r>
      <w:r w:rsidR="00CF037E" w:rsidRPr="006D1C74">
        <w:rPr>
          <w:rFonts w:asciiTheme="majorHAnsi" w:eastAsia="Times New Roman" w:hAnsiTheme="majorHAnsi"/>
          <w:sz w:val="20"/>
          <w:szCs w:val="20"/>
          <w:lang w:val="pt-BR"/>
        </w:rPr>
        <w:t>ção</w:t>
      </w:r>
      <w:r w:rsidRPr="006D1C74">
        <w:rPr>
          <w:rFonts w:asciiTheme="majorHAnsi" w:eastAsia="Times New Roman" w:hAnsiTheme="majorHAnsi"/>
          <w:sz w:val="20"/>
          <w:szCs w:val="20"/>
          <w:lang w:val="pt-BR"/>
        </w:rPr>
        <w:t xml:space="preserve"> </w:t>
      </w:r>
      <w:r w:rsidR="00F2107E">
        <w:rPr>
          <w:rFonts w:asciiTheme="majorHAnsi" w:eastAsia="Times New Roman" w:hAnsiTheme="majorHAnsi"/>
          <w:sz w:val="20"/>
          <w:szCs w:val="20"/>
          <w:lang w:val="pt-BR"/>
        </w:rPr>
        <w:t>proposta</w:t>
      </w:r>
      <w:r w:rsidR="00BD3AB3" w:rsidRPr="006D1C74">
        <w:rPr>
          <w:rFonts w:asciiTheme="majorHAnsi" w:eastAsia="Times New Roman" w:hAnsiTheme="majorHAnsi"/>
          <w:sz w:val="20"/>
          <w:szCs w:val="20"/>
          <w:lang w:val="pt-BR"/>
        </w:rPr>
        <w:t xml:space="preserve"> pelos </w:t>
      </w:r>
      <w:r w:rsidR="001E2392" w:rsidRPr="006D1C74">
        <w:rPr>
          <w:rFonts w:asciiTheme="majorHAnsi" w:eastAsia="Times New Roman" w:hAnsiTheme="majorHAnsi"/>
          <w:sz w:val="20"/>
          <w:szCs w:val="20"/>
          <w:lang w:val="pt-BR"/>
        </w:rPr>
        <w:t>familiares</w:t>
      </w:r>
      <w:r w:rsidRPr="006D1C74">
        <w:rPr>
          <w:rFonts w:asciiTheme="majorHAnsi" w:eastAsia="Times New Roman" w:hAnsiTheme="majorHAnsi"/>
          <w:sz w:val="20"/>
          <w:szCs w:val="20"/>
          <w:lang w:val="pt-BR"/>
        </w:rPr>
        <w:t xml:space="preserve"> de Antonio Tavares</w:t>
      </w:r>
      <w:r w:rsidR="00854BC6" w:rsidRPr="006D1C74">
        <w:rPr>
          <w:rFonts w:asciiTheme="majorHAnsi" w:eastAsia="Times New Roman" w:hAnsiTheme="majorHAnsi"/>
          <w:sz w:val="20"/>
          <w:szCs w:val="20"/>
          <w:lang w:val="pt-BR"/>
        </w:rPr>
        <w:t>;</w:t>
      </w:r>
      <w:r w:rsidR="00700267" w:rsidRPr="006D1C74">
        <w:rPr>
          <w:rFonts w:asciiTheme="majorHAnsi" w:eastAsia="Times New Roman" w:hAnsiTheme="majorHAnsi"/>
          <w:sz w:val="20"/>
          <w:szCs w:val="20"/>
          <w:lang w:val="pt-BR"/>
        </w:rPr>
        <w:t xml:space="preserve"> </w:t>
      </w:r>
      <w:r w:rsidR="00B42A60" w:rsidRPr="006D1C74">
        <w:rPr>
          <w:rFonts w:asciiTheme="majorHAnsi" w:eastAsia="Times New Roman" w:hAnsiTheme="majorHAnsi"/>
          <w:sz w:val="20"/>
          <w:szCs w:val="20"/>
          <w:lang w:val="pt-BR"/>
        </w:rPr>
        <w:t>contudo</w:t>
      </w:r>
      <w:r w:rsidR="00854BC6" w:rsidRPr="006D1C74">
        <w:rPr>
          <w:rFonts w:asciiTheme="majorHAnsi" w:eastAsia="Times New Roman" w:hAnsiTheme="majorHAnsi"/>
          <w:sz w:val="20"/>
          <w:szCs w:val="20"/>
          <w:lang w:val="pt-BR"/>
        </w:rPr>
        <w:t>,</w:t>
      </w:r>
      <w:r w:rsidR="00700267" w:rsidRPr="006D1C74">
        <w:rPr>
          <w:rFonts w:asciiTheme="majorHAnsi" w:eastAsia="Times New Roman" w:hAnsiTheme="majorHAnsi"/>
          <w:sz w:val="20"/>
          <w:szCs w:val="20"/>
          <w:lang w:val="pt-BR"/>
        </w:rPr>
        <w:t xml:space="preserve"> o </w:t>
      </w:r>
      <w:r w:rsidR="001E7651" w:rsidRPr="006D1C74">
        <w:rPr>
          <w:rFonts w:asciiTheme="majorHAnsi" w:eastAsia="Times New Roman" w:hAnsiTheme="majorHAnsi"/>
          <w:sz w:val="20"/>
          <w:szCs w:val="20"/>
          <w:lang w:val="pt-BR"/>
        </w:rPr>
        <w:t>Ministério</w:t>
      </w:r>
      <w:r w:rsidRPr="006D1C74">
        <w:rPr>
          <w:rFonts w:asciiTheme="majorHAnsi" w:eastAsia="Times New Roman" w:hAnsiTheme="majorHAnsi"/>
          <w:sz w:val="20"/>
          <w:szCs w:val="20"/>
          <w:lang w:val="pt-BR"/>
        </w:rPr>
        <w:t xml:space="preserve"> Público conclu</w:t>
      </w:r>
      <w:r w:rsidR="00B42A60" w:rsidRPr="006D1C74">
        <w:rPr>
          <w:rFonts w:asciiTheme="majorHAnsi" w:eastAsia="Times New Roman" w:hAnsiTheme="majorHAnsi"/>
          <w:sz w:val="20"/>
          <w:szCs w:val="20"/>
          <w:lang w:val="pt-BR"/>
        </w:rPr>
        <w:t>iu</w:t>
      </w:r>
      <w:r w:rsidRPr="006D1C74">
        <w:rPr>
          <w:rFonts w:asciiTheme="majorHAnsi" w:eastAsia="Times New Roman" w:hAnsiTheme="majorHAnsi"/>
          <w:sz w:val="20"/>
          <w:szCs w:val="20"/>
          <w:lang w:val="pt-BR"/>
        </w:rPr>
        <w:t xml:space="preserve"> que</w:t>
      </w:r>
      <w:r w:rsidR="00700267" w:rsidRPr="006D1C74">
        <w:rPr>
          <w:rFonts w:asciiTheme="majorHAnsi" w:eastAsia="Times New Roman" w:hAnsiTheme="majorHAnsi"/>
          <w:sz w:val="20"/>
          <w:szCs w:val="20"/>
          <w:lang w:val="pt-BR"/>
        </w:rPr>
        <w:t xml:space="preserve"> a </w:t>
      </w:r>
      <w:r w:rsidRPr="006D1C74">
        <w:rPr>
          <w:rFonts w:asciiTheme="majorHAnsi" w:eastAsia="Times New Roman" w:hAnsiTheme="majorHAnsi"/>
          <w:sz w:val="20"/>
          <w:szCs w:val="20"/>
          <w:lang w:val="pt-BR"/>
        </w:rPr>
        <w:t>declara</w:t>
      </w:r>
      <w:r w:rsidR="00CF037E" w:rsidRPr="006D1C74">
        <w:rPr>
          <w:rFonts w:asciiTheme="majorHAnsi" w:eastAsia="Times New Roman" w:hAnsiTheme="majorHAnsi"/>
          <w:sz w:val="20"/>
          <w:szCs w:val="20"/>
          <w:lang w:val="pt-BR"/>
        </w:rPr>
        <w:t>ção</w:t>
      </w:r>
      <w:r w:rsidR="00F673C7" w:rsidRPr="006D1C74">
        <w:rPr>
          <w:rFonts w:asciiTheme="majorHAnsi" w:eastAsia="Times New Roman" w:hAnsiTheme="majorHAnsi"/>
          <w:sz w:val="20"/>
          <w:szCs w:val="20"/>
          <w:lang w:val="pt-BR"/>
        </w:rPr>
        <w:t xml:space="preserve"> não </w:t>
      </w:r>
      <w:r w:rsidRPr="006D1C74">
        <w:rPr>
          <w:rFonts w:asciiTheme="majorHAnsi" w:eastAsia="Times New Roman" w:hAnsiTheme="majorHAnsi"/>
          <w:sz w:val="20"/>
          <w:szCs w:val="20"/>
          <w:lang w:val="pt-BR"/>
        </w:rPr>
        <w:t>ap</w:t>
      </w:r>
      <w:r w:rsidR="00B42A60" w:rsidRPr="006D1C74">
        <w:rPr>
          <w:rFonts w:asciiTheme="majorHAnsi" w:eastAsia="Times New Roman" w:hAnsiTheme="majorHAnsi"/>
          <w:sz w:val="20"/>
          <w:szCs w:val="20"/>
          <w:lang w:val="pt-BR"/>
        </w:rPr>
        <w:t>resentav</w:t>
      </w:r>
      <w:r w:rsidRPr="006D1C74">
        <w:rPr>
          <w:rFonts w:asciiTheme="majorHAnsi" w:eastAsia="Times New Roman" w:hAnsiTheme="majorHAnsi"/>
          <w:sz w:val="20"/>
          <w:szCs w:val="20"/>
          <w:lang w:val="pt-BR"/>
        </w:rPr>
        <w:t>a n</w:t>
      </w:r>
      <w:r w:rsidR="00B42A60" w:rsidRPr="006D1C74">
        <w:rPr>
          <w:rFonts w:asciiTheme="majorHAnsi" w:eastAsia="Times New Roman" w:hAnsiTheme="majorHAnsi"/>
          <w:sz w:val="20"/>
          <w:szCs w:val="20"/>
          <w:lang w:val="pt-BR"/>
        </w:rPr>
        <w:t>enhum</w:t>
      </w:r>
      <w:r w:rsidRPr="006D1C74">
        <w:rPr>
          <w:rFonts w:asciiTheme="majorHAnsi" w:eastAsia="Times New Roman" w:hAnsiTheme="majorHAnsi"/>
          <w:sz w:val="20"/>
          <w:szCs w:val="20"/>
          <w:lang w:val="pt-BR"/>
        </w:rPr>
        <w:t xml:space="preserve"> </w:t>
      </w:r>
      <w:r w:rsidR="00F37852" w:rsidRPr="006D1C74">
        <w:rPr>
          <w:rFonts w:asciiTheme="majorHAnsi" w:eastAsia="Times New Roman" w:hAnsiTheme="majorHAnsi"/>
          <w:sz w:val="20"/>
          <w:szCs w:val="20"/>
          <w:lang w:val="pt-BR"/>
        </w:rPr>
        <w:t>fato</w:t>
      </w:r>
      <w:r w:rsidRPr="006D1C74">
        <w:rPr>
          <w:rFonts w:asciiTheme="majorHAnsi" w:eastAsia="Times New Roman" w:hAnsiTheme="majorHAnsi"/>
          <w:sz w:val="20"/>
          <w:szCs w:val="20"/>
          <w:lang w:val="pt-BR"/>
        </w:rPr>
        <w:t xml:space="preserve"> o</w:t>
      </w:r>
      <w:r w:rsidR="00B42A60" w:rsidRPr="006D1C74">
        <w:rPr>
          <w:rFonts w:asciiTheme="majorHAnsi" w:eastAsia="Times New Roman" w:hAnsiTheme="majorHAnsi"/>
          <w:sz w:val="20"/>
          <w:szCs w:val="20"/>
          <w:lang w:val="pt-BR"/>
        </w:rPr>
        <w:t>u</w:t>
      </w:r>
      <w:r w:rsidRPr="006D1C74">
        <w:rPr>
          <w:rFonts w:asciiTheme="majorHAnsi" w:eastAsia="Times New Roman" w:hAnsiTheme="majorHAnsi"/>
          <w:sz w:val="20"/>
          <w:szCs w:val="20"/>
          <w:lang w:val="pt-BR"/>
        </w:rPr>
        <w:t xml:space="preserve"> da</w:t>
      </w:r>
      <w:r w:rsidR="00B42A60" w:rsidRPr="006D1C74">
        <w:rPr>
          <w:rFonts w:asciiTheme="majorHAnsi" w:eastAsia="Times New Roman" w:hAnsiTheme="majorHAnsi"/>
          <w:sz w:val="20"/>
          <w:szCs w:val="20"/>
          <w:lang w:val="pt-BR"/>
        </w:rPr>
        <w:t>d</w:t>
      </w:r>
      <w:r w:rsidRPr="006D1C74">
        <w:rPr>
          <w:rFonts w:asciiTheme="majorHAnsi" w:eastAsia="Times New Roman" w:hAnsiTheme="majorHAnsi"/>
          <w:sz w:val="20"/>
          <w:szCs w:val="20"/>
          <w:lang w:val="pt-BR"/>
        </w:rPr>
        <w:t>o</w:t>
      </w:r>
      <w:r w:rsidR="00854BC6" w:rsidRPr="006D1C74">
        <w:rPr>
          <w:rFonts w:asciiTheme="majorHAnsi" w:eastAsia="Times New Roman" w:hAnsiTheme="majorHAnsi"/>
          <w:sz w:val="20"/>
          <w:szCs w:val="20"/>
          <w:lang w:val="pt-BR"/>
        </w:rPr>
        <w:t xml:space="preserve"> </w:t>
      </w:r>
      <w:r w:rsidR="00055622" w:rsidRPr="006D1C74">
        <w:rPr>
          <w:rFonts w:asciiTheme="majorHAnsi" w:eastAsia="Times New Roman" w:hAnsiTheme="majorHAnsi"/>
          <w:sz w:val="20"/>
          <w:szCs w:val="20"/>
          <w:lang w:val="pt-BR"/>
        </w:rPr>
        <w:t>nov</w:t>
      </w:r>
      <w:r w:rsidR="00854BC6" w:rsidRPr="006D1C74">
        <w:rPr>
          <w:rFonts w:asciiTheme="majorHAnsi" w:eastAsia="Times New Roman" w:hAnsiTheme="majorHAnsi"/>
          <w:sz w:val="20"/>
          <w:szCs w:val="20"/>
          <w:lang w:val="pt-BR"/>
        </w:rPr>
        <w:t>o</w:t>
      </w:r>
      <w:r w:rsidRPr="006D1C74">
        <w:rPr>
          <w:rFonts w:asciiTheme="majorHAnsi" w:eastAsia="Times New Roman" w:hAnsiTheme="majorHAnsi"/>
          <w:sz w:val="20"/>
          <w:szCs w:val="20"/>
          <w:lang w:val="pt-BR"/>
        </w:rPr>
        <w:t>.</w:t>
      </w:r>
      <w:r w:rsidR="00854BC6" w:rsidRPr="006D1C74">
        <w:rPr>
          <w:rFonts w:asciiTheme="majorHAnsi" w:eastAsia="Times New Roman" w:hAnsiTheme="majorHAnsi"/>
          <w:sz w:val="20"/>
          <w:szCs w:val="20"/>
          <w:lang w:val="pt-BR"/>
        </w:rPr>
        <w:t xml:space="preserve"> </w:t>
      </w:r>
      <w:r w:rsidR="00B42161" w:rsidRPr="006D1C74">
        <w:rPr>
          <w:rFonts w:asciiTheme="majorHAnsi" w:eastAsia="Times New Roman" w:hAnsiTheme="majorHAnsi"/>
          <w:sz w:val="20"/>
          <w:szCs w:val="20"/>
          <w:lang w:val="pt-BR"/>
        </w:rPr>
        <w:t>O</w:t>
      </w:r>
      <w:r w:rsidRPr="006D1C74">
        <w:rPr>
          <w:rFonts w:asciiTheme="majorHAnsi" w:eastAsia="Times New Roman" w:hAnsiTheme="majorHAnsi"/>
          <w:sz w:val="20"/>
          <w:szCs w:val="20"/>
          <w:lang w:val="pt-BR"/>
        </w:rPr>
        <w:t xml:space="preserve"> Estado afirma que,</w:t>
      </w:r>
      <w:r w:rsidR="00030019" w:rsidRPr="006D1C74">
        <w:rPr>
          <w:rFonts w:asciiTheme="majorHAnsi" w:eastAsia="Times New Roman" w:hAnsiTheme="majorHAnsi"/>
          <w:sz w:val="20"/>
          <w:szCs w:val="20"/>
          <w:lang w:val="pt-BR"/>
        </w:rPr>
        <w:t xml:space="preserve"> do </w:t>
      </w:r>
      <w:r w:rsidRPr="006D1C74">
        <w:rPr>
          <w:rFonts w:asciiTheme="majorHAnsi" w:eastAsia="Times New Roman" w:hAnsiTheme="majorHAnsi"/>
          <w:sz w:val="20"/>
          <w:szCs w:val="20"/>
          <w:lang w:val="pt-BR"/>
        </w:rPr>
        <w:t>exame</w:t>
      </w:r>
      <w:r w:rsidR="00795010" w:rsidRPr="006D1C74">
        <w:rPr>
          <w:rFonts w:asciiTheme="majorHAnsi" w:eastAsia="Times New Roman" w:hAnsiTheme="majorHAnsi"/>
          <w:sz w:val="20"/>
          <w:szCs w:val="20"/>
          <w:lang w:val="pt-BR"/>
        </w:rPr>
        <w:t xml:space="preserve"> da </w:t>
      </w:r>
      <w:r w:rsidRPr="006D1C74">
        <w:rPr>
          <w:rFonts w:asciiTheme="majorHAnsi" w:eastAsia="Times New Roman" w:hAnsiTheme="majorHAnsi"/>
          <w:sz w:val="20"/>
          <w:szCs w:val="20"/>
          <w:lang w:val="pt-BR"/>
        </w:rPr>
        <w:t>investiga</w:t>
      </w:r>
      <w:r w:rsidR="00CF037E" w:rsidRPr="006D1C74">
        <w:rPr>
          <w:rFonts w:asciiTheme="majorHAnsi" w:eastAsia="Times New Roman" w:hAnsiTheme="majorHAnsi"/>
          <w:sz w:val="20"/>
          <w:szCs w:val="20"/>
          <w:lang w:val="pt-BR"/>
        </w:rPr>
        <w:t>ção</w:t>
      </w:r>
      <w:r w:rsidRPr="006D1C74">
        <w:rPr>
          <w:rFonts w:asciiTheme="majorHAnsi" w:eastAsia="Times New Roman" w:hAnsiTheme="majorHAnsi"/>
          <w:sz w:val="20"/>
          <w:szCs w:val="20"/>
          <w:lang w:val="pt-BR"/>
        </w:rPr>
        <w:t xml:space="preserve"> realizada</w:t>
      </w:r>
      <w:r w:rsidR="00F37852" w:rsidRPr="006D1C74">
        <w:rPr>
          <w:rFonts w:asciiTheme="majorHAnsi" w:eastAsia="Times New Roman" w:hAnsiTheme="majorHAnsi"/>
          <w:sz w:val="20"/>
          <w:szCs w:val="20"/>
          <w:lang w:val="pt-BR"/>
        </w:rPr>
        <w:t xml:space="preserve"> pela polícia</w:t>
      </w:r>
      <w:r w:rsidRPr="006D1C74">
        <w:rPr>
          <w:rFonts w:asciiTheme="majorHAnsi" w:eastAsia="Times New Roman" w:hAnsiTheme="majorHAnsi"/>
          <w:sz w:val="20"/>
          <w:szCs w:val="20"/>
          <w:lang w:val="pt-BR"/>
        </w:rPr>
        <w:t xml:space="preserve"> militar, </w:t>
      </w:r>
      <w:r w:rsidR="00B42A60" w:rsidRPr="006D1C74">
        <w:rPr>
          <w:rFonts w:asciiTheme="majorHAnsi" w:eastAsia="Times New Roman" w:hAnsiTheme="majorHAnsi"/>
          <w:sz w:val="20"/>
          <w:szCs w:val="20"/>
          <w:lang w:val="pt-BR"/>
        </w:rPr>
        <w:t>é possível</w:t>
      </w:r>
      <w:r w:rsidRPr="006D1C74">
        <w:rPr>
          <w:rFonts w:asciiTheme="majorHAnsi" w:eastAsia="Times New Roman" w:hAnsiTheme="majorHAnsi"/>
          <w:sz w:val="20"/>
          <w:szCs w:val="20"/>
          <w:lang w:val="pt-BR"/>
        </w:rPr>
        <w:t xml:space="preserve"> concluir que</w:t>
      </w:r>
      <w:r w:rsidR="00700267" w:rsidRPr="006D1C74">
        <w:rPr>
          <w:rFonts w:asciiTheme="majorHAnsi" w:eastAsia="Times New Roman" w:hAnsiTheme="majorHAnsi"/>
          <w:sz w:val="20"/>
          <w:szCs w:val="20"/>
          <w:lang w:val="pt-BR"/>
        </w:rPr>
        <w:t xml:space="preserve"> o </w:t>
      </w:r>
      <w:r w:rsidRPr="006D1C74">
        <w:rPr>
          <w:rFonts w:asciiTheme="majorHAnsi" w:eastAsia="Times New Roman" w:hAnsiTheme="majorHAnsi"/>
          <w:sz w:val="20"/>
          <w:szCs w:val="20"/>
          <w:lang w:val="pt-BR"/>
        </w:rPr>
        <w:t>Estado cump</w:t>
      </w:r>
      <w:r w:rsidR="00B42A60" w:rsidRPr="006D1C74">
        <w:rPr>
          <w:rFonts w:asciiTheme="majorHAnsi" w:eastAsia="Times New Roman" w:hAnsiTheme="majorHAnsi"/>
          <w:sz w:val="20"/>
          <w:szCs w:val="20"/>
          <w:lang w:val="pt-BR"/>
        </w:rPr>
        <w:t>riu seu</w:t>
      </w:r>
      <w:r w:rsidR="00700267" w:rsidRPr="006D1C74">
        <w:rPr>
          <w:rFonts w:asciiTheme="majorHAnsi" w:eastAsia="Times New Roman" w:hAnsiTheme="majorHAnsi"/>
          <w:sz w:val="20"/>
          <w:szCs w:val="20"/>
          <w:lang w:val="pt-BR"/>
        </w:rPr>
        <w:t xml:space="preserve"> </w:t>
      </w:r>
      <w:r w:rsidR="00585D35" w:rsidRPr="006D1C74">
        <w:rPr>
          <w:rFonts w:asciiTheme="majorHAnsi" w:eastAsia="Times New Roman" w:hAnsiTheme="majorHAnsi"/>
          <w:sz w:val="20"/>
          <w:szCs w:val="20"/>
          <w:lang w:val="pt-BR"/>
        </w:rPr>
        <w:t>dev</w:t>
      </w:r>
      <w:r w:rsidRPr="006D1C74">
        <w:rPr>
          <w:rFonts w:asciiTheme="majorHAnsi" w:eastAsia="Times New Roman" w:hAnsiTheme="majorHAnsi"/>
          <w:sz w:val="20"/>
          <w:szCs w:val="20"/>
          <w:lang w:val="pt-BR"/>
        </w:rPr>
        <w:t>er de investigar. Re</w:t>
      </w:r>
      <w:r w:rsidR="00B42A60" w:rsidRPr="006D1C74">
        <w:rPr>
          <w:rFonts w:asciiTheme="majorHAnsi" w:eastAsia="Times New Roman" w:hAnsiTheme="majorHAnsi"/>
          <w:sz w:val="20"/>
          <w:szCs w:val="20"/>
          <w:lang w:val="pt-BR"/>
        </w:rPr>
        <w:t>ss</w:t>
      </w:r>
      <w:r w:rsidRPr="006D1C74">
        <w:rPr>
          <w:rFonts w:asciiTheme="majorHAnsi" w:eastAsia="Times New Roman" w:hAnsiTheme="majorHAnsi"/>
          <w:sz w:val="20"/>
          <w:szCs w:val="20"/>
          <w:lang w:val="pt-BR"/>
        </w:rPr>
        <w:t>al</w:t>
      </w:r>
      <w:r w:rsidR="00B42A60" w:rsidRPr="006D1C74">
        <w:rPr>
          <w:rFonts w:asciiTheme="majorHAnsi" w:eastAsia="Times New Roman" w:hAnsiTheme="majorHAnsi"/>
          <w:sz w:val="20"/>
          <w:szCs w:val="20"/>
          <w:lang w:val="pt-BR"/>
        </w:rPr>
        <w:t>t</w:t>
      </w:r>
      <w:r w:rsidRPr="006D1C74">
        <w:rPr>
          <w:rFonts w:asciiTheme="majorHAnsi" w:eastAsia="Times New Roman" w:hAnsiTheme="majorHAnsi"/>
          <w:sz w:val="20"/>
          <w:szCs w:val="20"/>
          <w:lang w:val="pt-BR"/>
        </w:rPr>
        <w:t>a que es</w:t>
      </w:r>
      <w:r w:rsidR="00B42A60" w:rsidRPr="006D1C74">
        <w:rPr>
          <w:rFonts w:asciiTheme="majorHAnsi" w:eastAsia="Times New Roman" w:hAnsiTheme="majorHAnsi"/>
          <w:sz w:val="20"/>
          <w:szCs w:val="20"/>
          <w:lang w:val="pt-BR"/>
        </w:rPr>
        <w:t>s</w:t>
      </w:r>
      <w:r w:rsidRPr="006D1C74">
        <w:rPr>
          <w:rFonts w:asciiTheme="majorHAnsi" w:eastAsia="Times New Roman" w:hAnsiTheme="majorHAnsi"/>
          <w:sz w:val="20"/>
          <w:szCs w:val="20"/>
          <w:lang w:val="pt-BR"/>
        </w:rPr>
        <w:t xml:space="preserve">e </w:t>
      </w:r>
      <w:r w:rsidR="00585D35" w:rsidRPr="006D1C74">
        <w:rPr>
          <w:rFonts w:asciiTheme="majorHAnsi" w:eastAsia="Times New Roman" w:hAnsiTheme="majorHAnsi"/>
          <w:sz w:val="20"/>
          <w:szCs w:val="20"/>
          <w:lang w:val="pt-BR"/>
        </w:rPr>
        <w:t>dev</w:t>
      </w:r>
      <w:r w:rsidRPr="006D1C74">
        <w:rPr>
          <w:rFonts w:asciiTheme="majorHAnsi" w:eastAsia="Times New Roman" w:hAnsiTheme="majorHAnsi"/>
          <w:sz w:val="20"/>
          <w:szCs w:val="20"/>
          <w:lang w:val="pt-BR"/>
        </w:rPr>
        <w:t>er consiste</w:t>
      </w:r>
      <w:r w:rsidR="00F673C7" w:rsidRPr="006D1C74">
        <w:rPr>
          <w:rFonts w:asciiTheme="majorHAnsi" w:eastAsia="Times New Roman" w:hAnsiTheme="majorHAnsi"/>
          <w:sz w:val="20"/>
          <w:szCs w:val="20"/>
          <w:lang w:val="pt-BR"/>
        </w:rPr>
        <w:t xml:space="preserve"> em </w:t>
      </w:r>
      <w:r w:rsidR="00030019" w:rsidRPr="006D1C74">
        <w:rPr>
          <w:rFonts w:asciiTheme="majorHAnsi" w:eastAsia="Times New Roman" w:hAnsiTheme="majorHAnsi"/>
          <w:sz w:val="20"/>
          <w:szCs w:val="20"/>
          <w:lang w:val="pt-BR"/>
        </w:rPr>
        <w:t xml:space="preserve">uma </w:t>
      </w:r>
      <w:r w:rsidRPr="006D1C74">
        <w:rPr>
          <w:rFonts w:asciiTheme="majorHAnsi" w:eastAsia="Times New Roman" w:hAnsiTheme="majorHAnsi"/>
          <w:sz w:val="20"/>
          <w:szCs w:val="20"/>
          <w:lang w:val="pt-BR"/>
        </w:rPr>
        <w:t>ob</w:t>
      </w:r>
      <w:r w:rsidR="00B42A60" w:rsidRPr="006D1C74">
        <w:rPr>
          <w:rFonts w:asciiTheme="majorHAnsi" w:eastAsia="Times New Roman" w:hAnsiTheme="majorHAnsi"/>
          <w:sz w:val="20"/>
          <w:szCs w:val="20"/>
          <w:lang w:val="pt-BR"/>
        </w:rPr>
        <w:t>r</w:t>
      </w:r>
      <w:r w:rsidRPr="006D1C74">
        <w:rPr>
          <w:rFonts w:asciiTheme="majorHAnsi" w:eastAsia="Times New Roman" w:hAnsiTheme="majorHAnsi"/>
          <w:sz w:val="20"/>
          <w:szCs w:val="20"/>
          <w:lang w:val="pt-BR"/>
        </w:rPr>
        <w:t>iga</w:t>
      </w:r>
      <w:r w:rsidR="00CF037E" w:rsidRPr="006D1C74">
        <w:rPr>
          <w:rFonts w:asciiTheme="majorHAnsi" w:eastAsia="Times New Roman" w:hAnsiTheme="majorHAnsi"/>
          <w:sz w:val="20"/>
          <w:szCs w:val="20"/>
          <w:lang w:val="pt-BR"/>
        </w:rPr>
        <w:t>ção</w:t>
      </w:r>
      <w:r w:rsidRPr="006D1C74">
        <w:rPr>
          <w:rFonts w:asciiTheme="majorHAnsi" w:eastAsia="Times New Roman" w:hAnsiTheme="majorHAnsi"/>
          <w:sz w:val="20"/>
          <w:szCs w:val="20"/>
          <w:lang w:val="pt-BR"/>
        </w:rPr>
        <w:t xml:space="preserve"> de meio</w:t>
      </w:r>
      <w:r w:rsidR="00CF037E" w:rsidRPr="006D1C74">
        <w:rPr>
          <w:rFonts w:asciiTheme="majorHAnsi" w:eastAsia="Times New Roman" w:hAnsiTheme="majorHAnsi"/>
          <w:sz w:val="20"/>
          <w:szCs w:val="20"/>
          <w:lang w:val="pt-BR"/>
        </w:rPr>
        <w:t xml:space="preserve"> e</w:t>
      </w:r>
      <w:r w:rsidR="00F673C7" w:rsidRPr="006D1C74">
        <w:rPr>
          <w:rFonts w:asciiTheme="majorHAnsi" w:eastAsia="Times New Roman" w:hAnsiTheme="majorHAnsi"/>
          <w:sz w:val="20"/>
          <w:szCs w:val="20"/>
          <w:lang w:val="pt-BR"/>
        </w:rPr>
        <w:t xml:space="preserve"> não </w:t>
      </w:r>
      <w:r w:rsidRPr="006D1C74">
        <w:rPr>
          <w:rFonts w:asciiTheme="majorHAnsi" w:eastAsia="Times New Roman" w:hAnsiTheme="majorHAnsi"/>
          <w:sz w:val="20"/>
          <w:szCs w:val="20"/>
          <w:lang w:val="pt-BR"/>
        </w:rPr>
        <w:t>de resultado.</w:t>
      </w:r>
    </w:p>
    <w:p w14:paraId="1CF7F750" w14:textId="77777777" w:rsidR="002649F0" w:rsidRPr="006D1C74" w:rsidRDefault="002649F0" w:rsidP="002649F0">
      <w:pPr>
        <w:ind w:left="720"/>
        <w:rPr>
          <w:rFonts w:asciiTheme="majorHAnsi" w:eastAsia="Times New Roman" w:hAnsiTheme="majorHAnsi" w:cs="Cambria"/>
          <w:sz w:val="20"/>
          <w:szCs w:val="20"/>
          <w:u w:color="000000"/>
          <w:lang w:val="pt-BR" w:eastAsia="es-ES"/>
        </w:rPr>
      </w:pPr>
    </w:p>
    <w:p w14:paraId="6FD76FF5" w14:textId="77777777" w:rsidR="002649F0" w:rsidRPr="006D1C74" w:rsidRDefault="00B4216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pt-BR"/>
        </w:rPr>
      </w:pPr>
      <w:r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 xml:space="preserve"> Estado refere</w:t>
      </w:r>
      <w:r w:rsidR="00F2107E">
        <w:rPr>
          <w:rFonts w:asciiTheme="majorHAnsi" w:eastAsia="Times New Roman" w:hAnsiTheme="majorHAnsi"/>
          <w:sz w:val="20"/>
          <w:szCs w:val="20"/>
          <w:lang w:val="pt-BR"/>
        </w:rPr>
        <w:t>-se</w:t>
      </w:r>
      <w:r w:rsidR="002649F0" w:rsidRPr="006D1C74">
        <w:rPr>
          <w:rFonts w:asciiTheme="majorHAnsi" w:eastAsia="Times New Roman" w:hAnsiTheme="majorHAnsi"/>
          <w:sz w:val="20"/>
          <w:szCs w:val="20"/>
          <w:lang w:val="pt-BR"/>
        </w:rPr>
        <w:t xml:space="preserve"> </w:t>
      </w:r>
      <w:r w:rsidR="00501D1D" w:rsidRPr="006D1C74">
        <w:rPr>
          <w:rFonts w:asciiTheme="majorHAnsi" w:eastAsia="Times New Roman" w:hAnsiTheme="majorHAnsi"/>
          <w:sz w:val="20"/>
          <w:szCs w:val="20"/>
          <w:lang w:val="pt-BR"/>
        </w:rPr>
        <w:t>também</w:t>
      </w:r>
      <w:r w:rsidR="00217759" w:rsidRPr="006D1C74">
        <w:rPr>
          <w:rFonts w:asciiTheme="majorHAnsi" w:eastAsia="Times New Roman" w:hAnsiTheme="majorHAnsi"/>
          <w:sz w:val="20"/>
          <w:szCs w:val="20"/>
          <w:lang w:val="pt-BR"/>
        </w:rPr>
        <w:t xml:space="preserve"> ao </w:t>
      </w:r>
      <w:r w:rsidR="00AB7F30" w:rsidRPr="006D1C74">
        <w:rPr>
          <w:rFonts w:asciiTheme="majorHAnsi" w:eastAsia="Times New Roman" w:hAnsiTheme="majorHAnsi"/>
          <w:sz w:val="20"/>
          <w:szCs w:val="20"/>
          <w:lang w:val="pt-BR"/>
        </w:rPr>
        <w:t>processo</w:t>
      </w:r>
      <w:r w:rsidR="002649F0" w:rsidRPr="006D1C74">
        <w:rPr>
          <w:rFonts w:asciiTheme="majorHAnsi" w:eastAsia="Times New Roman" w:hAnsiTheme="majorHAnsi"/>
          <w:sz w:val="20"/>
          <w:szCs w:val="20"/>
          <w:lang w:val="pt-BR"/>
        </w:rPr>
        <w:t xml:space="preserve"> penal instaurado</w:t>
      </w:r>
      <w:r w:rsidR="00700267" w:rsidRPr="006D1C74">
        <w:rPr>
          <w:rFonts w:asciiTheme="majorHAnsi" w:eastAsia="Times New Roman" w:hAnsiTheme="majorHAnsi"/>
          <w:sz w:val="20"/>
          <w:szCs w:val="20"/>
          <w:lang w:val="pt-BR"/>
        </w:rPr>
        <w:t xml:space="preserve"> pelo </w:t>
      </w:r>
      <w:r w:rsidR="001E7651" w:rsidRPr="006D1C74">
        <w:rPr>
          <w:rFonts w:asciiTheme="majorHAnsi" w:eastAsia="Times New Roman" w:hAnsiTheme="majorHAnsi"/>
          <w:sz w:val="20"/>
          <w:szCs w:val="20"/>
          <w:lang w:val="pt-BR"/>
        </w:rPr>
        <w:t>Ministério</w:t>
      </w:r>
      <w:r w:rsidR="002649F0" w:rsidRPr="006D1C74">
        <w:rPr>
          <w:rFonts w:asciiTheme="majorHAnsi" w:eastAsia="Times New Roman" w:hAnsiTheme="majorHAnsi"/>
          <w:sz w:val="20"/>
          <w:szCs w:val="20"/>
          <w:lang w:val="pt-BR"/>
        </w:rPr>
        <w:t xml:space="preserve"> Público </w:t>
      </w:r>
      <w:r w:rsidR="00501D1D" w:rsidRPr="006D1C74">
        <w:rPr>
          <w:rFonts w:asciiTheme="majorHAnsi" w:eastAsia="Times New Roman" w:hAnsiTheme="majorHAnsi"/>
          <w:sz w:val="20"/>
          <w:szCs w:val="20"/>
          <w:lang w:val="pt-BR"/>
        </w:rPr>
        <w:t>apó</w:t>
      </w:r>
      <w:r w:rsidR="002649F0" w:rsidRPr="006D1C74">
        <w:rPr>
          <w:rFonts w:asciiTheme="majorHAnsi" w:eastAsia="Times New Roman" w:hAnsiTheme="majorHAnsi"/>
          <w:sz w:val="20"/>
          <w:szCs w:val="20"/>
          <w:lang w:val="pt-BR"/>
        </w:rPr>
        <w:t>s</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conclu</w:t>
      </w:r>
      <w:r w:rsidR="0094446B" w:rsidRPr="006D1C74">
        <w:rPr>
          <w:rFonts w:asciiTheme="majorHAnsi" w:eastAsia="Times New Roman" w:hAnsiTheme="majorHAnsi"/>
          <w:sz w:val="20"/>
          <w:szCs w:val="20"/>
          <w:lang w:val="pt-BR"/>
        </w:rPr>
        <w:t>são</w:t>
      </w:r>
      <w:r w:rsidR="00795010" w:rsidRPr="006D1C74">
        <w:rPr>
          <w:rFonts w:asciiTheme="majorHAnsi" w:eastAsia="Times New Roman" w:hAnsiTheme="majorHAnsi"/>
          <w:sz w:val="20"/>
          <w:szCs w:val="20"/>
          <w:lang w:val="pt-BR"/>
        </w:rPr>
        <w:t xml:space="preserve"> da </w:t>
      </w:r>
      <w:r w:rsidR="002649F0" w:rsidRPr="006D1C74">
        <w:rPr>
          <w:rFonts w:asciiTheme="majorHAnsi" w:eastAsia="Times New Roman" w:hAnsiTheme="majorHAnsi"/>
          <w:sz w:val="20"/>
          <w:szCs w:val="20"/>
          <w:lang w:val="pt-BR"/>
        </w:rPr>
        <w:t>investiga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policial realizada</w:t>
      </w:r>
      <w:r w:rsidR="00F37852" w:rsidRPr="006D1C74">
        <w:rPr>
          <w:rFonts w:asciiTheme="majorHAnsi" w:eastAsia="Times New Roman" w:hAnsiTheme="majorHAnsi"/>
          <w:sz w:val="20"/>
          <w:szCs w:val="20"/>
          <w:lang w:val="pt-BR"/>
        </w:rPr>
        <w:t xml:space="preserve"> pela </w:t>
      </w:r>
      <w:r w:rsidR="002649F0" w:rsidRPr="006D1C74">
        <w:rPr>
          <w:rFonts w:asciiTheme="majorHAnsi" w:eastAsia="Times New Roman" w:hAnsiTheme="majorHAnsi"/>
          <w:sz w:val="20"/>
          <w:szCs w:val="20"/>
          <w:lang w:val="pt-BR"/>
        </w:rPr>
        <w:t>Divi</w:t>
      </w:r>
      <w:r w:rsidR="0094446B" w:rsidRPr="006D1C74">
        <w:rPr>
          <w:rFonts w:asciiTheme="majorHAnsi" w:eastAsia="Times New Roman" w:hAnsiTheme="majorHAnsi"/>
          <w:sz w:val="20"/>
          <w:szCs w:val="20"/>
          <w:lang w:val="pt-BR"/>
        </w:rPr>
        <w:t>são</w:t>
      </w:r>
      <w:r w:rsidR="002649F0" w:rsidRPr="006D1C74">
        <w:rPr>
          <w:rFonts w:asciiTheme="majorHAnsi" w:eastAsia="Times New Roman" w:hAnsiTheme="majorHAnsi"/>
          <w:sz w:val="20"/>
          <w:szCs w:val="20"/>
          <w:lang w:val="pt-BR"/>
        </w:rPr>
        <w:t xml:space="preserve"> de </w:t>
      </w:r>
      <w:r w:rsidR="00623C35" w:rsidRPr="006D1C74">
        <w:rPr>
          <w:rFonts w:asciiTheme="majorHAnsi" w:eastAsia="Times New Roman" w:hAnsiTheme="majorHAnsi"/>
          <w:sz w:val="20"/>
          <w:szCs w:val="20"/>
          <w:lang w:val="pt-BR"/>
        </w:rPr>
        <w:t>Homicídios</w:t>
      </w:r>
      <w:r w:rsidR="002649F0" w:rsidRPr="006D1C74">
        <w:rPr>
          <w:rFonts w:asciiTheme="majorHAnsi" w:eastAsia="Times New Roman" w:hAnsiTheme="majorHAnsi"/>
          <w:sz w:val="20"/>
          <w:szCs w:val="20"/>
          <w:lang w:val="pt-BR"/>
        </w:rPr>
        <w:t>. Informa que</w:t>
      </w:r>
      <w:r w:rsidR="00700267" w:rsidRPr="006D1C74">
        <w:rPr>
          <w:rFonts w:asciiTheme="majorHAnsi" w:eastAsia="Times New Roman" w:hAnsiTheme="majorHAnsi"/>
          <w:sz w:val="20"/>
          <w:szCs w:val="20"/>
          <w:lang w:val="pt-BR"/>
        </w:rPr>
        <w:t xml:space="preserve"> o </w:t>
      </w:r>
      <w:r w:rsidR="002649F0" w:rsidRPr="006D1C74">
        <w:rPr>
          <w:rFonts w:asciiTheme="majorHAnsi" w:eastAsia="Times New Roman" w:hAnsiTheme="majorHAnsi"/>
          <w:sz w:val="20"/>
          <w:szCs w:val="20"/>
          <w:lang w:val="pt-BR"/>
        </w:rPr>
        <w:t>representante</w:t>
      </w:r>
      <w:r w:rsidR="00030019" w:rsidRPr="006D1C74">
        <w:rPr>
          <w:rFonts w:asciiTheme="majorHAnsi" w:eastAsia="Times New Roman" w:hAnsiTheme="majorHAnsi"/>
          <w:sz w:val="20"/>
          <w:szCs w:val="20"/>
          <w:lang w:val="pt-BR"/>
        </w:rPr>
        <w:t xml:space="preserve"> do </w:t>
      </w:r>
      <w:r w:rsidR="001E7651" w:rsidRPr="006D1C74">
        <w:rPr>
          <w:rFonts w:asciiTheme="majorHAnsi" w:eastAsia="Times New Roman" w:hAnsiTheme="majorHAnsi"/>
          <w:sz w:val="20"/>
          <w:szCs w:val="20"/>
          <w:lang w:val="pt-BR"/>
        </w:rPr>
        <w:t>Ministério</w:t>
      </w:r>
      <w:r w:rsidR="002649F0" w:rsidRPr="006D1C74">
        <w:rPr>
          <w:rFonts w:asciiTheme="majorHAnsi" w:eastAsia="Times New Roman" w:hAnsiTheme="majorHAnsi"/>
          <w:sz w:val="20"/>
          <w:szCs w:val="20"/>
          <w:lang w:val="pt-BR"/>
        </w:rPr>
        <w:t xml:space="preserve"> Público entend</w:t>
      </w:r>
      <w:r w:rsidR="00501D1D" w:rsidRPr="006D1C74">
        <w:rPr>
          <w:rFonts w:asciiTheme="majorHAnsi" w:eastAsia="Times New Roman" w:hAnsiTheme="majorHAnsi"/>
          <w:sz w:val="20"/>
          <w:szCs w:val="20"/>
          <w:lang w:val="pt-BR"/>
        </w:rPr>
        <w:t>eu</w:t>
      </w:r>
      <w:r w:rsidR="002649F0" w:rsidRPr="006D1C74">
        <w:rPr>
          <w:rFonts w:asciiTheme="majorHAnsi" w:eastAsia="Times New Roman" w:hAnsiTheme="majorHAnsi"/>
          <w:sz w:val="20"/>
          <w:szCs w:val="20"/>
          <w:lang w:val="pt-BR"/>
        </w:rPr>
        <w:t xml:space="preserve"> que h</w:t>
      </w:r>
      <w:r w:rsidR="00501D1D"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u</w:t>
      </w:r>
      <w:r w:rsidR="00501D1D" w:rsidRPr="006D1C74">
        <w:rPr>
          <w:rFonts w:asciiTheme="majorHAnsi" w:eastAsia="Times New Roman" w:hAnsiTheme="majorHAnsi"/>
          <w:sz w:val="20"/>
          <w:szCs w:val="20"/>
          <w:lang w:val="pt-BR"/>
        </w:rPr>
        <w:t>ve</w:t>
      </w:r>
      <w:r w:rsidR="002649F0" w:rsidRPr="006D1C74">
        <w:rPr>
          <w:rFonts w:asciiTheme="majorHAnsi" w:eastAsia="Times New Roman" w:hAnsiTheme="majorHAnsi"/>
          <w:sz w:val="20"/>
          <w:szCs w:val="20"/>
          <w:lang w:val="pt-BR"/>
        </w:rPr>
        <w:t xml:space="preserve"> dolo eventual</w:t>
      </w:r>
      <w:r w:rsidR="00FC2F62" w:rsidRPr="006D1C74">
        <w:rPr>
          <w:rFonts w:asciiTheme="majorHAnsi" w:eastAsia="Times New Roman" w:hAnsiTheme="majorHAnsi"/>
          <w:sz w:val="20"/>
          <w:szCs w:val="20"/>
          <w:lang w:val="pt-BR"/>
        </w:rPr>
        <w:t xml:space="preserve"> no </w:t>
      </w:r>
      <w:r w:rsidR="002649F0" w:rsidRPr="006D1C74">
        <w:rPr>
          <w:rFonts w:asciiTheme="majorHAnsi" w:eastAsia="Times New Roman" w:hAnsiTheme="majorHAnsi"/>
          <w:sz w:val="20"/>
          <w:szCs w:val="20"/>
          <w:lang w:val="pt-BR"/>
        </w:rPr>
        <w:t>ato de disparar</w:t>
      </w:r>
      <w:r w:rsidR="00030019" w:rsidRPr="006D1C74">
        <w:rPr>
          <w:rFonts w:asciiTheme="majorHAnsi" w:eastAsia="Times New Roman" w:hAnsiTheme="majorHAnsi"/>
          <w:sz w:val="20"/>
          <w:szCs w:val="20"/>
          <w:lang w:val="pt-BR"/>
        </w:rPr>
        <w:t xml:space="preserve"> um</w:t>
      </w:r>
      <w:r w:rsidR="00501D1D" w:rsidRPr="006D1C74">
        <w:rPr>
          <w:rFonts w:asciiTheme="majorHAnsi" w:eastAsia="Times New Roman" w:hAnsiTheme="majorHAnsi"/>
          <w:sz w:val="20"/>
          <w:szCs w:val="20"/>
          <w:lang w:val="pt-BR"/>
        </w:rPr>
        <w:t>a</w:t>
      </w:r>
      <w:r w:rsidR="00030019" w:rsidRPr="006D1C74">
        <w:rPr>
          <w:rFonts w:asciiTheme="majorHAnsi" w:eastAsia="Times New Roman" w:hAnsiTheme="majorHAnsi"/>
          <w:sz w:val="20"/>
          <w:szCs w:val="20"/>
          <w:lang w:val="pt-BR"/>
        </w:rPr>
        <w:t xml:space="preserve"> </w:t>
      </w:r>
      <w:r w:rsidR="002649F0" w:rsidRPr="006D1C74">
        <w:rPr>
          <w:rFonts w:asciiTheme="majorHAnsi" w:eastAsia="Times New Roman" w:hAnsiTheme="majorHAnsi"/>
          <w:sz w:val="20"/>
          <w:szCs w:val="20"/>
          <w:lang w:val="pt-BR"/>
        </w:rPr>
        <w:t>arma</w:t>
      </w:r>
      <w:r w:rsidR="00217759" w:rsidRPr="006D1C74">
        <w:rPr>
          <w:rFonts w:asciiTheme="majorHAnsi" w:eastAsia="Times New Roman" w:hAnsiTheme="majorHAnsi"/>
          <w:sz w:val="20"/>
          <w:szCs w:val="20"/>
          <w:lang w:val="pt-BR"/>
        </w:rPr>
        <w:t xml:space="preserve"> </w:t>
      </w:r>
      <w:r w:rsidR="00501D1D" w:rsidRPr="006D1C74">
        <w:rPr>
          <w:rFonts w:asciiTheme="majorHAnsi" w:eastAsia="Times New Roman" w:hAnsiTheme="majorHAnsi"/>
          <w:sz w:val="20"/>
          <w:szCs w:val="20"/>
          <w:lang w:val="pt-BR"/>
        </w:rPr>
        <w:t>par</w:t>
      </w:r>
      <w:r w:rsidR="00217759" w:rsidRPr="006D1C74">
        <w:rPr>
          <w:rFonts w:asciiTheme="majorHAnsi" w:eastAsia="Times New Roman" w:hAnsiTheme="majorHAnsi"/>
          <w:sz w:val="20"/>
          <w:szCs w:val="20"/>
          <w:lang w:val="pt-BR"/>
        </w:rPr>
        <w:t>a</w:t>
      </w:r>
      <w:r w:rsidR="00501D1D" w:rsidRPr="006D1C74">
        <w:rPr>
          <w:rFonts w:asciiTheme="majorHAnsi" w:eastAsia="Times New Roman" w:hAnsiTheme="majorHAnsi"/>
          <w:sz w:val="20"/>
          <w:szCs w:val="20"/>
          <w:lang w:val="pt-BR"/>
        </w:rPr>
        <w:t xml:space="preserve"> </w:t>
      </w:r>
      <w:r w:rsidR="00217759" w:rsidRPr="006D1C74">
        <w:rPr>
          <w:rFonts w:asciiTheme="majorHAnsi" w:eastAsia="Times New Roman" w:hAnsiTheme="majorHAnsi"/>
          <w:sz w:val="20"/>
          <w:szCs w:val="20"/>
          <w:lang w:val="pt-BR"/>
        </w:rPr>
        <w:t xml:space="preserve">o </w:t>
      </w:r>
      <w:r w:rsidR="00501D1D" w:rsidRPr="006D1C74">
        <w:rPr>
          <w:rFonts w:asciiTheme="majorHAnsi" w:eastAsia="Times New Roman" w:hAnsiTheme="majorHAnsi"/>
          <w:sz w:val="20"/>
          <w:szCs w:val="20"/>
          <w:lang w:val="pt-BR"/>
        </w:rPr>
        <w:t>chão</w:t>
      </w:r>
      <w:r w:rsidR="002649F0" w:rsidRPr="006D1C74">
        <w:rPr>
          <w:rFonts w:asciiTheme="majorHAnsi" w:eastAsia="Times New Roman" w:hAnsiTheme="majorHAnsi"/>
          <w:sz w:val="20"/>
          <w:szCs w:val="20"/>
          <w:lang w:val="pt-BR"/>
        </w:rPr>
        <w:t>. Relata que,</w:t>
      </w:r>
      <w:r w:rsidR="00FC2F62" w:rsidRPr="006D1C74">
        <w:rPr>
          <w:rFonts w:asciiTheme="majorHAnsi" w:eastAsia="Times New Roman" w:hAnsiTheme="majorHAnsi"/>
          <w:sz w:val="20"/>
          <w:szCs w:val="20"/>
          <w:lang w:val="pt-BR"/>
        </w:rPr>
        <w:t xml:space="preserve"> no </w:t>
      </w:r>
      <w:r w:rsidR="002649F0" w:rsidRPr="006D1C74">
        <w:rPr>
          <w:rFonts w:asciiTheme="majorHAnsi" w:eastAsia="Times New Roman" w:hAnsiTheme="majorHAnsi"/>
          <w:sz w:val="20"/>
          <w:szCs w:val="20"/>
          <w:lang w:val="pt-BR"/>
        </w:rPr>
        <w:t>recurso de h</w:t>
      </w:r>
      <w:r w:rsidR="00501D1D" w:rsidRPr="006D1C74">
        <w:rPr>
          <w:rFonts w:asciiTheme="majorHAnsi" w:eastAsia="Times New Roman" w:hAnsiTheme="majorHAnsi"/>
          <w:sz w:val="20"/>
          <w:szCs w:val="20"/>
          <w:lang w:val="pt-BR"/>
        </w:rPr>
        <w:t>a</w:t>
      </w:r>
      <w:r w:rsidR="002649F0" w:rsidRPr="006D1C74">
        <w:rPr>
          <w:rFonts w:asciiTheme="majorHAnsi" w:eastAsia="Times New Roman" w:hAnsiTheme="majorHAnsi"/>
          <w:sz w:val="20"/>
          <w:szCs w:val="20"/>
          <w:lang w:val="pt-BR"/>
        </w:rPr>
        <w:t>beas corpus interp</w:t>
      </w:r>
      <w:r w:rsidR="00501D1D"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sto</w:t>
      </w:r>
      <w:r w:rsidR="00F37852" w:rsidRPr="006D1C74">
        <w:rPr>
          <w:rFonts w:asciiTheme="majorHAnsi" w:eastAsia="Times New Roman" w:hAnsiTheme="majorHAnsi"/>
          <w:sz w:val="20"/>
          <w:szCs w:val="20"/>
          <w:lang w:val="pt-BR"/>
        </w:rPr>
        <w:t xml:space="preserve"> pela </w:t>
      </w:r>
      <w:r w:rsidR="002649F0" w:rsidRPr="006D1C74">
        <w:rPr>
          <w:rFonts w:asciiTheme="majorHAnsi" w:eastAsia="Times New Roman" w:hAnsiTheme="majorHAnsi"/>
          <w:sz w:val="20"/>
          <w:szCs w:val="20"/>
          <w:lang w:val="pt-BR"/>
        </w:rPr>
        <w:t>defesa</w:t>
      </w:r>
      <w:r w:rsidR="00030019" w:rsidRPr="006D1C74">
        <w:rPr>
          <w:rFonts w:asciiTheme="majorHAnsi" w:eastAsia="Times New Roman" w:hAnsiTheme="majorHAnsi"/>
          <w:sz w:val="20"/>
          <w:szCs w:val="20"/>
          <w:lang w:val="pt-BR"/>
        </w:rPr>
        <w:t xml:space="preserve"> do </w:t>
      </w:r>
      <w:r w:rsidR="002649F0" w:rsidRPr="006D1C74">
        <w:rPr>
          <w:rFonts w:asciiTheme="majorHAnsi" w:eastAsia="Times New Roman" w:hAnsiTheme="majorHAnsi"/>
          <w:sz w:val="20"/>
          <w:szCs w:val="20"/>
          <w:lang w:val="pt-BR"/>
        </w:rPr>
        <w:t>soldado Joel de Lima Santa Ana,</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Segunda C</w:t>
      </w:r>
      <w:r w:rsidR="00501D1D" w:rsidRPr="006D1C74">
        <w:rPr>
          <w:rFonts w:asciiTheme="majorHAnsi" w:eastAsia="Times New Roman" w:hAnsiTheme="majorHAnsi"/>
          <w:sz w:val="20"/>
          <w:szCs w:val="20"/>
          <w:lang w:val="pt-BR"/>
        </w:rPr>
        <w:t>â</w:t>
      </w:r>
      <w:r w:rsidR="002649F0" w:rsidRPr="006D1C74">
        <w:rPr>
          <w:rFonts w:asciiTheme="majorHAnsi" w:eastAsia="Times New Roman" w:hAnsiTheme="majorHAnsi"/>
          <w:sz w:val="20"/>
          <w:szCs w:val="20"/>
          <w:lang w:val="pt-BR"/>
        </w:rPr>
        <w:t xml:space="preserve">mara </w:t>
      </w:r>
      <w:r w:rsidR="0047489A" w:rsidRPr="006D1C74">
        <w:rPr>
          <w:rFonts w:asciiTheme="majorHAnsi" w:eastAsia="Times New Roman" w:hAnsiTheme="majorHAnsi"/>
          <w:sz w:val="20"/>
          <w:szCs w:val="20"/>
          <w:lang w:val="pt-BR"/>
        </w:rPr>
        <w:t>Crimin</w:t>
      </w:r>
      <w:r w:rsidR="002649F0" w:rsidRPr="006D1C74">
        <w:rPr>
          <w:rFonts w:asciiTheme="majorHAnsi" w:eastAsia="Times New Roman" w:hAnsiTheme="majorHAnsi"/>
          <w:sz w:val="20"/>
          <w:szCs w:val="20"/>
          <w:lang w:val="pt-BR"/>
        </w:rPr>
        <w:t>al</w:t>
      </w:r>
      <w:r w:rsidR="00030019" w:rsidRPr="006D1C74">
        <w:rPr>
          <w:rFonts w:asciiTheme="majorHAnsi" w:eastAsia="Times New Roman" w:hAnsiTheme="majorHAnsi"/>
          <w:sz w:val="20"/>
          <w:szCs w:val="20"/>
          <w:lang w:val="pt-BR"/>
        </w:rPr>
        <w:t xml:space="preserve"> do </w:t>
      </w:r>
      <w:r w:rsidR="002649F0" w:rsidRPr="006D1C74">
        <w:rPr>
          <w:rFonts w:asciiTheme="majorHAnsi" w:eastAsia="Times New Roman" w:hAnsiTheme="majorHAnsi"/>
          <w:sz w:val="20"/>
          <w:szCs w:val="20"/>
          <w:lang w:val="pt-BR"/>
        </w:rPr>
        <w:t xml:space="preserve">Tribunal de </w:t>
      </w:r>
      <w:r w:rsidR="00795010" w:rsidRPr="006D1C74">
        <w:rPr>
          <w:rFonts w:asciiTheme="majorHAnsi" w:eastAsia="Times New Roman" w:hAnsiTheme="majorHAnsi"/>
          <w:sz w:val="20"/>
          <w:szCs w:val="20"/>
          <w:lang w:val="pt-BR"/>
        </w:rPr>
        <w:t>Justiça</w:t>
      </w:r>
      <w:r w:rsidR="002649F0" w:rsidRPr="006D1C74">
        <w:rPr>
          <w:rFonts w:asciiTheme="majorHAnsi" w:eastAsia="Times New Roman" w:hAnsiTheme="majorHAnsi"/>
          <w:sz w:val="20"/>
          <w:szCs w:val="20"/>
          <w:lang w:val="pt-BR"/>
        </w:rPr>
        <w:t xml:space="preserve"> d</w:t>
      </w:r>
      <w:r w:rsidR="003802C1" w:rsidRPr="006D1C74">
        <w:rPr>
          <w:rFonts w:asciiTheme="majorHAnsi" w:eastAsia="Times New Roman" w:hAnsiTheme="majorHAnsi"/>
          <w:sz w:val="20"/>
          <w:szCs w:val="20"/>
          <w:lang w:val="pt-BR"/>
        </w:rPr>
        <w:t>etermin</w:t>
      </w:r>
      <w:r w:rsidR="00455F22" w:rsidRPr="006D1C74">
        <w:rPr>
          <w:rFonts w:asciiTheme="majorHAnsi" w:eastAsia="Times New Roman" w:hAnsiTheme="majorHAnsi"/>
          <w:sz w:val="20"/>
          <w:szCs w:val="20"/>
          <w:lang w:val="pt-BR"/>
        </w:rPr>
        <w:t xml:space="preserve">ou </w:t>
      </w:r>
      <w:r w:rsidR="0004192B" w:rsidRPr="006D1C74">
        <w:rPr>
          <w:rFonts w:asciiTheme="majorHAnsi" w:eastAsia="Times New Roman" w:hAnsiTheme="majorHAnsi"/>
          <w:sz w:val="20"/>
          <w:szCs w:val="20"/>
          <w:lang w:val="pt-BR"/>
        </w:rPr>
        <w:t>o</w:t>
      </w:r>
      <w:r w:rsidR="003802C1" w:rsidRPr="006D1C74">
        <w:rPr>
          <w:rFonts w:asciiTheme="majorHAnsi" w:eastAsia="Times New Roman" w:hAnsiTheme="majorHAnsi"/>
          <w:sz w:val="20"/>
          <w:szCs w:val="20"/>
          <w:lang w:val="pt-BR"/>
        </w:rPr>
        <w:t xml:space="preserve"> </w:t>
      </w:r>
      <w:r w:rsidR="0004192B" w:rsidRPr="006D1C74">
        <w:rPr>
          <w:rFonts w:asciiTheme="majorHAnsi" w:eastAsia="Times New Roman" w:hAnsiTheme="majorHAnsi"/>
          <w:sz w:val="20"/>
          <w:szCs w:val="20"/>
          <w:lang w:val="pt-BR"/>
        </w:rPr>
        <w:t>sobrestamento</w:t>
      </w:r>
      <w:r w:rsidR="00795010" w:rsidRPr="006D1C74">
        <w:rPr>
          <w:rFonts w:asciiTheme="majorHAnsi" w:eastAsia="Times New Roman" w:hAnsiTheme="majorHAnsi"/>
          <w:sz w:val="20"/>
          <w:szCs w:val="20"/>
          <w:lang w:val="pt-BR"/>
        </w:rPr>
        <w:t xml:space="preserve"> da </w:t>
      </w:r>
      <w:r w:rsidR="002649F0" w:rsidRPr="006D1C74">
        <w:rPr>
          <w:rFonts w:asciiTheme="majorHAnsi" w:eastAsia="Times New Roman" w:hAnsiTheme="majorHAnsi"/>
          <w:sz w:val="20"/>
          <w:szCs w:val="20"/>
          <w:lang w:val="pt-BR"/>
        </w:rPr>
        <w:t>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por entender que</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conduta</w:t>
      </w:r>
      <w:r w:rsidR="00030019" w:rsidRPr="006D1C74">
        <w:rPr>
          <w:rFonts w:asciiTheme="majorHAnsi" w:eastAsia="Times New Roman" w:hAnsiTheme="majorHAnsi"/>
          <w:sz w:val="20"/>
          <w:szCs w:val="20"/>
          <w:lang w:val="pt-BR"/>
        </w:rPr>
        <w:t xml:space="preserve"> do </w:t>
      </w:r>
      <w:r w:rsidR="002649F0" w:rsidRPr="006D1C74">
        <w:rPr>
          <w:rFonts w:asciiTheme="majorHAnsi" w:eastAsia="Times New Roman" w:hAnsiTheme="majorHAnsi"/>
          <w:sz w:val="20"/>
          <w:szCs w:val="20"/>
          <w:lang w:val="pt-BR"/>
        </w:rPr>
        <w:t xml:space="preserve">acusado </w:t>
      </w:r>
      <w:r w:rsidR="00501D1D" w:rsidRPr="006D1C74">
        <w:rPr>
          <w:rFonts w:asciiTheme="majorHAnsi" w:eastAsia="Times New Roman" w:hAnsiTheme="majorHAnsi"/>
          <w:sz w:val="20"/>
          <w:szCs w:val="20"/>
          <w:lang w:val="pt-BR"/>
        </w:rPr>
        <w:t>já</w:t>
      </w:r>
      <w:r w:rsidR="002649F0" w:rsidRPr="006D1C74">
        <w:rPr>
          <w:rFonts w:asciiTheme="majorHAnsi" w:eastAsia="Times New Roman" w:hAnsiTheme="majorHAnsi"/>
          <w:sz w:val="20"/>
          <w:szCs w:val="20"/>
          <w:lang w:val="pt-BR"/>
        </w:rPr>
        <w:t xml:space="preserve"> ha</w:t>
      </w:r>
      <w:r w:rsidR="00501D1D" w:rsidRPr="006D1C74">
        <w:rPr>
          <w:rFonts w:asciiTheme="majorHAnsi" w:eastAsia="Times New Roman" w:hAnsiTheme="majorHAnsi"/>
          <w:sz w:val="20"/>
          <w:szCs w:val="20"/>
          <w:lang w:val="pt-BR"/>
        </w:rPr>
        <w:t>v</w:t>
      </w:r>
      <w:r w:rsidR="00055622" w:rsidRPr="006D1C74">
        <w:rPr>
          <w:rFonts w:asciiTheme="majorHAnsi" w:eastAsia="Times New Roman" w:hAnsiTheme="majorHAnsi"/>
          <w:sz w:val="20"/>
          <w:szCs w:val="20"/>
          <w:lang w:val="pt-BR"/>
        </w:rPr>
        <w:t>ia</w:t>
      </w:r>
      <w:r w:rsidR="002649F0" w:rsidRPr="006D1C74">
        <w:rPr>
          <w:rFonts w:asciiTheme="majorHAnsi" w:eastAsia="Times New Roman" w:hAnsiTheme="majorHAnsi"/>
          <w:sz w:val="20"/>
          <w:szCs w:val="20"/>
          <w:lang w:val="pt-BR"/>
        </w:rPr>
        <w:t xml:space="preserve"> sido anali</w:t>
      </w:r>
      <w:r w:rsidR="00501D1D" w:rsidRPr="006D1C74">
        <w:rPr>
          <w:rFonts w:asciiTheme="majorHAnsi" w:eastAsia="Times New Roman" w:hAnsiTheme="majorHAnsi"/>
          <w:sz w:val="20"/>
          <w:szCs w:val="20"/>
          <w:lang w:val="pt-BR"/>
        </w:rPr>
        <w:t>s</w:t>
      </w:r>
      <w:r w:rsidR="002649F0" w:rsidRPr="006D1C74">
        <w:rPr>
          <w:rFonts w:asciiTheme="majorHAnsi" w:eastAsia="Times New Roman" w:hAnsiTheme="majorHAnsi"/>
          <w:sz w:val="20"/>
          <w:szCs w:val="20"/>
          <w:lang w:val="pt-BR"/>
        </w:rPr>
        <w:t>ada</w:t>
      </w:r>
      <w:r w:rsidR="00F37852" w:rsidRPr="006D1C74">
        <w:rPr>
          <w:rFonts w:asciiTheme="majorHAnsi" w:eastAsia="Times New Roman" w:hAnsiTheme="majorHAnsi"/>
          <w:sz w:val="20"/>
          <w:szCs w:val="20"/>
          <w:lang w:val="pt-BR"/>
        </w:rPr>
        <w:t xml:space="preserve"> pela </w:t>
      </w:r>
      <w:r w:rsidR="00795010" w:rsidRPr="006D1C74">
        <w:rPr>
          <w:rFonts w:asciiTheme="majorHAnsi" w:eastAsia="Times New Roman" w:hAnsiTheme="majorHAnsi"/>
          <w:sz w:val="20"/>
          <w:szCs w:val="20"/>
          <w:lang w:val="pt-BR"/>
        </w:rPr>
        <w:t>justiça</w:t>
      </w:r>
      <w:r w:rsidR="002649F0" w:rsidRPr="006D1C74">
        <w:rPr>
          <w:rFonts w:asciiTheme="majorHAnsi" w:eastAsia="Times New Roman" w:hAnsiTheme="majorHAnsi"/>
          <w:sz w:val="20"/>
          <w:szCs w:val="20"/>
          <w:lang w:val="pt-BR"/>
        </w:rPr>
        <w:t xml:space="preserve"> militar </w:t>
      </w:r>
      <w:r w:rsidR="00501D1D" w:rsidRPr="006D1C74">
        <w:rPr>
          <w:rFonts w:asciiTheme="majorHAnsi" w:eastAsia="Times New Roman" w:hAnsiTheme="majorHAnsi"/>
          <w:sz w:val="20"/>
          <w:szCs w:val="20"/>
          <w:lang w:val="pt-BR"/>
        </w:rPr>
        <w:t>e</w:t>
      </w:r>
      <w:r w:rsidR="002649F0" w:rsidRPr="006D1C74">
        <w:rPr>
          <w:rFonts w:asciiTheme="majorHAnsi" w:eastAsia="Times New Roman" w:hAnsiTheme="majorHAnsi"/>
          <w:sz w:val="20"/>
          <w:szCs w:val="20"/>
          <w:lang w:val="pt-BR"/>
        </w:rPr>
        <w:t>, portanto,</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acusa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w:t>
      </w:r>
      <w:r w:rsidR="00501D1D" w:rsidRPr="006D1C74">
        <w:rPr>
          <w:rFonts w:asciiTheme="majorHAnsi" w:eastAsia="Times New Roman" w:hAnsiTheme="majorHAnsi"/>
          <w:sz w:val="20"/>
          <w:szCs w:val="20"/>
          <w:lang w:val="pt-BR"/>
        </w:rPr>
        <w:t>per</w:t>
      </w:r>
      <w:r w:rsidR="002649F0" w:rsidRPr="006D1C74">
        <w:rPr>
          <w:rFonts w:asciiTheme="majorHAnsi" w:eastAsia="Times New Roman" w:hAnsiTheme="majorHAnsi"/>
          <w:sz w:val="20"/>
          <w:szCs w:val="20"/>
          <w:lang w:val="pt-BR"/>
        </w:rPr>
        <w:t>ante</w:t>
      </w:r>
      <w:r w:rsidR="00700267" w:rsidRPr="006D1C74">
        <w:rPr>
          <w:rFonts w:asciiTheme="majorHAnsi" w:eastAsia="Times New Roman" w:hAnsiTheme="majorHAnsi"/>
          <w:sz w:val="20"/>
          <w:szCs w:val="20"/>
          <w:lang w:val="pt-BR"/>
        </w:rPr>
        <w:t xml:space="preserve"> a </w:t>
      </w:r>
      <w:r w:rsidR="00795010" w:rsidRPr="006D1C74">
        <w:rPr>
          <w:rFonts w:asciiTheme="majorHAnsi" w:eastAsia="Times New Roman" w:hAnsiTheme="majorHAnsi"/>
          <w:sz w:val="20"/>
          <w:szCs w:val="20"/>
          <w:lang w:val="pt-BR"/>
        </w:rPr>
        <w:t>justiça</w:t>
      </w:r>
      <w:r w:rsidR="002649F0" w:rsidRPr="006D1C74">
        <w:rPr>
          <w:rFonts w:asciiTheme="majorHAnsi" w:eastAsia="Times New Roman" w:hAnsiTheme="majorHAnsi"/>
          <w:sz w:val="20"/>
          <w:szCs w:val="20"/>
          <w:lang w:val="pt-BR"/>
        </w:rPr>
        <w:t xml:space="preserve"> com</w:t>
      </w:r>
      <w:r w:rsidR="00501D1D" w:rsidRPr="006D1C74">
        <w:rPr>
          <w:rFonts w:asciiTheme="majorHAnsi" w:eastAsia="Times New Roman" w:hAnsiTheme="majorHAnsi"/>
          <w:sz w:val="20"/>
          <w:szCs w:val="20"/>
          <w:lang w:val="pt-BR"/>
        </w:rPr>
        <w:t>um</w:t>
      </w:r>
      <w:r w:rsidR="002649F0" w:rsidRPr="006D1C74">
        <w:rPr>
          <w:rFonts w:asciiTheme="majorHAnsi" w:eastAsia="Times New Roman" w:hAnsiTheme="majorHAnsi"/>
          <w:sz w:val="20"/>
          <w:szCs w:val="20"/>
          <w:lang w:val="pt-BR"/>
        </w:rPr>
        <w:t xml:space="preserve"> configurar</w:t>
      </w:r>
      <w:r w:rsidR="00055622" w:rsidRPr="006D1C74">
        <w:rPr>
          <w:rFonts w:asciiTheme="majorHAnsi" w:eastAsia="Times New Roman" w:hAnsiTheme="majorHAnsi"/>
          <w:sz w:val="20"/>
          <w:szCs w:val="20"/>
          <w:lang w:val="pt-BR"/>
        </w:rPr>
        <w:t>ia</w:t>
      </w:r>
      <w:r w:rsidR="002649F0" w:rsidRPr="006D1C74">
        <w:rPr>
          <w:rFonts w:asciiTheme="majorHAnsi" w:eastAsia="Times New Roman" w:hAnsiTheme="majorHAnsi"/>
          <w:sz w:val="20"/>
          <w:szCs w:val="20"/>
          <w:lang w:val="pt-BR"/>
        </w:rPr>
        <w:t xml:space="preserve"> </w:t>
      </w:r>
      <w:r w:rsidR="002649F0" w:rsidRPr="006D1C74">
        <w:rPr>
          <w:rFonts w:asciiTheme="majorHAnsi" w:eastAsia="Times New Roman" w:hAnsiTheme="majorHAnsi"/>
          <w:i/>
          <w:sz w:val="20"/>
          <w:szCs w:val="20"/>
          <w:lang w:val="pt-BR"/>
        </w:rPr>
        <w:t>bis in idem</w:t>
      </w:r>
      <w:r w:rsidR="002649F0" w:rsidRPr="006D1C74">
        <w:rPr>
          <w:rFonts w:asciiTheme="majorHAnsi" w:eastAsia="Times New Roman" w:hAnsiTheme="majorHAnsi"/>
          <w:sz w:val="20"/>
          <w:szCs w:val="20"/>
          <w:lang w:val="pt-BR"/>
        </w:rPr>
        <w:t>.</w:t>
      </w:r>
    </w:p>
    <w:p w14:paraId="36EEF72D" w14:textId="77777777" w:rsidR="002649F0" w:rsidRPr="006D1C74" w:rsidRDefault="002649F0" w:rsidP="002649F0">
      <w:pPr>
        <w:ind w:left="720"/>
        <w:rPr>
          <w:rFonts w:asciiTheme="majorHAnsi" w:eastAsia="Times New Roman" w:hAnsiTheme="majorHAnsi" w:cs="Cambria"/>
          <w:sz w:val="20"/>
          <w:szCs w:val="20"/>
          <w:u w:color="000000"/>
          <w:lang w:val="pt-BR" w:eastAsia="es-ES"/>
        </w:rPr>
      </w:pPr>
    </w:p>
    <w:p w14:paraId="088D45DA" w14:textId="77777777" w:rsidR="002649F0" w:rsidRPr="006D1C74" w:rsidRDefault="00B4216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pt-BR"/>
        </w:rPr>
      </w:pPr>
      <w:r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 xml:space="preserve"> Estado a</w:t>
      </w:r>
      <w:r w:rsidR="003802C1" w:rsidRPr="006D1C74">
        <w:rPr>
          <w:rFonts w:asciiTheme="majorHAnsi" w:eastAsia="Times New Roman" w:hAnsiTheme="majorHAnsi"/>
          <w:sz w:val="20"/>
          <w:szCs w:val="20"/>
          <w:lang w:val="pt-BR"/>
        </w:rPr>
        <w:t>crescent</w:t>
      </w:r>
      <w:r w:rsidR="002649F0" w:rsidRPr="006D1C74">
        <w:rPr>
          <w:rFonts w:asciiTheme="majorHAnsi" w:eastAsia="Times New Roman" w:hAnsiTheme="majorHAnsi"/>
          <w:sz w:val="20"/>
          <w:szCs w:val="20"/>
          <w:lang w:val="pt-BR"/>
        </w:rPr>
        <w:t>a que</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diverg</w:t>
      </w:r>
      <w:r w:rsidR="003802C1" w:rsidRPr="006D1C74">
        <w:rPr>
          <w:rFonts w:asciiTheme="majorHAnsi" w:eastAsia="Times New Roman" w:hAnsiTheme="majorHAnsi"/>
          <w:sz w:val="20"/>
          <w:szCs w:val="20"/>
          <w:lang w:val="pt-BR"/>
        </w:rPr>
        <w:t>ê</w:t>
      </w:r>
      <w:r w:rsidR="002649F0" w:rsidRPr="006D1C74">
        <w:rPr>
          <w:rFonts w:asciiTheme="majorHAnsi" w:eastAsia="Times New Roman" w:hAnsiTheme="majorHAnsi"/>
          <w:sz w:val="20"/>
          <w:szCs w:val="20"/>
          <w:lang w:val="pt-BR"/>
        </w:rPr>
        <w:t>ncia de opini</w:t>
      </w:r>
      <w:r w:rsidR="003802C1" w:rsidRPr="006D1C74">
        <w:rPr>
          <w:rFonts w:asciiTheme="majorHAnsi" w:eastAsia="Times New Roman" w:hAnsiTheme="majorHAnsi"/>
          <w:sz w:val="20"/>
          <w:szCs w:val="20"/>
          <w:lang w:val="pt-BR"/>
        </w:rPr>
        <w:t>ão</w:t>
      </w:r>
      <w:r w:rsidR="002649F0" w:rsidRPr="006D1C74">
        <w:rPr>
          <w:rFonts w:asciiTheme="majorHAnsi" w:eastAsia="Times New Roman" w:hAnsiTheme="majorHAnsi"/>
          <w:sz w:val="20"/>
          <w:szCs w:val="20"/>
          <w:lang w:val="pt-BR"/>
        </w:rPr>
        <w:t xml:space="preserve"> entre</w:t>
      </w:r>
      <w:r w:rsidR="00700267" w:rsidRPr="006D1C74">
        <w:rPr>
          <w:rFonts w:asciiTheme="majorHAnsi" w:eastAsia="Times New Roman" w:hAnsiTheme="majorHAnsi"/>
          <w:sz w:val="20"/>
          <w:szCs w:val="20"/>
          <w:lang w:val="pt-BR"/>
        </w:rPr>
        <w:t xml:space="preserve"> os </w:t>
      </w:r>
      <w:r w:rsidR="002649F0" w:rsidRPr="006D1C74">
        <w:rPr>
          <w:rFonts w:asciiTheme="majorHAnsi" w:eastAsia="Times New Roman" w:hAnsiTheme="majorHAnsi"/>
          <w:sz w:val="20"/>
          <w:szCs w:val="20"/>
          <w:lang w:val="pt-BR"/>
        </w:rPr>
        <w:t>do</w:t>
      </w:r>
      <w:r w:rsidR="003802C1" w:rsidRPr="006D1C74">
        <w:rPr>
          <w:rFonts w:asciiTheme="majorHAnsi" w:eastAsia="Times New Roman" w:hAnsiTheme="majorHAnsi"/>
          <w:sz w:val="20"/>
          <w:szCs w:val="20"/>
          <w:lang w:val="pt-BR"/>
        </w:rPr>
        <w:t>i</w:t>
      </w:r>
      <w:r w:rsidR="002649F0" w:rsidRPr="006D1C74">
        <w:rPr>
          <w:rFonts w:asciiTheme="majorHAnsi" w:eastAsia="Times New Roman" w:hAnsiTheme="majorHAnsi"/>
          <w:sz w:val="20"/>
          <w:szCs w:val="20"/>
          <w:lang w:val="pt-BR"/>
        </w:rPr>
        <w:t xml:space="preserve">s procuradores de </w:t>
      </w:r>
      <w:r w:rsidR="00795010" w:rsidRPr="006D1C74">
        <w:rPr>
          <w:rFonts w:asciiTheme="majorHAnsi" w:eastAsia="Times New Roman" w:hAnsiTheme="majorHAnsi"/>
          <w:sz w:val="20"/>
          <w:szCs w:val="20"/>
          <w:lang w:val="pt-BR"/>
        </w:rPr>
        <w:t>justiça</w:t>
      </w:r>
      <w:r w:rsidR="00F673C7" w:rsidRPr="006D1C74">
        <w:rPr>
          <w:rFonts w:asciiTheme="majorHAnsi" w:eastAsia="Times New Roman" w:hAnsiTheme="majorHAnsi"/>
          <w:sz w:val="20"/>
          <w:szCs w:val="20"/>
          <w:lang w:val="pt-BR"/>
        </w:rPr>
        <w:t xml:space="preserve"> não </w:t>
      </w:r>
      <w:r w:rsidR="002649F0" w:rsidRPr="006D1C74">
        <w:rPr>
          <w:rFonts w:asciiTheme="majorHAnsi" w:eastAsia="Times New Roman" w:hAnsiTheme="majorHAnsi"/>
          <w:sz w:val="20"/>
          <w:szCs w:val="20"/>
          <w:lang w:val="pt-BR"/>
        </w:rPr>
        <w:t>vici</w:t>
      </w:r>
      <w:r w:rsidR="00455F22" w:rsidRPr="006D1C74">
        <w:rPr>
          <w:rFonts w:asciiTheme="majorHAnsi" w:eastAsia="Times New Roman" w:hAnsiTheme="majorHAnsi"/>
          <w:sz w:val="20"/>
          <w:szCs w:val="20"/>
          <w:lang w:val="pt-BR"/>
        </w:rPr>
        <w:t xml:space="preserve">ou </w:t>
      </w:r>
      <w:r w:rsidR="00700267" w:rsidRPr="006D1C74">
        <w:rPr>
          <w:rFonts w:asciiTheme="majorHAnsi" w:eastAsia="Times New Roman" w:hAnsiTheme="majorHAnsi"/>
          <w:sz w:val="20"/>
          <w:szCs w:val="20"/>
          <w:lang w:val="pt-BR"/>
        </w:rPr>
        <w:t xml:space="preserve">a </w:t>
      </w:r>
      <w:r w:rsidR="002649F0" w:rsidRPr="006D1C74">
        <w:rPr>
          <w:rFonts w:asciiTheme="majorHAnsi" w:eastAsia="Times New Roman" w:hAnsiTheme="majorHAnsi"/>
          <w:sz w:val="20"/>
          <w:szCs w:val="20"/>
          <w:lang w:val="pt-BR"/>
        </w:rPr>
        <w:t>investiga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w:t>
      </w:r>
      <w:r w:rsidR="003802C1" w:rsidRPr="006D1C74">
        <w:rPr>
          <w:rFonts w:asciiTheme="majorHAnsi" w:eastAsia="Times New Roman" w:hAnsiTheme="majorHAnsi"/>
          <w:sz w:val="20"/>
          <w:szCs w:val="20"/>
          <w:lang w:val="pt-BR"/>
        </w:rPr>
        <w:t>já</w:t>
      </w:r>
      <w:r w:rsidR="002649F0" w:rsidRPr="006D1C74">
        <w:rPr>
          <w:rFonts w:asciiTheme="majorHAnsi" w:eastAsia="Times New Roman" w:hAnsiTheme="majorHAnsi"/>
          <w:sz w:val="20"/>
          <w:szCs w:val="20"/>
          <w:lang w:val="pt-BR"/>
        </w:rPr>
        <w:t xml:space="preserve"> que está compr</w:t>
      </w:r>
      <w:r w:rsidR="003802C1" w:rsidRPr="006D1C74">
        <w:rPr>
          <w:rFonts w:asciiTheme="majorHAnsi" w:eastAsia="Times New Roman" w:hAnsiTheme="majorHAnsi"/>
          <w:sz w:val="20"/>
          <w:szCs w:val="20"/>
          <w:lang w:val="pt-BR"/>
        </w:rPr>
        <w:t>e</w:t>
      </w:r>
      <w:r w:rsidR="002649F0" w:rsidRPr="006D1C74">
        <w:rPr>
          <w:rFonts w:asciiTheme="majorHAnsi" w:eastAsia="Times New Roman" w:hAnsiTheme="majorHAnsi"/>
          <w:sz w:val="20"/>
          <w:szCs w:val="20"/>
          <w:lang w:val="pt-BR"/>
        </w:rPr>
        <w:t>endida</w:t>
      </w:r>
      <w:r w:rsidR="00FC2F62" w:rsidRPr="006D1C74">
        <w:rPr>
          <w:rFonts w:asciiTheme="majorHAnsi" w:eastAsia="Times New Roman" w:hAnsiTheme="majorHAnsi"/>
          <w:sz w:val="20"/>
          <w:szCs w:val="20"/>
          <w:lang w:val="pt-BR"/>
        </w:rPr>
        <w:t xml:space="preserve"> no </w:t>
      </w:r>
      <w:r w:rsidR="003802C1" w:rsidRPr="006D1C74">
        <w:rPr>
          <w:rFonts w:asciiTheme="majorHAnsi" w:eastAsia="Times New Roman" w:hAnsiTheme="majorHAnsi"/>
          <w:sz w:val="20"/>
          <w:szCs w:val="20"/>
          <w:lang w:val="pt-BR"/>
        </w:rPr>
        <w:t>â</w:t>
      </w:r>
      <w:r w:rsidR="002649F0" w:rsidRPr="006D1C74">
        <w:rPr>
          <w:rFonts w:asciiTheme="majorHAnsi" w:eastAsia="Times New Roman" w:hAnsiTheme="majorHAnsi"/>
          <w:sz w:val="20"/>
          <w:szCs w:val="20"/>
          <w:lang w:val="pt-BR"/>
        </w:rPr>
        <w:t>mbito</w:t>
      </w:r>
      <w:r w:rsidR="00795010" w:rsidRPr="006D1C74">
        <w:rPr>
          <w:rFonts w:asciiTheme="majorHAnsi" w:eastAsia="Times New Roman" w:hAnsiTheme="majorHAnsi"/>
          <w:sz w:val="20"/>
          <w:szCs w:val="20"/>
          <w:lang w:val="pt-BR"/>
        </w:rPr>
        <w:t xml:space="preserve"> da </w:t>
      </w:r>
      <w:r w:rsidR="002649F0" w:rsidRPr="006D1C74">
        <w:rPr>
          <w:rFonts w:asciiTheme="majorHAnsi" w:eastAsia="Times New Roman" w:hAnsiTheme="majorHAnsi"/>
          <w:sz w:val="20"/>
          <w:szCs w:val="20"/>
          <w:lang w:val="pt-BR"/>
        </w:rPr>
        <w:t>independ</w:t>
      </w:r>
      <w:r w:rsidR="003802C1" w:rsidRPr="006D1C74">
        <w:rPr>
          <w:rFonts w:asciiTheme="majorHAnsi" w:eastAsia="Times New Roman" w:hAnsiTheme="majorHAnsi"/>
          <w:sz w:val="20"/>
          <w:szCs w:val="20"/>
          <w:lang w:val="pt-BR"/>
        </w:rPr>
        <w:t>ê</w:t>
      </w:r>
      <w:r w:rsidR="002649F0" w:rsidRPr="006D1C74">
        <w:rPr>
          <w:rFonts w:asciiTheme="majorHAnsi" w:eastAsia="Times New Roman" w:hAnsiTheme="majorHAnsi"/>
          <w:sz w:val="20"/>
          <w:szCs w:val="20"/>
          <w:lang w:val="pt-BR"/>
        </w:rPr>
        <w:t>ncia funcional</w:t>
      </w:r>
      <w:r w:rsidR="00700267" w:rsidRPr="006D1C74">
        <w:rPr>
          <w:rFonts w:asciiTheme="majorHAnsi" w:eastAsia="Times New Roman" w:hAnsiTheme="majorHAnsi"/>
          <w:sz w:val="20"/>
          <w:szCs w:val="20"/>
          <w:lang w:val="pt-BR"/>
        </w:rPr>
        <w:t xml:space="preserve"> dos </w:t>
      </w:r>
      <w:r w:rsidR="002649F0" w:rsidRPr="006D1C74">
        <w:rPr>
          <w:rFonts w:asciiTheme="majorHAnsi" w:eastAsia="Times New Roman" w:hAnsiTheme="majorHAnsi"/>
          <w:sz w:val="20"/>
          <w:szCs w:val="20"/>
          <w:lang w:val="pt-BR"/>
        </w:rPr>
        <w:t>membros</w:t>
      </w:r>
      <w:r w:rsidR="00030019" w:rsidRPr="006D1C74">
        <w:rPr>
          <w:rFonts w:asciiTheme="majorHAnsi" w:eastAsia="Times New Roman" w:hAnsiTheme="majorHAnsi"/>
          <w:sz w:val="20"/>
          <w:szCs w:val="20"/>
          <w:lang w:val="pt-BR"/>
        </w:rPr>
        <w:t xml:space="preserve"> do </w:t>
      </w:r>
      <w:r w:rsidR="001E7651" w:rsidRPr="006D1C74">
        <w:rPr>
          <w:rFonts w:asciiTheme="majorHAnsi" w:eastAsia="Times New Roman" w:hAnsiTheme="majorHAnsi"/>
          <w:sz w:val="20"/>
          <w:szCs w:val="20"/>
          <w:lang w:val="pt-BR"/>
        </w:rPr>
        <w:t>Ministério</w:t>
      </w:r>
      <w:r w:rsidR="002649F0" w:rsidRPr="006D1C74">
        <w:rPr>
          <w:rFonts w:asciiTheme="majorHAnsi" w:eastAsia="Times New Roman" w:hAnsiTheme="majorHAnsi"/>
          <w:sz w:val="20"/>
          <w:szCs w:val="20"/>
          <w:lang w:val="pt-BR"/>
        </w:rPr>
        <w:t xml:space="preserve"> Público. A</w:t>
      </w:r>
      <w:r w:rsidR="003802C1" w:rsidRPr="006D1C74">
        <w:rPr>
          <w:rFonts w:asciiTheme="majorHAnsi" w:eastAsia="Times New Roman" w:hAnsiTheme="majorHAnsi"/>
          <w:sz w:val="20"/>
          <w:szCs w:val="20"/>
          <w:lang w:val="pt-BR"/>
        </w:rPr>
        <w:t>lém disso</w:t>
      </w:r>
      <w:r w:rsidR="002649F0" w:rsidRPr="006D1C74">
        <w:rPr>
          <w:rFonts w:asciiTheme="majorHAnsi" w:eastAsia="Times New Roman" w:hAnsiTheme="majorHAnsi"/>
          <w:sz w:val="20"/>
          <w:szCs w:val="20"/>
          <w:lang w:val="pt-BR"/>
        </w:rPr>
        <w:t>, sub</w:t>
      </w:r>
      <w:r w:rsidR="003802C1" w:rsidRPr="006D1C74">
        <w:rPr>
          <w:rFonts w:asciiTheme="majorHAnsi" w:eastAsia="Times New Roman" w:hAnsiTheme="majorHAnsi"/>
          <w:sz w:val="20"/>
          <w:szCs w:val="20"/>
          <w:lang w:val="pt-BR"/>
        </w:rPr>
        <w:t>linh</w:t>
      </w:r>
      <w:r w:rsidR="002649F0" w:rsidRPr="006D1C74">
        <w:rPr>
          <w:rFonts w:asciiTheme="majorHAnsi" w:eastAsia="Times New Roman" w:hAnsiTheme="majorHAnsi"/>
          <w:sz w:val="20"/>
          <w:szCs w:val="20"/>
          <w:lang w:val="pt-BR"/>
        </w:rPr>
        <w:t>a que</w:t>
      </w:r>
      <w:r w:rsidR="00700267" w:rsidRPr="006D1C74">
        <w:rPr>
          <w:rFonts w:asciiTheme="majorHAnsi" w:eastAsia="Times New Roman" w:hAnsiTheme="majorHAnsi"/>
          <w:sz w:val="20"/>
          <w:szCs w:val="20"/>
          <w:lang w:val="pt-BR"/>
        </w:rPr>
        <w:t xml:space="preserve"> o </w:t>
      </w:r>
      <w:r w:rsidR="002649F0" w:rsidRPr="006D1C74">
        <w:rPr>
          <w:rFonts w:asciiTheme="majorHAnsi" w:eastAsia="Times New Roman" w:hAnsiTheme="majorHAnsi"/>
          <w:sz w:val="20"/>
          <w:szCs w:val="20"/>
          <w:lang w:val="pt-BR"/>
        </w:rPr>
        <w:t>caso</w:t>
      </w:r>
      <w:r w:rsidR="00CA7940" w:rsidRPr="006D1C74">
        <w:rPr>
          <w:rFonts w:asciiTheme="majorHAnsi" w:eastAsia="Times New Roman" w:hAnsiTheme="majorHAnsi"/>
          <w:sz w:val="20"/>
          <w:szCs w:val="20"/>
          <w:lang w:val="pt-BR"/>
        </w:rPr>
        <w:t xml:space="preserve"> foi </w:t>
      </w:r>
      <w:r w:rsidR="002649F0" w:rsidRPr="006D1C74">
        <w:rPr>
          <w:rFonts w:asciiTheme="majorHAnsi" w:eastAsia="Times New Roman" w:hAnsiTheme="majorHAnsi"/>
          <w:sz w:val="20"/>
          <w:szCs w:val="20"/>
          <w:lang w:val="pt-BR"/>
        </w:rPr>
        <w:t>s</w:t>
      </w:r>
      <w:r w:rsidR="003802C1" w:rsidRPr="006D1C74">
        <w:rPr>
          <w:rFonts w:asciiTheme="majorHAnsi" w:eastAsia="Times New Roman" w:hAnsiTheme="majorHAnsi"/>
          <w:sz w:val="20"/>
          <w:szCs w:val="20"/>
          <w:lang w:val="pt-BR"/>
        </w:rPr>
        <w:t>ub</w:t>
      </w:r>
      <w:r w:rsidR="002649F0" w:rsidRPr="006D1C74">
        <w:rPr>
          <w:rFonts w:asciiTheme="majorHAnsi" w:eastAsia="Times New Roman" w:hAnsiTheme="majorHAnsi"/>
          <w:sz w:val="20"/>
          <w:szCs w:val="20"/>
          <w:lang w:val="pt-BR"/>
        </w:rPr>
        <w:t>metido</w:t>
      </w:r>
      <w:r w:rsidR="00030019" w:rsidRPr="006D1C74">
        <w:rPr>
          <w:rFonts w:asciiTheme="majorHAnsi" w:eastAsia="Times New Roman" w:hAnsiTheme="majorHAnsi"/>
          <w:sz w:val="20"/>
          <w:szCs w:val="20"/>
          <w:lang w:val="pt-BR"/>
        </w:rPr>
        <w:t xml:space="preserve"> à </w:t>
      </w:r>
      <w:r w:rsidR="002649F0" w:rsidRPr="006D1C74">
        <w:rPr>
          <w:rFonts w:asciiTheme="majorHAnsi" w:eastAsia="Times New Roman" w:hAnsiTheme="majorHAnsi"/>
          <w:sz w:val="20"/>
          <w:szCs w:val="20"/>
          <w:lang w:val="pt-BR"/>
        </w:rPr>
        <w:t>considera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de tr</w:t>
      </w:r>
      <w:r w:rsidR="003802C1" w:rsidRPr="006D1C74">
        <w:rPr>
          <w:rFonts w:asciiTheme="majorHAnsi" w:eastAsia="Times New Roman" w:hAnsiTheme="majorHAnsi"/>
          <w:sz w:val="20"/>
          <w:szCs w:val="20"/>
          <w:lang w:val="pt-BR"/>
        </w:rPr>
        <w:t>ê</w:t>
      </w:r>
      <w:r w:rsidR="002649F0" w:rsidRPr="006D1C74">
        <w:rPr>
          <w:rFonts w:asciiTheme="majorHAnsi" w:eastAsia="Times New Roman" w:hAnsiTheme="majorHAnsi"/>
          <w:sz w:val="20"/>
          <w:szCs w:val="20"/>
          <w:lang w:val="pt-BR"/>
        </w:rPr>
        <w:t>s representantes</w:t>
      </w:r>
      <w:r w:rsidR="00030019" w:rsidRPr="006D1C74">
        <w:rPr>
          <w:rFonts w:asciiTheme="majorHAnsi" w:eastAsia="Times New Roman" w:hAnsiTheme="majorHAnsi"/>
          <w:sz w:val="20"/>
          <w:szCs w:val="20"/>
          <w:lang w:val="pt-BR"/>
        </w:rPr>
        <w:t xml:space="preserve"> do </w:t>
      </w:r>
      <w:r w:rsidR="001E7651" w:rsidRPr="006D1C74">
        <w:rPr>
          <w:rFonts w:asciiTheme="majorHAnsi" w:eastAsia="Times New Roman" w:hAnsiTheme="majorHAnsi"/>
          <w:sz w:val="20"/>
          <w:szCs w:val="20"/>
          <w:lang w:val="pt-BR"/>
        </w:rPr>
        <w:t>Ministério</w:t>
      </w:r>
      <w:r w:rsidR="002649F0" w:rsidRPr="006D1C74">
        <w:rPr>
          <w:rFonts w:asciiTheme="majorHAnsi" w:eastAsia="Times New Roman" w:hAnsiTheme="majorHAnsi"/>
          <w:sz w:val="20"/>
          <w:szCs w:val="20"/>
          <w:lang w:val="pt-BR"/>
        </w:rPr>
        <w:t xml:space="preserve"> Público, do</w:t>
      </w:r>
      <w:r w:rsidR="003802C1" w:rsidRPr="006D1C74">
        <w:rPr>
          <w:rFonts w:asciiTheme="majorHAnsi" w:eastAsia="Times New Roman" w:hAnsiTheme="majorHAnsi"/>
          <w:sz w:val="20"/>
          <w:szCs w:val="20"/>
          <w:lang w:val="pt-BR"/>
        </w:rPr>
        <w:t>i</w:t>
      </w:r>
      <w:r w:rsidR="002649F0" w:rsidRPr="006D1C74">
        <w:rPr>
          <w:rFonts w:asciiTheme="majorHAnsi" w:eastAsia="Times New Roman" w:hAnsiTheme="majorHAnsi"/>
          <w:sz w:val="20"/>
          <w:szCs w:val="20"/>
          <w:lang w:val="pt-BR"/>
        </w:rPr>
        <w:t>s ju</w:t>
      </w:r>
      <w:r w:rsidR="003802C1" w:rsidRPr="006D1C74">
        <w:rPr>
          <w:rFonts w:asciiTheme="majorHAnsi" w:eastAsia="Times New Roman" w:hAnsiTheme="majorHAnsi"/>
          <w:sz w:val="20"/>
          <w:szCs w:val="20"/>
          <w:lang w:val="pt-BR"/>
        </w:rPr>
        <w:t>íz</w:t>
      </w:r>
      <w:r w:rsidR="002649F0" w:rsidRPr="006D1C74">
        <w:rPr>
          <w:rFonts w:asciiTheme="majorHAnsi" w:eastAsia="Times New Roman" w:hAnsiTheme="majorHAnsi"/>
          <w:sz w:val="20"/>
          <w:szCs w:val="20"/>
          <w:lang w:val="pt-BR"/>
        </w:rPr>
        <w:t>es de prime</w:t>
      </w:r>
      <w:r w:rsidR="003802C1" w:rsidRPr="006D1C74">
        <w:rPr>
          <w:rFonts w:asciiTheme="majorHAnsi" w:eastAsia="Times New Roman" w:hAnsiTheme="majorHAnsi"/>
          <w:sz w:val="20"/>
          <w:szCs w:val="20"/>
          <w:lang w:val="pt-BR"/>
        </w:rPr>
        <w:t>i</w:t>
      </w:r>
      <w:r w:rsidR="002649F0" w:rsidRPr="006D1C74">
        <w:rPr>
          <w:rFonts w:asciiTheme="majorHAnsi" w:eastAsia="Times New Roman" w:hAnsiTheme="majorHAnsi"/>
          <w:sz w:val="20"/>
          <w:szCs w:val="20"/>
          <w:lang w:val="pt-BR"/>
        </w:rPr>
        <w:t>ra inst</w:t>
      </w:r>
      <w:r w:rsidR="003802C1" w:rsidRPr="006D1C74">
        <w:rPr>
          <w:rFonts w:asciiTheme="majorHAnsi" w:eastAsia="Times New Roman" w:hAnsiTheme="majorHAnsi"/>
          <w:sz w:val="20"/>
          <w:szCs w:val="20"/>
          <w:lang w:val="pt-BR"/>
        </w:rPr>
        <w:t>â</w:t>
      </w:r>
      <w:r w:rsidR="002649F0" w:rsidRPr="006D1C74">
        <w:rPr>
          <w:rFonts w:asciiTheme="majorHAnsi" w:eastAsia="Times New Roman" w:hAnsiTheme="majorHAnsi"/>
          <w:sz w:val="20"/>
          <w:szCs w:val="20"/>
          <w:lang w:val="pt-BR"/>
        </w:rPr>
        <w:t>ncia</w:t>
      </w:r>
      <w:r w:rsidR="00CF037E" w:rsidRPr="006D1C74">
        <w:rPr>
          <w:rFonts w:asciiTheme="majorHAnsi" w:eastAsia="Times New Roman" w:hAnsiTheme="majorHAnsi"/>
          <w:sz w:val="20"/>
          <w:szCs w:val="20"/>
          <w:lang w:val="pt-BR"/>
        </w:rPr>
        <w:t xml:space="preserve"> e</w:t>
      </w:r>
      <w:r w:rsidR="00030019" w:rsidRPr="006D1C74">
        <w:rPr>
          <w:rFonts w:asciiTheme="majorHAnsi" w:eastAsia="Times New Roman" w:hAnsiTheme="majorHAnsi"/>
          <w:sz w:val="20"/>
          <w:szCs w:val="20"/>
          <w:lang w:val="pt-BR"/>
        </w:rPr>
        <w:t xml:space="preserve"> um </w:t>
      </w:r>
      <w:r w:rsidR="002649F0" w:rsidRPr="006D1C74">
        <w:rPr>
          <w:rFonts w:asciiTheme="majorHAnsi" w:eastAsia="Times New Roman" w:hAnsiTheme="majorHAnsi"/>
          <w:sz w:val="20"/>
          <w:szCs w:val="20"/>
          <w:lang w:val="pt-BR"/>
        </w:rPr>
        <w:t>órg</w:t>
      </w:r>
      <w:r w:rsidR="003802C1" w:rsidRPr="006D1C74">
        <w:rPr>
          <w:rFonts w:asciiTheme="majorHAnsi" w:eastAsia="Times New Roman" w:hAnsiTheme="majorHAnsi"/>
          <w:sz w:val="20"/>
          <w:szCs w:val="20"/>
          <w:lang w:val="pt-BR"/>
        </w:rPr>
        <w:t>ã</w:t>
      </w:r>
      <w:r w:rsidR="002649F0" w:rsidRPr="006D1C74">
        <w:rPr>
          <w:rFonts w:asciiTheme="majorHAnsi" w:eastAsia="Times New Roman" w:hAnsiTheme="majorHAnsi"/>
          <w:sz w:val="20"/>
          <w:szCs w:val="20"/>
          <w:lang w:val="pt-BR"/>
        </w:rPr>
        <w:t>o colegiado.</w:t>
      </w:r>
    </w:p>
    <w:p w14:paraId="2EBD8121" w14:textId="77777777" w:rsidR="002649F0" w:rsidRPr="006D1C74" w:rsidRDefault="002649F0" w:rsidP="002649F0">
      <w:pPr>
        <w:rPr>
          <w:rFonts w:asciiTheme="majorHAnsi" w:eastAsia="Times New Roman" w:hAnsiTheme="majorHAnsi"/>
          <w:sz w:val="20"/>
          <w:szCs w:val="20"/>
          <w:lang w:val="pt-BR"/>
        </w:rPr>
      </w:pPr>
    </w:p>
    <w:p w14:paraId="370FAD06" w14:textId="77777777" w:rsidR="002649F0" w:rsidRPr="006D1C74" w:rsidRDefault="003802C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pt-BR"/>
        </w:rPr>
      </w:pPr>
      <w:r w:rsidRPr="006D1C74">
        <w:rPr>
          <w:rFonts w:asciiTheme="majorHAnsi" w:eastAsia="Times New Roman" w:hAnsiTheme="majorHAnsi"/>
          <w:sz w:val="20"/>
          <w:szCs w:val="20"/>
          <w:lang w:val="pt-BR"/>
        </w:rPr>
        <w:t>Q</w:t>
      </w:r>
      <w:r w:rsidR="002649F0" w:rsidRPr="006D1C74">
        <w:rPr>
          <w:rFonts w:asciiTheme="majorHAnsi" w:eastAsia="Times New Roman" w:hAnsiTheme="majorHAnsi"/>
          <w:sz w:val="20"/>
          <w:szCs w:val="20"/>
          <w:lang w:val="pt-BR"/>
        </w:rPr>
        <w:t>uanto</w:t>
      </w:r>
      <w:r w:rsidR="00030019" w:rsidRPr="006D1C74">
        <w:rPr>
          <w:rFonts w:asciiTheme="majorHAnsi" w:eastAsia="Times New Roman" w:hAnsiTheme="majorHAnsi"/>
          <w:sz w:val="20"/>
          <w:szCs w:val="20"/>
          <w:lang w:val="pt-BR"/>
        </w:rPr>
        <w:t xml:space="preserve"> à </w:t>
      </w:r>
      <w:r w:rsidR="002649F0" w:rsidRPr="006D1C74">
        <w:rPr>
          <w:rFonts w:asciiTheme="majorHAnsi" w:eastAsia="Times New Roman" w:hAnsiTheme="majorHAnsi"/>
          <w:sz w:val="20"/>
          <w:szCs w:val="20"/>
          <w:lang w:val="pt-BR"/>
        </w:rPr>
        <w:t>parciali</w:t>
      </w:r>
      <w:r w:rsidR="00F673C7" w:rsidRPr="006D1C74">
        <w:rPr>
          <w:rFonts w:asciiTheme="majorHAnsi" w:eastAsia="Times New Roman" w:hAnsiTheme="majorHAnsi"/>
          <w:sz w:val="20"/>
          <w:szCs w:val="20"/>
          <w:lang w:val="pt-BR"/>
        </w:rPr>
        <w:t xml:space="preserve">dade </w:t>
      </w:r>
      <w:r w:rsidR="00795010" w:rsidRPr="006D1C74">
        <w:rPr>
          <w:rFonts w:asciiTheme="majorHAnsi" w:eastAsia="Times New Roman" w:hAnsiTheme="majorHAnsi"/>
          <w:sz w:val="20"/>
          <w:szCs w:val="20"/>
          <w:lang w:val="pt-BR"/>
        </w:rPr>
        <w:t>da justiça</w:t>
      </w:r>
      <w:r w:rsidR="002649F0" w:rsidRPr="006D1C74">
        <w:rPr>
          <w:rFonts w:asciiTheme="majorHAnsi" w:eastAsia="Times New Roman" w:hAnsiTheme="majorHAnsi"/>
          <w:sz w:val="20"/>
          <w:szCs w:val="20"/>
          <w:lang w:val="pt-BR"/>
        </w:rPr>
        <w:t xml:space="preserve"> militar, informa que</w:t>
      </w:r>
      <w:r w:rsidR="00700267" w:rsidRPr="006D1C74">
        <w:rPr>
          <w:rFonts w:asciiTheme="majorHAnsi" w:eastAsia="Times New Roman" w:hAnsiTheme="majorHAnsi"/>
          <w:sz w:val="20"/>
          <w:szCs w:val="20"/>
          <w:lang w:val="pt-BR"/>
        </w:rPr>
        <w:t xml:space="preserve"> os </w:t>
      </w:r>
      <w:r w:rsidRPr="006D1C74">
        <w:rPr>
          <w:rFonts w:asciiTheme="majorHAnsi" w:eastAsia="Times New Roman" w:hAnsiTheme="majorHAnsi"/>
          <w:sz w:val="20"/>
          <w:szCs w:val="20"/>
          <w:lang w:val="pt-BR"/>
        </w:rPr>
        <w:t>crimes</w:t>
      </w:r>
      <w:r w:rsidR="002649F0" w:rsidRPr="006D1C74">
        <w:rPr>
          <w:rFonts w:asciiTheme="majorHAnsi" w:eastAsia="Times New Roman" w:hAnsiTheme="majorHAnsi"/>
          <w:sz w:val="20"/>
          <w:szCs w:val="20"/>
          <w:lang w:val="pt-BR"/>
        </w:rPr>
        <w:t xml:space="preserve"> dolosos contra</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vida</w:t>
      </w:r>
      <w:r w:rsidR="00F37852" w:rsidRPr="006D1C74">
        <w:rPr>
          <w:rFonts w:asciiTheme="majorHAnsi" w:eastAsia="Times New Roman" w:hAnsiTheme="majorHAnsi"/>
          <w:sz w:val="20"/>
          <w:szCs w:val="20"/>
          <w:lang w:val="pt-BR"/>
        </w:rPr>
        <w:t xml:space="preserve"> são </w:t>
      </w:r>
      <w:r w:rsidR="002649F0" w:rsidRPr="006D1C74">
        <w:rPr>
          <w:rFonts w:asciiTheme="majorHAnsi" w:eastAsia="Times New Roman" w:hAnsiTheme="majorHAnsi"/>
          <w:sz w:val="20"/>
          <w:szCs w:val="20"/>
          <w:lang w:val="pt-BR"/>
        </w:rPr>
        <w:t>de compet</w:t>
      </w:r>
      <w:r w:rsidRPr="006D1C74">
        <w:rPr>
          <w:rFonts w:asciiTheme="majorHAnsi" w:eastAsia="Times New Roman" w:hAnsiTheme="majorHAnsi"/>
          <w:sz w:val="20"/>
          <w:szCs w:val="20"/>
          <w:lang w:val="pt-BR"/>
        </w:rPr>
        <w:t>ê</w:t>
      </w:r>
      <w:r w:rsidR="002649F0" w:rsidRPr="006D1C74">
        <w:rPr>
          <w:rFonts w:asciiTheme="majorHAnsi" w:eastAsia="Times New Roman" w:hAnsiTheme="majorHAnsi"/>
          <w:sz w:val="20"/>
          <w:szCs w:val="20"/>
          <w:lang w:val="pt-BR"/>
        </w:rPr>
        <w:t>ncia</w:t>
      </w:r>
      <w:r w:rsidR="00030019" w:rsidRPr="006D1C74">
        <w:rPr>
          <w:rFonts w:asciiTheme="majorHAnsi" w:eastAsia="Times New Roman" w:hAnsiTheme="majorHAnsi"/>
          <w:sz w:val="20"/>
          <w:szCs w:val="20"/>
          <w:lang w:val="pt-BR"/>
        </w:rPr>
        <w:t xml:space="preserve"> do </w:t>
      </w:r>
      <w:r w:rsidR="002649F0" w:rsidRPr="006D1C74">
        <w:rPr>
          <w:rFonts w:asciiTheme="majorHAnsi" w:eastAsia="Times New Roman" w:hAnsiTheme="majorHAnsi"/>
          <w:sz w:val="20"/>
          <w:szCs w:val="20"/>
          <w:lang w:val="pt-BR"/>
        </w:rPr>
        <w:t>tribunal</w:t>
      </w:r>
      <w:r w:rsidR="00030019" w:rsidRPr="006D1C74">
        <w:rPr>
          <w:rFonts w:asciiTheme="majorHAnsi" w:eastAsia="Times New Roman" w:hAnsiTheme="majorHAnsi"/>
          <w:sz w:val="20"/>
          <w:szCs w:val="20"/>
          <w:lang w:val="pt-BR"/>
        </w:rPr>
        <w:t xml:space="preserve"> do </w:t>
      </w:r>
      <w:r w:rsidR="002649F0" w:rsidRPr="006D1C74">
        <w:rPr>
          <w:rFonts w:asciiTheme="majorHAnsi" w:eastAsia="Times New Roman" w:hAnsiTheme="majorHAnsi"/>
          <w:sz w:val="20"/>
          <w:szCs w:val="20"/>
          <w:lang w:val="pt-BR"/>
        </w:rPr>
        <w:t>j</w:t>
      </w:r>
      <w:r w:rsidRPr="006D1C74">
        <w:rPr>
          <w:rFonts w:asciiTheme="majorHAnsi" w:eastAsia="Times New Roman" w:hAnsiTheme="majorHAnsi"/>
          <w:sz w:val="20"/>
          <w:szCs w:val="20"/>
          <w:lang w:val="pt-BR"/>
        </w:rPr>
        <w:t>úri</w:t>
      </w:r>
      <w:r w:rsidR="00CF037E" w:rsidRPr="006D1C74">
        <w:rPr>
          <w:rFonts w:asciiTheme="majorHAnsi" w:eastAsia="Times New Roman" w:hAnsiTheme="majorHAnsi"/>
          <w:sz w:val="20"/>
          <w:szCs w:val="20"/>
          <w:lang w:val="pt-BR"/>
        </w:rPr>
        <w:t xml:space="preserve"> e</w:t>
      </w:r>
      <w:r w:rsidR="00F673C7" w:rsidRPr="006D1C74">
        <w:rPr>
          <w:rFonts w:asciiTheme="majorHAnsi" w:eastAsia="Times New Roman" w:hAnsiTheme="majorHAnsi"/>
          <w:sz w:val="20"/>
          <w:szCs w:val="20"/>
          <w:lang w:val="pt-BR"/>
        </w:rPr>
        <w:t xml:space="preserve"> não </w:t>
      </w:r>
      <w:r w:rsidR="00795010" w:rsidRPr="006D1C74">
        <w:rPr>
          <w:rFonts w:asciiTheme="majorHAnsi" w:eastAsia="Times New Roman" w:hAnsiTheme="majorHAnsi"/>
          <w:sz w:val="20"/>
          <w:szCs w:val="20"/>
          <w:lang w:val="pt-BR"/>
        </w:rPr>
        <w:t>da justiça</w:t>
      </w:r>
      <w:r w:rsidR="002649F0" w:rsidRPr="006D1C74">
        <w:rPr>
          <w:rFonts w:asciiTheme="majorHAnsi" w:eastAsia="Times New Roman" w:hAnsiTheme="majorHAnsi"/>
          <w:sz w:val="20"/>
          <w:szCs w:val="20"/>
          <w:lang w:val="pt-BR"/>
        </w:rPr>
        <w:t xml:space="preserve"> militar</w:t>
      </w:r>
      <w:r w:rsidR="00CF037E" w:rsidRPr="006D1C74">
        <w:rPr>
          <w:rFonts w:asciiTheme="majorHAnsi" w:eastAsia="Times New Roman" w:hAnsiTheme="majorHAnsi"/>
          <w:sz w:val="20"/>
          <w:szCs w:val="20"/>
          <w:lang w:val="pt-BR"/>
        </w:rPr>
        <w:t xml:space="preserve"> e </w:t>
      </w:r>
      <w:r w:rsidR="002649F0" w:rsidRPr="006D1C74">
        <w:rPr>
          <w:rFonts w:asciiTheme="majorHAnsi" w:eastAsia="Times New Roman" w:hAnsiTheme="majorHAnsi"/>
          <w:sz w:val="20"/>
          <w:szCs w:val="20"/>
          <w:lang w:val="pt-BR"/>
        </w:rPr>
        <w:t>que</w:t>
      </w:r>
      <w:r w:rsidR="00F673C7" w:rsidRPr="006D1C74">
        <w:rPr>
          <w:rFonts w:asciiTheme="majorHAnsi" w:eastAsia="Times New Roman" w:hAnsiTheme="majorHAnsi"/>
          <w:sz w:val="20"/>
          <w:szCs w:val="20"/>
          <w:lang w:val="pt-BR"/>
        </w:rPr>
        <w:t xml:space="preserve"> em </w:t>
      </w:r>
      <w:r w:rsidR="002649F0" w:rsidRPr="006D1C74">
        <w:rPr>
          <w:rFonts w:asciiTheme="majorHAnsi" w:eastAsia="Times New Roman" w:hAnsiTheme="majorHAnsi"/>
          <w:sz w:val="20"/>
          <w:szCs w:val="20"/>
          <w:lang w:val="pt-BR"/>
        </w:rPr>
        <w:t xml:space="preserve">2004, </w:t>
      </w:r>
      <w:r w:rsidRPr="006D1C74">
        <w:rPr>
          <w:rFonts w:asciiTheme="majorHAnsi" w:eastAsia="Times New Roman" w:hAnsiTheme="majorHAnsi"/>
          <w:sz w:val="20"/>
          <w:szCs w:val="20"/>
          <w:lang w:val="pt-BR"/>
        </w:rPr>
        <w:t>em decorrência</w:t>
      </w:r>
      <w:r w:rsidR="00795010" w:rsidRPr="006D1C74">
        <w:rPr>
          <w:rFonts w:asciiTheme="majorHAnsi" w:eastAsia="Times New Roman" w:hAnsiTheme="majorHAnsi"/>
          <w:sz w:val="20"/>
          <w:szCs w:val="20"/>
          <w:lang w:val="pt-BR"/>
        </w:rPr>
        <w:t xml:space="preserve"> da </w:t>
      </w:r>
      <w:r w:rsidR="002649F0" w:rsidRPr="006D1C74">
        <w:rPr>
          <w:rFonts w:asciiTheme="majorHAnsi" w:eastAsia="Times New Roman" w:hAnsiTheme="majorHAnsi"/>
          <w:sz w:val="20"/>
          <w:szCs w:val="20"/>
          <w:lang w:val="pt-BR"/>
        </w:rPr>
        <w:t>Emenda Constitucional 45,</w:t>
      </w:r>
      <w:r w:rsidR="00700267" w:rsidRPr="006D1C74">
        <w:rPr>
          <w:rFonts w:asciiTheme="majorHAnsi" w:eastAsia="Times New Roman" w:hAnsiTheme="majorHAnsi"/>
          <w:sz w:val="20"/>
          <w:szCs w:val="20"/>
          <w:lang w:val="pt-BR"/>
        </w:rPr>
        <w:t xml:space="preserve"> os </w:t>
      </w:r>
      <w:r w:rsidRPr="006D1C74">
        <w:rPr>
          <w:rFonts w:asciiTheme="majorHAnsi" w:eastAsia="Times New Roman" w:hAnsiTheme="majorHAnsi"/>
          <w:sz w:val="20"/>
          <w:szCs w:val="20"/>
          <w:lang w:val="pt-BR"/>
        </w:rPr>
        <w:t>crimes</w:t>
      </w:r>
      <w:r w:rsidR="002649F0" w:rsidRPr="006D1C74">
        <w:rPr>
          <w:rFonts w:asciiTheme="majorHAnsi" w:eastAsia="Times New Roman" w:hAnsiTheme="majorHAnsi"/>
          <w:sz w:val="20"/>
          <w:szCs w:val="20"/>
          <w:lang w:val="pt-BR"/>
        </w:rPr>
        <w:t xml:space="preserve"> cometidos por agentes</w:t>
      </w:r>
      <w:r w:rsidR="00795010" w:rsidRPr="006D1C74">
        <w:rPr>
          <w:rFonts w:asciiTheme="majorHAnsi" w:eastAsia="Times New Roman" w:hAnsiTheme="majorHAnsi"/>
          <w:sz w:val="20"/>
          <w:szCs w:val="20"/>
          <w:lang w:val="pt-BR"/>
        </w:rPr>
        <w:t xml:space="preserve"> da </w:t>
      </w:r>
      <w:r w:rsidR="00F37852" w:rsidRPr="006D1C74">
        <w:rPr>
          <w:rFonts w:asciiTheme="majorHAnsi" w:eastAsia="Times New Roman" w:hAnsiTheme="majorHAnsi"/>
          <w:sz w:val="20"/>
          <w:szCs w:val="20"/>
          <w:lang w:val="pt-BR"/>
        </w:rPr>
        <w:t>polícia</w:t>
      </w:r>
      <w:r w:rsidR="002649F0" w:rsidRPr="006D1C74">
        <w:rPr>
          <w:rFonts w:asciiTheme="majorHAnsi" w:eastAsia="Times New Roman" w:hAnsiTheme="majorHAnsi"/>
          <w:sz w:val="20"/>
          <w:szCs w:val="20"/>
          <w:lang w:val="pt-BR"/>
        </w:rPr>
        <w:t xml:space="preserve"> militar contra civis de</w:t>
      </w:r>
      <w:r w:rsidRPr="006D1C74">
        <w:rPr>
          <w:rFonts w:asciiTheme="majorHAnsi" w:eastAsia="Times New Roman" w:hAnsiTheme="majorHAnsi"/>
          <w:sz w:val="20"/>
          <w:szCs w:val="20"/>
          <w:lang w:val="pt-BR"/>
        </w:rPr>
        <w:t>ixaram</w:t>
      </w:r>
      <w:r w:rsidR="002649F0" w:rsidRPr="006D1C74">
        <w:rPr>
          <w:rFonts w:asciiTheme="majorHAnsi" w:eastAsia="Times New Roman" w:hAnsiTheme="majorHAnsi"/>
          <w:sz w:val="20"/>
          <w:szCs w:val="20"/>
          <w:lang w:val="pt-BR"/>
        </w:rPr>
        <w:t xml:space="preserve"> de ser ju</w:t>
      </w:r>
      <w:r w:rsidRPr="006D1C74">
        <w:rPr>
          <w:rFonts w:asciiTheme="majorHAnsi" w:eastAsia="Times New Roman" w:hAnsiTheme="majorHAnsi"/>
          <w:sz w:val="20"/>
          <w:szCs w:val="20"/>
          <w:lang w:val="pt-BR"/>
        </w:rPr>
        <w:t>l</w:t>
      </w:r>
      <w:r w:rsidR="002649F0" w:rsidRPr="006D1C74">
        <w:rPr>
          <w:rFonts w:asciiTheme="majorHAnsi" w:eastAsia="Times New Roman" w:hAnsiTheme="majorHAnsi"/>
          <w:sz w:val="20"/>
          <w:szCs w:val="20"/>
          <w:lang w:val="pt-BR"/>
        </w:rPr>
        <w:t>gados</w:t>
      </w:r>
      <w:r w:rsidR="00BD3AB3" w:rsidRPr="006D1C74">
        <w:rPr>
          <w:rFonts w:asciiTheme="majorHAnsi" w:eastAsia="Times New Roman" w:hAnsiTheme="majorHAnsi"/>
          <w:sz w:val="20"/>
          <w:szCs w:val="20"/>
          <w:lang w:val="pt-BR"/>
        </w:rPr>
        <w:t xml:space="preserve"> pelos </w:t>
      </w:r>
      <w:r w:rsidR="002649F0" w:rsidRPr="006D1C74">
        <w:rPr>
          <w:rFonts w:asciiTheme="majorHAnsi" w:eastAsia="Times New Roman" w:hAnsiTheme="majorHAnsi"/>
          <w:sz w:val="20"/>
          <w:szCs w:val="20"/>
          <w:lang w:val="pt-BR"/>
        </w:rPr>
        <w:t>conse</w:t>
      </w:r>
      <w:r w:rsidRPr="006D1C74">
        <w:rPr>
          <w:rFonts w:asciiTheme="majorHAnsi" w:eastAsia="Times New Roman" w:hAnsiTheme="majorHAnsi"/>
          <w:sz w:val="20"/>
          <w:szCs w:val="20"/>
          <w:lang w:val="pt-BR"/>
        </w:rPr>
        <w:t>lh</w:t>
      </w:r>
      <w:r w:rsidR="002649F0" w:rsidRPr="006D1C74">
        <w:rPr>
          <w:rFonts w:asciiTheme="majorHAnsi" w:eastAsia="Times New Roman" w:hAnsiTheme="majorHAnsi"/>
          <w:sz w:val="20"/>
          <w:szCs w:val="20"/>
          <w:lang w:val="pt-BR"/>
        </w:rPr>
        <w:t xml:space="preserve">os de </w:t>
      </w:r>
      <w:r w:rsidR="00795010" w:rsidRPr="006D1C74">
        <w:rPr>
          <w:rFonts w:asciiTheme="majorHAnsi" w:eastAsia="Times New Roman" w:hAnsiTheme="majorHAnsi"/>
          <w:sz w:val="20"/>
          <w:szCs w:val="20"/>
          <w:lang w:val="pt-BR"/>
        </w:rPr>
        <w:t>justiça</w:t>
      </w:r>
      <w:r w:rsidR="00CF037E" w:rsidRPr="006D1C74">
        <w:rPr>
          <w:rFonts w:asciiTheme="majorHAnsi" w:eastAsia="Times New Roman" w:hAnsiTheme="majorHAnsi"/>
          <w:sz w:val="20"/>
          <w:szCs w:val="20"/>
          <w:lang w:val="pt-BR"/>
        </w:rPr>
        <w:t xml:space="preserve"> e </w:t>
      </w:r>
      <w:r w:rsidR="002649F0" w:rsidRPr="006D1C74">
        <w:rPr>
          <w:rFonts w:asciiTheme="majorHAnsi" w:eastAsia="Times New Roman" w:hAnsiTheme="majorHAnsi"/>
          <w:sz w:val="20"/>
          <w:szCs w:val="20"/>
          <w:lang w:val="pt-BR"/>
        </w:rPr>
        <w:t>pa</w:t>
      </w:r>
      <w:r w:rsidRPr="006D1C74">
        <w:rPr>
          <w:rFonts w:asciiTheme="majorHAnsi" w:eastAsia="Times New Roman" w:hAnsiTheme="majorHAnsi"/>
          <w:sz w:val="20"/>
          <w:szCs w:val="20"/>
          <w:lang w:val="pt-BR"/>
        </w:rPr>
        <w:t>s</w:t>
      </w:r>
      <w:r w:rsidR="002649F0" w:rsidRPr="006D1C74">
        <w:rPr>
          <w:rFonts w:asciiTheme="majorHAnsi" w:eastAsia="Times New Roman" w:hAnsiTheme="majorHAnsi"/>
          <w:sz w:val="20"/>
          <w:szCs w:val="20"/>
          <w:lang w:val="pt-BR"/>
        </w:rPr>
        <w:t>sar</w:t>
      </w:r>
      <w:r w:rsidRPr="006D1C74">
        <w:rPr>
          <w:rFonts w:asciiTheme="majorHAnsi" w:eastAsia="Times New Roman" w:hAnsiTheme="majorHAnsi"/>
          <w:sz w:val="20"/>
          <w:szCs w:val="20"/>
          <w:lang w:val="pt-BR"/>
        </w:rPr>
        <w:t>am</w:t>
      </w:r>
      <w:r w:rsidR="00217759" w:rsidRPr="006D1C74">
        <w:rPr>
          <w:rFonts w:asciiTheme="majorHAnsi" w:eastAsia="Times New Roman" w:hAnsiTheme="majorHAnsi"/>
          <w:sz w:val="20"/>
          <w:szCs w:val="20"/>
          <w:lang w:val="pt-BR"/>
        </w:rPr>
        <w:t xml:space="preserve"> ao </w:t>
      </w:r>
      <w:r w:rsidRPr="006D1C74">
        <w:rPr>
          <w:rFonts w:asciiTheme="majorHAnsi" w:eastAsia="Times New Roman" w:hAnsiTheme="majorHAnsi"/>
          <w:sz w:val="20"/>
          <w:szCs w:val="20"/>
          <w:lang w:val="pt-BR"/>
        </w:rPr>
        <w:t>â</w:t>
      </w:r>
      <w:r w:rsidR="002649F0" w:rsidRPr="006D1C74">
        <w:rPr>
          <w:rFonts w:asciiTheme="majorHAnsi" w:eastAsia="Times New Roman" w:hAnsiTheme="majorHAnsi"/>
          <w:sz w:val="20"/>
          <w:szCs w:val="20"/>
          <w:lang w:val="pt-BR"/>
        </w:rPr>
        <w:t>mbito de compet</w:t>
      </w:r>
      <w:r w:rsidRPr="006D1C74">
        <w:rPr>
          <w:rFonts w:asciiTheme="majorHAnsi" w:eastAsia="Times New Roman" w:hAnsiTheme="majorHAnsi"/>
          <w:sz w:val="20"/>
          <w:szCs w:val="20"/>
          <w:lang w:val="pt-BR"/>
        </w:rPr>
        <w:t>ê</w:t>
      </w:r>
      <w:r w:rsidR="002649F0" w:rsidRPr="006D1C74">
        <w:rPr>
          <w:rFonts w:asciiTheme="majorHAnsi" w:eastAsia="Times New Roman" w:hAnsiTheme="majorHAnsi"/>
          <w:sz w:val="20"/>
          <w:szCs w:val="20"/>
          <w:lang w:val="pt-BR"/>
        </w:rPr>
        <w:t>ncia</w:t>
      </w:r>
      <w:r w:rsidR="00030019" w:rsidRPr="006D1C74">
        <w:rPr>
          <w:rFonts w:asciiTheme="majorHAnsi" w:eastAsia="Times New Roman" w:hAnsiTheme="majorHAnsi"/>
          <w:sz w:val="20"/>
          <w:szCs w:val="20"/>
          <w:lang w:val="pt-BR"/>
        </w:rPr>
        <w:t xml:space="preserve"> do </w:t>
      </w:r>
      <w:r w:rsidR="008617AD" w:rsidRPr="006D1C74">
        <w:rPr>
          <w:rFonts w:asciiTheme="majorHAnsi" w:eastAsia="Times New Roman" w:hAnsiTheme="majorHAnsi"/>
          <w:sz w:val="20"/>
          <w:szCs w:val="20"/>
          <w:lang w:val="pt-BR"/>
        </w:rPr>
        <w:t>juiz</w:t>
      </w:r>
      <w:r w:rsidR="00795010" w:rsidRPr="006D1C74">
        <w:rPr>
          <w:rFonts w:asciiTheme="majorHAnsi" w:eastAsia="Times New Roman" w:hAnsiTheme="majorHAnsi"/>
          <w:sz w:val="20"/>
          <w:szCs w:val="20"/>
          <w:lang w:val="pt-BR"/>
        </w:rPr>
        <w:t xml:space="preserve"> da justiça</w:t>
      </w:r>
      <w:r w:rsidR="002649F0" w:rsidRPr="006D1C74">
        <w:rPr>
          <w:rFonts w:asciiTheme="majorHAnsi" w:eastAsia="Times New Roman" w:hAnsiTheme="majorHAnsi"/>
          <w:sz w:val="20"/>
          <w:szCs w:val="20"/>
          <w:lang w:val="pt-BR"/>
        </w:rPr>
        <w:t xml:space="preserve"> militar. </w:t>
      </w:r>
      <w:r w:rsidRPr="006D1C74">
        <w:rPr>
          <w:rFonts w:asciiTheme="majorHAnsi" w:eastAsia="Times New Roman" w:hAnsiTheme="majorHAnsi"/>
          <w:sz w:val="20"/>
          <w:szCs w:val="20"/>
          <w:lang w:val="pt-BR"/>
        </w:rPr>
        <w:t>Es</w:t>
      </w:r>
      <w:r w:rsidR="002649F0" w:rsidRPr="006D1C74">
        <w:rPr>
          <w:rFonts w:asciiTheme="majorHAnsi" w:eastAsia="Times New Roman" w:hAnsiTheme="majorHAnsi"/>
          <w:sz w:val="20"/>
          <w:szCs w:val="20"/>
          <w:lang w:val="pt-BR"/>
        </w:rPr>
        <w:t>clar</w:t>
      </w:r>
      <w:r w:rsidRPr="006D1C74">
        <w:rPr>
          <w:rFonts w:asciiTheme="majorHAnsi" w:eastAsia="Times New Roman" w:hAnsiTheme="majorHAnsi"/>
          <w:sz w:val="20"/>
          <w:szCs w:val="20"/>
          <w:lang w:val="pt-BR"/>
        </w:rPr>
        <w:t>ece</w:t>
      </w:r>
      <w:r w:rsidR="002649F0" w:rsidRPr="006D1C74">
        <w:rPr>
          <w:rFonts w:asciiTheme="majorHAnsi" w:eastAsia="Times New Roman" w:hAnsiTheme="majorHAnsi"/>
          <w:sz w:val="20"/>
          <w:szCs w:val="20"/>
          <w:lang w:val="pt-BR"/>
        </w:rPr>
        <w:t xml:space="preserve"> que este </w:t>
      </w:r>
      <w:r w:rsidR="008617AD" w:rsidRPr="006D1C74">
        <w:rPr>
          <w:rFonts w:asciiTheme="majorHAnsi" w:eastAsia="Times New Roman" w:hAnsiTheme="majorHAnsi"/>
          <w:sz w:val="20"/>
          <w:szCs w:val="20"/>
          <w:lang w:val="pt-BR"/>
        </w:rPr>
        <w:t>juiz</w:t>
      </w:r>
      <w:r w:rsidR="002649F0" w:rsidRPr="006D1C74">
        <w:rPr>
          <w:rFonts w:asciiTheme="majorHAnsi" w:eastAsia="Times New Roman" w:hAnsiTheme="majorHAnsi"/>
          <w:sz w:val="20"/>
          <w:szCs w:val="20"/>
          <w:lang w:val="pt-BR"/>
        </w:rPr>
        <w:t xml:space="preserve"> t</w:t>
      </w:r>
      <w:r w:rsidRPr="006D1C74">
        <w:rPr>
          <w:rFonts w:asciiTheme="majorHAnsi" w:eastAsia="Times New Roman" w:hAnsiTheme="majorHAnsi"/>
          <w:sz w:val="20"/>
          <w:szCs w:val="20"/>
          <w:lang w:val="pt-BR"/>
        </w:rPr>
        <w:t>em</w:t>
      </w:r>
      <w:r w:rsidR="00030019" w:rsidRPr="006D1C74">
        <w:rPr>
          <w:rFonts w:asciiTheme="majorHAnsi" w:eastAsia="Times New Roman" w:hAnsiTheme="majorHAnsi"/>
          <w:sz w:val="20"/>
          <w:szCs w:val="20"/>
          <w:lang w:val="pt-BR"/>
        </w:rPr>
        <w:t xml:space="preserve"> um </w:t>
      </w:r>
      <w:r w:rsidR="002649F0" w:rsidRPr="006D1C74">
        <w:rPr>
          <w:rFonts w:asciiTheme="majorHAnsi" w:eastAsia="Times New Roman" w:hAnsiTheme="majorHAnsi"/>
          <w:sz w:val="20"/>
          <w:szCs w:val="20"/>
          <w:lang w:val="pt-BR"/>
        </w:rPr>
        <w:t xml:space="preserve">título de </w:t>
      </w:r>
      <w:r w:rsidRPr="006D1C74">
        <w:rPr>
          <w:rFonts w:asciiTheme="majorHAnsi" w:eastAsia="Times New Roman" w:hAnsiTheme="majorHAnsi"/>
          <w:sz w:val="20"/>
          <w:szCs w:val="20"/>
          <w:lang w:val="pt-BR"/>
        </w:rPr>
        <w:t>bacharel</w:t>
      </w:r>
      <w:r w:rsidR="00F673C7" w:rsidRPr="006D1C74">
        <w:rPr>
          <w:rFonts w:asciiTheme="majorHAnsi" w:eastAsia="Times New Roman" w:hAnsiTheme="majorHAnsi"/>
          <w:sz w:val="20"/>
          <w:szCs w:val="20"/>
          <w:lang w:val="pt-BR"/>
        </w:rPr>
        <w:t xml:space="preserve"> em </w:t>
      </w:r>
      <w:r w:rsidR="00417BE8" w:rsidRPr="006D1C74">
        <w:rPr>
          <w:rFonts w:asciiTheme="majorHAnsi" w:eastAsia="Times New Roman" w:hAnsiTheme="majorHAnsi"/>
          <w:sz w:val="20"/>
          <w:szCs w:val="20"/>
          <w:lang w:val="pt-BR"/>
        </w:rPr>
        <w:t>direito</w:t>
      </w:r>
      <w:r w:rsidR="002649F0" w:rsidRPr="006D1C74">
        <w:rPr>
          <w:rFonts w:asciiTheme="majorHAnsi" w:eastAsia="Times New Roman" w:hAnsiTheme="majorHAnsi"/>
          <w:sz w:val="20"/>
          <w:szCs w:val="20"/>
          <w:lang w:val="pt-BR"/>
        </w:rPr>
        <w:t xml:space="preserve"> e ingre</w:t>
      </w:r>
      <w:r w:rsidRPr="006D1C74">
        <w:rPr>
          <w:rFonts w:asciiTheme="majorHAnsi" w:eastAsia="Times New Roman" w:hAnsiTheme="majorHAnsi"/>
          <w:sz w:val="20"/>
          <w:szCs w:val="20"/>
          <w:lang w:val="pt-BR"/>
        </w:rPr>
        <w:t>s</w:t>
      </w:r>
      <w:r w:rsidR="002649F0" w:rsidRPr="006D1C74">
        <w:rPr>
          <w:rFonts w:asciiTheme="majorHAnsi" w:eastAsia="Times New Roman" w:hAnsiTheme="majorHAnsi"/>
          <w:sz w:val="20"/>
          <w:szCs w:val="20"/>
          <w:lang w:val="pt-BR"/>
        </w:rPr>
        <w:t>sa</w:t>
      </w:r>
      <w:r w:rsidR="00F673C7" w:rsidRPr="006D1C74">
        <w:rPr>
          <w:rFonts w:asciiTheme="majorHAnsi" w:eastAsia="Times New Roman" w:hAnsiTheme="majorHAnsi"/>
          <w:sz w:val="20"/>
          <w:szCs w:val="20"/>
          <w:lang w:val="pt-BR"/>
        </w:rPr>
        <w:t xml:space="preserve"> na </w:t>
      </w:r>
      <w:r w:rsidR="002649F0" w:rsidRPr="006D1C74">
        <w:rPr>
          <w:rFonts w:asciiTheme="majorHAnsi" w:eastAsia="Times New Roman" w:hAnsiTheme="majorHAnsi"/>
          <w:sz w:val="20"/>
          <w:szCs w:val="20"/>
          <w:lang w:val="pt-BR"/>
        </w:rPr>
        <w:t>carre</w:t>
      </w:r>
      <w:r w:rsidRPr="006D1C74">
        <w:rPr>
          <w:rFonts w:asciiTheme="majorHAnsi" w:eastAsia="Times New Roman" w:hAnsiTheme="majorHAnsi"/>
          <w:sz w:val="20"/>
          <w:szCs w:val="20"/>
          <w:lang w:val="pt-BR"/>
        </w:rPr>
        <w:t>i</w:t>
      </w:r>
      <w:r w:rsidR="002649F0" w:rsidRPr="006D1C74">
        <w:rPr>
          <w:rFonts w:asciiTheme="majorHAnsi" w:eastAsia="Times New Roman" w:hAnsiTheme="majorHAnsi"/>
          <w:sz w:val="20"/>
          <w:szCs w:val="20"/>
          <w:lang w:val="pt-BR"/>
        </w:rPr>
        <w:t xml:space="preserve">ra por concurso público. Portanto, </w:t>
      </w:r>
      <w:r w:rsidRPr="006D1C74">
        <w:rPr>
          <w:rFonts w:asciiTheme="majorHAnsi" w:eastAsia="Times New Roman" w:hAnsiTheme="majorHAnsi"/>
          <w:sz w:val="20"/>
          <w:szCs w:val="20"/>
          <w:lang w:val="pt-BR"/>
        </w:rPr>
        <w:t>q</w:t>
      </w:r>
      <w:r w:rsidR="002649F0" w:rsidRPr="006D1C74">
        <w:rPr>
          <w:rFonts w:asciiTheme="majorHAnsi" w:eastAsia="Times New Roman" w:hAnsiTheme="majorHAnsi"/>
          <w:sz w:val="20"/>
          <w:szCs w:val="20"/>
          <w:lang w:val="pt-BR"/>
        </w:rPr>
        <w:t>uando se trata de</w:t>
      </w:r>
      <w:r w:rsidR="00030019" w:rsidRPr="006D1C74">
        <w:rPr>
          <w:rFonts w:asciiTheme="majorHAnsi" w:eastAsia="Times New Roman" w:hAnsiTheme="majorHAnsi"/>
          <w:sz w:val="20"/>
          <w:szCs w:val="20"/>
          <w:lang w:val="pt-BR"/>
        </w:rPr>
        <w:t xml:space="preserve"> uma </w:t>
      </w:r>
      <w:r w:rsidR="00795010" w:rsidRPr="006D1C74">
        <w:rPr>
          <w:rFonts w:asciiTheme="majorHAnsi" w:eastAsia="Times New Roman" w:hAnsiTheme="majorHAnsi"/>
          <w:sz w:val="20"/>
          <w:szCs w:val="20"/>
          <w:lang w:val="pt-BR"/>
        </w:rPr>
        <w:t>vítima</w:t>
      </w:r>
      <w:r w:rsidR="002649F0" w:rsidRPr="006D1C74">
        <w:rPr>
          <w:rFonts w:asciiTheme="majorHAnsi" w:eastAsia="Times New Roman" w:hAnsiTheme="majorHAnsi"/>
          <w:sz w:val="20"/>
          <w:szCs w:val="20"/>
          <w:lang w:val="pt-BR"/>
        </w:rPr>
        <w:t xml:space="preserve"> civil,</w:t>
      </w:r>
      <w:r w:rsidR="00F673C7" w:rsidRPr="006D1C74">
        <w:rPr>
          <w:rFonts w:asciiTheme="majorHAnsi" w:eastAsia="Times New Roman" w:hAnsiTheme="majorHAnsi"/>
          <w:sz w:val="20"/>
          <w:szCs w:val="20"/>
          <w:lang w:val="pt-BR"/>
        </w:rPr>
        <w:t xml:space="preserve"> não </w:t>
      </w:r>
      <w:r w:rsidR="002649F0" w:rsidRPr="006D1C74">
        <w:rPr>
          <w:rFonts w:asciiTheme="majorHAnsi" w:eastAsia="Times New Roman" w:hAnsiTheme="majorHAnsi"/>
          <w:sz w:val="20"/>
          <w:szCs w:val="20"/>
          <w:lang w:val="pt-BR"/>
        </w:rPr>
        <w:t>participa</w:t>
      </w:r>
      <w:r w:rsidRPr="006D1C74">
        <w:rPr>
          <w:rFonts w:asciiTheme="majorHAnsi" w:eastAsia="Times New Roman" w:hAnsiTheme="majorHAnsi"/>
          <w:sz w:val="20"/>
          <w:szCs w:val="20"/>
          <w:lang w:val="pt-BR"/>
        </w:rPr>
        <w:t>m</w:t>
      </w:r>
      <w:r w:rsidR="002649F0" w:rsidRPr="006D1C74">
        <w:rPr>
          <w:rFonts w:asciiTheme="majorHAnsi" w:eastAsia="Times New Roman" w:hAnsiTheme="majorHAnsi"/>
          <w:sz w:val="20"/>
          <w:szCs w:val="20"/>
          <w:lang w:val="pt-BR"/>
        </w:rPr>
        <w:t xml:space="preserve"> militares</w:t>
      </w:r>
      <w:r w:rsidR="00FC2F62" w:rsidRPr="006D1C74">
        <w:rPr>
          <w:rFonts w:asciiTheme="majorHAnsi" w:eastAsia="Times New Roman" w:hAnsiTheme="majorHAnsi"/>
          <w:sz w:val="20"/>
          <w:szCs w:val="20"/>
          <w:lang w:val="pt-BR"/>
        </w:rPr>
        <w:t xml:space="preserve"> no </w:t>
      </w:r>
      <w:r w:rsidR="002649F0" w:rsidRPr="006D1C74">
        <w:rPr>
          <w:rFonts w:asciiTheme="majorHAnsi" w:eastAsia="Times New Roman" w:hAnsiTheme="majorHAnsi"/>
          <w:sz w:val="20"/>
          <w:szCs w:val="20"/>
          <w:lang w:val="pt-BR"/>
        </w:rPr>
        <w:t>ju</w:t>
      </w:r>
      <w:r w:rsidRPr="006D1C74">
        <w:rPr>
          <w:rFonts w:asciiTheme="majorHAnsi" w:eastAsia="Times New Roman" w:hAnsiTheme="majorHAnsi"/>
          <w:sz w:val="20"/>
          <w:szCs w:val="20"/>
          <w:lang w:val="pt-BR"/>
        </w:rPr>
        <w:t>lgament</w:t>
      </w:r>
      <w:r w:rsidR="002649F0" w:rsidRPr="006D1C74">
        <w:rPr>
          <w:rFonts w:asciiTheme="majorHAnsi" w:eastAsia="Times New Roman" w:hAnsiTheme="majorHAnsi"/>
          <w:sz w:val="20"/>
          <w:szCs w:val="20"/>
          <w:lang w:val="pt-BR"/>
        </w:rPr>
        <w:t>o. A</w:t>
      </w:r>
      <w:r w:rsidRPr="006D1C74">
        <w:rPr>
          <w:rFonts w:asciiTheme="majorHAnsi" w:eastAsia="Times New Roman" w:hAnsiTheme="majorHAnsi"/>
          <w:sz w:val="20"/>
          <w:szCs w:val="20"/>
          <w:lang w:val="pt-BR"/>
        </w:rPr>
        <w:t>lém disso</w:t>
      </w:r>
      <w:r w:rsidR="002649F0" w:rsidRPr="006D1C74">
        <w:rPr>
          <w:rFonts w:asciiTheme="majorHAnsi" w:eastAsia="Times New Roman" w:hAnsiTheme="majorHAnsi"/>
          <w:sz w:val="20"/>
          <w:szCs w:val="20"/>
          <w:lang w:val="pt-BR"/>
        </w:rPr>
        <w:t>,</w:t>
      </w:r>
      <w:r w:rsidR="00700267" w:rsidRPr="006D1C74">
        <w:rPr>
          <w:rFonts w:asciiTheme="majorHAnsi" w:eastAsia="Times New Roman" w:hAnsiTheme="majorHAnsi"/>
          <w:sz w:val="20"/>
          <w:szCs w:val="20"/>
          <w:lang w:val="pt-BR"/>
        </w:rPr>
        <w:t xml:space="preserve"> os </w:t>
      </w:r>
      <w:r w:rsidRPr="006D1C74">
        <w:rPr>
          <w:rFonts w:asciiTheme="majorHAnsi" w:eastAsia="Times New Roman" w:hAnsiTheme="majorHAnsi"/>
          <w:sz w:val="20"/>
          <w:szCs w:val="20"/>
          <w:lang w:val="pt-BR"/>
        </w:rPr>
        <w:t>crimes</w:t>
      </w:r>
      <w:r w:rsidR="002649F0" w:rsidRPr="006D1C74">
        <w:rPr>
          <w:rFonts w:asciiTheme="majorHAnsi" w:eastAsia="Times New Roman" w:hAnsiTheme="majorHAnsi"/>
          <w:sz w:val="20"/>
          <w:szCs w:val="20"/>
          <w:lang w:val="pt-BR"/>
        </w:rPr>
        <w:t xml:space="preserve"> de abuso de autori</w:t>
      </w:r>
      <w:r w:rsidR="00F673C7" w:rsidRPr="006D1C74">
        <w:rPr>
          <w:rFonts w:asciiTheme="majorHAnsi" w:eastAsia="Times New Roman" w:hAnsiTheme="majorHAnsi"/>
          <w:sz w:val="20"/>
          <w:szCs w:val="20"/>
          <w:lang w:val="pt-BR"/>
        </w:rPr>
        <w:t xml:space="preserve">dade </w:t>
      </w:r>
      <w:r w:rsidR="00CF037E" w:rsidRPr="006D1C74">
        <w:rPr>
          <w:rFonts w:asciiTheme="majorHAnsi" w:eastAsia="Times New Roman" w:hAnsiTheme="majorHAnsi"/>
          <w:sz w:val="20"/>
          <w:szCs w:val="20"/>
          <w:lang w:val="pt-BR"/>
        </w:rPr>
        <w:t xml:space="preserve">e </w:t>
      </w:r>
      <w:r w:rsidR="002649F0" w:rsidRPr="006D1C74">
        <w:rPr>
          <w:rFonts w:asciiTheme="majorHAnsi" w:eastAsia="Times New Roman" w:hAnsiTheme="majorHAnsi"/>
          <w:sz w:val="20"/>
          <w:szCs w:val="20"/>
          <w:lang w:val="pt-BR"/>
        </w:rPr>
        <w:t xml:space="preserve">de tortura, </w:t>
      </w:r>
      <w:r w:rsidRPr="006D1C74">
        <w:rPr>
          <w:rFonts w:asciiTheme="majorHAnsi" w:eastAsia="Times New Roman" w:hAnsiTheme="majorHAnsi"/>
          <w:sz w:val="20"/>
          <w:szCs w:val="20"/>
          <w:lang w:val="pt-BR"/>
        </w:rPr>
        <w:t>bem</w:t>
      </w:r>
      <w:r w:rsidR="002649F0" w:rsidRPr="006D1C74">
        <w:rPr>
          <w:rFonts w:asciiTheme="majorHAnsi" w:eastAsia="Times New Roman" w:hAnsiTheme="majorHAnsi"/>
          <w:sz w:val="20"/>
          <w:szCs w:val="20"/>
          <w:lang w:val="pt-BR"/>
        </w:rPr>
        <w:t xml:space="preserve"> como </w:t>
      </w:r>
      <w:r w:rsidR="002649F0" w:rsidRPr="006D1C74">
        <w:rPr>
          <w:rFonts w:asciiTheme="majorHAnsi" w:eastAsia="Times New Roman" w:hAnsiTheme="majorHAnsi"/>
          <w:sz w:val="20"/>
          <w:szCs w:val="20"/>
          <w:lang w:val="pt-BR"/>
        </w:rPr>
        <w:lastRenderedPageBreak/>
        <w:t>todos aquel</w:t>
      </w:r>
      <w:r w:rsidRPr="006D1C74">
        <w:rPr>
          <w:rFonts w:asciiTheme="majorHAnsi" w:eastAsia="Times New Roman" w:hAnsiTheme="majorHAnsi"/>
          <w:sz w:val="20"/>
          <w:szCs w:val="20"/>
          <w:lang w:val="pt-BR"/>
        </w:rPr>
        <w:t>e</w:t>
      </w:r>
      <w:r w:rsidR="002649F0" w:rsidRPr="006D1C74">
        <w:rPr>
          <w:rFonts w:asciiTheme="majorHAnsi" w:eastAsia="Times New Roman" w:hAnsiTheme="majorHAnsi"/>
          <w:sz w:val="20"/>
          <w:szCs w:val="20"/>
          <w:lang w:val="pt-BR"/>
        </w:rPr>
        <w:t>s para</w:t>
      </w:r>
      <w:r w:rsidR="00700267" w:rsidRPr="006D1C74">
        <w:rPr>
          <w:rFonts w:asciiTheme="majorHAnsi" w:eastAsia="Times New Roman" w:hAnsiTheme="majorHAnsi"/>
          <w:sz w:val="20"/>
          <w:szCs w:val="20"/>
          <w:lang w:val="pt-BR"/>
        </w:rPr>
        <w:t xml:space="preserve"> os </w:t>
      </w:r>
      <w:r w:rsidRPr="006D1C74">
        <w:rPr>
          <w:rFonts w:asciiTheme="majorHAnsi" w:eastAsia="Times New Roman" w:hAnsiTheme="majorHAnsi"/>
          <w:sz w:val="20"/>
          <w:szCs w:val="20"/>
          <w:lang w:val="pt-BR"/>
        </w:rPr>
        <w:t>q</w:t>
      </w:r>
      <w:r w:rsidR="002649F0" w:rsidRPr="006D1C74">
        <w:rPr>
          <w:rFonts w:asciiTheme="majorHAnsi" w:eastAsia="Times New Roman" w:hAnsiTheme="majorHAnsi"/>
          <w:sz w:val="20"/>
          <w:szCs w:val="20"/>
          <w:lang w:val="pt-BR"/>
        </w:rPr>
        <w:t>u</w:t>
      </w:r>
      <w:r w:rsidR="00700267" w:rsidRPr="006D1C74">
        <w:rPr>
          <w:rFonts w:asciiTheme="majorHAnsi" w:eastAsia="Times New Roman" w:hAnsiTheme="majorHAnsi"/>
          <w:sz w:val="20"/>
          <w:szCs w:val="20"/>
          <w:lang w:val="pt-BR"/>
        </w:rPr>
        <w:t>ais</w:t>
      </w:r>
      <w:r w:rsidR="00F673C7" w:rsidRPr="006D1C74">
        <w:rPr>
          <w:rFonts w:asciiTheme="majorHAnsi" w:eastAsia="Times New Roman" w:hAnsiTheme="majorHAnsi"/>
          <w:sz w:val="20"/>
          <w:szCs w:val="20"/>
          <w:lang w:val="pt-BR"/>
        </w:rPr>
        <w:t xml:space="preserve"> não </w:t>
      </w:r>
      <w:r w:rsidR="002649F0" w:rsidRPr="006D1C74">
        <w:rPr>
          <w:rFonts w:asciiTheme="majorHAnsi" w:eastAsia="Times New Roman" w:hAnsiTheme="majorHAnsi"/>
          <w:sz w:val="20"/>
          <w:szCs w:val="20"/>
          <w:lang w:val="pt-BR"/>
        </w:rPr>
        <w:t>h</w:t>
      </w:r>
      <w:r w:rsidRPr="006D1C74">
        <w:rPr>
          <w:rFonts w:asciiTheme="majorHAnsi" w:eastAsia="Times New Roman" w:hAnsiTheme="majorHAnsi"/>
          <w:sz w:val="20"/>
          <w:szCs w:val="20"/>
          <w:lang w:val="pt-BR"/>
        </w:rPr>
        <w:t>á</w:t>
      </w:r>
      <w:r w:rsidR="00030019" w:rsidRPr="006D1C74">
        <w:rPr>
          <w:rFonts w:asciiTheme="majorHAnsi" w:eastAsia="Times New Roman" w:hAnsiTheme="majorHAnsi"/>
          <w:sz w:val="20"/>
          <w:szCs w:val="20"/>
          <w:lang w:val="pt-BR"/>
        </w:rPr>
        <w:t xml:space="preserve"> uma </w:t>
      </w:r>
      <w:r w:rsidR="002649F0" w:rsidRPr="006D1C74">
        <w:rPr>
          <w:rFonts w:asciiTheme="majorHAnsi" w:eastAsia="Times New Roman" w:hAnsiTheme="majorHAnsi"/>
          <w:sz w:val="20"/>
          <w:szCs w:val="20"/>
          <w:lang w:val="pt-BR"/>
        </w:rPr>
        <w:t>figura correspondente</w:t>
      </w:r>
      <w:r w:rsidR="00FC2F62" w:rsidRPr="006D1C74">
        <w:rPr>
          <w:rFonts w:asciiTheme="majorHAnsi" w:eastAsia="Times New Roman" w:hAnsiTheme="majorHAnsi"/>
          <w:sz w:val="20"/>
          <w:szCs w:val="20"/>
          <w:lang w:val="pt-BR"/>
        </w:rPr>
        <w:t xml:space="preserve"> no </w:t>
      </w:r>
      <w:r w:rsidR="002649F0" w:rsidRPr="006D1C74">
        <w:rPr>
          <w:rFonts w:asciiTheme="majorHAnsi" w:eastAsia="Times New Roman" w:hAnsiTheme="majorHAnsi"/>
          <w:sz w:val="20"/>
          <w:szCs w:val="20"/>
          <w:lang w:val="pt-BR"/>
        </w:rPr>
        <w:t>Código Penal Militar,</w:t>
      </w:r>
      <w:r w:rsidR="00F37852" w:rsidRPr="006D1C74">
        <w:rPr>
          <w:rFonts w:asciiTheme="majorHAnsi" w:eastAsia="Times New Roman" w:hAnsiTheme="majorHAnsi"/>
          <w:sz w:val="20"/>
          <w:szCs w:val="20"/>
          <w:lang w:val="pt-BR"/>
        </w:rPr>
        <w:t xml:space="preserve"> são </w:t>
      </w:r>
      <w:r w:rsidR="002649F0" w:rsidRPr="006D1C74">
        <w:rPr>
          <w:rFonts w:asciiTheme="majorHAnsi" w:eastAsia="Times New Roman" w:hAnsiTheme="majorHAnsi"/>
          <w:sz w:val="20"/>
          <w:szCs w:val="20"/>
          <w:lang w:val="pt-BR"/>
        </w:rPr>
        <w:t>de compet</w:t>
      </w:r>
      <w:r w:rsidRPr="006D1C74">
        <w:rPr>
          <w:rFonts w:asciiTheme="majorHAnsi" w:eastAsia="Times New Roman" w:hAnsiTheme="majorHAnsi"/>
          <w:sz w:val="20"/>
          <w:szCs w:val="20"/>
          <w:lang w:val="pt-BR"/>
        </w:rPr>
        <w:t>ê</w:t>
      </w:r>
      <w:r w:rsidR="002649F0" w:rsidRPr="006D1C74">
        <w:rPr>
          <w:rFonts w:asciiTheme="majorHAnsi" w:eastAsia="Times New Roman" w:hAnsiTheme="majorHAnsi"/>
          <w:sz w:val="20"/>
          <w:szCs w:val="20"/>
          <w:lang w:val="pt-BR"/>
        </w:rPr>
        <w:t>ncia</w:t>
      </w:r>
      <w:r w:rsidR="00795010" w:rsidRPr="006D1C74">
        <w:rPr>
          <w:rFonts w:asciiTheme="majorHAnsi" w:eastAsia="Times New Roman" w:hAnsiTheme="majorHAnsi"/>
          <w:sz w:val="20"/>
          <w:szCs w:val="20"/>
          <w:lang w:val="pt-BR"/>
        </w:rPr>
        <w:t xml:space="preserve"> da justiça</w:t>
      </w:r>
      <w:r w:rsidR="002649F0" w:rsidRPr="006D1C74">
        <w:rPr>
          <w:rFonts w:asciiTheme="majorHAnsi" w:eastAsia="Times New Roman" w:hAnsiTheme="majorHAnsi"/>
          <w:sz w:val="20"/>
          <w:szCs w:val="20"/>
          <w:lang w:val="pt-BR"/>
        </w:rPr>
        <w:t xml:space="preserve"> com</w:t>
      </w:r>
      <w:r w:rsidRPr="006D1C74">
        <w:rPr>
          <w:rFonts w:asciiTheme="majorHAnsi" w:eastAsia="Times New Roman" w:hAnsiTheme="majorHAnsi"/>
          <w:sz w:val="20"/>
          <w:szCs w:val="20"/>
          <w:lang w:val="pt-BR"/>
        </w:rPr>
        <w:t>um</w:t>
      </w:r>
      <w:r w:rsidR="002649F0" w:rsidRPr="006D1C74">
        <w:rPr>
          <w:rFonts w:asciiTheme="majorHAnsi" w:eastAsia="Times New Roman" w:hAnsiTheme="majorHAnsi"/>
          <w:sz w:val="20"/>
          <w:szCs w:val="20"/>
          <w:lang w:val="pt-BR"/>
        </w:rPr>
        <w:t>.</w:t>
      </w:r>
    </w:p>
    <w:p w14:paraId="6F6D9771" w14:textId="77777777" w:rsidR="002649F0" w:rsidRPr="006D1C74" w:rsidRDefault="002649F0" w:rsidP="002649F0">
      <w:pPr>
        <w:ind w:left="720"/>
        <w:rPr>
          <w:rFonts w:asciiTheme="majorHAnsi" w:eastAsia="Times New Roman" w:hAnsiTheme="majorHAnsi" w:cs="Cambria"/>
          <w:sz w:val="20"/>
          <w:szCs w:val="20"/>
          <w:u w:color="000000"/>
          <w:lang w:val="pt-BR" w:eastAsia="es-ES"/>
        </w:rPr>
      </w:pPr>
    </w:p>
    <w:p w14:paraId="5A57C934" w14:textId="77777777" w:rsidR="002649F0" w:rsidRPr="006D1C74" w:rsidRDefault="00CF66C7"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pt-BR"/>
        </w:rPr>
      </w:pPr>
      <w:r w:rsidRPr="006D1C74">
        <w:rPr>
          <w:rFonts w:asciiTheme="majorHAnsi" w:eastAsia="Times New Roman" w:hAnsiTheme="majorHAnsi"/>
          <w:sz w:val="20"/>
          <w:szCs w:val="20"/>
          <w:lang w:val="pt-BR"/>
        </w:rPr>
        <w:t xml:space="preserve">No </w:t>
      </w:r>
      <w:r w:rsidR="002649F0" w:rsidRPr="006D1C74">
        <w:rPr>
          <w:rFonts w:asciiTheme="majorHAnsi" w:eastAsia="Times New Roman" w:hAnsiTheme="majorHAnsi"/>
          <w:sz w:val="20"/>
          <w:szCs w:val="20"/>
          <w:lang w:val="pt-BR"/>
        </w:rPr>
        <w:t xml:space="preserve">que </w:t>
      </w:r>
      <w:r w:rsidRPr="006D1C74">
        <w:rPr>
          <w:rFonts w:asciiTheme="majorHAnsi" w:eastAsia="Times New Roman" w:hAnsiTheme="majorHAnsi"/>
          <w:sz w:val="20"/>
          <w:szCs w:val="20"/>
          <w:lang w:val="pt-BR"/>
        </w:rPr>
        <w:t xml:space="preserve">se refere </w:t>
      </w:r>
      <w:r w:rsidR="00030019" w:rsidRPr="006D1C74">
        <w:rPr>
          <w:rFonts w:asciiTheme="majorHAnsi" w:eastAsia="Times New Roman" w:hAnsiTheme="majorHAnsi"/>
          <w:sz w:val="20"/>
          <w:szCs w:val="20"/>
          <w:lang w:val="pt-BR"/>
        </w:rPr>
        <w:t xml:space="preserve">à </w:t>
      </w:r>
      <w:r w:rsidR="002649F0" w:rsidRPr="006D1C74">
        <w:rPr>
          <w:rFonts w:asciiTheme="majorHAnsi" w:eastAsia="Times New Roman" w:hAnsiTheme="majorHAnsi"/>
          <w:sz w:val="20"/>
          <w:szCs w:val="20"/>
          <w:lang w:val="pt-BR"/>
        </w:rPr>
        <w:t>restri</w:t>
      </w:r>
      <w:r w:rsidR="00CF037E" w:rsidRPr="006D1C74">
        <w:rPr>
          <w:rFonts w:asciiTheme="majorHAnsi" w:eastAsia="Times New Roman" w:hAnsiTheme="majorHAnsi"/>
          <w:sz w:val="20"/>
          <w:szCs w:val="20"/>
          <w:lang w:val="pt-BR"/>
        </w:rPr>
        <w:t>ção</w:t>
      </w:r>
      <w:r w:rsidR="00795010" w:rsidRPr="006D1C74">
        <w:rPr>
          <w:rFonts w:asciiTheme="majorHAnsi" w:eastAsia="Times New Roman" w:hAnsiTheme="majorHAnsi"/>
          <w:sz w:val="20"/>
          <w:szCs w:val="20"/>
          <w:lang w:val="pt-BR"/>
        </w:rPr>
        <w:t xml:space="preserve"> da </w:t>
      </w:r>
      <w:r w:rsidR="002649F0" w:rsidRPr="006D1C74">
        <w:rPr>
          <w:rFonts w:asciiTheme="majorHAnsi" w:eastAsia="Times New Roman" w:hAnsiTheme="majorHAnsi"/>
          <w:sz w:val="20"/>
          <w:szCs w:val="20"/>
          <w:lang w:val="pt-BR"/>
        </w:rPr>
        <w:t>liber</w:t>
      </w:r>
      <w:r w:rsidRPr="006D1C74">
        <w:rPr>
          <w:rFonts w:asciiTheme="majorHAnsi" w:eastAsia="Times New Roman" w:hAnsiTheme="majorHAnsi"/>
          <w:sz w:val="20"/>
          <w:szCs w:val="20"/>
          <w:lang w:val="pt-BR"/>
        </w:rPr>
        <w:t>d</w:t>
      </w:r>
      <w:r w:rsidR="002649F0" w:rsidRPr="006D1C74">
        <w:rPr>
          <w:rFonts w:asciiTheme="majorHAnsi" w:eastAsia="Times New Roman" w:hAnsiTheme="majorHAnsi"/>
          <w:sz w:val="20"/>
          <w:szCs w:val="20"/>
          <w:lang w:val="pt-BR"/>
        </w:rPr>
        <w:t>ad</w:t>
      </w:r>
      <w:r w:rsidRPr="006D1C74">
        <w:rPr>
          <w:rFonts w:asciiTheme="majorHAnsi" w:eastAsia="Times New Roman" w:hAnsiTheme="majorHAnsi"/>
          <w:sz w:val="20"/>
          <w:szCs w:val="20"/>
          <w:lang w:val="pt-BR"/>
        </w:rPr>
        <w:t>e</w:t>
      </w:r>
      <w:r w:rsidR="002649F0" w:rsidRPr="006D1C74">
        <w:rPr>
          <w:rFonts w:asciiTheme="majorHAnsi" w:eastAsia="Times New Roman" w:hAnsiTheme="majorHAnsi"/>
          <w:sz w:val="20"/>
          <w:szCs w:val="20"/>
          <w:lang w:val="pt-BR"/>
        </w:rPr>
        <w:t xml:space="preserve"> de pensa</w:t>
      </w:r>
      <w:r w:rsidR="00700267" w:rsidRPr="006D1C74">
        <w:rPr>
          <w:rFonts w:asciiTheme="majorHAnsi" w:eastAsia="Times New Roman" w:hAnsiTheme="majorHAnsi"/>
          <w:sz w:val="20"/>
          <w:szCs w:val="20"/>
          <w:lang w:val="pt-BR"/>
        </w:rPr>
        <w:t>mento</w:t>
      </w:r>
      <w:r w:rsidR="00CF037E" w:rsidRPr="006D1C74">
        <w:rPr>
          <w:rFonts w:asciiTheme="majorHAnsi" w:eastAsia="Times New Roman" w:hAnsiTheme="majorHAnsi"/>
          <w:sz w:val="20"/>
          <w:szCs w:val="20"/>
          <w:lang w:val="pt-BR"/>
        </w:rPr>
        <w:t xml:space="preserve"> e </w:t>
      </w:r>
      <w:r w:rsidR="002649F0" w:rsidRPr="006D1C74">
        <w:rPr>
          <w:rFonts w:asciiTheme="majorHAnsi" w:eastAsia="Times New Roman" w:hAnsiTheme="majorHAnsi"/>
          <w:sz w:val="20"/>
          <w:szCs w:val="20"/>
          <w:lang w:val="pt-BR"/>
        </w:rPr>
        <w:t>de expre</w:t>
      </w:r>
      <w:r w:rsidR="0094446B" w:rsidRPr="006D1C74">
        <w:rPr>
          <w:rFonts w:asciiTheme="majorHAnsi" w:eastAsia="Times New Roman" w:hAnsiTheme="majorHAnsi"/>
          <w:sz w:val="20"/>
          <w:szCs w:val="20"/>
          <w:lang w:val="pt-BR"/>
        </w:rPr>
        <w:t>s</w:t>
      </w:r>
      <w:r w:rsidRPr="006D1C74">
        <w:rPr>
          <w:rFonts w:asciiTheme="majorHAnsi" w:eastAsia="Times New Roman" w:hAnsiTheme="majorHAnsi"/>
          <w:sz w:val="20"/>
          <w:szCs w:val="20"/>
          <w:lang w:val="pt-BR"/>
        </w:rPr>
        <w:t>s</w:t>
      </w:r>
      <w:r w:rsidR="0094446B" w:rsidRPr="006D1C74">
        <w:rPr>
          <w:rFonts w:asciiTheme="majorHAnsi" w:eastAsia="Times New Roman" w:hAnsiTheme="majorHAnsi"/>
          <w:sz w:val="20"/>
          <w:szCs w:val="20"/>
          <w:lang w:val="pt-BR"/>
        </w:rPr>
        <w:t>ão</w:t>
      </w:r>
      <w:r w:rsidR="00CF037E" w:rsidRPr="006D1C74">
        <w:rPr>
          <w:rFonts w:asciiTheme="majorHAnsi" w:eastAsia="Times New Roman" w:hAnsiTheme="majorHAnsi"/>
          <w:sz w:val="20"/>
          <w:szCs w:val="20"/>
          <w:lang w:val="pt-BR"/>
        </w:rPr>
        <w:t xml:space="preserve"> e</w:t>
      </w:r>
      <w:r w:rsidR="00700267" w:rsidRPr="006D1C74">
        <w:rPr>
          <w:rFonts w:asciiTheme="majorHAnsi" w:eastAsia="Times New Roman" w:hAnsiTheme="majorHAnsi"/>
          <w:sz w:val="20"/>
          <w:szCs w:val="20"/>
          <w:lang w:val="pt-BR"/>
        </w:rPr>
        <w:t xml:space="preserve"> </w:t>
      </w:r>
      <w:r w:rsidRPr="006D1C74">
        <w:rPr>
          <w:rFonts w:asciiTheme="majorHAnsi" w:eastAsia="Times New Roman" w:hAnsiTheme="majorHAnsi"/>
          <w:sz w:val="20"/>
          <w:szCs w:val="20"/>
          <w:lang w:val="pt-BR"/>
        </w:rPr>
        <w:t>a</w:t>
      </w:r>
      <w:r w:rsidR="00700267" w:rsidRPr="006D1C74">
        <w:rPr>
          <w:rFonts w:asciiTheme="majorHAnsi" w:eastAsia="Times New Roman" w:hAnsiTheme="majorHAnsi"/>
          <w:sz w:val="20"/>
          <w:szCs w:val="20"/>
          <w:lang w:val="pt-BR"/>
        </w:rPr>
        <w:t xml:space="preserve">os </w:t>
      </w:r>
      <w:r w:rsidR="00417BE8" w:rsidRPr="006D1C74">
        <w:rPr>
          <w:rFonts w:asciiTheme="majorHAnsi" w:eastAsia="Times New Roman" w:hAnsiTheme="majorHAnsi"/>
          <w:sz w:val="20"/>
          <w:szCs w:val="20"/>
          <w:lang w:val="pt-BR"/>
        </w:rPr>
        <w:t>direito</w:t>
      </w:r>
      <w:r w:rsidR="002649F0" w:rsidRPr="006D1C74">
        <w:rPr>
          <w:rFonts w:asciiTheme="majorHAnsi" w:eastAsia="Times New Roman" w:hAnsiTheme="majorHAnsi"/>
          <w:sz w:val="20"/>
          <w:szCs w:val="20"/>
          <w:lang w:val="pt-BR"/>
        </w:rPr>
        <w:t>s de reuni</w:t>
      </w:r>
      <w:r w:rsidRPr="006D1C74">
        <w:rPr>
          <w:rFonts w:asciiTheme="majorHAnsi" w:eastAsia="Times New Roman" w:hAnsiTheme="majorHAnsi"/>
          <w:sz w:val="20"/>
          <w:szCs w:val="20"/>
          <w:lang w:val="pt-BR"/>
        </w:rPr>
        <w:t>ão</w:t>
      </w:r>
      <w:r w:rsidR="002649F0" w:rsidRPr="006D1C74">
        <w:rPr>
          <w:rFonts w:asciiTheme="majorHAnsi" w:eastAsia="Times New Roman" w:hAnsiTheme="majorHAnsi"/>
          <w:sz w:val="20"/>
          <w:szCs w:val="20"/>
          <w:lang w:val="pt-BR"/>
        </w:rPr>
        <w:t>, de circula</w:t>
      </w:r>
      <w:r w:rsidR="00CF037E" w:rsidRPr="006D1C74">
        <w:rPr>
          <w:rFonts w:asciiTheme="majorHAnsi" w:eastAsia="Times New Roman" w:hAnsiTheme="majorHAnsi"/>
          <w:sz w:val="20"/>
          <w:szCs w:val="20"/>
          <w:lang w:val="pt-BR"/>
        </w:rPr>
        <w:t xml:space="preserve">ção e </w:t>
      </w:r>
      <w:r w:rsidR="002649F0" w:rsidRPr="006D1C74">
        <w:rPr>
          <w:rFonts w:asciiTheme="majorHAnsi" w:eastAsia="Times New Roman" w:hAnsiTheme="majorHAnsi"/>
          <w:sz w:val="20"/>
          <w:szCs w:val="20"/>
          <w:lang w:val="pt-BR"/>
        </w:rPr>
        <w:t>de resid</w:t>
      </w:r>
      <w:r w:rsidRPr="006D1C74">
        <w:rPr>
          <w:rFonts w:asciiTheme="majorHAnsi" w:eastAsia="Times New Roman" w:hAnsiTheme="majorHAnsi"/>
          <w:sz w:val="20"/>
          <w:szCs w:val="20"/>
          <w:lang w:val="pt-BR"/>
        </w:rPr>
        <w:t>ê</w:t>
      </w:r>
      <w:r w:rsidR="002649F0" w:rsidRPr="006D1C74">
        <w:rPr>
          <w:rFonts w:asciiTheme="majorHAnsi" w:eastAsia="Times New Roman" w:hAnsiTheme="majorHAnsi"/>
          <w:sz w:val="20"/>
          <w:szCs w:val="20"/>
          <w:lang w:val="pt-BR"/>
        </w:rPr>
        <w:t>ncia,</w:t>
      </w:r>
      <w:r w:rsidR="00700267" w:rsidRPr="006D1C74">
        <w:rPr>
          <w:rFonts w:asciiTheme="majorHAnsi" w:eastAsia="Times New Roman" w:hAnsiTheme="majorHAnsi"/>
          <w:sz w:val="20"/>
          <w:szCs w:val="20"/>
          <w:lang w:val="pt-BR"/>
        </w:rPr>
        <w:t xml:space="preserve"> o </w:t>
      </w:r>
      <w:r w:rsidR="002649F0" w:rsidRPr="006D1C74">
        <w:rPr>
          <w:rFonts w:asciiTheme="majorHAnsi" w:eastAsia="Times New Roman" w:hAnsiTheme="majorHAnsi"/>
          <w:sz w:val="20"/>
          <w:szCs w:val="20"/>
          <w:lang w:val="pt-BR"/>
        </w:rPr>
        <w:t>Estado afirma que</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 xml:space="preserve">parte </w:t>
      </w:r>
      <w:r w:rsidR="00795010" w:rsidRPr="006D1C74">
        <w:rPr>
          <w:rFonts w:asciiTheme="majorHAnsi" w:eastAsia="Times New Roman" w:hAnsiTheme="majorHAnsi"/>
          <w:sz w:val="20"/>
          <w:szCs w:val="20"/>
          <w:lang w:val="pt-BR"/>
        </w:rPr>
        <w:t>peticionária</w:t>
      </w:r>
      <w:r w:rsidR="00F673C7" w:rsidRPr="006D1C74">
        <w:rPr>
          <w:rFonts w:asciiTheme="majorHAnsi" w:eastAsia="Times New Roman" w:hAnsiTheme="majorHAnsi"/>
          <w:sz w:val="20"/>
          <w:szCs w:val="20"/>
          <w:lang w:val="pt-BR"/>
        </w:rPr>
        <w:t xml:space="preserve"> não </w:t>
      </w:r>
      <w:r w:rsidR="002649F0" w:rsidRPr="006D1C74">
        <w:rPr>
          <w:rFonts w:asciiTheme="majorHAnsi" w:eastAsia="Times New Roman" w:hAnsiTheme="majorHAnsi"/>
          <w:sz w:val="20"/>
          <w:szCs w:val="20"/>
          <w:lang w:val="pt-BR"/>
        </w:rPr>
        <w:t>distingui</w:t>
      </w:r>
      <w:r w:rsidRPr="006D1C74">
        <w:rPr>
          <w:rFonts w:asciiTheme="majorHAnsi" w:eastAsia="Times New Roman" w:hAnsiTheme="majorHAnsi"/>
          <w:sz w:val="20"/>
          <w:szCs w:val="20"/>
          <w:lang w:val="pt-BR"/>
        </w:rPr>
        <w:t>u</w:t>
      </w:r>
      <w:r w:rsidR="002649F0" w:rsidRPr="006D1C74">
        <w:rPr>
          <w:rFonts w:asciiTheme="majorHAnsi" w:eastAsia="Times New Roman" w:hAnsiTheme="majorHAnsi"/>
          <w:sz w:val="20"/>
          <w:szCs w:val="20"/>
          <w:lang w:val="pt-BR"/>
        </w:rPr>
        <w:t xml:space="preserve"> n</w:t>
      </w:r>
      <w:r w:rsidRPr="006D1C74">
        <w:rPr>
          <w:rFonts w:asciiTheme="majorHAnsi" w:eastAsia="Times New Roman" w:hAnsiTheme="majorHAnsi"/>
          <w:sz w:val="20"/>
          <w:szCs w:val="20"/>
          <w:lang w:val="pt-BR"/>
        </w:rPr>
        <w:t>em</w:t>
      </w:r>
      <w:r w:rsidR="002649F0" w:rsidRPr="006D1C74">
        <w:rPr>
          <w:rFonts w:asciiTheme="majorHAnsi" w:eastAsia="Times New Roman" w:hAnsiTheme="majorHAnsi"/>
          <w:sz w:val="20"/>
          <w:szCs w:val="20"/>
          <w:lang w:val="pt-BR"/>
        </w:rPr>
        <w:t xml:space="preserve"> descr</w:t>
      </w:r>
      <w:r w:rsidRPr="006D1C74">
        <w:rPr>
          <w:rFonts w:asciiTheme="majorHAnsi" w:eastAsia="Times New Roman" w:hAnsiTheme="majorHAnsi"/>
          <w:sz w:val="20"/>
          <w:szCs w:val="20"/>
          <w:lang w:val="pt-BR"/>
        </w:rPr>
        <w:t>eveu</w:t>
      </w:r>
      <w:r w:rsidR="002649F0" w:rsidRPr="006D1C74">
        <w:rPr>
          <w:rFonts w:asciiTheme="majorHAnsi" w:eastAsia="Times New Roman" w:hAnsiTheme="majorHAnsi"/>
          <w:sz w:val="20"/>
          <w:szCs w:val="20"/>
          <w:lang w:val="pt-BR"/>
        </w:rPr>
        <w:t xml:space="preserve"> e</w:t>
      </w:r>
      <w:r w:rsidRPr="006D1C74">
        <w:rPr>
          <w:rFonts w:asciiTheme="majorHAnsi" w:eastAsia="Times New Roman" w:hAnsiTheme="majorHAnsi"/>
          <w:sz w:val="20"/>
          <w:szCs w:val="20"/>
          <w:lang w:val="pt-BR"/>
        </w:rPr>
        <w:t>s</w:t>
      </w:r>
      <w:r w:rsidR="002649F0" w:rsidRPr="006D1C74">
        <w:rPr>
          <w:rFonts w:asciiTheme="majorHAnsi" w:eastAsia="Times New Roman" w:hAnsiTheme="majorHAnsi"/>
          <w:sz w:val="20"/>
          <w:szCs w:val="20"/>
          <w:lang w:val="pt-BR"/>
        </w:rPr>
        <w:t>sas viola</w:t>
      </w:r>
      <w:r w:rsidR="00CF037E" w:rsidRPr="006D1C74">
        <w:rPr>
          <w:rFonts w:asciiTheme="majorHAnsi" w:eastAsia="Times New Roman" w:hAnsiTheme="majorHAnsi"/>
          <w:sz w:val="20"/>
          <w:szCs w:val="20"/>
          <w:lang w:val="pt-BR"/>
        </w:rPr>
        <w:t>ções</w:t>
      </w:r>
      <w:r w:rsidR="002649F0" w:rsidRPr="006D1C74">
        <w:rPr>
          <w:rFonts w:asciiTheme="majorHAnsi" w:eastAsia="Times New Roman" w:hAnsiTheme="majorHAnsi"/>
          <w:sz w:val="20"/>
          <w:szCs w:val="20"/>
          <w:lang w:val="pt-BR"/>
        </w:rPr>
        <w:t xml:space="preserve">, o </w:t>
      </w:r>
      <w:r w:rsidRPr="006D1C74">
        <w:rPr>
          <w:rFonts w:asciiTheme="majorHAnsi" w:eastAsia="Times New Roman" w:hAnsiTheme="majorHAnsi"/>
          <w:sz w:val="20"/>
          <w:szCs w:val="20"/>
          <w:lang w:val="pt-BR"/>
        </w:rPr>
        <w:t>que</w:t>
      </w:r>
      <w:r w:rsidR="002649F0" w:rsidRPr="006D1C74">
        <w:rPr>
          <w:rFonts w:asciiTheme="majorHAnsi" w:eastAsia="Times New Roman" w:hAnsiTheme="majorHAnsi"/>
          <w:sz w:val="20"/>
          <w:szCs w:val="20"/>
          <w:lang w:val="pt-BR"/>
        </w:rPr>
        <w:t xml:space="preserve"> dificulta</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resp</w:t>
      </w:r>
      <w:r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sta</w:t>
      </w:r>
      <w:r w:rsidR="00030019" w:rsidRPr="006D1C74">
        <w:rPr>
          <w:rFonts w:asciiTheme="majorHAnsi" w:eastAsia="Times New Roman" w:hAnsiTheme="majorHAnsi"/>
          <w:sz w:val="20"/>
          <w:szCs w:val="20"/>
          <w:lang w:val="pt-BR"/>
        </w:rPr>
        <w:t xml:space="preserve"> do </w:t>
      </w:r>
      <w:r w:rsidR="002649F0" w:rsidRPr="006D1C74">
        <w:rPr>
          <w:rFonts w:asciiTheme="majorHAnsi" w:eastAsia="Times New Roman" w:hAnsiTheme="majorHAnsi"/>
          <w:sz w:val="20"/>
          <w:szCs w:val="20"/>
          <w:lang w:val="pt-BR"/>
        </w:rPr>
        <w:t>Estado. A</w:t>
      </w:r>
      <w:r w:rsidRPr="006D1C74">
        <w:rPr>
          <w:rFonts w:asciiTheme="majorHAnsi" w:eastAsia="Times New Roman" w:hAnsiTheme="majorHAnsi"/>
          <w:sz w:val="20"/>
          <w:szCs w:val="20"/>
          <w:lang w:val="pt-BR"/>
        </w:rPr>
        <w:t>crescent</w:t>
      </w:r>
      <w:r w:rsidR="002649F0" w:rsidRPr="006D1C74">
        <w:rPr>
          <w:rFonts w:asciiTheme="majorHAnsi" w:eastAsia="Times New Roman" w:hAnsiTheme="majorHAnsi"/>
          <w:sz w:val="20"/>
          <w:szCs w:val="20"/>
          <w:lang w:val="pt-BR"/>
        </w:rPr>
        <w:t>a que</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policial </w:t>
      </w:r>
      <w:r w:rsidRPr="006D1C74">
        <w:rPr>
          <w:rFonts w:asciiTheme="majorHAnsi" w:eastAsia="Times New Roman" w:hAnsiTheme="majorHAnsi"/>
          <w:sz w:val="20"/>
          <w:szCs w:val="20"/>
          <w:lang w:val="pt-BR"/>
        </w:rPr>
        <w:t>foi</w:t>
      </w:r>
      <w:r w:rsidR="002649F0" w:rsidRPr="006D1C74">
        <w:rPr>
          <w:rFonts w:asciiTheme="majorHAnsi" w:eastAsia="Times New Roman" w:hAnsiTheme="majorHAnsi"/>
          <w:sz w:val="20"/>
          <w:szCs w:val="20"/>
          <w:lang w:val="pt-BR"/>
        </w:rPr>
        <w:t xml:space="preserve"> motivada</w:t>
      </w:r>
      <w:r w:rsidR="00F37852" w:rsidRPr="006D1C74">
        <w:rPr>
          <w:rFonts w:asciiTheme="majorHAnsi" w:eastAsia="Times New Roman" w:hAnsiTheme="majorHAnsi"/>
          <w:sz w:val="20"/>
          <w:szCs w:val="20"/>
          <w:lang w:val="pt-BR"/>
        </w:rPr>
        <w:t xml:space="preserve"> pela </w:t>
      </w:r>
      <w:r w:rsidR="002649F0" w:rsidRPr="006D1C74">
        <w:rPr>
          <w:rFonts w:asciiTheme="majorHAnsi" w:eastAsia="Times New Roman" w:hAnsiTheme="majorHAnsi"/>
          <w:sz w:val="20"/>
          <w:szCs w:val="20"/>
          <w:lang w:val="pt-BR"/>
        </w:rPr>
        <w:t>cren</w:t>
      </w:r>
      <w:r w:rsidRPr="006D1C74">
        <w:rPr>
          <w:rFonts w:asciiTheme="majorHAnsi" w:eastAsia="Times New Roman" w:hAnsiTheme="majorHAnsi"/>
          <w:sz w:val="20"/>
          <w:szCs w:val="20"/>
          <w:lang w:val="pt-BR"/>
        </w:rPr>
        <w:t>ç</w:t>
      </w:r>
      <w:r w:rsidR="002649F0" w:rsidRPr="006D1C74">
        <w:rPr>
          <w:rFonts w:asciiTheme="majorHAnsi" w:eastAsia="Times New Roman" w:hAnsiTheme="majorHAnsi"/>
          <w:sz w:val="20"/>
          <w:szCs w:val="20"/>
          <w:lang w:val="pt-BR"/>
        </w:rPr>
        <w:t>a de que exist</w:t>
      </w:r>
      <w:r w:rsidR="00055622" w:rsidRPr="006D1C74">
        <w:rPr>
          <w:rFonts w:asciiTheme="majorHAnsi" w:eastAsia="Times New Roman" w:hAnsiTheme="majorHAnsi"/>
          <w:sz w:val="20"/>
          <w:szCs w:val="20"/>
          <w:lang w:val="pt-BR"/>
        </w:rPr>
        <w:t>ia</w:t>
      </w:r>
      <w:r w:rsidR="00030019" w:rsidRPr="006D1C74">
        <w:rPr>
          <w:rFonts w:asciiTheme="majorHAnsi" w:eastAsia="Times New Roman" w:hAnsiTheme="majorHAnsi"/>
          <w:sz w:val="20"/>
          <w:szCs w:val="20"/>
          <w:lang w:val="pt-BR"/>
        </w:rPr>
        <w:t xml:space="preserve"> uma </w:t>
      </w:r>
      <w:r w:rsidR="002649F0" w:rsidRPr="006D1C74">
        <w:rPr>
          <w:rFonts w:asciiTheme="majorHAnsi" w:eastAsia="Times New Roman" w:hAnsiTheme="majorHAnsi"/>
          <w:sz w:val="20"/>
          <w:szCs w:val="20"/>
          <w:lang w:val="pt-BR"/>
        </w:rPr>
        <w:t>amea</w:t>
      </w:r>
      <w:r w:rsidRPr="006D1C74">
        <w:rPr>
          <w:rFonts w:asciiTheme="majorHAnsi" w:eastAsia="Times New Roman" w:hAnsiTheme="majorHAnsi"/>
          <w:sz w:val="20"/>
          <w:szCs w:val="20"/>
          <w:lang w:val="pt-BR"/>
        </w:rPr>
        <w:t>ç</w:t>
      </w:r>
      <w:r w:rsidR="002649F0" w:rsidRPr="006D1C74">
        <w:rPr>
          <w:rFonts w:asciiTheme="majorHAnsi" w:eastAsia="Times New Roman" w:hAnsiTheme="majorHAnsi"/>
          <w:sz w:val="20"/>
          <w:szCs w:val="20"/>
          <w:lang w:val="pt-BR"/>
        </w:rPr>
        <w:t>a de ocupa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de </w:t>
      </w:r>
      <w:r w:rsidR="00416120" w:rsidRPr="006D1C74">
        <w:rPr>
          <w:rFonts w:asciiTheme="majorHAnsi" w:eastAsia="Times New Roman" w:hAnsiTheme="majorHAnsi"/>
          <w:sz w:val="20"/>
          <w:szCs w:val="20"/>
          <w:lang w:val="pt-BR"/>
        </w:rPr>
        <w:t>pr</w:t>
      </w:r>
      <w:r w:rsidRPr="006D1C74">
        <w:rPr>
          <w:rFonts w:asciiTheme="majorHAnsi" w:eastAsia="Times New Roman" w:hAnsiTheme="majorHAnsi"/>
          <w:sz w:val="20"/>
          <w:szCs w:val="20"/>
          <w:lang w:val="pt-BR"/>
        </w:rPr>
        <w:t>é</w:t>
      </w:r>
      <w:r w:rsidR="00416120" w:rsidRPr="006D1C74">
        <w:rPr>
          <w:rFonts w:asciiTheme="majorHAnsi" w:eastAsia="Times New Roman" w:hAnsiTheme="majorHAnsi"/>
          <w:sz w:val="20"/>
          <w:szCs w:val="20"/>
          <w:lang w:val="pt-BR"/>
        </w:rPr>
        <w:t>dios públicos</w:t>
      </w:r>
      <w:r w:rsidR="00CF037E" w:rsidRPr="006D1C74">
        <w:rPr>
          <w:rFonts w:asciiTheme="majorHAnsi" w:eastAsia="Times New Roman" w:hAnsiTheme="majorHAnsi"/>
          <w:sz w:val="20"/>
          <w:szCs w:val="20"/>
          <w:lang w:val="pt-BR"/>
        </w:rPr>
        <w:t xml:space="preserve"> e </w:t>
      </w:r>
      <w:r w:rsidR="00585D35" w:rsidRPr="006D1C74">
        <w:rPr>
          <w:rFonts w:asciiTheme="majorHAnsi" w:eastAsia="Times New Roman" w:hAnsiTheme="majorHAnsi"/>
          <w:sz w:val="20"/>
          <w:szCs w:val="20"/>
          <w:lang w:val="pt-BR"/>
        </w:rPr>
        <w:t>dev</w:t>
      </w:r>
      <w:r w:rsidR="00416120" w:rsidRPr="006D1C74">
        <w:rPr>
          <w:rFonts w:asciiTheme="majorHAnsi" w:eastAsia="Times New Roman" w:hAnsiTheme="majorHAnsi"/>
          <w:sz w:val="20"/>
          <w:szCs w:val="20"/>
          <w:lang w:val="pt-BR"/>
        </w:rPr>
        <w:t>ido a que</w:t>
      </w:r>
      <w:r w:rsidR="00700267" w:rsidRPr="006D1C74">
        <w:rPr>
          <w:rFonts w:asciiTheme="majorHAnsi" w:eastAsia="Times New Roman" w:hAnsiTheme="majorHAnsi"/>
          <w:sz w:val="20"/>
          <w:szCs w:val="20"/>
          <w:lang w:val="pt-BR"/>
        </w:rPr>
        <w:t xml:space="preserve"> os </w:t>
      </w:r>
      <w:r w:rsidR="002649F0" w:rsidRPr="006D1C74">
        <w:rPr>
          <w:rFonts w:asciiTheme="majorHAnsi" w:eastAsia="Times New Roman" w:hAnsiTheme="majorHAnsi"/>
          <w:sz w:val="20"/>
          <w:szCs w:val="20"/>
          <w:lang w:val="pt-BR"/>
        </w:rPr>
        <w:t>manifestantes porta</w:t>
      </w:r>
      <w:r w:rsidRPr="006D1C74">
        <w:rPr>
          <w:rFonts w:asciiTheme="majorHAnsi" w:eastAsia="Times New Roman" w:hAnsiTheme="majorHAnsi"/>
          <w:sz w:val="20"/>
          <w:szCs w:val="20"/>
          <w:lang w:val="pt-BR"/>
        </w:rPr>
        <w:t>vam</w:t>
      </w:r>
      <w:r w:rsidR="002649F0" w:rsidRPr="006D1C74">
        <w:rPr>
          <w:rFonts w:asciiTheme="majorHAnsi" w:eastAsia="Times New Roman" w:hAnsiTheme="majorHAnsi"/>
          <w:sz w:val="20"/>
          <w:szCs w:val="20"/>
          <w:lang w:val="pt-BR"/>
        </w:rPr>
        <w:t xml:space="preserve"> instrumentos que pod</w:t>
      </w:r>
      <w:r w:rsidRPr="006D1C74">
        <w:rPr>
          <w:rFonts w:asciiTheme="majorHAnsi" w:eastAsia="Times New Roman" w:hAnsiTheme="majorHAnsi"/>
          <w:sz w:val="20"/>
          <w:szCs w:val="20"/>
          <w:lang w:val="pt-BR"/>
        </w:rPr>
        <w:t>e</w:t>
      </w:r>
      <w:r w:rsidR="002649F0" w:rsidRPr="006D1C74">
        <w:rPr>
          <w:rFonts w:asciiTheme="majorHAnsi" w:eastAsia="Times New Roman" w:hAnsiTheme="majorHAnsi"/>
          <w:sz w:val="20"/>
          <w:szCs w:val="20"/>
          <w:lang w:val="pt-BR"/>
        </w:rPr>
        <w:t>r</w:t>
      </w:r>
      <w:r w:rsidR="00055622" w:rsidRPr="006D1C74">
        <w:rPr>
          <w:rFonts w:asciiTheme="majorHAnsi" w:eastAsia="Times New Roman" w:hAnsiTheme="majorHAnsi"/>
          <w:sz w:val="20"/>
          <w:szCs w:val="20"/>
          <w:lang w:val="pt-BR"/>
        </w:rPr>
        <w:t>ia</w:t>
      </w:r>
      <w:r w:rsidRPr="006D1C74">
        <w:rPr>
          <w:rFonts w:asciiTheme="majorHAnsi" w:eastAsia="Times New Roman" w:hAnsiTheme="majorHAnsi"/>
          <w:sz w:val="20"/>
          <w:szCs w:val="20"/>
          <w:lang w:val="pt-BR"/>
        </w:rPr>
        <w:t xml:space="preserve">m ser usados </w:t>
      </w:r>
      <w:r w:rsidR="002649F0" w:rsidRPr="006D1C74">
        <w:rPr>
          <w:rFonts w:asciiTheme="majorHAnsi" w:eastAsia="Times New Roman" w:hAnsiTheme="majorHAnsi"/>
          <w:sz w:val="20"/>
          <w:szCs w:val="20"/>
          <w:lang w:val="pt-BR"/>
        </w:rPr>
        <w:t>eventualmente como armas. A</w:t>
      </w:r>
      <w:r w:rsidRPr="006D1C74">
        <w:rPr>
          <w:rFonts w:asciiTheme="majorHAnsi" w:eastAsia="Times New Roman" w:hAnsiTheme="majorHAnsi"/>
          <w:sz w:val="20"/>
          <w:szCs w:val="20"/>
          <w:lang w:val="pt-BR"/>
        </w:rPr>
        <w:t>crescent</w:t>
      </w:r>
      <w:r w:rsidR="002649F0" w:rsidRPr="006D1C74">
        <w:rPr>
          <w:rFonts w:asciiTheme="majorHAnsi" w:eastAsia="Times New Roman" w:hAnsiTheme="majorHAnsi"/>
          <w:sz w:val="20"/>
          <w:szCs w:val="20"/>
          <w:lang w:val="pt-BR"/>
        </w:rPr>
        <w:t>a que</w:t>
      </w:r>
      <w:r w:rsidR="00416120" w:rsidRPr="006D1C74">
        <w:rPr>
          <w:rFonts w:asciiTheme="majorHAnsi" w:eastAsia="Times New Roman" w:hAnsiTheme="majorHAnsi"/>
          <w:sz w:val="20"/>
          <w:szCs w:val="20"/>
          <w:lang w:val="pt-BR"/>
        </w:rPr>
        <w:t>,</w:t>
      </w:r>
      <w:r w:rsidR="002649F0" w:rsidRPr="006D1C74">
        <w:rPr>
          <w:rFonts w:asciiTheme="majorHAnsi" w:eastAsia="Times New Roman" w:hAnsiTheme="majorHAnsi"/>
          <w:sz w:val="20"/>
          <w:szCs w:val="20"/>
          <w:lang w:val="pt-BR"/>
        </w:rPr>
        <w:t xml:space="preserve"> de ac</w:t>
      </w:r>
      <w:r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rdo</w:t>
      </w:r>
      <w:r w:rsidR="00F673C7" w:rsidRPr="006D1C74">
        <w:rPr>
          <w:rFonts w:asciiTheme="majorHAnsi" w:eastAsia="Times New Roman" w:hAnsiTheme="majorHAnsi"/>
          <w:sz w:val="20"/>
          <w:szCs w:val="20"/>
          <w:lang w:val="pt-BR"/>
        </w:rPr>
        <w:t xml:space="preserve"> com </w:t>
      </w:r>
      <w:r w:rsidR="00700267" w:rsidRPr="006D1C74">
        <w:rPr>
          <w:rFonts w:asciiTheme="majorHAnsi" w:eastAsia="Times New Roman" w:hAnsiTheme="majorHAnsi"/>
          <w:sz w:val="20"/>
          <w:szCs w:val="20"/>
          <w:lang w:val="pt-BR"/>
        </w:rPr>
        <w:t xml:space="preserve">a </w:t>
      </w:r>
      <w:r w:rsidR="002649F0" w:rsidRPr="006D1C74">
        <w:rPr>
          <w:rFonts w:asciiTheme="majorHAnsi" w:eastAsia="Times New Roman" w:hAnsiTheme="majorHAnsi"/>
          <w:sz w:val="20"/>
          <w:szCs w:val="20"/>
          <w:lang w:val="pt-BR"/>
        </w:rPr>
        <w:t>Conven</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w:t>
      </w:r>
      <w:r w:rsidR="00700267" w:rsidRPr="006D1C74">
        <w:rPr>
          <w:rFonts w:asciiTheme="majorHAnsi" w:eastAsia="Times New Roman" w:hAnsiTheme="majorHAnsi"/>
          <w:sz w:val="20"/>
          <w:szCs w:val="20"/>
          <w:lang w:val="pt-BR"/>
        </w:rPr>
        <w:t xml:space="preserve"> as </w:t>
      </w:r>
      <w:r w:rsidR="002649F0" w:rsidRPr="006D1C74">
        <w:rPr>
          <w:rFonts w:asciiTheme="majorHAnsi" w:eastAsia="Times New Roman" w:hAnsiTheme="majorHAnsi"/>
          <w:sz w:val="20"/>
          <w:szCs w:val="20"/>
          <w:lang w:val="pt-BR"/>
        </w:rPr>
        <w:t>autoridades pod</w:t>
      </w:r>
      <w:r w:rsidR="00055622" w:rsidRPr="006D1C74">
        <w:rPr>
          <w:rFonts w:asciiTheme="majorHAnsi" w:eastAsia="Times New Roman" w:hAnsiTheme="majorHAnsi"/>
          <w:sz w:val="20"/>
          <w:szCs w:val="20"/>
          <w:lang w:val="pt-BR"/>
        </w:rPr>
        <w:t>ia</w:t>
      </w:r>
      <w:r w:rsidRPr="006D1C74">
        <w:rPr>
          <w:rFonts w:asciiTheme="majorHAnsi" w:eastAsia="Times New Roman" w:hAnsiTheme="majorHAnsi"/>
          <w:sz w:val="20"/>
          <w:szCs w:val="20"/>
          <w:lang w:val="pt-BR"/>
        </w:rPr>
        <w:t>m</w:t>
      </w:r>
      <w:r w:rsidR="002649F0" w:rsidRPr="006D1C74">
        <w:rPr>
          <w:rFonts w:asciiTheme="majorHAnsi" w:eastAsia="Times New Roman" w:hAnsiTheme="majorHAnsi"/>
          <w:sz w:val="20"/>
          <w:szCs w:val="20"/>
          <w:lang w:val="pt-BR"/>
        </w:rPr>
        <w:t xml:space="preserve"> restringir</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circula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para preservar</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segur</w:t>
      </w:r>
      <w:r w:rsidRPr="006D1C74">
        <w:rPr>
          <w:rFonts w:asciiTheme="majorHAnsi" w:eastAsia="Times New Roman" w:hAnsiTheme="majorHAnsi"/>
          <w:sz w:val="20"/>
          <w:szCs w:val="20"/>
          <w:lang w:val="pt-BR"/>
        </w:rPr>
        <w:t xml:space="preserve">ança </w:t>
      </w:r>
      <w:r w:rsidR="002649F0" w:rsidRPr="006D1C74">
        <w:rPr>
          <w:rFonts w:asciiTheme="majorHAnsi" w:eastAsia="Times New Roman" w:hAnsiTheme="majorHAnsi"/>
          <w:sz w:val="20"/>
          <w:szCs w:val="20"/>
          <w:lang w:val="pt-BR"/>
        </w:rPr>
        <w:t>o</w:t>
      </w:r>
      <w:r w:rsidRPr="006D1C74">
        <w:rPr>
          <w:rFonts w:asciiTheme="majorHAnsi" w:eastAsia="Times New Roman" w:hAnsiTheme="majorHAnsi"/>
          <w:sz w:val="20"/>
          <w:szCs w:val="20"/>
          <w:lang w:val="pt-BR"/>
        </w:rPr>
        <w:t>u</w:t>
      </w:r>
      <w:r w:rsidR="00700267" w:rsidRPr="006D1C74">
        <w:rPr>
          <w:rFonts w:asciiTheme="majorHAnsi" w:eastAsia="Times New Roman" w:hAnsiTheme="majorHAnsi"/>
          <w:sz w:val="20"/>
          <w:szCs w:val="20"/>
          <w:lang w:val="pt-BR"/>
        </w:rPr>
        <w:t xml:space="preserve"> </w:t>
      </w:r>
      <w:r w:rsidRPr="006D1C74">
        <w:rPr>
          <w:rFonts w:asciiTheme="majorHAnsi" w:eastAsia="Times New Roman" w:hAnsiTheme="majorHAnsi"/>
          <w:sz w:val="20"/>
          <w:szCs w:val="20"/>
          <w:lang w:val="pt-BR"/>
        </w:rPr>
        <w:t>a</w:t>
      </w:r>
      <w:r w:rsidR="00700267" w:rsidRPr="006D1C74">
        <w:rPr>
          <w:rFonts w:asciiTheme="majorHAnsi" w:eastAsia="Times New Roman" w:hAnsiTheme="majorHAnsi"/>
          <w:sz w:val="20"/>
          <w:szCs w:val="20"/>
          <w:lang w:val="pt-BR"/>
        </w:rPr>
        <w:t xml:space="preserve"> </w:t>
      </w:r>
      <w:r w:rsidR="00585D35" w:rsidRPr="006D1C74">
        <w:rPr>
          <w:rFonts w:asciiTheme="majorHAnsi" w:eastAsia="Times New Roman" w:hAnsiTheme="majorHAnsi"/>
          <w:sz w:val="20"/>
          <w:szCs w:val="20"/>
          <w:lang w:val="pt-BR"/>
        </w:rPr>
        <w:t>ordem</w:t>
      </w:r>
      <w:r w:rsidR="002649F0" w:rsidRPr="006D1C74">
        <w:rPr>
          <w:rFonts w:asciiTheme="majorHAnsi" w:eastAsia="Times New Roman" w:hAnsiTheme="majorHAnsi"/>
          <w:sz w:val="20"/>
          <w:szCs w:val="20"/>
          <w:lang w:val="pt-BR"/>
        </w:rPr>
        <w:t xml:space="preserve"> públic</w:t>
      </w:r>
      <w:r w:rsidRPr="006D1C74">
        <w:rPr>
          <w:rFonts w:asciiTheme="majorHAnsi" w:eastAsia="Times New Roman" w:hAnsiTheme="majorHAnsi"/>
          <w:sz w:val="20"/>
          <w:szCs w:val="20"/>
          <w:lang w:val="pt-BR"/>
        </w:rPr>
        <w:t>a</w:t>
      </w:r>
      <w:r w:rsidR="002649F0" w:rsidRPr="006D1C74">
        <w:rPr>
          <w:rFonts w:asciiTheme="majorHAnsi" w:eastAsia="Times New Roman" w:hAnsiTheme="majorHAnsi"/>
          <w:sz w:val="20"/>
          <w:szCs w:val="20"/>
          <w:lang w:val="pt-BR"/>
        </w:rPr>
        <w:t>, como</w:t>
      </w:r>
      <w:r w:rsidR="00CA7940" w:rsidRPr="006D1C74">
        <w:rPr>
          <w:rFonts w:asciiTheme="majorHAnsi" w:eastAsia="Times New Roman" w:hAnsiTheme="majorHAnsi"/>
          <w:sz w:val="20"/>
          <w:szCs w:val="20"/>
          <w:lang w:val="pt-BR"/>
        </w:rPr>
        <w:t xml:space="preserve"> foi </w:t>
      </w:r>
      <w:r w:rsidR="00700267" w:rsidRPr="006D1C74">
        <w:rPr>
          <w:rFonts w:asciiTheme="majorHAnsi" w:eastAsia="Times New Roman" w:hAnsiTheme="majorHAnsi"/>
          <w:sz w:val="20"/>
          <w:szCs w:val="20"/>
          <w:lang w:val="pt-BR"/>
        </w:rPr>
        <w:t xml:space="preserve">o </w:t>
      </w:r>
      <w:r w:rsidR="002649F0" w:rsidRPr="006D1C74">
        <w:rPr>
          <w:rFonts w:asciiTheme="majorHAnsi" w:eastAsia="Times New Roman" w:hAnsiTheme="majorHAnsi"/>
          <w:sz w:val="20"/>
          <w:szCs w:val="20"/>
          <w:lang w:val="pt-BR"/>
        </w:rPr>
        <w:t xml:space="preserve">caso, </w:t>
      </w:r>
      <w:r w:rsidRPr="006D1C74">
        <w:rPr>
          <w:rFonts w:asciiTheme="majorHAnsi" w:eastAsia="Times New Roman" w:hAnsiTheme="majorHAnsi"/>
          <w:sz w:val="20"/>
          <w:szCs w:val="20"/>
          <w:lang w:val="pt-BR"/>
        </w:rPr>
        <w:t xml:space="preserve">motivo pelo qual </w:t>
      </w:r>
      <w:r w:rsidR="00700267" w:rsidRPr="006D1C74">
        <w:rPr>
          <w:rFonts w:asciiTheme="majorHAnsi" w:eastAsia="Times New Roman" w:hAnsiTheme="majorHAnsi"/>
          <w:sz w:val="20"/>
          <w:szCs w:val="20"/>
          <w:lang w:val="pt-BR"/>
        </w:rPr>
        <w:t xml:space="preserve">a </w:t>
      </w:r>
      <w:r w:rsidR="00585D35" w:rsidRPr="006D1C74">
        <w:rPr>
          <w:rFonts w:asciiTheme="majorHAnsi" w:eastAsia="Times New Roman" w:hAnsiTheme="majorHAnsi"/>
          <w:sz w:val="20"/>
          <w:szCs w:val="20"/>
          <w:lang w:val="pt-BR"/>
        </w:rPr>
        <w:t>ordem</w:t>
      </w:r>
      <w:r w:rsidR="002649F0" w:rsidRPr="006D1C74">
        <w:rPr>
          <w:rFonts w:asciiTheme="majorHAnsi" w:eastAsia="Times New Roman" w:hAnsiTheme="majorHAnsi"/>
          <w:sz w:val="20"/>
          <w:szCs w:val="20"/>
          <w:lang w:val="pt-BR"/>
        </w:rPr>
        <w:t xml:space="preserve"> de interdi</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proibit</w:t>
      </w:r>
      <w:r w:rsidRPr="006D1C74">
        <w:rPr>
          <w:rFonts w:asciiTheme="majorHAnsi" w:eastAsia="Times New Roman" w:hAnsiTheme="majorHAnsi"/>
          <w:sz w:val="20"/>
          <w:szCs w:val="20"/>
          <w:lang w:val="pt-BR"/>
        </w:rPr>
        <w:t>ó</w:t>
      </w:r>
      <w:r w:rsidR="002649F0" w:rsidRPr="006D1C74">
        <w:rPr>
          <w:rFonts w:asciiTheme="majorHAnsi" w:eastAsia="Times New Roman" w:hAnsiTheme="majorHAnsi"/>
          <w:sz w:val="20"/>
          <w:szCs w:val="20"/>
          <w:lang w:val="pt-BR"/>
        </w:rPr>
        <w:t>ria</w:t>
      </w:r>
      <w:r w:rsidR="00CA7940" w:rsidRPr="006D1C74">
        <w:rPr>
          <w:rFonts w:asciiTheme="majorHAnsi" w:eastAsia="Times New Roman" w:hAnsiTheme="majorHAnsi"/>
          <w:sz w:val="20"/>
          <w:szCs w:val="20"/>
          <w:lang w:val="pt-BR"/>
        </w:rPr>
        <w:t xml:space="preserve"> </w:t>
      </w:r>
      <w:r w:rsidR="000B6979">
        <w:rPr>
          <w:rFonts w:asciiTheme="majorHAnsi" w:eastAsia="Times New Roman" w:hAnsiTheme="majorHAnsi"/>
          <w:sz w:val="20"/>
          <w:szCs w:val="20"/>
          <w:lang w:val="pt-BR"/>
        </w:rPr>
        <w:t>era</w:t>
      </w:r>
      <w:r w:rsidR="00CA7940" w:rsidRPr="006D1C74">
        <w:rPr>
          <w:rFonts w:asciiTheme="majorHAnsi" w:eastAsia="Times New Roman" w:hAnsiTheme="majorHAnsi"/>
          <w:sz w:val="20"/>
          <w:szCs w:val="20"/>
          <w:lang w:val="pt-BR"/>
        </w:rPr>
        <w:t xml:space="preserve"> </w:t>
      </w:r>
      <w:r w:rsidR="002649F0" w:rsidRPr="006D1C74">
        <w:rPr>
          <w:rFonts w:asciiTheme="majorHAnsi" w:eastAsia="Times New Roman" w:hAnsiTheme="majorHAnsi"/>
          <w:sz w:val="20"/>
          <w:szCs w:val="20"/>
          <w:lang w:val="pt-BR"/>
        </w:rPr>
        <w:t>legítima.</w:t>
      </w:r>
    </w:p>
    <w:p w14:paraId="74CEB32B" w14:textId="77777777" w:rsidR="002649F0" w:rsidRPr="006D1C74" w:rsidRDefault="002649F0" w:rsidP="002649F0">
      <w:pPr>
        <w:ind w:left="720"/>
        <w:rPr>
          <w:rFonts w:asciiTheme="majorHAnsi" w:eastAsia="Times New Roman" w:hAnsiTheme="majorHAnsi" w:cs="Cambria"/>
          <w:color w:val="000000"/>
          <w:sz w:val="20"/>
          <w:szCs w:val="20"/>
          <w:u w:color="000000"/>
          <w:lang w:val="pt-BR" w:eastAsia="es-ES"/>
        </w:rPr>
      </w:pPr>
    </w:p>
    <w:p w14:paraId="38BC6C50" w14:textId="77777777" w:rsidR="002649F0" w:rsidRPr="006D1C74" w:rsidRDefault="00B4216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pt-BR"/>
        </w:rPr>
      </w:pPr>
      <w:r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 xml:space="preserve"> Estado afirma que</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deci</w:t>
      </w:r>
      <w:r w:rsidR="0094446B" w:rsidRPr="006D1C74">
        <w:rPr>
          <w:rFonts w:asciiTheme="majorHAnsi" w:eastAsia="Times New Roman" w:hAnsiTheme="majorHAnsi"/>
          <w:sz w:val="20"/>
          <w:szCs w:val="20"/>
          <w:lang w:val="pt-BR"/>
        </w:rPr>
        <w:t>são</w:t>
      </w:r>
      <w:r w:rsidR="00030019" w:rsidRPr="006D1C74">
        <w:rPr>
          <w:rFonts w:asciiTheme="majorHAnsi" w:eastAsia="Times New Roman" w:hAnsiTheme="majorHAnsi"/>
          <w:sz w:val="20"/>
          <w:szCs w:val="20"/>
          <w:lang w:val="pt-BR"/>
        </w:rPr>
        <w:t xml:space="preserve"> do </w:t>
      </w:r>
      <w:r w:rsidR="008617AD" w:rsidRPr="006D1C74">
        <w:rPr>
          <w:rFonts w:asciiTheme="majorHAnsi" w:eastAsia="Times New Roman" w:hAnsiTheme="majorHAnsi"/>
          <w:sz w:val="20"/>
          <w:szCs w:val="20"/>
          <w:lang w:val="pt-BR"/>
        </w:rPr>
        <w:t>juiz</w:t>
      </w:r>
      <w:r w:rsidR="00F673C7" w:rsidRPr="006D1C74">
        <w:rPr>
          <w:rFonts w:asciiTheme="majorHAnsi" w:eastAsia="Times New Roman" w:hAnsiTheme="majorHAnsi"/>
          <w:sz w:val="20"/>
          <w:szCs w:val="20"/>
          <w:lang w:val="pt-BR"/>
        </w:rPr>
        <w:t xml:space="preserve"> com </w:t>
      </w:r>
      <w:r w:rsidR="00156036" w:rsidRPr="006D1C74">
        <w:rPr>
          <w:rFonts w:asciiTheme="majorHAnsi" w:eastAsia="Times New Roman" w:hAnsiTheme="majorHAnsi"/>
          <w:sz w:val="20"/>
          <w:szCs w:val="20"/>
          <w:lang w:val="pt-BR"/>
        </w:rPr>
        <w:t>respeito</w:t>
      </w:r>
      <w:r w:rsidR="00030019" w:rsidRPr="006D1C74">
        <w:rPr>
          <w:rFonts w:asciiTheme="majorHAnsi" w:eastAsia="Times New Roman" w:hAnsiTheme="majorHAnsi"/>
          <w:sz w:val="20"/>
          <w:szCs w:val="20"/>
          <w:lang w:val="pt-BR"/>
        </w:rPr>
        <w:t xml:space="preserve"> à </w:t>
      </w:r>
      <w:r w:rsidR="002649F0" w:rsidRPr="006D1C74">
        <w:rPr>
          <w:rFonts w:asciiTheme="majorHAnsi" w:eastAsia="Times New Roman" w:hAnsiTheme="majorHAnsi"/>
          <w:sz w:val="20"/>
          <w:szCs w:val="20"/>
          <w:lang w:val="pt-BR"/>
        </w:rPr>
        <w:t>interdi</w:t>
      </w:r>
      <w:r w:rsidR="00CF037E" w:rsidRPr="006D1C74">
        <w:rPr>
          <w:rFonts w:asciiTheme="majorHAnsi" w:eastAsia="Times New Roman" w:hAnsiTheme="majorHAnsi"/>
          <w:sz w:val="20"/>
          <w:szCs w:val="20"/>
          <w:lang w:val="pt-BR"/>
        </w:rPr>
        <w:t>ção</w:t>
      </w:r>
      <w:r w:rsidR="00CA7940" w:rsidRPr="006D1C74">
        <w:rPr>
          <w:rFonts w:asciiTheme="majorHAnsi" w:eastAsia="Times New Roman" w:hAnsiTheme="majorHAnsi"/>
          <w:sz w:val="20"/>
          <w:szCs w:val="20"/>
          <w:lang w:val="pt-BR"/>
        </w:rPr>
        <w:t xml:space="preserve"> foi </w:t>
      </w:r>
      <w:r w:rsidR="002649F0" w:rsidRPr="006D1C74">
        <w:rPr>
          <w:rFonts w:asciiTheme="majorHAnsi" w:eastAsia="Times New Roman" w:hAnsiTheme="majorHAnsi"/>
          <w:sz w:val="20"/>
          <w:szCs w:val="20"/>
          <w:lang w:val="pt-BR"/>
        </w:rPr>
        <w:t>de proced</w:t>
      </w:r>
      <w:r w:rsidR="00574C68" w:rsidRPr="006D1C74">
        <w:rPr>
          <w:rFonts w:asciiTheme="majorHAnsi" w:eastAsia="Times New Roman" w:hAnsiTheme="majorHAnsi"/>
          <w:sz w:val="20"/>
          <w:szCs w:val="20"/>
          <w:lang w:val="pt-BR"/>
        </w:rPr>
        <w:t>ê</w:t>
      </w:r>
      <w:r w:rsidR="002649F0" w:rsidRPr="006D1C74">
        <w:rPr>
          <w:rFonts w:asciiTheme="majorHAnsi" w:eastAsia="Times New Roman" w:hAnsiTheme="majorHAnsi"/>
          <w:sz w:val="20"/>
          <w:szCs w:val="20"/>
          <w:lang w:val="pt-BR"/>
        </w:rPr>
        <w:t>ncia parcial</w:t>
      </w:r>
      <w:r w:rsidR="00CF037E" w:rsidRPr="006D1C74">
        <w:rPr>
          <w:rFonts w:asciiTheme="majorHAnsi" w:eastAsia="Times New Roman" w:hAnsiTheme="majorHAnsi"/>
          <w:sz w:val="20"/>
          <w:szCs w:val="20"/>
          <w:lang w:val="pt-BR"/>
        </w:rPr>
        <w:t xml:space="preserve"> e </w:t>
      </w:r>
      <w:r w:rsidR="002649F0" w:rsidRPr="006D1C74">
        <w:rPr>
          <w:rFonts w:asciiTheme="majorHAnsi" w:eastAsia="Times New Roman" w:hAnsiTheme="majorHAnsi"/>
          <w:sz w:val="20"/>
          <w:szCs w:val="20"/>
          <w:lang w:val="pt-BR"/>
        </w:rPr>
        <w:t>garanti</w:t>
      </w:r>
      <w:r w:rsidR="00574C68" w:rsidRPr="006D1C74">
        <w:rPr>
          <w:rFonts w:asciiTheme="majorHAnsi" w:eastAsia="Times New Roman" w:hAnsiTheme="majorHAnsi"/>
          <w:sz w:val="20"/>
          <w:szCs w:val="20"/>
          <w:lang w:val="pt-BR"/>
        </w:rPr>
        <w:t>u</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interdi</w:t>
      </w:r>
      <w:r w:rsidR="00CF037E" w:rsidRPr="006D1C74">
        <w:rPr>
          <w:rFonts w:asciiTheme="majorHAnsi" w:eastAsia="Times New Roman" w:hAnsiTheme="majorHAnsi"/>
          <w:sz w:val="20"/>
          <w:szCs w:val="20"/>
          <w:lang w:val="pt-BR"/>
        </w:rPr>
        <w:t>ção</w:t>
      </w:r>
      <w:r w:rsidR="00F673C7" w:rsidRPr="006D1C74">
        <w:rPr>
          <w:rFonts w:asciiTheme="majorHAnsi" w:eastAsia="Times New Roman" w:hAnsiTheme="majorHAnsi"/>
          <w:sz w:val="20"/>
          <w:szCs w:val="20"/>
          <w:lang w:val="pt-BR"/>
        </w:rPr>
        <w:t xml:space="preserve"> com </w:t>
      </w:r>
      <w:r w:rsidR="00156036" w:rsidRPr="006D1C74">
        <w:rPr>
          <w:rFonts w:asciiTheme="majorHAnsi" w:eastAsia="Times New Roman" w:hAnsiTheme="majorHAnsi"/>
          <w:sz w:val="20"/>
          <w:szCs w:val="20"/>
          <w:lang w:val="pt-BR"/>
        </w:rPr>
        <w:t>respeito</w:t>
      </w:r>
      <w:r w:rsidR="002649F0" w:rsidRPr="006D1C74">
        <w:rPr>
          <w:rFonts w:asciiTheme="majorHAnsi" w:eastAsia="Times New Roman" w:hAnsiTheme="majorHAnsi"/>
          <w:sz w:val="20"/>
          <w:szCs w:val="20"/>
          <w:lang w:val="pt-BR"/>
        </w:rPr>
        <w:t xml:space="preserve"> a</w:t>
      </w:r>
      <w:r w:rsidR="00700267" w:rsidRPr="006D1C74">
        <w:rPr>
          <w:rFonts w:asciiTheme="majorHAnsi" w:eastAsia="Times New Roman" w:hAnsiTheme="majorHAnsi"/>
          <w:sz w:val="20"/>
          <w:szCs w:val="20"/>
          <w:lang w:val="pt-BR"/>
        </w:rPr>
        <w:t xml:space="preserve">os </w:t>
      </w:r>
      <w:r w:rsidR="002649F0" w:rsidRPr="006D1C74">
        <w:rPr>
          <w:rFonts w:asciiTheme="majorHAnsi" w:eastAsia="Times New Roman" w:hAnsiTheme="majorHAnsi"/>
          <w:sz w:val="20"/>
          <w:szCs w:val="20"/>
          <w:lang w:val="pt-BR"/>
        </w:rPr>
        <w:t>pr</w:t>
      </w:r>
      <w:r w:rsidR="00143756" w:rsidRPr="006D1C74">
        <w:rPr>
          <w:rFonts w:asciiTheme="majorHAnsi" w:eastAsia="Times New Roman" w:hAnsiTheme="majorHAnsi"/>
          <w:sz w:val="20"/>
          <w:szCs w:val="20"/>
          <w:lang w:val="pt-BR"/>
        </w:rPr>
        <w:t>é</w:t>
      </w:r>
      <w:r w:rsidR="002649F0" w:rsidRPr="006D1C74">
        <w:rPr>
          <w:rFonts w:asciiTheme="majorHAnsi" w:eastAsia="Times New Roman" w:hAnsiTheme="majorHAnsi"/>
          <w:sz w:val="20"/>
          <w:szCs w:val="20"/>
          <w:lang w:val="pt-BR"/>
        </w:rPr>
        <w:t xml:space="preserve">dios públicos de uso especial, </w:t>
      </w:r>
      <w:r w:rsidR="00143756" w:rsidRPr="006D1C74">
        <w:rPr>
          <w:rFonts w:asciiTheme="majorHAnsi" w:eastAsia="Times New Roman" w:hAnsiTheme="majorHAnsi"/>
          <w:sz w:val="20"/>
          <w:szCs w:val="20"/>
          <w:lang w:val="pt-BR"/>
        </w:rPr>
        <w:t>mas</w:t>
      </w:r>
      <w:r w:rsidR="002649F0" w:rsidRPr="006D1C74">
        <w:rPr>
          <w:rFonts w:asciiTheme="majorHAnsi" w:eastAsia="Times New Roman" w:hAnsiTheme="majorHAnsi"/>
          <w:sz w:val="20"/>
          <w:szCs w:val="20"/>
          <w:lang w:val="pt-BR"/>
        </w:rPr>
        <w:t xml:space="preserve"> exclu</w:t>
      </w:r>
      <w:r w:rsidR="00143756" w:rsidRPr="006D1C74">
        <w:rPr>
          <w:rFonts w:asciiTheme="majorHAnsi" w:eastAsia="Times New Roman" w:hAnsiTheme="majorHAnsi"/>
          <w:sz w:val="20"/>
          <w:szCs w:val="20"/>
          <w:lang w:val="pt-BR"/>
        </w:rPr>
        <w:t>iu</w:t>
      </w:r>
      <w:r w:rsidR="00700267" w:rsidRPr="006D1C74">
        <w:rPr>
          <w:rFonts w:asciiTheme="majorHAnsi" w:eastAsia="Times New Roman" w:hAnsiTheme="majorHAnsi"/>
          <w:sz w:val="20"/>
          <w:szCs w:val="20"/>
          <w:lang w:val="pt-BR"/>
        </w:rPr>
        <w:t xml:space="preserve"> os </w:t>
      </w:r>
      <w:r w:rsidR="002649F0" w:rsidRPr="006D1C74">
        <w:rPr>
          <w:rFonts w:asciiTheme="majorHAnsi" w:eastAsia="Times New Roman" w:hAnsiTheme="majorHAnsi"/>
          <w:sz w:val="20"/>
          <w:szCs w:val="20"/>
          <w:lang w:val="pt-BR"/>
        </w:rPr>
        <w:t>bens de uso com</w:t>
      </w:r>
      <w:r w:rsidR="00143756" w:rsidRPr="006D1C74">
        <w:rPr>
          <w:rFonts w:asciiTheme="majorHAnsi" w:eastAsia="Times New Roman" w:hAnsiTheme="majorHAnsi"/>
          <w:sz w:val="20"/>
          <w:szCs w:val="20"/>
          <w:lang w:val="pt-BR"/>
        </w:rPr>
        <w:t>um</w:t>
      </w:r>
      <w:r w:rsidR="00030019" w:rsidRPr="006D1C74">
        <w:rPr>
          <w:rFonts w:asciiTheme="majorHAnsi" w:eastAsia="Times New Roman" w:hAnsiTheme="majorHAnsi"/>
          <w:sz w:val="20"/>
          <w:szCs w:val="20"/>
          <w:lang w:val="pt-BR"/>
        </w:rPr>
        <w:t xml:space="preserve"> do </w:t>
      </w:r>
      <w:r w:rsidR="002649F0" w:rsidRPr="006D1C74">
        <w:rPr>
          <w:rFonts w:asciiTheme="majorHAnsi" w:eastAsia="Times New Roman" w:hAnsiTheme="majorHAnsi"/>
          <w:sz w:val="20"/>
          <w:szCs w:val="20"/>
          <w:lang w:val="pt-BR"/>
        </w:rPr>
        <w:t>p</w:t>
      </w:r>
      <w:r w:rsidR="00143756" w:rsidRPr="006D1C74">
        <w:rPr>
          <w:rFonts w:asciiTheme="majorHAnsi" w:eastAsia="Times New Roman" w:hAnsiTheme="majorHAnsi"/>
          <w:sz w:val="20"/>
          <w:szCs w:val="20"/>
          <w:lang w:val="pt-BR"/>
        </w:rPr>
        <w:t>ov</w:t>
      </w:r>
      <w:r w:rsidR="002649F0" w:rsidRPr="006D1C74">
        <w:rPr>
          <w:rFonts w:asciiTheme="majorHAnsi" w:eastAsia="Times New Roman" w:hAnsiTheme="majorHAnsi"/>
          <w:sz w:val="20"/>
          <w:szCs w:val="20"/>
          <w:lang w:val="pt-BR"/>
        </w:rPr>
        <w:t>o (como p</w:t>
      </w:r>
      <w:r w:rsidR="00143756" w:rsidRPr="006D1C74">
        <w:rPr>
          <w:rFonts w:asciiTheme="majorHAnsi" w:eastAsia="Times New Roman" w:hAnsiTheme="majorHAnsi"/>
          <w:sz w:val="20"/>
          <w:szCs w:val="20"/>
          <w:lang w:val="pt-BR"/>
        </w:rPr>
        <w:t>r</w:t>
      </w:r>
      <w:r w:rsidR="002649F0" w:rsidRPr="006D1C74">
        <w:rPr>
          <w:rFonts w:asciiTheme="majorHAnsi" w:eastAsia="Times New Roman" w:hAnsiTheme="majorHAnsi"/>
          <w:sz w:val="20"/>
          <w:szCs w:val="20"/>
          <w:lang w:val="pt-BR"/>
        </w:rPr>
        <w:t>a</w:t>
      </w:r>
      <w:r w:rsidR="00143756" w:rsidRPr="006D1C74">
        <w:rPr>
          <w:rFonts w:asciiTheme="majorHAnsi" w:eastAsia="Times New Roman" w:hAnsiTheme="majorHAnsi"/>
          <w:sz w:val="20"/>
          <w:szCs w:val="20"/>
          <w:lang w:val="pt-BR"/>
        </w:rPr>
        <w:t>ç</w:t>
      </w:r>
      <w:r w:rsidR="002649F0" w:rsidRPr="006D1C74">
        <w:rPr>
          <w:rFonts w:asciiTheme="majorHAnsi" w:eastAsia="Times New Roman" w:hAnsiTheme="majorHAnsi"/>
          <w:sz w:val="20"/>
          <w:szCs w:val="20"/>
          <w:lang w:val="pt-BR"/>
        </w:rPr>
        <w:t>as</w:t>
      </w:r>
      <w:r w:rsidR="00CF037E" w:rsidRPr="006D1C74">
        <w:rPr>
          <w:rFonts w:asciiTheme="majorHAnsi" w:eastAsia="Times New Roman" w:hAnsiTheme="majorHAnsi"/>
          <w:sz w:val="20"/>
          <w:szCs w:val="20"/>
          <w:lang w:val="pt-BR"/>
        </w:rPr>
        <w:t xml:space="preserve"> e </w:t>
      </w:r>
      <w:r w:rsidR="00143756" w:rsidRPr="006D1C74">
        <w:rPr>
          <w:rFonts w:asciiTheme="majorHAnsi" w:eastAsia="Times New Roman" w:hAnsiTheme="majorHAnsi"/>
          <w:sz w:val="20"/>
          <w:szCs w:val="20"/>
          <w:lang w:val="pt-BR"/>
        </w:rPr>
        <w:t>ruas</w:t>
      </w:r>
      <w:r w:rsidR="002649F0" w:rsidRPr="006D1C74">
        <w:rPr>
          <w:rFonts w:asciiTheme="majorHAnsi" w:eastAsia="Times New Roman" w:hAnsiTheme="majorHAnsi"/>
          <w:sz w:val="20"/>
          <w:szCs w:val="20"/>
          <w:lang w:val="pt-BR"/>
        </w:rPr>
        <w:t xml:space="preserve">), </w:t>
      </w:r>
      <w:r w:rsidR="00143756" w:rsidRPr="006D1C74">
        <w:rPr>
          <w:rFonts w:asciiTheme="majorHAnsi" w:eastAsia="Times New Roman" w:hAnsiTheme="majorHAnsi"/>
          <w:sz w:val="20"/>
          <w:szCs w:val="20"/>
          <w:lang w:val="pt-BR"/>
        </w:rPr>
        <w:t xml:space="preserve">desde </w:t>
      </w:r>
      <w:r w:rsidR="002649F0" w:rsidRPr="006D1C74">
        <w:rPr>
          <w:rFonts w:asciiTheme="majorHAnsi" w:eastAsia="Times New Roman" w:hAnsiTheme="majorHAnsi"/>
          <w:sz w:val="20"/>
          <w:szCs w:val="20"/>
          <w:lang w:val="pt-BR"/>
        </w:rPr>
        <w:t>que</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manifesta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f</w:t>
      </w:r>
      <w:r w:rsidR="00143756" w:rsidRPr="006D1C74">
        <w:rPr>
          <w:rFonts w:asciiTheme="majorHAnsi" w:eastAsia="Times New Roman" w:hAnsiTheme="majorHAnsi"/>
          <w:sz w:val="20"/>
          <w:szCs w:val="20"/>
          <w:lang w:val="pt-BR"/>
        </w:rPr>
        <w:t>os</w:t>
      </w:r>
      <w:r w:rsidR="002649F0" w:rsidRPr="006D1C74">
        <w:rPr>
          <w:rFonts w:asciiTheme="majorHAnsi" w:eastAsia="Times New Roman" w:hAnsiTheme="majorHAnsi"/>
          <w:sz w:val="20"/>
          <w:szCs w:val="20"/>
          <w:lang w:val="pt-BR"/>
        </w:rPr>
        <w:t xml:space="preserve">se pacífica. </w:t>
      </w:r>
      <w:r w:rsidR="00143756" w:rsidRPr="006D1C74">
        <w:rPr>
          <w:rFonts w:asciiTheme="majorHAnsi" w:eastAsia="Times New Roman" w:hAnsiTheme="majorHAnsi"/>
          <w:sz w:val="20"/>
          <w:szCs w:val="20"/>
          <w:lang w:val="pt-BR"/>
        </w:rPr>
        <w:t xml:space="preserve">Declara </w:t>
      </w:r>
      <w:r w:rsidR="002649F0" w:rsidRPr="006D1C74">
        <w:rPr>
          <w:rFonts w:asciiTheme="majorHAnsi" w:eastAsia="Times New Roman" w:hAnsiTheme="majorHAnsi"/>
          <w:sz w:val="20"/>
          <w:szCs w:val="20"/>
          <w:lang w:val="pt-BR"/>
        </w:rPr>
        <w:t>que</w:t>
      </w:r>
      <w:r w:rsidR="00700267" w:rsidRPr="006D1C74">
        <w:rPr>
          <w:rFonts w:asciiTheme="majorHAnsi" w:eastAsia="Times New Roman" w:hAnsiTheme="majorHAnsi"/>
          <w:sz w:val="20"/>
          <w:szCs w:val="20"/>
          <w:lang w:val="pt-BR"/>
        </w:rPr>
        <w:t xml:space="preserve"> o </w:t>
      </w:r>
      <w:r w:rsidR="002649F0" w:rsidRPr="006D1C74">
        <w:rPr>
          <w:rFonts w:asciiTheme="majorHAnsi" w:eastAsia="Times New Roman" w:hAnsiTheme="majorHAnsi"/>
          <w:sz w:val="20"/>
          <w:szCs w:val="20"/>
          <w:lang w:val="pt-BR"/>
        </w:rPr>
        <w:t>magistrado,</w:t>
      </w:r>
      <w:r w:rsidR="00217759" w:rsidRPr="006D1C74">
        <w:rPr>
          <w:rFonts w:asciiTheme="majorHAnsi" w:eastAsia="Times New Roman" w:hAnsiTheme="majorHAnsi"/>
          <w:sz w:val="20"/>
          <w:szCs w:val="20"/>
          <w:lang w:val="pt-BR"/>
        </w:rPr>
        <w:t xml:space="preserve"> ao </w:t>
      </w:r>
      <w:r w:rsidR="00143756" w:rsidRPr="006D1C74">
        <w:rPr>
          <w:rFonts w:asciiTheme="majorHAnsi" w:eastAsia="Times New Roman" w:hAnsiTheme="majorHAnsi"/>
          <w:sz w:val="20"/>
          <w:szCs w:val="20"/>
          <w:lang w:val="pt-BR"/>
        </w:rPr>
        <w:t>proferir</w:t>
      </w:r>
      <w:r w:rsidR="00030019" w:rsidRPr="006D1C74">
        <w:rPr>
          <w:rFonts w:asciiTheme="majorHAnsi" w:eastAsia="Times New Roman" w:hAnsiTheme="majorHAnsi"/>
          <w:sz w:val="20"/>
          <w:szCs w:val="20"/>
          <w:lang w:val="pt-BR"/>
        </w:rPr>
        <w:t xml:space="preserve"> uma </w:t>
      </w:r>
      <w:r w:rsidR="002649F0" w:rsidRPr="006D1C74">
        <w:rPr>
          <w:rFonts w:asciiTheme="majorHAnsi" w:eastAsia="Times New Roman" w:hAnsiTheme="majorHAnsi"/>
          <w:sz w:val="20"/>
          <w:szCs w:val="20"/>
          <w:lang w:val="pt-BR"/>
        </w:rPr>
        <w:t>deci</w:t>
      </w:r>
      <w:r w:rsidR="0094446B" w:rsidRPr="006D1C74">
        <w:rPr>
          <w:rFonts w:asciiTheme="majorHAnsi" w:eastAsia="Times New Roman" w:hAnsiTheme="majorHAnsi"/>
          <w:sz w:val="20"/>
          <w:szCs w:val="20"/>
          <w:lang w:val="pt-BR"/>
        </w:rPr>
        <w:t>são</w:t>
      </w:r>
      <w:r w:rsidR="00F673C7" w:rsidRPr="006D1C74">
        <w:rPr>
          <w:rFonts w:asciiTheme="majorHAnsi" w:eastAsia="Times New Roman" w:hAnsiTheme="majorHAnsi"/>
          <w:sz w:val="20"/>
          <w:szCs w:val="20"/>
          <w:lang w:val="pt-BR"/>
        </w:rPr>
        <w:t xml:space="preserve"> </w:t>
      </w:r>
      <w:r w:rsidR="00143756" w:rsidRPr="006D1C74">
        <w:rPr>
          <w:rFonts w:asciiTheme="majorHAnsi" w:eastAsia="Times New Roman" w:hAnsiTheme="majorHAnsi"/>
          <w:sz w:val="20"/>
          <w:szCs w:val="20"/>
          <w:lang w:val="pt-BR"/>
        </w:rPr>
        <w:t>nesses</w:t>
      </w:r>
      <w:r w:rsidR="00F673C7" w:rsidRPr="006D1C74">
        <w:rPr>
          <w:rFonts w:asciiTheme="majorHAnsi" w:eastAsia="Times New Roman" w:hAnsiTheme="majorHAnsi"/>
          <w:sz w:val="20"/>
          <w:szCs w:val="20"/>
          <w:lang w:val="pt-BR"/>
        </w:rPr>
        <w:t xml:space="preserve"> </w:t>
      </w:r>
      <w:r w:rsidR="002649F0" w:rsidRPr="006D1C74">
        <w:rPr>
          <w:rFonts w:asciiTheme="majorHAnsi" w:eastAsia="Times New Roman" w:hAnsiTheme="majorHAnsi"/>
          <w:sz w:val="20"/>
          <w:szCs w:val="20"/>
          <w:lang w:val="pt-BR"/>
        </w:rPr>
        <w:t>t</w:t>
      </w:r>
      <w:r w:rsidR="00143756" w:rsidRPr="006D1C74">
        <w:rPr>
          <w:rFonts w:asciiTheme="majorHAnsi" w:eastAsia="Times New Roman" w:hAnsiTheme="majorHAnsi"/>
          <w:sz w:val="20"/>
          <w:szCs w:val="20"/>
          <w:lang w:val="pt-BR"/>
        </w:rPr>
        <w:t>e</w:t>
      </w:r>
      <w:r w:rsidR="002649F0" w:rsidRPr="006D1C74">
        <w:rPr>
          <w:rFonts w:asciiTheme="majorHAnsi" w:eastAsia="Times New Roman" w:hAnsiTheme="majorHAnsi"/>
          <w:sz w:val="20"/>
          <w:szCs w:val="20"/>
          <w:lang w:val="pt-BR"/>
        </w:rPr>
        <w:t xml:space="preserve">rmos, </w:t>
      </w:r>
      <w:r w:rsidR="00143756" w:rsidRPr="006D1C74">
        <w:rPr>
          <w:rFonts w:asciiTheme="majorHAnsi" w:eastAsia="Times New Roman" w:hAnsiTheme="majorHAnsi"/>
          <w:sz w:val="20"/>
          <w:szCs w:val="20"/>
          <w:lang w:val="pt-BR"/>
        </w:rPr>
        <w:t>ponderou</w:t>
      </w:r>
      <w:r w:rsidR="00700267" w:rsidRPr="006D1C74">
        <w:rPr>
          <w:rFonts w:asciiTheme="majorHAnsi" w:eastAsia="Times New Roman" w:hAnsiTheme="majorHAnsi"/>
          <w:sz w:val="20"/>
          <w:szCs w:val="20"/>
          <w:lang w:val="pt-BR"/>
        </w:rPr>
        <w:t xml:space="preserve"> os </w:t>
      </w:r>
      <w:r w:rsidR="00417BE8" w:rsidRPr="006D1C74">
        <w:rPr>
          <w:rFonts w:asciiTheme="majorHAnsi" w:eastAsia="Times New Roman" w:hAnsiTheme="majorHAnsi"/>
          <w:sz w:val="20"/>
          <w:szCs w:val="20"/>
          <w:lang w:val="pt-BR"/>
        </w:rPr>
        <w:t>direito</w:t>
      </w:r>
      <w:r w:rsidR="002649F0" w:rsidRPr="006D1C74">
        <w:rPr>
          <w:rFonts w:asciiTheme="majorHAnsi" w:eastAsia="Times New Roman" w:hAnsiTheme="majorHAnsi"/>
          <w:sz w:val="20"/>
          <w:szCs w:val="20"/>
          <w:lang w:val="pt-BR"/>
        </w:rPr>
        <w:t>s de circula</w:t>
      </w:r>
      <w:r w:rsidR="00CF037E" w:rsidRPr="006D1C74">
        <w:rPr>
          <w:rFonts w:asciiTheme="majorHAnsi" w:eastAsia="Times New Roman" w:hAnsiTheme="majorHAnsi"/>
          <w:sz w:val="20"/>
          <w:szCs w:val="20"/>
          <w:lang w:val="pt-BR"/>
        </w:rPr>
        <w:t xml:space="preserve">ção e </w:t>
      </w:r>
      <w:r w:rsidR="002649F0" w:rsidRPr="006D1C74">
        <w:rPr>
          <w:rFonts w:asciiTheme="majorHAnsi" w:eastAsia="Times New Roman" w:hAnsiTheme="majorHAnsi"/>
          <w:sz w:val="20"/>
          <w:szCs w:val="20"/>
          <w:lang w:val="pt-BR"/>
        </w:rPr>
        <w:t>de reuni</w:t>
      </w:r>
      <w:r w:rsidR="00143756" w:rsidRPr="006D1C74">
        <w:rPr>
          <w:rFonts w:asciiTheme="majorHAnsi" w:eastAsia="Times New Roman" w:hAnsiTheme="majorHAnsi"/>
          <w:sz w:val="20"/>
          <w:szCs w:val="20"/>
          <w:lang w:val="pt-BR"/>
        </w:rPr>
        <w:t>ão</w:t>
      </w:r>
      <w:r w:rsidR="002649F0" w:rsidRPr="006D1C74">
        <w:rPr>
          <w:rFonts w:asciiTheme="majorHAnsi" w:eastAsia="Times New Roman" w:hAnsiTheme="majorHAnsi"/>
          <w:sz w:val="20"/>
          <w:szCs w:val="20"/>
          <w:lang w:val="pt-BR"/>
        </w:rPr>
        <w:t xml:space="preserve"> junto</w:t>
      </w:r>
      <w:r w:rsidR="00F673C7" w:rsidRPr="006D1C74">
        <w:rPr>
          <w:rFonts w:asciiTheme="majorHAnsi" w:eastAsia="Times New Roman" w:hAnsiTheme="majorHAnsi"/>
          <w:sz w:val="20"/>
          <w:szCs w:val="20"/>
          <w:lang w:val="pt-BR"/>
        </w:rPr>
        <w:t xml:space="preserve"> com </w:t>
      </w:r>
      <w:r w:rsidR="00700267" w:rsidRPr="006D1C74">
        <w:rPr>
          <w:rFonts w:asciiTheme="majorHAnsi" w:eastAsia="Times New Roman" w:hAnsiTheme="majorHAnsi"/>
          <w:sz w:val="20"/>
          <w:szCs w:val="20"/>
          <w:lang w:val="pt-BR"/>
        </w:rPr>
        <w:t xml:space="preserve">a </w:t>
      </w:r>
      <w:r w:rsidR="002649F0" w:rsidRPr="006D1C74">
        <w:rPr>
          <w:rFonts w:asciiTheme="majorHAnsi" w:eastAsia="Times New Roman" w:hAnsiTheme="majorHAnsi"/>
          <w:sz w:val="20"/>
          <w:szCs w:val="20"/>
          <w:lang w:val="pt-BR"/>
        </w:rPr>
        <w:t>preocupa</w:t>
      </w:r>
      <w:r w:rsidR="00CF037E" w:rsidRPr="006D1C74">
        <w:rPr>
          <w:rFonts w:asciiTheme="majorHAnsi" w:eastAsia="Times New Roman" w:hAnsiTheme="majorHAnsi"/>
          <w:sz w:val="20"/>
          <w:szCs w:val="20"/>
          <w:lang w:val="pt-BR"/>
        </w:rPr>
        <w:t>ção</w:t>
      </w:r>
      <w:r w:rsidR="00F37852" w:rsidRPr="006D1C74">
        <w:rPr>
          <w:rFonts w:asciiTheme="majorHAnsi" w:eastAsia="Times New Roman" w:hAnsiTheme="majorHAnsi"/>
          <w:sz w:val="20"/>
          <w:szCs w:val="20"/>
          <w:lang w:val="pt-BR"/>
        </w:rPr>
        <w:t xml:space="preserve"> pela </w:t>
      </w:r>
      <w:r w:rsidR="002649F0" w:rsidRPr="006D1C74">
        <w:rPr>
          <w:rFonts w:asciiTheme="majorHAnsi" w:eastAsia="Times New Roman" w:hAnsiTheme="majorHAnsi"/>
          <w:sz w:val="20"/>
          <w:szCs w:val="20"/>
          <w:lang w:val="pt-BR"/>
        </w:rPr>
        <w:t>integri</w:t>
      </w:r>
      <w:r w:rsidR="00F673C7" w:rsidRPr="006D1C74">
        <w:rPr>
          <w:rFonts w:asciiTheme="majorHAnsi" w:eastAsia="Times New Roman" w:hAnsiTheme="majorHAnsi"/>
          <w:sz w:val="20"/>
          <w:szCs w:val="20"/>
          <w:lang w:val="pt-BR"/>
        </w:rPr>
        <w:t xml:space="preserve">dade </w:t>
      </w:r>
      <w:r w:rsidR="00030019" w:rsidRPr="006D1C74">
        <w:rPr>
          <w:rFonts w:asciiTheme="majorHAnsi" w:eastAsia="Times New Roman" w:hAnsiTheme="majorHAnsi"/>
          <w:sz w:val="20"/>
          <w:szCs w:val="20"/>
          <w:lang w:val="pt-BR"/>
        </w:rPr>
        <w:t xml:space="preserve">do </w:t>
      </w:r>
      <w:r w:rsidR="002649F0" w:rsidRPr="006D1C74">
        <w:rPr>
          <w:rFonts w:asciiTheme="majorHAnsi" w:eastAsia="Times New Roman" w:hAnsiTheme="majorHAnsi"/>
          <w:sz w:val="20"/>
          <w:szCs w:val="20"/>
          <w:lang w:val="pt-BR"/>
        </w:rPr>
        <w:t>patrim</w:t>
      </w:r>
      <w:r w:rsidR="00143756" w:rsidRPr="006D1C74">
        <w:rPr>
          <w:rFonts w:asciiTheme="majorHAnsi" w:eastAsia="Times New Roman" w:hAnsiTheme="majorHAnsi"/>
          <w:sz w:val="20"/>
          <w:szCs w:val="20"/>
          <w:lang w:val="pt-BR"/>
        </w:rPr>
        <w:t>ô</w:t>
      </w:r>
      <w:r w:rsidR="002649F0" w:rsidRPr="006D1C74">
        <w:rPr>
          <w:rFonts w:asciiTheme="majorHAnsi" w:eastAsia="Times New Roman" w:hAnsiTheme="majorHAnsi"/>
          <w:sz w:val="20"/>
          <w:szCs w:val="20"/>
          <w:lang w:val="pt-BR"/>
        </w:rPr>
        <w:t>nio público</w:t>
      </w:r>
      <w:r w:rsidR="00CF037E" w:rsidRPr="006D1C74">
        <w:rPr>
          <w:rFonts w:asciiTheme="majorHAnsi" w:eastAsia="Times New Roman" w:hAnsiTheme="majorHAnsi"/>
          <w:sz w:val="20"/>
          <w:szCs w:val="20"/>
          <w:lang w:val="pt-BR"/>
        </w:rPr>
        <w:t xml:space="preserve"> e</w:t>
      </w:r>
      <w:r w:rsidR="00D74A93" w:rsidRPr="006D1C74">
        <w:rPr>
          <w:rFonts w:asciiTheme="majorHAnsi" w:eastAsia="Times New Roman" w:hAnsiTheme="majorHAnsi"/>
          <w:sz w:val="20"/>
          <w:szCs w:val="20"/>
          <w:lang w:val="pt-BR"/>
        </w:rPr>
        <w:t xml:space="preserve"> das </w:t>
      </w:r>
      <w:r w:rsidR="00CA7940" w:rsidRPr="006D1C74">
        <w:rPr>
          <w:rFonts w:asciiTheme="majorHAnsi" w:eastAsia="Times New Roman" w:hAnsiTheme="majorHAnsi"/>
          <w:sz w:val="20"/>
          <w:szCs w:val="20"/>
          <w:lang w:val="pt-BR"/>
        </w:rPr>
        <w:t>pessoa</w:t>
      </w:r>
      <w:r w:rsidR="002649F0" w:rsidRPr="006D1C74">
        <w:rPr>
          <w:rFonts w:asciiTheme="majorHAnsi" w:eastAsia="Times New Roman" w:hAnsiTheme="majorHAnsi"/>
          <w:sz w:val="20"/>
          <w:szCs w:val="20"/>
          <w:lang w:val="pt-BR"/>
        </w:rPr>
        <w:t>s.</w:t>
      </w:r>
      <w:r w:rsidR="007A1947" w:rsidRPr="006D1C74">
        <w:rPr>
          <w:rFonts w:asciiTheme="majorHAnsi" w:eastAsia="Times New Roman" w:hAnsiTheme="majorHAnsi"/>
          <w:sz w:val="20"/>
          <w:szCs w:val="20"/>
          <w:lang w:val="pt-BR"/>
        </w:rPr>
        <w:t xml:space="preserve"> </w:t>
      </w:r>
    </w:p>
    <w:p w14:paraId="2F93FDEC" w14:textId="77777777" w:rsidR="007A1947" w:rsidRPr="006D1C74" w:rsidRDefault="007A1947" w:rsidP="007A194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lang w:val="pt-BR"/>
        </w:rPr>
      </w:pPr>
    </w:p>
    <w:p w14:paraId="5B811DCD" w14:textId="77777777" w:rsidR="002649F0" w:rsidRPr="006D1C74" w:rsidRDefault="000156C9"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pt-BR"/>
        </w:rPr>
      </w:pPr>
      <w:r w:rsidRPr="006D1C74">
        <w:rPr>
          <w:rFonts w:asciiTheme="majorHAnsi" w:eastAsia="Times New Roman" w:hAnsiTheme="majorHAnsi"/>
          <w:sz w:val="20"/>
          <w:szCs w:val="20"/>
          <w:lang w:val="pt-BR"/>
        </w:rPr>
        <w:t>Q</w:t>
      </w:r>
      <w:r w:rsidR="002649F0" w:rsidRPr="006D1C74">
        <w:rPr>
          <w:rFonts w:asciiTheme="majorHAnsi" w:eastAsia="Times New Roman" w:hAnsiTheme="majorHAnsi"/>
          <w:sz w:val="20"/>
          <w:szCs w:val="20"/>
          <w:lang w:val="pt-BR"/>
        </w:rPr>
        <w:t>uanto</w:t>
      </w:r>
      <w:r w:rsidR="00217759" w:rsidRPr="006D1C74">
        <w:rPr>
          <w:rFonts w:asciiTheme="majorHAnsi" w:eastAsia="Times New Roman" w:hAnsiTheme="majorHAnsi"/>
          <w:sz w:val="20"/>
          <w:szCs w:val="20"/>
          <w:lang w:val="pt-BR"/>
        </w:rPr>
        <w:t xml:space="preserve"> ao </w:t>
      </w:r>
      <w:r w:rsidR="002649F0" w:rsidRPr="006D1C74">
        <w:rPr>
          <w:rFonts w:asciiTheme="majorHAnsi" w:eastAsia="Times New Roman" w:hAnsiTheme="majorHAnsi"/>
          <w:sz w:val="20"/>
          <w:szCs w:val="20"/>
          <w:lang w:val="pt-BR"/>
        </w:rPr>
        <w:t>contexto,</w:t>
      </w:r>
      <w:r w:rsidR="00700267" w:rsidRPr="006D1C74">
        <w:rPr>
          <w:rFonts w:asciiTheme="majorHAnsi" w:eastAsia="Times New Roman" w:hAnsiTheme="majorHAnsi"/>
          <w:sz w:val="20"/>
          <w:szCs w:val="20"/>
          <w:lang w:val="pt-BR"/>
        </w:rPr>
        <w:t xml:space="preserve"> o </w:t>
      </w:r>
      <w:r w:rsidR="002649F0" w:rsidRPr="006D1C74">
        <w:rPr>
          <w:rFonts w:asciiTheme="majorHAnsi" w:eastAsia="Times New Roman" w:hAnsiTheme="majorHAnsi"/>
          <w:sz w:val="20"/>
          <w:szCs w:val="20"/>
          <w:lang w:val="pt-BR"/>
        </w:rPr>
        <w:t>Estado informa que</w:t>
      </w:r>
      <w:r w:rsidR="00700267" w:rsidRPr="006D1C74">
        <w:rPr>
          <w:rFonts w:asciiTheme="majorHAnsi" w:eastAsia="Times New Roman" w:hAnsiTheme="majorHAnsi"/>
          <w:sz w:val="20"/>
          <w:szCs w:val="20"/>
          <w:lang w:val="pt-BR"/>
        </w:rPr>
        <w:t xml:space="preserve"> o </w:t>
      </w:r>
      <w:r w:rsidR="00143756" w:rsidRPr="006D1C74">
        <w:rPr>
          <w:rFonts w:asciiTheme="majorHAnsi" w:eastAsia="Times New Roman" w:hAnsiTheme="majorHAnsi"/>
          <w:sz w:val="20"/>
          <w:szCs w:val="20"/>
          <w:lang w:val="pt-BR"/>
        </w:rPr>
        <w:t>governo</w:t>
      </w:r>
      <w:r w:rsidR="002649F0" w:rsidRPr="006D1C74">
        <w:rPr>
          <w:rFonts w:asciiTheme="majorHAnsi" w:eastAsia="Times New Roman" w:hAnsiTheme="majorHAnsi"/>
          <w:sz w:val="20"/>
          <w:szCs w:val="20"/>
          <w:lang w:val="pt-BR"/>
        </w:rPr>
        <w:t xml:space="preserve"> federal</w:t>
      </w:r>
      <w:r w:rsidR="00CF037E" w:rsidRPr="006D1C74">
        <w:rPr>
          <w:rFonts w:asciiTheme="majorHAnsi" w:eastAsia="Times New Roman" w:hAnsiTheme="majorHAnsi"/>
          <w:sz w:val="20"/>
          <w:szCs w:val="20"/>
          <w:lang w:val="pt-BR"/>
        </w:rPr>
        <w:t xml:space="preserve"> e</w:t>
      </w:r>
      <w:r w:rsidR="00700267" w:rsidRPr="006D1C74">
        <w:rPr>
          <w:rFonts w:asciiTheme="majorHAnsi" w:eastAsia="Times New Roman" w:hAnsiTheme="majorHAnsi"/>
          <w:sz w:val="20"/>
          <w:szCs w:val="20"/>
          <w:lang w:val="pt-BR"/>
        </w:rPr>
        <w:t xml:space="preserve"> o </w:t>
      </w:r>
      <w:r w:rsidR="00143756" w:rsidRPr="006D1C74">
        <w:rPr>
          <w:rFonts w:asciiTheme="majorHAnsi" w:eastAsia="Times New Roman" w:hAnsiTheme="majorHAnsi"/>
          <w:sz w:val="20"/>
          <w:szCs w:val="20"/>
          <w:lang w:val="pt-BR"/>
        </w:rPr>
        <w:t>governo</w:t>
      </w:r>
      <w:r w:rsidR="00030019" w:rsidRPr="006D1C74">
        <w:rPr>
          <w:rFonts w:asciiTheme="majorHAnsi" w:eastAsia="Times New Roman" w:hAnsiTheme="majorHAnsi"/>
          <w:sz w:val="20"/>
          <w:szCs w:val="20"/>
          <w:lang w:val="pt-BR"/>
        </w:rPr>
        <w:t xml:space="preserve"> do </w:t>
      </w:r>
      <w:r w:rsidR="002649F0" w:rsidRPr="006D1C74">
        <w:rPr>
          <w:rFonts w:asciiTheme="majorHAnsi" w:eastAsia="Times New Roman" w:hAnsiTheme="majorHAnsi"/>
          <w:sz w:val="20"/>
          <w:szCs w:val="20"/>
          <w:lang w:val="pt-BR"/>
        </w:rPr>
        <w:t>estado toma</w:t>
      </w:r>
      <w:r w:rsidRPr="006D1C74">
        <w:rPr>
          <w:rFonts w:asciiTheme="majorHAnsi" w:eastAsia="Times New Roman" w:hAnsiTheme="majorHAnsi"/>
          <w:sz w:val="20"/>
          <w:szCs w:val="20"/>
          <w:lang w:val="pt-BR"/>
        </w:rPr>
        <w:t>ram</w:t>
      </w:r>
      <w:r w:rsidR="002649F0" w:rsidRPr="006D1C74">
        <w:rPr>
          <w:rFonts w:asciiTheme="majorHAnsi" w:eastAsia="Times New Roman" w:hAnsiTheme="majorHAnsi"/>
          <w:sz w:val="20"/>
          <w:szCs w:val="20"/>
          <w:lang w:val="pt-BR"/>
        </w:rPr>
        <w:t xml:space="preserve"> diversas medidas, como</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cr</w:t>
      </w:r>
      <w:r w:rsidRPr="006D1C74">
        <w:rPr>
          <w:rFonts w:asciiTheme="majorHAnsi" w:eastAsia="Times New Roman" w:hAnsiTheme="majorHAnsi"/>
          <w:sz w:val="20"/>
          <w:szCs w:val="20"/>
          <w:lang w:val="pt-BR"/>
        </w:rPr>
        <w:t>i</w:t>
      </w:r>
      <w:r w:rsidR="002649F0" w:rsidRPr="006D1C74">
        <w:rPr>
          <w:rFonts w:asciiTheme="majorHAnsi" w:eastAsia="Times New Roman" w:hAnsiTheme="majorHAnsi"/>
          <w:sz w:val="20"/>
          <w:szCs w:val="20"/>
          <w:lang w:val="pt-BR"/>
        </w:rPr>
        <w:t>a</w:t>
      </w:r>
      <w:r w:rsidR="00CF037E" w:rsidRPr="006D1C74">
        <w:rPr>
          <w:rFonts w:asciiTheme="majorHAnsi" w:eastAsia="Times New Roman" w:hAnsiTheme="majorHAnsi"/>
          <w:sz w:val="20"/>
          <w:szCs w:val="20"/>
          <w:lang w:val="pt-BR"/>
        </w:rPr>
        <w:t>ção</w:t>
      </w:r>
      <w:r w:rsidR="00795010" w:rsidRPr="006D1C74">
        <w:rPr>
          <w:rFonts w:asciiTheme="majorHAnsi" w:eastAsia="Times New Roman" w:hAnsiTheme="majorHAnsi"/>
          <w:sz w:val="20"/>
          <w:szCs w:val="20"/>
          <w:lang w:val="pt-BR"/>
        </w:rPr>
        <w:t xml:space="preserve"> da </w:t>
      </w:r>
      <w:r w:rsidRPr="006D1C74">
        <w:rPr>
          <w:rFonts w:asciiTheme="majorHAnsi" w:eastAsia="Times New Roman" w:hAnsiTheme="majorHAnsi"/>
          <w:sz w:val="20"/>
          <w:szCs w:val="20"/>
          <w:lang w:val="pt-BR"/>
        </w:rPr>
        <w:t>Ouvi</w:t>
      </w:r>
      <w:r w:rsidR="002649F0" w:rsidRPr="006D1C74">
        <w:rPr>
          <w:rFonts w:asciiTheme="majorHAnsi" w:eastAsia="Times New Roman" w:hAnsiTheme="majorHAnsi"/>
          <w:sz w:val="20"/>
          <w:szCs w:val="20"/>
          <w:lang w:val="pt-BR"/>
        </w:rPr>
        <w:t>d</w:t>
      </w:r>
      <w:r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r</w:t>
      </w:r>
      <w:r w:rsidR="00055622" w:rsidRPr="006D1C74">
        <w:rPr>
          <w:rFonts w:asciiTheme="majorHAnsi" w:eastAsia="Times New Roman" w:hAnsiTheme="majorHAnsi"/>
          <w:sz w:val="20"/>
          <w:szCs w:val="20"/>
          <w:lang w:val="pt-BR"/>
        </w:rPr>
        <w:t>ia</w:t>
      </w:r>
      <w:r w:rsidR="002649F0" w:rsidRPr="006D1C74">
        <w:rPr>
          <w:rFonts w:asciiTheme="majorHAnsi" w:eastAsia="Times New Roman" w:hAnsiTheme="majorHAnsi"/>
          <w:sz w:val="20"/>
          <w:szCs w:val="20"/>
          <w:lang w:val="pt-BR"/>
        </w:rPr>
        <w:t xml:space="preserve"> Agr</w:t>
      </w:r>
      <w:r w:rsidRPr="006D1C74">
        <w:rPr>
          <w:rFonts w:asciiTheme="majorHAnsi" w:eastAsia="Times New Roman" w:hAnsiTheme="majorHAnsi"/>
          <w:sz w:val="20"/>
          <w:szCs w:val="20"/>
          <w:lang w:val="pt-BR"/>
        </w:rPr>
        <w:t>á</w:t>
      </w:r>
      <w:r w:rsidR="002649F0" w:rsidRPr="006D1C74">
        <w:rPr>
          <w:rFonts w:asciiTheme="majorHAnsi" w:eastAsia="Times New Roman" w:hAnsiTheme="majorHAnsi"/>
          <w:sz w:val="20"/>
          <w:szCs w:val="20"/>
          <w:lang w:val="pt-BR"/>
        </w:rPr>
        <w:t>ria Nacional,</w:t>
      </w:r>
      <w:r w:rsidR="00700267" w:rsidRPr="006D1C74">
        <w:rPr>
          <w:rFonts w:asciiTheme="majorHAnsi" w:eastAsia="Times New Roman" w:hAnsiTheme="majorHAnsi"/>
          <w:sz w:val="20"/>
          <w:szCs w:val="20"/>
          <w:lang w:val="pt-BR"/>
        </w:rPr>
        <w:t xml:space="preserve"> </w:t>
      </w:r>
      <w:r w:rsidR="000B6979">
        <w:rPr>
          <w:rFonts w:asciiTheme="majorHAnsi" w:eastAsia="Times New Roman" w:hAnsiTheme="majorHAnsi"/>
          <w:sz w:val="20"/>
          <w:szCs w:val="20"/>
          <w:lang w:val="pt-BR"/>
        </w:rPr>
        <w:t>d</w:t>
      </w:r>
      <w:r w:rsidR="00700267" w:rsidRPr="006D1C74">
        <w:rPr>
          <w:rFonts w:asciiTheme="majorHAnsi" w:eastAsia="Times New Roman" w:hAnsiTheme="majorHAnsi"/>
          <w:sz w:val="20"/>
          <w:szCs w:val="20"/>
          <w:lang w:val="pt-BR"/>
        </w:rPr>
        <w:t xml:space="preserve">o </w:t>
      </w:r>
      <w:r w:rsidR="002649F0" w:rsidRPr="006D1C74">
        <w:rPr>
          <w:rFonts w:asciiTheme="majorHAnsi" w:eastAsia="Times New Roman" w:hAnsiTheme="majorHAnsi"/>
          <w:sz w:val="20"/>
          <w:szCs w:val="20"/>
          <w:lang w:val="pt-BR"/>
        </w:rPr>
        <w:t>P</w:t>
      </w:r>
      <w:r w:rsidRPr="006D1C74">
        <w:rPr>
          <w:rFonts w:asciiTheme="majorHAnsi" w:eastAsia="Times New Roman" w:hAnsiTheme="majorHAnsi"/>
          <w:sz w:val="20"/>
          <w:szCs w:val="20"/>
          <w:lang w:val="pt-BR"/>
        </w:rPr>
        <w:t>lano</w:t>
      </w:r>
      <w:r w:rsidR="002649F0" w:rsidRPr="006D1C74">
        <w:rPr>
          <w:rFonts w:asciiTheme="majorHAnsi" w:eastAsia="Times New Roman" w:hAnsiTheme="majorHAnsi"/>
          <w:sz w:val="20"/>
          <w:szCs w:val="20"/>
          <w:lang w:val="pt-BR"/>
        </w:rPr>
        <w:t xml:space="preserve"> Nacional de Combate </w:t>
      </w:r>
      <w:r w:rsidRPr="006D1C74">
        <w:rPr>
          <w:rFonts w:asciiTheme="majorHAnsi" w:eastAsia="Times New Roman" w:hAnsiTheme="majorHAnsi"/>
          <w:sz w:val="20"/>
          <w:szCs w:val="20"/>
          <w:lang w:val="pt-BR"/>
        </w:rPr>
        <w:t>à</w:t>
      </w:r>
      <w:r w:rsidR="00700267" w:rsidRPr="006D1C74">
        <w:rPr>
          <w:rFonts w:asciiTheme="majorHAnsi" w:eastAsia="Times New Roman" w:hAnsiTheme="majorHAnsi"/>
          <w:sz w:val="20"/>
          <w:szCs w:val="20"/>
          <w:lang w:val="pt-BR"/>
        </w:rPr>
        <w:t xml:space="preserve"> </w:t>
      </w:r>
      <w:r w:rsidR="00143756" w:rsidRPr="006D1C74">
        <w:rPr>
          <w:rFonts w:asciiTheme="majorHAnsi" w:eastAsia="Times New Roman" w:hAnsiTheme="majorHAnsi"/>
          <w:sz w:val="20"/>
          <w:szCs w:val="20"/>
          <w:lang w:val="pt-BR"/>
        </w:rPr>
        <w:t>Violência</w:t>
      </w:r>
      <w:r w:rsidR="00FC2F62" w:rsidRPr="006D1C74">
        <w:rPr>
          <w:rFonts w:asciiTheme="majorHAnsi" w:eastAsia="Times New Roman" w:hAnsiTheme="majorHAnsi"/>
          <w:sz w:val="20"/>
          <w:szCs w:val="20"/>
          <w:lang w:val="pt-BR"/>
        </w:rPr>
        <w:t xml:space="preserve"> no </w:t>
      </w:r>
      <w:r w:rsidR="002649F0" w:rsidRPr="006D1C74">
        <w:rPr>
          <w:rFonts w:asciiTheme="majorHAnsi" w:eastAsia="Times New Roman" w:hAnsiTheme="majorHAnsi"/>
          <w:sz w:val="20"/>
          <w:szCs w:val="20"/>
          <w:lang w:val="pt-BR"/>
        </w:rPr>
        <w:t>Campo, de procurad</w:t>
      </w:r>
      <w:r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r</w:t>
      </w:r>
      <w:r w:rsidR="00055622" w:rsidRPr="006D1C74">
        <w:rPr>
          <w:rFonts w:asciiTheme="majorHAnsi" w:eastAsia="Times New Roman" w:hAnsiTheme="majorHAnsi"/>
          <w:sz w:val="20"/>
          <w:szCs w:val="20"/>
          <w:lang w:val="pt-BR"/>
        </w:rPr>
        <w:t>ia</w:t>
      </w:r>
      <w:r w:rsidR="002649F0" w:rsidRPr="006D1C74">
        <w:rPr>
          <w:rFonts w:asciiTheme="majorHAnsi" w:eastAsia="Times New Roman" w:hAnsiTheme="majorHAnsi"/>
          <w:sz w:val="20"/>
          <w:szCs w:val="20"/>
          <w:lang w:val="pt-BR"/>
        </w:rPr>
        <w:t xml:space="preserve">s, </w:t>
      </w:r>
      <w:r w:rsidRPr="006D1C74">
        <w:rPr>
          <w:rFonts w:asciiTheme="majorHAnsi" w:eastAsia="Times New Roman" w:hAnsiTheme="majorHAnsi"/>
          <w:sz w:val="20"/>
          <w:szCs w:val="20"/>
          <w:lang w:val="pt-BR"/>
        </w:rPr>
        <w:t>delegac</w:t>
      </w:r>
      <w:r w:rsidR="00055622" w:rsidRPr="006D1C74">
        <w:rPr>
          <w:rFonts w:asciiTheme="majorHAnsi" w:eastAsia="Times New Roman" w:hAnsiTheme="majorHAnsi"/>
          <w:sz w:val="20"/>
          <w:szCs w:val="20"/>
          <w:lang w:val="pt-BR"/>
        </w:rPr>
        <w:t>ia</w:t>
      </w:r>
      <w:r w:rsidR="002649F0" w:rsidRPr="006D1C74">
        <w:rPr>
          <w:rFonts w:asciiTheme="majorHAnsi" w:eastAsia="Times New Roman" w:hAnsiTheme="majorHAnsi"/>
          <w:sz w:val="20"/>
          <w:szCs w:val="20"/>
          <w:lang w:val="pt-BR"/>
        </w:rPr>
        <w:t>s</w:t>
      </w:r>
      <w:r w:rsidR="00CF037E" w:rsidRPr="006D1C74">
        <w:rPr>
          <w:rFonts w:asciiTheme="majorHAnsi" w:eastAsia="Times New Roman" w:hAnsiTheme="majorHAnsi"/>
          <w:sz w:val="20"/>
          <w:szCs w:val="20"/>
          <w:lang w:val="pt-BR"/>
        </w:rPr>
        <w:t xml:space="preserve"> e </w:t>
      </w:r>
      <w:r w:rsidR="002649F0" w:rsidRPr="006D1C74">
        <w:rPr>
          <w:rFonts w:asciiTheme="majorHAnsi" w:eastAsia="Times New Roman" w:hAnsiTheme="majorHAnsi"/>
          <w:sz w:val="20"/>
          <w:szCs w:val="20"/>
          <w:lang w:val="pt-BR"/>
        </w:rPr>
        <w:t>defensor</w:t>
      </w:r>
      <w:r w:rsidR="00055622" w:rsidRPr="006D1C74">
        <w:rPr>
          <w:rFonts w:asciiTheme="majorHAnsi" w:eastAsia="Times New Roman" w:hAnsiTheme="majorHAnsi"/>
          <w:sz w:val="20"/>
          <w:szCs w:val="20"/>
          <w:lang w:val="pt-BR"/>
        </w:rPr>
        <w:t>ia</w:t>
      </w:r>
      <w:r w:rsidR="002649F0" w:rsidRPr="006D1C74">
        <w:rPr>
          <w:rFonts w:asciiTheme="majorHAnsi" w:eastAsia="Times New Roman" w:hAnsiTheme="majorHAnsi"/>
          <w:sz w:val="20"/>
          <w:szCs w:val="20"/>
          <w:lang w:val="pt-BR"/>
        </w:rPr>
        <w:t>s públicas especializadas</w:t>
      </w:r>
      <w:r w:rsidR="00F673C7" w:rsidRPr="006D1C74">
        <w:rPr>
          <w:rFonts w:asciiTheme="majorHAnsi" w:eastAsia="Times New Roman" w:hAnsiTheme="majorHAnsi"/>
          <w:sz w:val="20"/>
          <w:szCs w:val="20"/>
          <w:lang w:val="pt-BR"/>
        </w:rPr>
        <w:t xml:space="preserve"> em </w:t>
      </w:r>
      <w:r w:rsidR="002649F0" w:rsidRPr="006D1C74">
        <w:rPr>
          <w:rFonts w:asciiTheme="majorHAnsi" w:eastAsia="Times New Roman" w:hAnsiTheme="majorHAnsi"/>
          <w:sz w:val="20"/>
          <w:szCs w:val="20"/>
          <w:lang w:val="pt-BR"/>
        </w:rPr>
        <w:t>conflitos agr</w:t>
      </w:r>
      <w:r w:rsidRPr="006D1C74">
        <w:rPr>
          <w:rFonts w:asciiTheme="majorHAnsi" w:eastAsia="Times New Roman" w:hAnsiTheme="majorHAnsi"/>
          <w:sz w:val="20"/>
          <w:szCs w:val="20"/>
          <w:lang w:val="pt-BR"/>
        </w:rPr>
        <w:t>á</w:t>
      </w:r>
      <w:r w:rsidR="002649F0" w:rsidRPr="006D1C74">
        <w:rPr>
          <w:rFonts w:asciiTheme="majorHAnsi" w:eastAsia="Times New Roman" w:hAnsiTheme="majorHAnsi"/>
          <w:sz w:val="20"/>
          <w:szCs w:val="20"/>
          <w:lang w:val="pt-BR"/>
        </w:rPr>
        <w:t xml:space="preserve">rios, entre </w:t>
      </w:r>
      <w:r w:rsidR="00CF037E" w:rsidRPr="006D1C74">
        <w:rPr>
          <w:rFonts w:asciiTheme="majorHAnsi" w:eastAsia="Times New Roman" w:hAnsiTheme="majorHAnsi"/>
          <w:sz w:val="20"/>
          <w:szCs w:val="20"/>
          <w:lang w:val="pt-BR"/>
        </w:rPr>
        <w:t>outr</w:t>
      </w:r>
      <w:r w:rsidR="002649F0" w:rsidRPr="006D1C74">
        <w:rPr>
          <w:rFonts w:asciiTheme="majorHAnsi" w:eastAsia="Times New Roman" w:hAnsiTheme="majorHAnsi"/>
          <w:sz w:val="20"/>
          <w:szCs w:val="20"/>
          <w:lang w:val="pt-BR"/>
        </w:rPr>
        <w:t>as, para prevenir</w:t>
      </w:r>
      <w:r w:rsidR="00CF037E" w:rsidRPr="006D1C74">
        <w:rPr>
          <w:rFonts w:asciiTheme="majorHAnsi" w:eastAsia="Times New Roman" w:hAnsiTheme="majorHAnsi"/>
          <w:sz w:val="20"/>
          <w:szCs w:val="20"/>
          <w:lang w:val="pt-BR"/>
        </w:rPr>
        <w:t xml:space="preserve"> e </w:t>
      </w:r>
      <w:r w:rsidR="002649F0" w:rsidRPr="006D1C74">
        <w:rPr>
          <w:rFonts w:asciiTheme="majorHAnsi" w:eastAsia="Times New Roman" w:hAnsiTheme="majorHAnsi"/>
          <w:sz w:val="20"/>
          <w:szCs w:val="20"/>
          <w:lang w:val="pt-BR"/>
        </w:rPr>
        <w:t>combat</w:t>
      </w:r>
      <w:r w:rsidRPr="006D1C74">
        <w:rPr>
          <w:rFonts w:asciiTheme="majorHAnsi" w:eastAsia="Times New Roman" w:hAnsiTheme="majorHAnsi"/>
          <w:sz w:val="20"/>
          <w:szCs w:val="20"/>
          <w:lang w:val="pt-BR"/>
        </w:rPr>
        <w:t>e</w:t>
      </w:r>
      <w:r w:rsidR="002649F0" w:rsidRPr="006D1C74">
        <w:rPr>
          <w:rFonts w:asciiTheme="majorHAnsi" w:eastAsia="Times New Roman" w:hAnsiTheme="majorHAnsi"/>
          <w:sz w:val="20"/>
          <w:szCs w:val="20"/>
          <w:lang w:val="pt-BR"/>
        </w:rPr>
        <w:t>r</w:t>
      </w:r>
      <w:r w:rsidR="00700267" w:rsidRPr="006D1C74">
        <w:rPr>
          <w:rFonts w:asciiTheme="majorHAnsi" w:eastAsia="Times New Roman" w:hAnsiTheme="majorHAnsi"/>
          <w:sz w:val="20"/>
          <w:szCs w:val="20"/>
          <w:lang w:val="pt-BR"/>
        </w:rPr>
        <w:t xml:space="preserve"> a </w:t>
      </w:r>
      <w:r w:rsidR="00143756" w:rsidRPr="006D1C74">
        <w:rPr>
          <w:rFonts w:asciiTheme="majorHAnsi" w:eastAsia="Times New Roman" w:hAnsiTheme="majorHAnsi"/>
          <w:sz w:val="20"/>
          <w:szCs w:val="20"/>
          <w:lang w:val="pt-BR"/>
        </w:rPr>
        <w:t>violência</w:t>
      </w:r>
      <w:r w:rsidR="00FC2F62" w:rsidRPr="006D1C74">
        <w:rPr>
          <w:rFonts w:asciiTheme="majorHAnsi" w:eastAsia="Times New Roman" w:hAnsiTheme="majorHAnsi"/>
          <w:sz w:val="20"/>
          <w:szCs w:val="20"/>
          <w:lang w:val="pt-BR"/>
        </w:rPr>
        <w:t xml:space="preserve"> no </w:t>
      </w:r>
      <w:r w:rsidR="002649F0" w:rsidRPr="006D1C74">
        <w:rPr>
          <w:rFonts w:asciiTheme="majorHAnsi" w:eastAsia="Times New Roman" w:hAnsiTheme="majorHAnsi"/>
          <w:sz w:val="20"/>
          <w:szCs w:val="20"/>
          <w:lang w:val="pt-BR"/>
        </w:rPr>
        <w:t xml:space="preserve">campo, que </w:t>
      </w:r>
      <w:r w:rsidRPr="006D1C74">
        <w:rPr>
          <w:rFonts w:asciiTheme="majorHAnsi" w:eastAsia="Times New Roman" w:hAnsiTheme="majorHAnsi"/>
          <w:sz w:val="20"/>
          <w:szCs w:val="20"/>
          <w:lang w:val="pt-BR"/>
        </w:rPr>
        <w:t>levou</w:t>
      </w:r>
      <w:r w:rsidR="002649F0" w:rsidRPr="006D1C74">
        <w:rPr>
          <w:rFonts w:asciiTheme="majorHAnsi" w:eastAsia="Times New Roman" w:hAnsiTheme="majorHAnsi"/>
          <w:sz w:val="20"/>
          <w:szCs w:val="20"/>
          <w:lang w:val="pt-BR"/>
        </w:rPr>
        <w:t xml:space="preserve"> a</w:t>
      </w:r>
      <w:r w:rsidR="00030019" w:rsidRPr="006D1C74">
        <w:rPr>
          <w:rFonts w:asciiTheme="majorHAnsi" w:eastAsia="Times New Roman" w:hAnsiTheme="majorHAnsi"/>
          <w:sz w:val="20"/>
          <w:szCs w:val="20"/>
          <w:lang w:val="pt-BR"/>
        </w:rPr>
        <w:t xml:space="preserve"> uma </w:t>
      </w:r>
      <w:r w:rsidR="002649F0" w:rsidRPr="006D1C74">
        <w:rPr>
          <w:rFonts w:asciiTheme="majorHAnsi" w:eastAsia="Times New Roman" w:hAnsiTheme="majorHAnsi"/>
          <w:sz w:val="20"/>
          <w:szCs w:val="20"/>
          <w:lang w:val="pt-BR"/>
        </w:rPr>
        <w:t>diminu</w:t>
      </w:r>
      <w:r w:rsidRPr="006D1C74">
        <w:rPr>
          <w:rFonts w:asciiTheme="majorHAnsi" w:eastAsia="Times New Roman" w:hAnsiTheme="majorHAnsi"/>
          <w:sz w:val="20"/>
          <w:szCs w:val="20"/>
          <w:lang w:val="pt-BR"/>
        </w:rPr>
        <w:t>i</w:t>
      </w:r>
      <w:r w:rsidR="00CF037E" w:rsidRPr="006D1C74">
        <w:rPr>
          <w:rFonts w:asciiTheme="majorHAnsi" w:eastAsia="Times New Roman" w:hAnsiTheme="majorHAnsi"/>
          <w:sz w:val="20"/>
          <w:szCs w:val="20"/>
          <w:lang w:val="pt-BR"/>
        </w:rPr>
        <w:t>ção</w:t>
      </w:r>
      <w:r w:rsidR="00700267" w:rsidRPr="006D1C74">
        <w:rPr>
          <w:rFonts w:asciiTheme="majorHAnsi" w:eastAsia="Times New Roman" w:hAnsiTheme="majorHAnsi"/>
          <w:sz w:val="20"/>
          <w:szCs w:val="20"/>
          <w:lang w:val="pt-BR"/>
        </w:rPr>
        <w:t xml:space="preserve"> dos </w:t>
      </w:r>
      <w:r w:rsidR="00623C35" w:rsidRPr="006D1C74">
        <w:rPr>
          <w:rFonts w:asciiTheme="majorHAnsi" w:eastAsia="Times New Roman" w:hAnsiTheme="majorHAnsi"/>
          <w:sz w:val="20"/>
          <w:szCs w:val="20"/>
          <w:lang w:val="pt-BR"/>
        </w:rPr>
        <w:t>conflitos</w:t>
      </w:r>
      <w:r w:rsidR="00CF037E" w:rsidRPr="006D1C74">
        <w:rPr>
          <w:rFonts w:asciiTheme="majorHAnsi" w:eastAsia="Times New Roman" w:hAnsiTheme="majorHAnsi"/>
          <w:sz w:val="20"/>
          <w:szCs w:val="20"/>
          <w:lang w:val="pt-BR"/>
        </w:rPr>
        <w:t xml:space="preserve"> e</w:t>
      </w:r>
      <w:r w:rsidR="00795010" w:rsidRPr="006D1C74">
        <w:rPr>
          <w:rFonts w:asciiTheme="majorHAnsi" w:eastAsia="Times New Roman" w:hAnsiTheme="majorHAnsi"/>
          <w:sz w:val="20"/>
          <w:szCs w:val="20"/>
          <w:lang w:val="pt-BR"/>
        </w:rPr>
        <w:t xml:space="preserve"> da </w:t>
      </w:r>
      <w:r w:rsidR="00143756" w:rsidRPr="006D1C74">
        <w:rPr>
          <w:rFonts w:asciiTheme="majorHAnsi" w:eastAsia="Times New Roman" w:hAnsiTheme="majorHAnsi"/>
          <w:sz w:val="20"/>
          <w:szCs w:val="20"/>
          <w:lang w:val="pt-BR"/>
        </w:rPr>
        <w:t>violência</w:t>
      </w:r>
      <w:r w:rsidR="00F673C7" w:rsidRPr="006D1C74">
        <w:rPr>
          <w:rFonts w:asciiTheme="majorHAnsi" w:eastAsia="Times New Roman" w:hAnsiTheme="majorHAnsi"/>
          <w:sz w:val="20"/>
          <w:szCs w:val="20"/>
          <w:lang w:val="pt-BR"/>
        </w:rPr>
        <w:t xml:space="preserve"> </w:t>
      </w:r>
      <w:r w:rsidRPr="006D1C74">
        <w:rPr>
          <w:rFonts w:asciiTheme="majorHAnsi" w:eastAsia="Times New Roman" w:hAnsiTheme="majorHAnsi"/>
          <w:sz w:val="20"/>
          <w:szCs w:val="20"/>
          <w:lang w:val="pt-BR"/>
        </w:rPr>
        <w:t>n</w:t>
      </w:r>
      <w:r w:rsidR="00F673C7" w:rsidRPr="006D1C74">
        <w:rPr>
          <w:rFonts w:asciiTheme="majorHAnsi" w:eastAsia="Times New Roman" w:hAnsiTheme="majorHAnsi"/>
          <w:sz w:val="20"/>
          <w:szCs w:val="20"/>
          <w:lang w:val="pt-BR"/>
        </w:rPr>
        <w:t>e</w:t>
      </w:r>
      <w:r w:rsidRPr="006D1C74">
        <w:rPr>
          <w:rFonts w:asciiTheme="majorHAnsi" w:eastAsia="Times New Roman" w:hAnsiTheme="majorHAnsi"/>
          <w:sz w:val="20"/>
          <w:szCs w:val="20"/>
          <w:lang w:val="pt-BR"/>
        </w:rPr>
        <w:t>s</w:t>
      </w:r>
      <w:r w:rsidR="002649F0" w:rsidRPr="006D1C74">
        <w:rPr>
          <w:rFonts w:asciiTheme="majorHAnsi" w:eastAsia="Times New Roman" w:hAnsiTheme="majorHAnsi"/>
          <w:sz w:val="20"/>
          <w:szCs w:val="20"/>
          <w:lang w:val="pt-BR"/>
        </w:rPr>
        <w:t xml:space="preserve">sa </w:t>
      </w:r>
      <w:r w:rsidRPr="006D1C74">
        <w:rPr>
          <w:rFonts w:asciiTheme="majorHAnsi" w:eastAsia="Times New Roman" w:hAnsiTheme="majorHAnsi"/>
          <w:sz w:val="20"/>
          <w:szCs w:val="20"/>
          <w:lang w:val="pt-BR"/>
        </w:rPr>
        <w:t>área</w:t>
      </w:r>
      <w:r w:rsidR="002649F0" w:rsidRPr="006D1C74">
        <w:rPr>
          <w:rFonts w:asciiTheme="majorHAnsi" w:eastAsia="Times New Roman" w:hAnsiTheme="majorHAnsi"/>
          <w:sz w:val="20"/>
          <w:szCs w:val="20"/>
          <w:lang w:val="pt-BR"/>
        </w:rPr>
        <w:t>.</w:t>
      </w:r>
    </w:p>
    <w:p w14:paraId="03611DDD" w14:textId="77777777" w:rsidR="002649F0" w:rsidRPr="006D1C74" w:rsidRDefault="002649F0" w:rsidP="002649F0">
      <w:pPr>
        <w:ind w:left="720"/>
        <w:rPr>
          <w:rFonts w:asciiTheme="majorHAnsi" w:eastAsia="Times New Roman" w:hAnsiTheme="majorHAnsi"/>
          <w:sz w:val="20"/>
          <w:szCs w:val="20"/>
          <w:u w:color="000000"/>
          <w:lang w:val="pt-BR"/>
        </w:rPr>
      </w:pPr>
    </w:p>
    <w:p w14:paraId="3FC35956" w14:textId="77777777" w:rsidR="002649F0" w:rsidRPr="006D1C74" w:rsidRDefault="00B4216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pt-BR"/>
        </w:rPr>
      </w:pPr>
      <w:r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 xml:space="preserve"> Estado descr</w:t>
      </w:r>
      <w:r w:rsidR="000156C9" w:rsidRPr="006D1C74">
        <w:rPr>
          <w:rFonts w:asciiTheme="majorHAnsi" w:eastAsia="Times New Roman" w:hAnsiTheme="majorHAnsi"/>
          <w:sz w:val="20"/>
          <w:szCs w:val="20"/>
          <w:lang w:val="pt-BR"/>
        </w:rPr>
        <w:t>ev</w:t>
      </w:r>
      <w:r w:rsidR="002649F0" w:rsidRPr="006D1C74">
        <w:rPr>
          <w:rFonts w:asciiTheme="majorHAnsi" w:eastAsia="Times New Roman" w:hAnsiTheme="majorHAnsi"/>
          <w:sz w:val="20"/>
          <w:szCs w:val="20"/>
          <w:lang w:val="pt-BR"/>
        </w:rPr>
        <w:t xml:space="preserve">e </w:t>
      </w:r>
      <w:r w:rsidR="00501D1D" w:rsidRPr="006D1C74">
        <w:rPr>
          <w:rFonts w:asciiTheme="majorHAnsi" w:eastAsia="Times New Roman" w:hAnsiTheme="majorHAnsi"/>
          <w:sz w:val="20"/>
          <w:szCs w:val="20"/>
          <w:lang w:val="pt-BR"/>
        </w:rPr>
        <w:t>também</w:t>
      </w:r>
      <w:r w:rsidR="002649F0" w:rsidRPr="006D1C74">
        <w:rPr>
          <w:rFonts w:asciiTheme="majorHAnsi" w:eastAsia="Times New Roman" w:hAnsiTheme="majorHAnsi"/>
          <w:sz w:val="20"/>
          <w:szCs w:val="20"/>
          <w:lang w:val="pt-BR"/>
        </w:rPr>
        <w:t xml:space="preserve"> </w:t>
      </w:r>
      <w:r w:rsidR="00CF037E" w:rsidRPr="006D1C74">
        <w:rPr>
          <w:rFonts w:asciiTheme="majorHAnsi" w:eastAsia="Times New Roman" w:hAnsiTheme="majorHAnsi"/>
          <w:sz w:val="20"/>
          <w:szCs w:val="20"/>
          <w:lang w:val="pt-BR"/>
        </w:rPr>
        <w:t>outr</w:t>
      </w:r>
      <w:r w:rsidR="002649F0" w:rsidRPr="006D1C74">
        <w:rPr>
          <w:rFonts w:asciiTheme="majorHAnsi" w:eastAsia="Times New Roman" w:hAnsiTheme="majorHAnsi"/>
          <w:sz w:val="20"/>
          <w:szCs w:val="20"/>
          <w:lang w:val="pt-BR"/>
        </w:rPr>
        <w:t xml:space="preserve">as medidas que </w:t>
      </w:r>
      <w:r w:rsidR="000156C9" w:rsidRPr="006D1C74">
        <w:rPr>
          <w:rFonts w:asciiTheme="majorHAnsi" w:eastAsia="Times New Roman" w:hAnsiTheme="majorHAnsi"/>
          <w:sz w:val="20"/>
          <w:szCs w:val="20"/>
          <w:lang w:val="pt-BR"/>
        </w:rPr>
        <w:t xml:space="preserve">ainda </w:t>
      </w:r>
      <w:r w:rsidR="002649F0" w:rsidRPr="006D1C74">
        <w:rPr>
          <w:rFonts w:asciiTheme="majorHAnsi" w:eastAsia="Times New Roman" w:hAnsiTheme="majorHAnsi"/>
          <w:sz w:val="20"/>
          <w:szCs w:val="20"/>
          <w:lang w:val="pt-BR"/>
        </w:rPr>
        <w:t>est</w:t>
      </w:r>
      <w:r w:rsidR="000156C9" w:rsidRPr="006D1C74">
        <w:rPr>
          <w:rFonts w:asciiTheme="majorHAnsi" w:eastAsia="Times New Roman" w:hAnsiTheme="majorHAnsi"/>
          <w:sz w:val="20"/>
          <w:szCs w:val="20"/>
          <w:lang w:val="pt-BR"/>
        </w:rPr>
        <w:t>ão</w:t>
      </w:r>
      <w:r w:rsidR="00F673C7" w:rsidRPr="006D1C74">
        <w:rPr>
          <w:rFonts w:asciiTheme="majorHAnsi" w:eastAsia="Times New Roman" w:hAnsiTheme="majorHAnsi"/>
          <w:sz w:val="20"/>
          <w:szCs w:val="20"/>
          <w:lang w:val="pt-BR"/>
        </w:rPr>
        <w:t xml:space="preserve"> na </w:t>
      </w:r>
      <w:r w:rsidR="002649F0" w:rsidRPr="006D1C74">
        <w:rPr>
          <w:rFonts w:asciiTheme="majorHAnsi" w:eastAsia="Times New Roman" w:hAnsiTheme="majorHAnsi"/>
          <w:sz w:val="20"/>
          <w:szCs w:val="20"/>
          <w:lang w:val="pt-BR"/>
        </w:rPr>
        <w:t>etapa de impl</w:t>
      </w:r>
      <w:r w:rsidR="00FB33B4" w:rsidRPr="006D1C74">
        <w:rPr>
          <w:rFonts w:asciiTheme="majorHAnsi" w:eastAsia="Times New Roman" w:hAnsiTheme="majorHAnsi"/>
          <w:sz w:val="20"/>
          <w:szCs w:val="20"/>
          <w:lang w:val="pt-BR"/>
        </w:rPr>
        <w:t>ementa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como</w:t>
      </w:r>
      <w:r w:rsidR="00700267" w:rsidRPr="006D1C74">
        <w:rPr>
          <w:rFonts w:asciiTheme="majorHAnsi" w:eastAsia="Times New Roman" w:hAnsiTheme="majorHAnsi"/>
          <w:sz w:val="20"/>
          <w:szCs w:val="20"/>
          <w:lang w:val="pt-BR"/>
        </w:rPr>
        <w:t xml:space="preserve"> o </w:t>
      </w:r>
      <w:r w:rsidR="002649F0" w:rsidRPr="006D1C74">
        <w:rPr>
          <w:rFonts w:asciiTheme="majorHAnsi" w:eastAsia="Times New Roman" w:hAnsiTheme="majorHAnsi"/>
          <w:sz w:val="20"/>
          <w:szCs w:val="20"/>
          <w:lang w:val="pt-BR"/>
        </w:rPr>
        <w:t>Programa Paz</w:t>
      </w:r>
      <w:r w:rsidR="00FC2F62" w:rsidRPr="006D1C74">
        <w:rPr>
          <w:rFonts w:asciiTheme="majorHAnsi" w:eastAsia="Times New Roman" w:hAnsiTheme="majorHAnsi"/>
          <w:sz w:val="20"/>
          <w:szCs w:val="20"/>
          <w:lang w:val="pt-BR"/>
        </w:rPr>
        <w:t xml:space="preserve"> no </w:t>
      </w:r>
      <w:r w:rsidR="002649F0" w:rsidRPr="006D1C74">
        <w:rPr>
          <w:rFonts w:asciiTheme="majorHAnsi" w:eastAsia="Times New Roman" w:hAnsiTheme="majorHAnsi"/>
          <w:sz w:val="20"/>
          <w:szCs w:val="20"/>
          <w:lang w:val="pt-BR"/>
        </w:rPr>
        <w:t>Campo</w:t>
      </w:r>
      <w:r w:rsidR="000D2A81" w:rsidRPr="006D1C74">
        <w:rPr>
          <w:rFonts w:asciiTheme="majorHAnsi" w:eastAsia="Times New Roman" w:hAnsiTheme="majorHAnsi"/>
          <w:sz w:val="20"/>
          <w:szCs w:val="20"/>
          <w:lang w:val="pt-BR"/>
        </w:rPr>
        <w:t>,</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cr</w:t>
      </w:r>
      <w:r w:rsidR="000156C9" w:rsidRPr="006D1C74">
        <w:rPr>
          <w:rFonts w:asciiTheme="majorHAnsi" w:eastAsia="Times New Roman" w:hAnsiTheme="majorHAnsi"/>
          <w:sz w:val="20"/>
          <w:szCs w:val="20"/>
          <w:lang w:val="pt-BR"/>
        </w:rPr>
        <w:t>i</w:t>
      </w:r>
      <w:r w:rsidR="002649F0" w:rsidRPr="006D1C74">
        <w:rPr>
          <w:rFonts w:asciiTheme="majorHAnsi" w:eastAsia="Times New Roman" w:hAnsiTheme="majorHAnsi"/>
          <w:sz w:val="20"/>
          <w:szCs w:val="20"/>
          <w:lang w:val="pt-BR"/>
        </w:rPr>
        <w:t>a</w:t>
      </w:r>
      <w:r w:rsidR="00CF037E" w:rsidRPr="006D1C74">
        <w:rPr>
          <w:rFonts w:asciiTheme="majorHAnsi" w:eastAsia="Times New Roman" w:hAnsiTheme="majorHAnsi"/>
          <w:sz w:val="20"/>
          <w:szCs w:val="20"/>
          <w:lang w:val="pt-BR"/>
        </w:rPr>
        <w:t>ção</w:t>
      </w:r>
      <w:r w:rsidR="00795010" w:rsidRPr="006D1C74">
        <w:rPr>
          <w:rFonts w:asciiTheme="majorHAnsi" w:eastAsia="Times New Roman" w:hAnsiTheme="majorHAnsi"/>
          <w:sz w:val="20"/>
          <w:szCs w:val="20"/>
          <w:lang w:val="pt-BR"/>
        </w:rPr>
        <w:t xml:space="preserve"> da </w:t>
      </w:r>
      <w:r w:rsidR="00417BE8" w:rsidRPr="006D1C74">
        <w:rPr>
          <w:rFonts w:asciiTheme="majorHAnsi" w:eastAsia="Times New Roman" w:hAnsiTheme="majorHAnsi"/>
          <w:sz w:val="20"/>
          <w:szCs w:val="20"/>
          <w:lang w:val="pt-BR"/>
        </w:rPr>
        <w:t>Comissão</w:t>
      </w:r>
      <w:r w:rsidR="002649F0" w:rsidRPr="006D1C74">
        <w:rPr>
          <w:rFonts w:asciiTheme="majorHAnsi" w:eastAsia="Times New Roman" w:hAnsiTheme="majorHAnsi"/>
          <w:sz w:val="20"/>
          <w:szCs w:val="20"/>
          <w:lang w:val="pt-BR"/>
        </w:rPr>
        <w:t xml:space="preserve"> Nacional de Combate </w:t>
      </w:r>
      <w:r w:rsidR="000D2A81" w:rsidRPr="006D1C74">
        <w:rPr>
          <w:rFonts w:asciiTheme="majorHAnsi" w:eastAsia="Times New Roman" w:hAnsiTheme="majorHAnsi"/>
          <w:sz w:val="20"/>
          <w:szCs w:val="20"/>
          <w:lang w:val="pt-BR"/>
        </w:rPr>
        <w:t>à</w:t>
      </w:r>
      <w:r w:rsidR="00700267" w:rsidRPr="006D1C74">
        <w:rPr>
          <w:rFonts w:asciiTheme="majorHAnsi" w:eastAsia="Times New Roman" w:hAnsiTheme="majorHAnsi"/>
          <w:sz w:val="20"/>
          <w:szCs w:val="20"/>
          <w:lang w:val="pt-BR"/>
        </w:rPr>
        <w:t xml:space="preserve"> </w:t>
      </w:r>
      <w:r w:rsidR="00143756" w:rsidRPr="006D1C74">
        <w:rPr>
          <w:rFonts w:asciiTheme="majorHAnsi" w:eastAsia="Times New Roman" w:hAnsiTheme="majorHAnsi"/>
          <w:sz w:val="20"/>
          <w:szCs w:val="20"/>
          <w:lang w:val="pt-BR"/>
        </w:rPr>
        <w:t>Violência</w:t>
      </w:r>
      <w:r w:rsidR="00FC2F62" w:rsidRPr="006D1C74">
        <w:rPr>
          <w:rFonts w:asciiTheme="majorHAnsi" w:eastAsia="Times New Roman" w:hAnsiTheme="majorHAnsi"/>
          <w:sz w:val="20"/>
          <w:szCs w:val="20"/>
          <w:lang w:val="pt-BR"/>
        </w:rPr>
        <w:t xml:space="preserve"> no </w:t>
      </w:r>
      <w:r w:rsidR="002649F0" w:rsidRPr="006D1C74">
        <w:rPr>
          <w:rFonts w:asciiTheme="majorHAnsi" w:eastAsia="Times New Roman" w:hAnsiTheme="majorHAnsi"/>
          <w:sz w:val="20"/>
          <w:szCs w:val="20"/>
          <w:lang w:val="pt-BR"/>
        </w:rPr>
        <w:t>Campo</w:t>
      </w:r>
      <w:r w:rsidR="000D2A81" w:rsidRPr="006D1C74">
        <w:rPr>
          <w:rFonts w:asciiTheme="majorHAnsi" w:eastAsia="Times New Roman" w:hAnsiTheme="majorHAnsi"/>
          <w:sz w:val="20"/>
          <w:szCs w:val="20"/>
          <w:lang w:val="pt-BR"/>
        </w:rPr>
        <w:t>,</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cr</w:t>
      </w:r>
      <w:r w:rsidR="000D2A81" w:rsidRPr="006D1C74">
        <w:rPr>
          <w:rFonts w:asciiTheme="majorHAnsi" w:eastAsia="Times New Roman" w:hAnsiTheme="majorHAnsi"/>
          <w:sz w:val="20"/>
          <w:szCs w:val="20"/>
          <w:lang w:val="pt-BR"/>
        </w:rPr>
        <w:t>i</w:t>
      </w:r>
      <w:r w:rsidR="002649F0" w:rsidRPr="006D1C74">
        <w:rPr>
          <w:rFonts w:asciiTheme="majorHAnsi" w:eastAsia="Times New Roman" w:hAnsiTheme="majorHAnsi"/>
          <w:sz w:val="20"/>
          <w:szCs w:val="20"/>
          <w:lang w:val="pt-BR"/>
        </w:rPr>
        <w:t>a</w:t>
      </w:r>
      <w:r w:rsidR="00CF037E" w:rsidRPr="006D1C74">
        <w:rPr>
          <w:rFonts w:asciiTheme="majorHAnsi" w:eastAsia="Times New Roman" w:hAnsiTheme="majorHAnsi"/>
          <w:sz w:val="20"/>
          <w:szCs w:val="20"/>
          <w:lang w:val="pt-BR"/>
        </w:rPr>
        <w:t>ção</w:t>
      </w:r>
      <w:r w:rsidR="00795010" w:rsidRPr="006D1C74">
        <w:rPr>
          <w:rFonts w:asciiTheme="majorHAnsi" w:eastAsia="Times New Roman" w:hAnsiTheme="majorHAnsi"/>
          <w:sz w:val="20"/>
          <w:szCs w:val="20"/>
          <w:lang w:val="pt-BR"/>
        </w:rPr>
        <w:t xml:space="preserve"> da </w:t>
      </w:r>
      <w:r w:rsidR="002649F0" w:rsidRPr="006D1C74">
        <w:rPr>
          <w:rFonts w:asciiTheme="majorHAnsi" w:eastAsia="Times New Roman" w:hAnsiTheme="majorHAnsi"/>
          <w:sz w:val="20"/>
          <w:szCs w:val="20"/>
          <w:lang w:val="pt-BR"/>
        </w:rPr>
        <w:t>Coord</w:t>
      </w:r>
      <w:r w:rsidR="000D2A81" w:rsidRPr="006D1C74">
        <w:rPr>
          <w:rFonts w:asciiTheme="majorHAnsi" w:eastAsia="Times New Roman" w:hAnsiTheme="majorHAnsi"/>
          <w:sz w:val="20"/>
          <w:szCs w:val="20"/>
          <w:lang w:val="pt-BR"/>
        </w:rPr>
        <w:t>e</w:t>
      </w:r>
      <w:r w:rsidR="002649F0" w:rsidRPr="006D1C74">
        <w:rPr>
          <w:rFonts w:asciiTheme="majorHAnsi" w:eastAsia="Times New Roman" w:hAnsiTheme="majorHAnsi"/>
          <w:sz w:val="20"/>
          <w:szCs w:val="20"/>
          <w:lang w:val="pt-BR"/>
        </w:rPr>
        <w:t>nador</w:t>
      </w:r>
      <w:r w:rsidR="000D2A81" w:rsidRPr="006D1C74">
        <w:rPr>
          <w:rFonts w:asciiTheme="majorHAnsi" w:eastAsia="Times New Roman" w:hAnsiTheme="majorHAnsi"/>
          <w:sz w:val="20"/>
          <w:szCs w:val="20"/>
          <w:lang w:val="pt-BR"/>
        </w:rPr>
        <w:t>i</w:t>
      </w:r>
      <w:r w:rsidR="002649F0" w:rsidRPr="006D1C74">
        <w:rPr>
          <w:rFonts w:asciiTheme="majorHAnsi" w:eastAsia="Times New Roman" w:hAnsiTheme="majorHAnsi"/>
          <w:sz w:val="20"/>
          <w:szCs w:val="20"/>
          <w:lang w:val="pt-BR"/>
        </w:rPr>
        <w:t>a Especial de Media</w:t>
      </w:r>
      <w:r w:rsidR="00CF037E" w:rsidRPr="006D1C74">
        <w:rPr>
          <w:rFonts w:asciiTheme="majorHAnsi" w:eastAsia="Times New Roman" w:hAnsiTheme="majorHAnsi"/>
          <w:sz w:val="20"/>
          <w:szCs w:val="20"/>
          <w:lang w:val="pt-BR"/>
        </w:rPr>
        <w:t>ção</w:t>
      </w:r>
      <w:r w:rsidR="00F673C7" w:rsidRPr="006D1C74">
        <w:rPr>
          <w:rFonts w:asciiTheme="majorHAnsi" w:eastAsia="Times New Roman" w:hAnsiTheme="majorHAnsi"/>
          <w:sz w:val="20"/>
          <w:szCs w:val="20"/>
          <w:lang w:val="pt-BR"/>
        </w:rPr>
        <w:t xml:space="preserve"> </w:t>
      </w:r>
      <w:r w:rsidR="000D2A81" w:rsidRPr="006D1C74">
        <w:rPr>
          <w:rFonts w:asciiTheme="majorHAnsi" w:eastAsia="Times New Roman" w:hAnsiTheme="majorHAnsi"/>
          <w:sz w:val="20"/>
          <w:szCs w:val="20"/>
          <w:lang w:val="pt-BR"/>
        </w:rPr>
        <w:t>dos</w:t>
      </w:r>
      <w:r w:rsidR="00F673C7" w:rsidRPr="006D1C74">
        <w:rPr>
          <w:rFonts w:asciiTheme="majorHAnsi" w:eastAsia="Times New Roman" w:hAnsiTheme="majorHAnsi"/>
          <w:sz w:val="20"/>
          <w:szCs w:val="20"/>
          <w:lang w:val="pt-BR"/>
        </w:rPr>
        <w:t xml:space="preserve"> </w:t>
      </w:r>
      <w:r w:rsidR="002649F0" w:rsidRPr="006D1C74">
        <w:rPr>
          <w:rFonts w:asciiTheme="majorHAnsi" w:eastAsia="Times New Roman" w:hAnsiTheme="majorHAnsi"/>
          <w:sz w:val="20"/>
          <w:szCs w:val="20"/>
          <w:lang w:val="pt-BR"/>
        </w:rPr>
        <w:t>Conflitos</w:t>
      </w:r>
      <w:r w:rsidR="00795010" w:rsidRPr="006D1C74">
        <w:rPr>
          <w:rFonts w:asciiTheme="majorHAnsi" w:eastAsia="Times New Roman" w:hAnsiTheme="majorHAnsi"/>
          <w:sz w:val="20"/>
          <w:szCs w:val="20"/>
          <w:lang w:val="pt-BR"/>
        </w:rPr>
        <w:t xml:space="preserve"> da Terra</w:t>
      </w:r>
      <w:r w:rsidR="002649F0" w:rsidRPr="006D1C74">
        <w:rPr>
          <w:rFonts w:asciiTheme="majorHAnsi" w:eastAsia="Times New Roman" w:hAnsiTheme="majorHAnsi"/>
          <w:sz w:val="20"/>
          <w:szCs w:val="20"/>
          <w:lang w:val="pt-BR"/>
        </w:rPr>
        <w:t xml:space="preserve"> (COORTERRA)</w:t>
      </w:r>
      <w:r w:rsidR="00CF037E" w:rsidRPr="006D1C74">
        <w:rPr>
          <w:rFonts w:asciiTheme="majorHAnsi" w:eastAsia="Times New Roman" w:hAnsiTheme="majorHAnsi"/>
          <w:sz w:val="20"/>
          <w:szCs w:val="20"/>
          <w:lang w:val="pt-BR"/>
        </w:rPr>
        <w:t xml:space="preserve"> e</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cr</w:t>
      </w:r>
      <w:r w:rsidR="000D2A81" w:rsidRPr="006D1C74">
        <w:rPr>
          <w:rFonts w:asciiTheme="majorHAnsi" w:eastAsia="Times New Roman" w:hAnsiTheme="majorHAnsi"/>
          <w:sz w:val="20"/>
          <w:szCs w:val="20"/>
          <w:lang w:val="pt-BR"/>
        </w:rPr>
        <w:t>i</w:t>
      </w:r>
      <w:r w:rsidR="002649F0" w:rsidRPr="006D1C74">
        <w:rPr>
          <w:rFonts w:asciiTheme="majorHAnsi" w:eastAsia="Times New Roman" w:hAnsiTheme="majorHAnsi"/>
          <w:sz w:val="20"/>
          <w:szCs w:val="20"/>
          <w:lang w:val="pt-BR"/>
        </w:rPr>
        <w:t>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de</w:t>
      </w:r>
      <w:r w:rsidR="00030019" w:rsidRPr="006D1C74">
        <w:rPr>
          <w:rFonts w:asciiTheme="majorHAnsi" w:eastAsia="Times New Roman" w:hAnsiTheme="majorHAnsi"/>
          <w:sz w:val="20"/>
          <w:szCs w:val="20"/>
          <w:lang w:val="pt-BR"/>
        </w:rPr>
        <w:t xml:space="preserve"> uma </w:t>
      </w:r>
      <w:r w:rsidR="002649F0" w:rsidRPr="006D1C74">
        <w:rPr>
          <w:rFonts w:asciiTheme="majorHAnsi" w:eastAsia="Times New Roman" w:hAnsiTheme="majorHAnsi"/>
          <w:sz w:val="20"/>
          <w:szCs w:val="20"/>
          <w:lang w:val="pt-BR"/>
        </w:rPr>
        <w:t>f</w:t>
      </w:r>
      <w:r w:rsidR="000D2A81" w:rsidRPr="006D1C74">
        <w:rPr>
          <w:rFonts w:asciiTheme="majorHAnsi" w:eastAsia="Times New Roman" w:hAnsiTheme="majorHAnsi"/>
          <w:sz w:val="20"/>
          <w:szCs w:val="20"/>
          <w:lang w:val="pt-BR"/>
        </w:rPr>
        <w:t>orça-tarefa</w:t>
      </w:r>
      <w:r w:rsidR="002649F0" w:rsidRPr="006D1C74">
        <w:rPr>
          <w:rFonts w:asciiTheme="majorHAnsi" w:eastAsia="Times New Roman" w:hAnsiTheme="majorHAnsi"/>
          <w:sz w:val="20"/>
          <w:szCs w:val="20"/>
          <w:lang w:val="pt-BR"/>
        </w:rPr>
        <w:t xml:space="preserve"> integrada por agentes</w:t>
      </w:r>
      <w:r w:rsidR="00795010" w:rsidRPr="006D1C74">
        <w:rPr>
          <w:rFonts w:asciiTheme="majorHAnsi" w:eastAsia="Times New Roman" w:hAnsiTheme="majorHAnsi"/>
          <w:sz w:val="20"/>
          <w:szCs w:val="20"/>
          <w:lang w:val="pt-BR"/>
        </w:rPr>
        <w:t xml:space="preserve"> da </w:t>
      </w:r>
      <w:r w:rsidR="00F37852" w:rsidRPr="006D1C74">
        <w:rPr>
          <w:rFonts w:asciiTheme="majorHAnsi" w:eastAsia="Times New Roman" w:hAnsiTheme="majorHAnsi"/>
          <w:sz w:val="20"/>
          <w:szCs w:val="20"/>
          <w:lang w:val="pt-BR"/>
        </w:rPr>
        <w:t>polícia</w:t>
      </w:r>
      <w:r w:rsidR="002649F0" w:rsidRPr="006D1C74">
        <w:rPr>
          <w:rFonts w:asciiTheme="majorHAnsi" w:eastAsia="Times New Roman" w:hAnsiTheme="majorHAnsi"/>
          <w:sz w:val="20"/>
          <w:szCs w:val="20"/>
          <w:lang w:val="pt-BR"/>
        </w:rPr>
        <w:t xml:space="preserve"> militar</w:t>
      </w:r>
      <w:r w:rsidR="00CF037E" w:rsidRPr="006D1C74">
        <w:rPr>
          <w:rFonts w:asciiTheme="majorHAnsi" w:eastAsia="Times New Roman" w:hAnsiTheme="majorHAnsi"/>
          <w:sz w:val="20"/>
          <w:szCs w:val="20"/>
          <w:lang w:val="pt-BR"/>
        </w:rPr>
        <w:t xml:space="preserve"> e</w:t>
      </w:r>
      <w:r w:rsidR="00795010" w:rsidRPr="006D1C74">
        <w:rPr>
          <w:rFonts w:asciiTheme="majorHAnsi" w:eastAsia="Times New Roman" w:hAnsiTheme="majorHAnsi"/>
          <w:sz w:val="20"/>
          <w:szCs w:val="20"/>
          <w:lang w:val="pt-BR"/>
        </w:rPr>
        <w:t xml:space="preserve"> da </w:t>
      </w:r>
      <w:r w:rsidR="00F37852" w:rsidRPr="006D1C74">
        <w:rPr>
          <w:rFonts w:asciiTheme="majorHAnsi" w:eastAsia="Times New Roman" w:hAnsiTheme="majorHAnsi"/>
          <w:sz w:val="20"/>
          <w:szCs w:val="20"/>
          <w:lang w:val="pt-BR"/>
        </w:rPr>
        <w:t>polícia</w:t>
      </w:r>
      <w:r w:rsidR="002649F0" w:rsidRPr="006D1C74">
        <w:rPr>
          <w:rFonts w:asciiTheme="majorHAnsi" w:eastAsia="Times New Roman" w:hAnsiTheme="majorHAnsi"/>
          <w:sz w:val="20"/>
          <w:szCs w:val="20"/>
          <w:lang w:val="pt-BR"/>
        </w:rPr>
        <w:t xml:space="preserve"> civil</w:t>
      </w:r>
      <w:r w:rsidR="00FC2F62" w:rsidRPr="006D1C74">
        <w:rPr>
          <w:rFonts w:asciiTheme="majorHAnsi" w:eastAsia="Times New Roman" w:hAnsiTheme="majorHAnsi"/>
          <w:sz w:val="20"/>
          <w:szCs w:val="20"/>
          <w:lang w:val="pt-BR"/>
        </w:rPr>
        <w:t xml:space="preserve"> no </w:t>
      </w:r>
      <w:r w:rsidR="002649F0" w:rsidRPr="006D1C74">
        <w:rPr>
          <w:rFonts w:asciiTheme="majorHAnsi" w:eastAsia="Times New Roman" w:hAnsiTheme="majorHAnsi"/>
          <w:sz w:val="20"/>
          <w:szCs w:val="20"/>
          <w:lang w:val="pt-BR"/>
        </w:rPr>
        <w:t>Centro de Opera</w:t>
      </w:r>
      <w:r w:rsidR="00CF037E" w:rsidRPr="006D1C74">
        <w:rPr>
          <w:rFonts w:asciiTheme="majorHAnsi" w:eastAsia="Times New Roman" w:hAnsiTheme="majorHAnsi"/>
          <w:sz w:val="20"/>
          <w:szCs w:val="20"/>
          <w:lang w:val="pt-BR"/>
        </w:rPr>
        <w:t>ções</w:t>
      </w:r>
      <w:r w:rsidR="002649F0" w:rsidRPr="006D1C74">
        <w:rPr>
          <w:rFonts w:asciiTheme="majorHAnsi" w:eastAsia="Times New Roman" w:hAnsiTheme="majorHAnsi"/>
          <w:sz w:val="20"/>
          <w:szCs w:val="20"/>
          <w:lang w:val="pt-BR"/>
        </w:rPr>
        <w:t xml:space="preserve"> Especi</w:t>
      </w:r>
      <w:r w:rsidR="00700267" w:rsidRPr="006D1C74">
        <w:rPr>
          <w:rFonts w:asciiTheme="majorHAnsi" w:eastAsia="Times New Roman" w:hAnsiTheme="majorHAnsi"/>
          <w:sz w:val="20"/>
          <w:szCs w:val="20"/>
          <w:lang w:val="pt-BR"/>
        </w:rPr>
        <w:t>ais</w:t>
      </w:r>
      <w:r w:rsidR="002649F0" w:rsidRPr="006D1C74">
        <w:rPr>
          <w:rFonts w:asciiTheme="majorHAnsi" w:eastAsia="Times New Roman" w:hAnsiTheme="majorHAnsi"/>
          <w:sz w:val="20"/>
          <w:szCs w:val="20"/>
          <w:lang w:val="pt-BR"/>
        </w:rPr>
        <w:t xml:space="preserve"> a</w:t>
      </w:r>
      <w:r w:rsidR="00F673C7" w:rsidRPr="006D1C74">
        <w:rPr>
          <w:rFonts w:asciiTheme="majorHAnsi" w:eastAsia="Times New Roman" w:hAnsiTheme="majorHAnsi"/>
          <w:sz w:val="20"/>
          <w:szCs w:val="20"/>
          <w:lang w:val="pt-BR"/>
        </w:rPr>
        <w:t xml:space="preserve"> fim </w:t>
      </w:r>
      <w:r w:rsidR="002649F0" w:rsidRPr="006D1C74">
        <w:rPr>
          <w:rFonts w:asciiTheme="majorHAnsi" w:eastAsia="Times New Roman" w:hAnsiTheme="majorHAnsi"/>
          <w:sz w:val="20"/>
          <w:szCs w:val="20"/>
          <w:lang w:val="pt-BR"/>
        </w:rPr>
        <w:t>de atuar</w:t>
      </w:r>
      <w:r w:rsidR="00217759" w:rsidRPr="006D1C74">
        <w:rPr>
          <w:rFonts w:asciiTheme="majorHAnsi" w:eastAsia="Times New Roman" w:hAnsiTheme="majorHAnsi"/>
          <w:sz w:val="20"/>
          <w:szCs w:val="20"/>
          <w:lang w:val="pt-BR"/>
        </w:rPr>
        <w:t xml:space="preserve"> nos </w:t>
      </w:r>
      <w:r w:rsidR="002649F0" w:rsidRPr="006D1C74">
        <w:rPr>
          <w:rFonts w:asciiTheme="majorHAnsi" w:eastAsia="Times New Roman" w:hAnsiTheme="majorHAnsi"/>
          <w:sz w:val="20"/>
          <w:szCs w:val="20"/>
          <w:lang w:val="pt-BR"/>
        </w:rPr>
        <w:t>lit</w:t>
      </w:r>
      <w:r w:rsidR="000D2A81" w:rsidRPr="006D1C74">
        <w:rPr>
          <w:rFonts w:asciiTheme="majorHAnsi" w:eastAsia="Times New Roman" w:hAnsiTheme="majorHAnsi"/>
          <w:sz w:val="20"/>
          <w:szCs w:val="20"/>
          <w:lang w:val="pt-BR"/>
        </w:rPr>
        <w:t>í</w:t>
      </w:r>
      <w:r w:rsidR="002649F0" w:rsidRPr="006D1C74">
        <w:rPr>
          <w:rFonts w:asciiTheme="majorHAnsi" w:eastAsia="Times New Roman" w:hAnsiTheme="majorHAnsi"/>
          <w:sz w:val="20"/>
          <w:szCs w:val="20"/>
          <w:lang w:val="pt-BR"/>
        </w:rPr>
        <w:t>gios agr</w:t>
      </w:r>
      <w:r w:rsidR="000D2A81" w:rsidRPr="006D1C74">
        <w:rPr>
          <w:rFonts w:asciiTheme="majorHAnsi" w:eastAsia="Times New Roman" w:hAnsiTheme="majorHAnsi"/>
          <w:sz w:val="20"/>
          <w:szCs w:val="20"/>
          <w:lang w:val="pt-BR"/>
        </w:rPr>
        <w:t>á</w:t>
      </w:r>
      <w:r w:rsidR="002649F0" w:rsidRPr="006D1C74">
        <w:rPr>
          <w:rFonts w:asciiTheme="majorHAnsi" w:eastAsia="Times New Roman" w:hAnsiTheme="majorHAnsi"/>
          <w:sz w:val="20"/>
          <w:szCs w:val="20"/>
          <w:lang w:val="pt-BR"/>
        </w:rPr>
        <w:t>rios</w:t>
      </w:r>
      <w:r w:rsidR="00FC2F62" w:rsidRPr="006D1C74">
        <w:rPr>
          <w:rFonts w:asciiTheme="majorHAnsi" w:eastAsia="Times New Roman" w:hAnsiTheme="majorHAnsi"/>
          <w:sz w:val="20"/>
          <w:szCs w:val="20"/>
          <w:lang w:val="pt-BR"/>
        </w:rPr>
        <w:t xml:space="preserve"> no </w:t>
      </w:r>
      <w:r w:rsidR="002649F0" w:rsidRPr="006D1C74">
        <w:rPr>
          <w:rFonts w:asciiTheme="majorHAnsi" w:eastAsia="Times New Roman" w:hAnsiTheme="majorHAnsi"/>
          <w:sz w:val="20"/>
          <w:szCs w:val="20"/>
          <w:lang w:val="pt-BR"/>
        </w:rPr>
        <w:t xml:space="preserve">estado </w:t>
      </w:r>
      <w:r w:rsidR="000D2A81" w:rsidRPr="006D1C74">
        <w:rPr>
          <w:rFonts w:asciiTheme="majorHAnsi" w:eastAsia="Times New Roman" w:hAnsiTheme="majorHAnsi"/>
          <w:sz w:val="20"/>
          <w:szCs w:val="20"/>
          <w:lang w:val="pt-BR"/>
        </w:rPr>
        <w:t>do Paraná</w:t>
      </w:r>
      <w:r w:rsidR="002649F0" w:rsidRPr="006D1C74">
        <w:rPr>
          <w:rFonts w:asciiTheme="majorHAnsi" w:eastAsia="Times New Roman" w:hAnsiTheme="majorHAnsi"/>
          <w:sz w:val="20"/>
          <w:szCs w:val="20"/>
          <w:lang w:val="pt-BR"/>
        </w:rPr>
        <w:t xml:space="preserve">. </w:t>
      </w:r>
      <w:r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 xml:space="preserve"> Estado destaca que</w:t>
      </w:r>
      <w:r w:rsidR="00700267" w:rsidRPr="006D1C74">
        <w:rPr>
          <w:rFonts w:asciiTheme="majorHAnsi" w:eastAsia="Times New Roman" w:hAnsiTheme="majorHAnsi"/>
          <w:sz w:val="20"/>
          <w:szCs w:val="20"/>
          <w:lang w:val="pt-BR"/>
        </w:rPr>
        <w:t xml:space="preserve"> as </w:t>
      </w:r>
      <w:r w:rsidR="002649F0" w:rsidRPr="006D1C74">
        <w:rPr>
          <w:rFonts w:asciiTheme="majorHAnsi" w:eastAsia="Times New Roman" w:hAnsiTheme="majorHAnsi"/>
          <w:sz w:val="20"/>
          <w:szCs w:val="20"/>
          <w:lang w:val="pt-BR"/>
        </w:rPr>
        <w:t xml:space="preserve">medidas programáticas, apesar de </w:t>
      </w:r>
      <w:r w:rsidR="000D2A81" w:rsidRPr="006D1C74">
        <w:rPr>
          <w:rFonts w:asciiTheme="majorHAnsi" w:eastAsia="Times New Roman" w:hAnsiTheme="majorHAnsi"/>
          <w:sz w:val="20"/>
          <w:szCs w:val="20"/>
          <w:lang w:val="pt-BR"/>
        </w:rPr>
        <w:t xml:space="preserve">estarem </w:t>
      </w:r>
      <w:r w:rsidR="002649F0" w:rsidRPr="006D1C74">
        <w:rPr>
          <w:rFonts w:asciiTheme="majorHAnsi" w:eastAsia="Times New Roman" w:hAnsiTheme="majorHAnsi"/>
          <w:sz w:val="20"/>
          <w:szCs w:val="20"/>
          <w:lang w:val="pt-BR"/>
        </w:rPr>
        <w:t>pendentes de aplica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w:t>
      </w:r>
      <w:r w:rsidR="000D2A81" w:rsidRPr="006D1C74">
        <w:rPr>
          <w:rFonts w:asciiTheme="majorHAnsi" w:eastAsia="Times New Roman" w:hAnsiTheme="majorHAnsi"/>
          <w:sz w:val="20"/>
          <w:szCs w:val="20"/>
          <w:lang w:val="pt-BR"/>
        </w:rPr>
        <w:t>até</w:t>
      </w:r>
      <w:r w:rsidR="002649F0" w:rsidRPr="006D1C74">
        <w:rPr>
          <w:rFonts w:asciiTheme="majorHAnsi" w:eastAsia="Times New Roman" w:hAnsiTheme="majorHAnsi"/>
          <w:sz w:val="20"/>
          <w:szCs w:val="20"/>
          <w:lang w:val="pt-BR"/>
        </w:rPr>
        <w:t xml:space="preserve"> que se adote</w:t>
      </w:r>
      <w:r w:rsidR="000D2A81" w:rsidRPr="006D1C74">
        <w:rPr>
          <w:rFonts w:asciiTheme="majorHAnsi" w:eastAsia="Times New Roman" w:hAnsiTheme="majorHAnsi"/>
          <w:sz w:val="20"/>
          <w:szCs w:val="20"/>
          <w:lang w:val="pt-BR"/>
        </w:rPr>
        <w:t>m</w:t>
      </w:r>
      <w:r w:rsidR="00700267" w:rsidRPr="006D1C74">
        <w:rPr>
          <w:rFonts w:asciiTheme="majorHAnsi" w:eastAsia="Times New Roman" w:hAnsiTheme="majorHAnsi"/>
          <w:sz w:val="20"/>
          <w:szCs w:val="20"/>
          <w:lang w:val="pt-BR"/>
        </w:rPr>
        <w:t xml:space="preserve"> os </w:t>
      </w:r>
      <w:r w:rsidR="002649F0" w:rsidRPr="006D1C74">
        <w:rPr>
          <w:rFonts w:asciiTheme="majorHAnsi" w:eastAsia="Times New Roman" w:hAnsiTheme="majorHAnsi"/>
          <w:sz w:val="20"/>
          <w:szCs w:val="20"/>
          <w:lang w:val="pt-BR"/>
        </w:rPr>
        <w:t>instrumentos jurídicos correspon</w:t>
      </w:r>
      <w:r w:rsidR="000D2A81" w:rsidRPr="006D1C74">
        <w:rPr>
          <w:rFonts w:asciiTheme="majorHAnsi" w:eastAsia="Times New Roman" w:hAnsiTheme="majorHAnsi"/>
          <w:sz w:val="20"/>
          <w:szCs w:val="20"/>
          <w:lang w:val="pt-BR"/>
        </w:rPr>
        <w:t>dente</w:t>
      </w:r>
      <w:r w:rsidR="002649F0" w:rsidRPr="006D1C74">
        <w:rPr>
          <w:rFonts w:asciiTheme="majorHAnsi" w:eastAsia="Times New Roman" w:hAnsiTheme="majorHAnsi"/>
          <w:sz w:val="20"/>
          <w:szCs w:val="20"/>
          <w:lang w:val="pt-BR"/>
        </w:rPr>
        <w:t>s, dem</w:t>
      </w:r>
      <w:r w:rsidR="00F6715A" w:rsidRPr="006D1C74">
        <w:rPr>
          <w:rFonts w:asciiTheme="majorHAnsi" w:eastAsia="Times New Roman" w:hAnsiTheme="majorHAnsi"/>
          <w:sz w:val="20"/>
          <w:szCs w:val="20"/>
          <w:lang w:val="pt-BR"/>
        </w:rPr>
        <w:t>on</w:t>
      </w:r>
      <w:r w:rsidR="002649F0" w:rsidRPr="006D1C74">
        <w:rPr>
          <w:rFonts w:asciiTheme="majorHAnsi" w:eastAsia="Times New Roman" w:hAnsiTheme="majorHAnsi"/>
          <w:sz w:val="20"/>
          <w:szCs w:val="20"/>
          <w:lang w:val="pt-BR"/>
        </w:rPr>
        <w:t>stra</w:t>
      </w:r>
      <w:r w:rsidR="00F6715A" w:rsidRPr="006D1C74">
        <w:rPr>
          <w:rFonts w:asciiTheme="majorHAnsi" w:eastAsia="Times New Roman" w:hAnsiTheme="majorHAnsi"/>
          <w:sz w:val="20"/>
          <w:szCs w:val="20"/>
          <w:lang w:val="pt-BR"/>
        </w:rPr>
        <w:t>m</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inten</w:t>
      </w:r>
      <w:r w:rsidR="00CF037E" w:rsidRPr="006D1C74">
        <w:rPr>
          <w:rFonts w:asciiTheme="majorHAnsi" w:eastAsia="Times New Roman" w:hAnsiTheme="majorHAnsi"/>
          <w:sz w:val="20"/>
          <w:szCs w:val="20"/>
          <w:lang w:val="pt-BR"/>
        </w:rPr>
        <w:t>ção</w:t>
      </w:r>
      <w:r w:rsidR="00030019" w:rsidRPr="006D1C74">
        <w:rPr>
          <w:rFonts w:asciiTheme="majorHAnsi" w:eastAsia="Times New Roman" w:hAnsiTheme="majorHAnsi"/>
          <w:sz w:val="20"/>
          <w:szCs w:val="20"/>
          <w:lang w:val="pt-BR"/>
        </w:rPr>
        <w:t xml:space="preserve"> do </w:t>
      </w:r>
      <w:r w:rsidR="002649F0" w:rsidRPr="006D1C74">
        <w:rPr>
          <w:rFonts w:asciiTheme="majorHAnsi" w:eastAsia="Times New Roman" w:hAnsiTheme="majorHAnsi"/>
          <w:sz w:val="20"/>
          <w:szCs w:val="20"/>
          <w:lang w:val="pt-BR"/>
        </w:rPr>
        <w:t>Estado de avan</w:t>
      </w:r>
      <w:r w:rsidR="00F6715A" w:rsidRPr="006D1C74">
        <w:rPr>
          <w:rFonts w:asciiTheme="majorHAnsi" w:eastAsia="Times New Roman" w:hAnsiTheme="majorHAnsi"/>
          <w:sz w:val="20"/>
          <w:szCs w:val="20"/>
          <w:lang w:val="pt-BR"/>
        </w:rPr>
        <w:t>ç</w:t>
      </w:r>
      <w:r w:rsidR="002649F0" w:rsidRPr="006D1C74">
        <w:rPr>
          <w:rFonts w:asciiTheme="majorHAnsi" w:eastAsia="Times New Roman" w:hAnsiTheme="majorHAnsi"/>
          <w:sz w:val="20"/>
          <w:szCs w:val="20"/>
          <w:lang w:val="pt-BR"/>
        </w:rPr>
        <w:t>ar</w:t>
      </w:r>
      <w:r w:rsidR="00FC2F62" w:rsidRPr="006D1C74">
        <w:rPr>
          <w:rFonts w:asciiTheme="majorHAnsi" w:eastAsia="Times New Roman" w:hAnsiTheme="majorHAnsi"/>
          <w:sz w:val="20"/>
          <w:szCs w:val="20"/>
          <w:lang w:val="pt-BR"/>
        </w:rPr>
        <w:t xml:space="preserve"> no </w:t>
      </w:r>
      <w:r w:rsidR="002649F0" w:rsidRPr="006D1C74">
        <w:rPr>
          <w:rFonts w:asciiTheme="majorHAnsi" w:eastAsia="Times New Roman" w:hAnsiTheme="majorHAnsi"/>
          <w:sz w:val="20"/>
          <w:szCs w:val="20"/>
          <w:lang w:val="pt-BR"/>
        </w:rPr>
        <w:t xml:space="preserve">combate </w:t>
      </w:r>
      <w:r w:rsidR="00F6715A" w:rsidRPr="006D1C74">
        <w:rPr>
          <w:rFonts w:asciiTheme="majorHAnsi" w:eastAsia="Times New Roman" w:hAnsiTheme="majorHAnsi"/>
          <w:sz w:val="20"/>
          <w:szCs w:val="20"/>
          <w:lang w:val="pt-BR"/>
        </w:rPr>
        <w:t>à</w:t>
      </w:r>
      <w:r w:rsidR="00700267" w:rsidRPr="006D1C74">
        <w:rPr>
          <w:rFonts w:asciiTheme="majorHAnsi" w:eastAsia="Times New Roman" w:hAnsiTheme="majorHAnsi"/>
          <w:sz w:val="20"/>
          <w:szCs w:val="20"/>
          <w:lang w:val="pt-BR"/>
        </w:rPr>
        <w:t xml:space="preserve"> </w:t>
      </w:r>
      <w:r w:rsidR="00143756" w:rsidRPr="006D1C74">
        <w:rPr>
          <w:rFonts w:asciiTheme="majorHAnsi" w:eastAsia="Times New Roman" w:hAnsiTheme="majorHAnsi"/>
          <w:sz w:val="20"/>
          <w:szCs w:val="20"/>
          <w:lang w:val="pt-BR"/>
        </w:rPr>
        <w:t>violência</w:t>
      </w:r>
      <w:r w:rsidR="00FC2F62" w:rsidRPr="006D1C74">
        <w:rPr>
          <w:rFonts w:asciiTheme="majorHAnsi" w:eastAsia="Times New Roman" w:hAnsiTheme="majorHAnsi"/>
          <w:sz w:val="20"/>
          <w:szCs w:val="20"/>
          <w:lang w:val="pt-BR"/>
        </w:rPr>
        <w:t xml:space="preserve"> no </w:t>
      </w:r>
      <w:r w:rsidR="002649F0" w:rsidRPr="006D1C74">
        <w:rPr>
          <w:rFonts w:asciiTheme="majorHAnsi" w:eastAsia="Times New Roman" w:hAnsiTheme="majorHAnsi"/>
          <w:sz w:val="20"/>
          <w:szCs w:val="20"/>
          <w:lang w:val="pt-BR"/>
        </w:rPr>
        <w:t>campo.</w:t>
      </w:r>
    </w:p>
    <w:p w14:paraId="44471EF8"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lang w:val="pt-BR"/>
        </w:rPr>
      </w:pPr>
    </w:p>
    <w:p w14:paraId="777BEB0E" w14:textId="77777777" w:rsidR="002649F0" w:rsidRPr="006D1C74" w:rsidRDefault="00B4216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pt-BR"/>
        </w:rPr>
      </w:pPr>
      <w:r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 xml:space="preserve"> Estado indica que,</w:t>
      </w:r>
      <w:r w:rsidR="00700267" w:rsidRPr="006D1C74">
        <w:rPr>
          <w:rFonts w:asciiTheme="majorHAnsi" w:eastAsia="Times New Roman" w:hAnsiTheme="majorHAnsi"/>
          <w:sz w:val="20"/>
          <w:szCs w:val="20"/>
          <w:lang w:val="pt-BR"/>
        </w:rPr>
        <w:t xml:space="preserve"> </w:t>
      </w:r>
      <w:r w:rsidR="00F6715A" w:rsidRPr="006D1C74">
        <w:rPr>
          <w:rFonts w:asciiTheme="majorHAnsi" w:eastAsia="Times New Roman" w:hAnsiTheme="majorHAnsi"/>
          <w:sz w:val="20"/>
          <w:szCs w:val="20"/>
          <w:lang w:val="pt-BR"/>
        </w:rPr>
        <w:t>em</w:t>
      </w:r>
      <w:r w:rsidR="00700267" w:rsidRPr="006D1C74">
        <w:rPr>
          <w:rFonts w:asciiTheme="majorHAnsi" w:eastAsia="Times New Roman" w:hAnsiTheme="majorHAnsi"/>
          <w:sz w:val="20"/>
          <w:szCs w:val="20"/>
          <w:lang w:val="pt-BR"/>
        </w:rPr>
        <w:t xml:space="preserve"> </w:t>
      </w:r>
      <w:r w:rsidR="002649F0" w:rsidRPr="006D1C74">
        <w:rPr>
          <w:rFonts w:asciiTheme="majorHAnsi" w:eastAsia="Times New Roman" w:hAnsiTheme="majorHAnsi"/>
          <w:sz w:val="20"/>
          <w:szCs w:val="20"/>
          <w:lang w:val="pt-BR"/>
        </w:rPr>
        <w:t>2 de fe</w:t>
      </w:r>
      <w:r w:rsidR="00F6715A" w:rsidRPr="006D1C74">
        <w:rPr>
          <w:rFonts w:asciiTheme="majorHAnsi" w:eastAsia="Times New Roman" w:hAnsiTheme="majorHAnsi"/>
          <w:sz w:val="20"/>
          <w:szCs w:val="20"/>
          <w:lang w:val="pt-BR"/>
        </w:rPr>
        <w:t>ve</w:t>
      </w:r>
      <w:r w:rsidR="002649F0" w:rsidRPr="006D1C74">
        <w:rPr>
          <w:rFonts w:asciiTheme="majorHAnsi" w:eastAsia="Times New Roman" w:hAnsiTheme="majorHAnsi"/>
          <w:sz w:val="20"/>
          <w:szCs w:val="20"/>
          <w:lang w:val="pt-BR"/>
        </w:rPr>
        <w:t>re</w:t>
      </w:r>
      <w:r w:rsidR="00F6715A" w:rsidRPr="006D1C74">
        <w:rPr>
          <w:rFonts w:asciiTheme="majorHAnsi" w:eastAsia="Times New Roman" w:hAnsiTheme="majorHAnsi"/>
          <w:sz w:val="20"/>
          <w:szCs w:val="20"/>
          <w:lang w:val="pt-BR"/>
        </w:rPr>
        <w:t>i</w:t>
      </w:r>
      <w:r w:rsidR="002649F0" w:rsidRPr="006D1C74">
        <w:rPr>
          <w:rFonts w:asciiTheme="majorHAnsi" w:eastAsia="Times New Roman" w:hAnsiTheme="majorHAnsi"/>
          <w:sz w:val="20"/>
          <w:szCs w:val="20"/>
          <w:lang w:val="pt-BR"/>
        </w:rPr>
        <w:t xml:space="preserve">ro de 2012, </w:t>
      </w:r>
      <w:r w:rsidR="00F6715A" w:rsidRPr="006D1C74">
        <w:rPr>
          <w:rFonts w:asciiTheme="majorHAnsi" w:eastAsia="Times New Roman" w:hAnsiTheme="majorHAnsi"/>
          <w:sz w:val="20"/>
          <w:szCs w:val="20"/>
          <w:lang w:val="pt-BR"/>
        </w:rPr>
        <w:t>realizou-</w:t>
      </w:r>
      <w:r w:rsidR="002649F0" w:rsidRPr="006D1C74">
        <w:rPr>
          <w:rFonts w:asciiTheme="majorHAnsi" w:eastAsia="Times New Roman" w:hAnsiTheme="majorHAnsi"/>
          <w:sz w:val="20"/>
          <w:szCs w:val="20"/>
          <w:lang w:val="pt-BR"/>
        </w:rPr>
        <w:t xml:space="preserve">se </w:t>
      </w:r>
      <w:r w:rsidR="00F673C7" w:rsidRPr="006D1C74">
        <w:rPr>
          <w:rFonts w:asciiTheme="majorHAnsi" w:eastAsia="Times New Roman" w:hAnsiTheme="majorHAnsi"/>
          <w:sz w:val="20"/>
          <w:szCs w:val="20"/>
          <w:lang w:val="pt-BR"/>
        </w:rPr>
        <w:t xml:space="preserve">na </w:t>
      </w:r>
      <w:r w:rsidR="002649F0" w:rsidRPr="006D1C74">
        <w:rPr>
          <w:rFonts w:asciiTheme="majorHAnsi" w:eastAsia="Times New Roman" w:hAnsiTheme="majorHAnsi"/>
          <w:sz w:val="20"/>
          <w:szCs w:val="20"/>
          <w:lang w:val="pt-BR"/>
        </w:rPr>
        <w:t>Secretar</w:t>
      </w:r>
      <w:r w:rsidR="00055622" w:rsidRPr="006D1C74">
        <w:rPr>
          <w:rFonts w:asciiTheme="majorHAnsi" w:eastAsia="Times New Roman" w:hAnsiTheme="majorHAnsi"/>
          <w:sz w:val="20"/>
          <w:szCs w:val="20"/>
          <w:lang w:val="pt-BR"/>
        </w:rPr>
        <w:t>ia</w:t>
      </w:r>
      <w:r w:rsidR="002649F0" w:rsidRPr="006D1C74">
        <w:rPr>
          <w:rFonts w:asciiTheme="majorHAnsi" w:eastAsia="Times New Roman" w:hAnsiTheme="majorHAnsi"/>
          <w:sz w:val="20"/>
          <w:szCs w:val="20"/>
          <w:lang w:val="pt-BR"/>
        </w:rPr>
        <w:t xml:space="preserve"> de </w:t>
      </w:r>
      <w:r w:rsidR="00417BE8" w:rsidRPr="006D1C74">
        <w:rPr>
          <w:rFonts w:asciiTheme="majorHAnsi" w:eastAsia="Times New Roman" w:hAnsiTheme="majorHAnsi"/>
          <w:sz w:val="20"/>
          <w:szCs w:val="20"/>
          <w:lang w:val="pt-BR"/>
        </w:rPr>
        <w:t>Direito</w:t>
      </w:r>
      <w:r w:rsidR="002649F0" w:rsidRPr="006D1C74">
        <w:rPr>
          <w:rFonts w:asciiTheme="majorHAnsi" w:eastAsia="Times New Roman" w:hAnsiTheme="majorHAnsi"/>
          <w:sz w:val="20"/>
          <w:szCs w:val="20"/>
          <w:lang w:val="pt-BR"/>
        </w:rPr>
        <w:t>s Humanos</w:t>
      </w:r>
      <w:r w:rsidR="00795010" w:rsidRPr="006D1C74">
        <w:rPr>
          <w:rFonts w:asciiTheme="majorHAnsi" w:eastAsia="Times New Roman" w:hAnsiTheme="majorHAnsi"/>
          <w:sz w:val="20"/>
          <w:szCs w:val="20"/>
          <w:lang w:val="pt-BR"/>
        </w:rPr>
        <w:t xml:space="preserve"> da </w:t>
      </w:r>
      <w:r w:rsidR="002649F0" w:rsidRPr="006D1C74">
        <w:rPr>
          <w:rFonts w:asciiTheme="majorHAnsi" w:eastAsia="Times New Roman" w:hAnsiTheme="majorHAnsi"/>
          <w:sz w:val="20"/>
          <w:szCs w:val="20"/>
          <w:lang w:val="pt-BR"/>
        </w:rPr>
        <w:t>Presid</w:t>
      </w:r>
      <w:r w:rsidR="000D2A81" w:rsidRPr="006D1C74">
        <w:rPr>
          <w:rFonts w:asciiTheme="majorHAnsi" w:eastAsia="Times New Roman" w:hAnsiTheme="majorHAnsi"/>
          <w:sz w:val="20"/>
          <w:szCs w:val="20"/>
          <w:lang w:val="pt-BR"/>
        </w:rPr>
        <w:t>ência</w:t>
      </w:r>
      <w:r w:rsidR="00795010" w:rsidRPr="006D1C74">
        <w:rPr>
          <w:rFonts w:asciiTheme="majorHAnsi" w:eastAsia="Times New Roman" w:hAnsiTheme="majorHAnsi"/>
          <w:sz w:val="20"/>
          <w:szCs w:val="20"/>
          <w:lang w:val="pt-BR"/>
        </w:rPr>
        <w:t xml:space="preserve"> da </w:t>
      </w:r>
      <w:r w:rsidR="002649F0" w:rsidRPr="006D1C74">
        <w:rPr>
          <w:rFonts w:asciiTheme="majorHAnsi" w:eastAsia="Times New Roman" w:hAnsiTheme="majorHAnsi"/>
          <w:sz w:val="20"/>
          <w:szCs w:val="20"/>
          <w:lang w:val="pt-BR"/>
        </w:rPr>
        <w:t>República</w:t>
      </w:r>
      <w:r w:rsidR="00030019" w:rsidRPr="006D1C74">
        <w:rPr>
          <w:rFonts w:asciiTheme="majorHAnsi" w:eastAsia="Times New Roman" w:hAnsiTheme="majorHAnsi"/>
          <w:sz w:val="20"/>
          <w:szCs w:val="20"/>
          <w:lang w:val="pt-BR"/>
        </w:rPr>
        <w:t xml:space="preserve"> uma </w:t>
      </w:r>
      <w:r w:rsidR="002649F0" w:rsidRPr="006D1C74">
        <w:rPr>
          <w:rFonts w:asciiTheme="majorHAnsi" w:eastAsia="Times New Roman" w:hAnsiTheme="majorHAnsi"/>
          <w:sz w:val="20"/>
          <w:szCs w:val="20"/>
          <w:lang w:val="pt-BR"/>
        </w:rPr>
        <w:t>reuni</w:t>
      </w:r>
      <w:r w:rsidR="00F6715A" w:rsidRPr="006D1C74">
        <w:rPr>
          <w:rFonts w:asciiTheme="majorHAnsi" w:eastAsia="Times New Roman" w:hAnsiTheme="majorHAnsi"/>
          <w:sz w:val="20"/>
          <w:szCs w:val="20"/>
          <w:lang w:val="pt-BR"/>
        </w:rPr>
        <w:t>ão</w:t>
      </w:r>
      <w:r w:rsidR="002649F0" w:rsidRPr="006D1C74">
        <w:rPr>
          <w:rFonts w:asciiTheme="majorHAnsi" w:eastAsia="Times New Roman" w:hAnsiTheme="majorHAnsi"/>
          <w:sz w:val="20"/>
          <w:szCs w:val="20"/>
          <w:lang w:val="pt-BR"/>
        </w:rPr>
        <w:t xml:space="preserve"> interministerial sobre</w:t>
      </w:r>
      <w:r w:rsidR="00700267" w:rsidRPr="006D1C74">
        <w:rPr>
          <w:rFonts w:asciiTheme="majorHAnsi" w:eastAsia="Times New Roman" w:hAnsiTheme="majorHAnsi"/>
          <w:sz w:val="20"/>
          <w:szCs w:val="20"/>
          <w:lang w:val="pt-BR"/>
        </w:rPr>
        <w:t xml:space="preserve"> o </w:t>
      </w:r>
      <w:r w:rsidR="002649F0" w:rsidRPr="006D1C74">
        <w:rPr>
          <w:rFonts w:asciiTheme="majorHAnsi" w:eastAsia="Times New Roman" w:hAnsiTheme="majorHAnsi"/>
          <w:sz w:val="20"/>
          <w:szCs w:val="20"/>
          <w:lang w:val="pt-BR"/>
        </w:rPr>
        <w:t>caso Antonio Tavares,</w:t>
      </w:r>
      <w:r w:rsidR="00030019" w:rsidRPr="006D1C74">
        <w:rPr>
          <w:rFonts w:asciiTheme="majorHAnsi" w:eastAsia="Times New Roman" w:hAnsiTheme="majorHAnsi"/>
          <w:sz w:val="20"/>
          <w:szCs w:val="20"/>
          <w:lang w:val="pt-BR"/>
        </w:rPr>
        <w:t xml:space="preserve"> </w:t>
      </w:r>
      <w:r w:rsidR="00F6715A" w:rsidRPr="006D1C74">
        <w:rPr>
          <w:rFonts w:asciiTheme="majorHAnsi" w:eastAsia="Times New Roman" w:hAnsiTheme="majorHAnsi"/>
          <w:sz w:val="20"/>
          <w:szCs w:val="20"/>
          <w:lang w:val="pt-BR"/>
        </w:rPr>
        <w:t xml:space="preserve">com a participação de </w:t>
      </w:r>
      <w:r w:rsidR="002649F0" w:rsidRPr="006D1C74">
        <w:rPr>
          <w:rFonts w:asciiTheme="majorHAnsi" w:eastAsia="Times New Roman" w:hAnsiTheme="majorHAnsi"/>
          <w:sz w:val="20"/>
          <w:szCs w:val="20"/>
          <w:lang w:val="pt-BR"/>
        </w:rPr>
        <w:t>v</w:t>
      </w:r>
      <w:r w:rsidR="00F6715A" w:rsidRPr="006D1C74">
        <w:rPr>
          <w:rFonts w:asciiTheme="majorHAnsi" w:eastAsia="Times New Roman" w:hAnsiTheme="majorHAnsi"/>
          <w:sz w:val="20"/>
          <w:szCs w:val="20"/>
          <w:lang w:val="pt-BR"/>
        </w:rPr>
        <w:t>á</w:t>
      </w:r>
      <w:r w:rsidR="002649F0" w:rsidRPr="006D1C74">
        <w:rPr>
          <w:rFonts w:asciiTheme="majorHAnsi" w:eastAsia="Times New Roman" w:hAnsiTheme="majorHAnsi"/>
          <w:sz w:val="20"/>
          <w:szCs w:val="20"/>
          <w:lang w:val="pt-BR"/>
        </w:rPr>
        <w:t>rias autoridades</w:t>
      </w:r>
      <w:r w:rsidR="00F6715A" w:rsidRPr="006D1C74">
        <w:rPr>
          <w:rFonts w:asciiTheme="majorHAnsi" w:eastAsia="Times New Roman" w:hAnsiTheme="majorHAnsi"/>
          <w:sz w:val="20"/>
          <w:szCs w:val="20"/>
          <w:lang w:val="pt-BR"/>
        </w:rPr>
        <w:t>,</w:t>
      </w:r>
      <w:r w:rsidR="00F673C7" w:rsidRPr="006D1C74">
        <w:rPr>
          <w:rFonts w:asciiTheme="majorHAnsi" w:eastAsia="Times New Roman" w:hAnsiTheme="majorHAnsi"/>
          <w:sz w:val="20"/>
          <w:szCs w:val="20"/>
          <w:lang w:val="pt-BR"/>
        </w:rPr>
        <w:t xml:space="preserve"> na </w:t>
      </w:r>
      <w:r w:rsidR="002649F0" w:rsidRPr="006D1C74">
        <w:rPr>
          <w:rFonts w:asciiTheme="majorHAnsi" w:eastAsia="Times New Roman" w:hAnsiTheme="majorHAnsi"/>
          <w:sz w:val="20"/>
          <w:szCs w:val="20"/>
          <w:lang w:val="pt-BR"/>
        </w:rPr>
        <w:t>qu</w:t>
      </w:r>
      <w:r w:rsidR="00F6715A" w:rsidRPr="006D1C74">
        <w:rPr>
          <w:rFonts w:asciiTheme="majorHAnsi" w:eastAsia="Times New Roman" w:hAnsiTheme="majorHAnsi"/>
          <w:sz w:val="20"/>
          <w:szCs w:val="20"/>
          <w:lang w:val="pt-BR"/>
        </w:rPr>
        <w:t>al</w:t>
      </w:r>
      <w:r w:rsidR="00700267" w:rsidRPr="006D1C74">
        <w:rPr>
          <w:rFonts w:asciiTheme="majorHAnsi" w:eastAsia="Times New Roman" w:hAnsiTheme="majorHAnsi"/>
          <w:sz w:val="20"/>
          <w:szCs w:val="20"/>
          <w:lang w:val="pt-BR"/>
        </w:rPr>
        <w:t xml:space="preserve"> a </w:t>
      </w:r>
      <w:r w:rsidR="00F6715A" w:rsidRPr="006D1C74">
        <w:rPr>
          <w:rFonts w:asciiTheme="majorHAnsi" w:eastAsia="Times New Roman" w:hAnsiTheme="majorHAnsi"/>
          <w:sz w:val="20"/>
          <w:szCs w:val="20"/>
          <w:lang w:val="pt-BR"/>
        </w:rPr>
        <w:t>Ouvidoria</w:t>
      </w:r>
      <w:r w:rsidR="002649F0" w:rsidRPr="006D1C74">
        <w:rPr>
          <w:rFonts w:asciiTheme="majorHAnsi" w:eastAsia="Times New Roman" w:hAnsiTheme="majorHAnsi"/>
          <w:sz w:val="20"/>
          <w:szCs w:val="20"/>
          <w:lang w:val="pt-BR"/>
        </w:rPr>
        <w:t xml:space="preserve"> </w:t>
      </w:r>
      <w:r w:rsidR="00F6715A" w:rsidRPr="006D1C74">
        <w:rPr>
          <w:rFonts w:asciiTheme="majorHAnsi" w:eastAsia="Times New Roman" w:hAnsiTheme="majorHAnsi"/>
          <w:sz w:val="20"/>
          <w:szCs w:val="20"/>
          <w:lang w:val="pt-BR"/>
        </w:rPr>
        <w:t>Agrária</w:t>
      </w:r>
      <w:r w:rsidR="002649F0" w:rsidRPr="006D1C74">
        <w:rPr>
          <w:rFonts w:asciiTheme="majorHAnsi" w:eastAsia="Times New Roman" w:hAnsiTheme="majorHAnsi"/>
          <w:sz w:val="20"/>
          <w:szCs w:val="20"/>
          <w:lang w:val="pt-BR"/>
        </w:rPr>
        <w:t xml:space="preserve"> Nacional </w:t>
      </w:r>
      <w:r w:rsidR="00F6715A" w:rsidRPr="006D1C74">
        <w:rPr>
          <w:rFonts w:asciiTheme="majorHAnsi" w:eastAsia="Times New Roman" w:hAnsiTheme="majorHAnsi"/>
          <w:sz w:val="20"/>
          <w:szCs w:val="20"/>
          <w:lang w:val="pt-BR"/>
        </w:rPr>
        <w:t>a</w:t>
      </w:r>
      <w:r w:rsidR="002649F0" w:rsidRPr="006D1C74">
        <w:rPr>
          <w:rFonts w:asciiTheme="majorHAnsi" w:eastAsia="Times New Roman" w:hAnsiTheme="majorHAnsi"/>
          <w:sz w:val="20"/>
          <w:szCs w:val="20"/>
          <w:lang w:val="pt-BR"/>
        </w:rPr>
        <w:t>present</w:t>
      </w:r>
      <w:r w:rsidR="00F6715A" w:rsidRPr="006D1C74">
        <w:rPr>
          <w:rFonts w:asciiTheme="majorHAnsi" w:eastAsia="Times New Roman" w:hAnsiTheme="majorHAnsi"/>
          <w:sz w:val="20"/>
          <w:szCs w:val="20"/>
          <w:lang w:val="pt-BR"/>
        </w:rPr>
        <w:t>ou</w:t>
      </w:r>
      <w:r w:rsidR="002649F0" w:rsidRPr="006D1C74">
        <w:rPr>
          <w:rFonts w:asciiTheme="majorHAnsi" w:eastAsia="Times New Roman" w:hAnsiTheme="majorHAnsi"/>
          <w:sz w:val="20"/>
          <w:szCs w:val="20"/>
          <w:lang w:val="pt-BR"/>
        </w:rPr>
        <w:t xml:space="preserve"> informa</w:t>
      </w:r>
      <w:r w:rsidR="00CF037E" w:rsidRPr="006D1C74">
        <w:rPr>
          <w:rFonts w:asciiTheme="majorHAnsi" w:eastAsia="Times New Roman" w:hAnsiTheme="majorHAnsi"/>
          <w:sz w:val="20"/>
          <w:szCs w:val="20"/>
          <w:lang w:val="pt-BR"/>
        </w:rPr>
        <w:t>ç</w:t>
      </w:r>
      <w:r w:rsidR="000B6979">
        <w:rPr>
          <w:rFonts w:asciiTheme="majorHAnsi" w:eastAsia="Times New Roman" w:hAnsiTheme="majorHAnsi"/>
          <w:sz w:val="20"/>
          <w:szCs w:val="20"/>
          <w:lang w:val="pt-BR"/>
        </w:rPr>
        <w:t>ões</w:t>
      </w:r>
      <w:r w:rsidR="002649F0" w:rsidRPr="006D1C74">
        <w:rPr>
          <w:rFonts w:asciiTheme="majorHAnsi" w:eastAsia="Times New Roman" w:hAnsiTheme="majorHAnsi"/>
          <w:sz w:val="20"/>
          <w:szCs w:val="20"/>
          <w:lang w:val="pt-BR"/>
        </w:rPr>
        <w:t xml:space="preserve"> sobre</w:t>
      </w:r>
      <w:r w:rsidR="00700267" w:rsidRPr="006D1C74">
        <w:rPr>
          <w:rFonts w:asciiTheme="majorHAnsi" w:eastAsia="Times New Roman" w:hAnsiTheme="majorHAnsi"/>
          <w:sz w:val="20"/>
          <w:szCs w:val="20"/>
          <w:lang w:val="pt-BR"/>
        </w:rPr>
        <w:t xml:space="preserve"> os </w:t>
      </w:r>
      <w:r w:rsidR="002649F0" w:rsidRPr="006D1C74">
        <w:rPr>
          <w:rFonts w:asciiTheme="majorHAnsi" w:eastAsia="Times New Roman" w:hAnsiTheme="majorHAnsi"/>
          <w:sz w:val="20"/>
          <w:szCs w:val="20"/>
          <w:lang w:val="pt-BR"/>
        </w:rPr>
        <w:t>avan</w:t>
      </w:r>
      <w:r w:rsidR="00F6715A" w:rsidRPr="006D1C74">
        <w:rPr>
          <w:rFonts w:asciiTheme="majorHAnsi" w:eastAsia="Times New Roman" w:hAnsiTheme="majorHAnsi"/>
          <w:sz w:val="20"/>
          <w:szCs w:val="20"/>
          <w:lang w:val="pt-BR"/>
        </w:rPr>
        <w:t>ço</w:t>
      </w:r>
      <w:r w:rsidR="002649F0" w:rsidRPr="006D1C74">
        <w:rPr>
          <w:rFonts w:asciiTheme="majorHAnsi" w:eastAsia="Times New Roman" w:hAnsiTheme="majorHAnsi"/>
          <w:sz w:val="20"/>
          <w:szCs w:val="20"/>
          <w:lang w:val="pt-BR"/>
        </w:rPr>
        <w:t>s</w:t>
      </w:r>
      <w:r w:rsidR="00030019" w:rsidRPr="006D1C74">
        <w:rPr>
          <w:rFonts w:asciiTheme="majorHAnsi" w:eastAsia="Times New Roman" w:hAnsiTheme="majorHAnsi"/>
          <w:sz w:val="20"/>
          <w:szCs w:val="20"/>
          <w:lang w:val="pt-BR"/>
        </w:rPr>
        <w:t xml:space="preserve"> do </w:t>
      </w:r>
      <w:r w:rsidR="002649F0" w:rsidRPr="006D1C74">
        <w:rPr>
          <w:rFonts w:asciiTheme="majorHAnsi" w:eastAsia="Times New Roman" w:hAnsiTheme="majorHAnsi"/>
          <w:sz w:val="20"/>
          <w:szCs w:val="20"/>
          <w:lang w:val="pt-BR"/>
        </w:rPr>
        <w:t>Plan</w:t>
      </w:r>
      <w:r w:rsidR="00F6715A"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 xml:space="preserve"> Nacional de Combate </w:t>
      </w:r>
      <w:r w:rsidR="00F6715A" w:rsidRPr="006D1C74">
        <w:rPr>
          <w:rFonts w:asciiTheme="majorHAnsi" w:eastAsia="Times New Roman" w:hAnsiTheme="majorHAnsi"/>
          <w:sz w:val="20"/>
          <w:szCs w:val="20"/>
          <w:lang w:val="pt-BR"/>
        </w:rPr>
        <w:t>à</w:t>
      </w:r>
      <w:r w:rsidR="00700267" w:rsidRPr="006D1C74">
        <w:rPr>
          <w:rFonts w:asciiTheme="majorHAnsi" w:eastAsia="Times New Roman" w:hAnsiTheme="majorHAnsi"/>
          <w:sz w:val="20"/>
          <w:szCs w:val="20"/>
          <w:lang w:val="pt-BR"/>
        </w:rPr>
        <w:t xml:space="preserve"> </w:t>
      </w:r>
      <w:r w:rsidR="00143756" w:rsidRPr="006D1C74">
        <w:rPr>
          <w:rFonts w:asciiTheme="majorHAnsi" w:eastAsia="Times New Roman" w:hAnsiTheme="majorHAnsi"/>
          <w:sz w:val="20"/>
          <w:szCs w:val="20"/>
          <w:lang w:val="pt-BR"/>
        </w:rPr>
        <w:t>Violência</w:t>
      </w:r>
      <w:r w:rsidR="00FC2F62" w:rsidRPr="006D1C74">
        <w:rPr>
          <w:rFonts w:asciiTheme="majorHAnsi" w:eastAsia="Times New Roman" w:hAnsiTheme="majorHAnsi"/>
          <w:sz w:val="20"/>
          <w:szCs w:val="20"/>
          <w:lang w:val="pt-BR"/>
        </w:rPr>
        <w:t xml:space="preserve"> no </w:t>
      </w:r>
      <w:r w:rsidR="002649F0" w:rsidRPr="006D1C74">
        <w:rPr>
          <w:rFonts w:asciiTheme="majorHAnsi" w:eastAsia="Times New Roman" w:hAnsiTheme="majorHAnsi"/>
          <w:sz w:val="20"/>
          <w:szCs w:val="20"/>
          <w:lang w:val="pt-BR"/>
        </w:rPr>
        <w:t>Campo</w:t>
      </w:r>
      <w:r w:rsidR="00FC2F62" w:rsidRPr="006D1C74">
        <w:rPr>
          <w:rFonts w:asciiTheme="majorHAnsi" w:eastAsia="Times New Roman" w:hAnsiTheme="majorHAnsi"/>
          <w:sz w:val="20"/>
          <w:szCs w:val="20"/>
          <w:lang w:val="pt-BR"/>
        </w:rPr>
        <w:t xml:space="preserve"> no </w:t>
      </w:r>
      <w:r w:rsidR="002649F0" w:rsidRPr="006D1C74">
        <w:rPr>
          <w:rFonts w:asciiTheme="majorHAnsi" w:eastAsia="Times New Roman" w:hAnsiTheme="majorHAnsi"/>
          <w:sz w:val="20"/>
          <w:szCs w:val="20"/>
          <w:lang w:val="pt-BR"/>
        </w:rPr>
        <w:t xml:space="preserve">estado </w:t>
      </w:r>
      <w:r w:rsidR="000D2A81" w:rsidRPr="006D1C74">
        <w:rPr>
          <w:rFonts w:asciiTheme="majorHAnsi" w:eastAsia="Times New Roman" w:hAnsiTheme="majorHAnsi"/>
          <w:sz w:val="20"/>
          <w:szCs w:val="20"/>
          <w:lang w:val="pt-BR"/>
        </w:rPr>
        <w:t>do Paraná</w:t>
      </w:r>
      <w:r w:rsidR="002649F0" w:rsidRPr="006D1C74">
        <w:rPr>
          <w:rFonts w:asciiTheme="majorHAnsi" w:eastAsia="Times New Roman" w:hAnsiTheme="majorHAnsi"/>
          <w:sz w:val="20"/>
          <w:szCs w:val="20"/>
          <w:lang w:val="pt-BR"/>
        </w:rPr>
        <w:t xml:space="preserve">. </w:t>
      </w:r>
      <w:r w:rsidR="00FB33B4" w:rsidRPr="006D1C74">
        <w:rPr>
          <w:rFonts w:asciiTheme="majorHAnsi" w:eastAsia="Times New Roman" w:hAnsiTheme="majorHAnsi"/>
          <w:sz w:val="20"/>
          <w:szCs w:val="20"/>
          <w:lang w:val="pt-BR"/>
        </w:rPr>
        <w:t>I</w:t>
      </w:r>
      <w:r w:rsidR="002649F0" w:rsidRPr="006D1C74">
        <w:rPr>
          <w:rFonts w:asciiTheme="majorHAnsi" w:eastAsia="Times New Roman" w:hAnsiTheme="majorHAnsi"/>
          <w:sz w:val="20"/>
          <w:szCs w:val="20"/>
          <w:lang w:val="pt-BR"/>
        </w:rPr>
        <w:t>nforma que,</w:t>
      </w:r>
      <w:r w:rsidR="00700267" w:rsidRPr="006D1C74">
        <w:rPr>
          <w:rFonts w:asciiTheme="majorHAnsi" w:eastAsia="Times New Roman" w:hAnsiTheme="majorHAnsi"/>
          <w:sz w:val="20"/>
          <w:szCs w:val="20"/>
          <w:lang w:val="pt-BR"/>
        </w:rPr>
        <w:t xml:space="preserve"> </w:t>
      </w:r>
      <w:r w:rsidR="00F6715A" w:rsidRPr="006D1C74">
        <w:rPr>
          <w:rFonts w:asciiTheme="majorHAnsi" w:eastAsia="Times New Roman" w:hAnsiTheme="majorHAnsi"/>
          <w:sz w:val="20"/>
          <w:szCs w:val="20"/>
          <w:lang w:val="pt-BR"/>
        </w:rPr>
        <w:t>em</w:t>
      </w:r>
      <w:r w:rsidR="00700267" w:rsidRPr="006D1C74">
        <w:rPr>
          <w:rFonts w:asciiTheme="majorHAnsi" w:eastAsia="Times New Roman" w:hAnsiTheme="majorHAnsi"/>
          <w:sz w:val="20"/>
          <w:szCs w:val="20"/>
          <w:lang w:val="pt-BR"/>
        </w:rPr>
        <w:t xml:space="preserve"> </w:t>
      </w:r>
      <w:r w:rsidR="002649F0" w:rsidRPr="006D1C74">
        <w:rPr>
          <w:rFonts w:asciiTheme="majorHAnsi" w:eastAsia="Times New Roman" w:hAnsiTheme="majorHAnsi"/>
          <w:sz w:val="20"/>
          <w:szCs w:val="20"/>
          <w:lang w:val="pt-BR"/>
        </w:rPr>
        <w:t>24 de ma</w:t>
      </w:r>
      <w:r w:rsidR="00F6715A" w:rsidRPr="006D1C74">
        <w:rPr>
          <w:rFonts w:asciiTheme="majorHAnsi" w:eastAsia="Times New Roman" w:hAnsiTheme="majorHAnsi"/>
          <w:sz w:val="20"/>
          <w:szCs w:val="20"/>
          <w:lang w:val="pt-BR"/>
        </w:rPr>
        <w:t>i</w:t>
      </w:r>
      <w:r w:rsidR="002649F0" w:rsidRPr="006D1C74">
        <w:rPr>
          <w:rFonts w:asciiTheme="majorHAnsi" w:eastAsia="Times New Roman" w:hAnsiTheme="majorHAnsi"/>
          <w:sz w:val="20"/>
          <w:szCs w:val="20"/>
          <w:lang w:val="pt-BR"/>
        </w:rPr>
        <w:t xml:space="preserve">o de 2012, </w:t>
      </w:r>
      <w:r w:rsidR="00F6715A" w:rsidRPr="006D1C74">
        <w:rPr>
          <w:rFonts w:asciiTheme="majorHAnsi" w:eastAsia="Times New Roman" w:hAnsiTheme="majorHAnsi"/>
          <w:sz w:val="20"/>
          <w:szCs w:val="20"/>
          <w:lang w:val="pt-BR"/>
        </w:rPr>
        <w:t xml:space="preserve">foi realizada </w:t>
      </w:r>
      <w:r w:rsidR="00030019" w:rsidRPr="006D1C74">
        <w:rPr>
          <w:rFonts w:asciiTheme="majorHAnsi" w:eastAsia="Times New Roman" w:hAnsiTheme="majorHAnsi"/>
          <w:sz w:val="20"/>
          <w:szCs w:val="20"/>
          <w:lang w:val="pt-BR"/>
        </w:rPr>
        <w:t xml:space="preserve">uma </w:t>
      </w:r>
      <w:r w:rsidR="002649F0" w:rsidRPr="006D1C74">
        <w:rPr>
          <w:rFonts w:asciiTheme="majorHAnsi" w:eastAsia="Times New Roman" w:hAnsiTheme="majorHAnsi"/>
          <w:sz w:val="20"/>
          <w:szCs w:val="20"/>
          <w:lang w:val="pt-BR"/>
        </w:rPr>
        <w:t>reuni</w:t>
      </w:r>
      <w:r w:rsidR="00F6715A" w:rsidRPr="006D1C74">
        <w:rPr>
          <w:rFonts w:asciiTheme="majorHAnsi" w:eastAsia="Times New Roman" w:hAnsiTheme="majorHAnsi"/>
          <w:sz w:val="20"/>
          <w:szCs w:val="20"/>
          <w:lang w:val="pt-BR"/>
        </w:rPr>
        <w:t>ão</w:t>
      </w:r>
      <w:r w:rsidR="002649F0" w:rsidRPr="006D1C74">
        <w:rPr>
          <w:rFonts w:asciiTheme="majorHAnsi" w:eastAsia="Times New Roman" w:hAnsiTheme="majorHAnsi"/>
          <w:sz w:val="20"/>
          <w:szCs w:val="20"/>
          <w:lang w:val="pt-BR"/>
        </w:rPr>
        <w:t xml:space="preserve"> preparat</w:t>
      </w:r>
      <w:r w:rsidR="00E327B7" w:rsidRPr="006D1C74">
        <w:rPr>
          <w:rFonts w:asciiTheme="majorHAnsi" w:eastAsia="Times New Roman" w:hAnsiTheme="majorHAnsi"/>
          <w:sz w:val="20"/>
          <w:szCs w:val="20"/>
          <w:lang w:val="pt-BR"/>
        </w:rPr>
        <w:t>ó</w:t>
      </w:r>
      <w:r w:rsidR="002649F0" w:rsidRPr="006D1C74">
        <w:rPr>
          <w:rFonts w:asciiTheme="majorHAnsi" w:eastAsia="Times New Roman" w:hAnsiTheme="majorHAnsi"/>
          <w:sz w:val="20"/>
          <w:szCs w:val="20"/>
          <w:lang w:val="pt-BR"/>
        </w:rPr>
        <w:t>ria</w:t>
      </w:r>
      <w:r w:rsidR="00F673C7" w:rsidRPr="006D1C74">
        <w:rPr>
          <w:rFonts w:asciiTheme="majorHAnsi" w:eastAsia="Times New Roman" w:hAnsiTheme="majorHAnsi"/>
          <w:sz w:val="20"/>
          <w:szCs w:val="20"/>
          <w:lang w:val="pt-BR"/>
        </w:rPr>
        <w:t xml:space="preserve"> na </w:t>
      </w:r>
      <w:r w:rsidR="00F6715A" w:rsidRPr="006D1C74">
        <w:rPr>
          <w:rFonts w:asciiTheme="majorHAnsi" w:eastAsia="Times New Roman" w:hAnsiTheme="majorHAnsi"/>
          <w:sz w:val="20"/>
          <w:szCs w:val="20"/>
          <w:lang w:val="pt-BR"/>
        </w:rPr>
        <w:t>q</w:t>
      </w:r>
      <w:r w:rsidR="002649F0" w:rsidRPr="006D1C74">
        <w:rPr>
          <w:rFonts w:asciiTheme="majorHAnsi" w:eastAsia="Times New Roman" w:hAnsiTheme="majorHAnsi"/>
          <w:sz w:val="20"/>
          <w:szCs w:val="20"/>
          <w:lang w:val="pt-BR"/>
        </w:rPr>
        <w:t>ual participar</w:t>
      </w:r>
      <w:r w:rsidR="00F6715A" w:rsidRPr="006D1C74">
        <w:rPr>
          <w:rFonts w:asciiTheme="majorHAnsi" w:eastAsia="Times New Roman" w:hAnsiTheme="majorHAnsi"/>
          <w:sz w:val="20"/>
          <w:szCs w:val="20"/>
          <w:lang w:val="pt-BR"/>
        </w:rPr>
        <w:t>am</w:t>
      </w:r>
      <w:r w:rsidR="00030019" w:rsidRPr="006D1C74">
        <w:rPr>
          <w:rFonts w:asciiTheme="majorHAnsi" w:eastAsia="Times New Roman" w:hAnsiTheme="majorHAnsi"/>
          <w:sz w:val="20"/>
          <w:szCs w:val="20"/>
          <w:lang w:val="pt-BR"/>
        </w:rPr>
        <w:t xml:space="preserve"> um </w:t>
      </w:r>
      <w:r w:rsidR="002649F0" w:rsidRPr="006D1C74">
        <w:rPr>
          <w:rFonts w:asciiTheme="majorHAnsi" w:eastAsia="Times New Roman" w:hAnsiTheme="majorHAnsi"/>
          <w:sz w:val="20"/>
          <w:szCs w:val="20"/>
          <w:lang w:val="pt-BR"/>
        </w:rPr>
        <w:t>representante</w:t>
      </w:r>
      <w:r w:rsidR="00795010" w:rsidRPr="006D1C74">
        <w:rPr>
          <w:rFonts w:asciiTheme="majorHAnsi" w:eastAsia="Times New Roman" w:hAnsiTheme="majorHAnsi"/>
          <w:sz w:val="20"/>
          <w:szCs w:val="20"/>
          <w:lang w:val="pt-BR"/>
        </w:rPr>
        <w:t xml:space="preserve"> da </w:t>
      </w:r>
      <w:r w:rsidR="002649F0" w:rsidRPr="006D1C74">
        <w:rPr>
          <w:rFonts w:asciiTheme="majorHAnsi" w:eastAsia="Times New Roman" w:hAnsiTheme="majorHAnsi"/>
          <w:sz w:val="20"/>
          <w:szCs w:val="20"/>
          <w:lang w:val="pt-BR"/>
        </w:rPr>
        <w:t>Secretar</w:t>
      </w:r>
      <w:r w:rsidR="00055622" w:rsidRPr="006D1C74">
        <w:rPr>
          <w:rFonts w:asciiTheme="majorHAnsi" w:eastAsia="Times New Roman" w:hAnsiTheme="majorHAnsi"/>
          <w:sz w:val="20"/>
          <w:szCs w:val="20"/>
          <w:lang w:val="pt-BR"/>
        </w:rPr>
        <w:t>ia</w:t>
      </w:r>
      <w:r w:rsidR="00700267" w:rsidRPr="006D1C74">
        <w:rPr>
          <w:rFonts w:asciiTheme="majorHAnsi" w:eastAsia="Times New Roman" w:hAnsiTheme="majorHAnsi"/>
          <w:sz w:val="20"/>
          <w:szCs w:val="20"/>
          <w:lang w:val="pt-BR"/>
        </w:rPr>
        <w:t xml:space="preserve"> d</w:t>
      </w:r>
      <w:r w:rsidR="00DE334A" w:rsidRPr="006D1C74">
        <w:rPr>
          <w:rFonts w:asciiTheme="majorHAnsi" w:eastAsia="Times New Roman" w:hAnsiTheme="majorHAnsi"/>
          <w:sz w:val="20"/>
          <w:szCs w:val="20"/>
          <w:lang w:val="pt-BR"/>
        </w:rPr>
        <w:t>e</w:t>
      </w:r>
      <w:r w:rsidR="00700267" w:rsidRPr="006D1C74">
        <w:rPr>
          <w:rFonts w:asciiTheme="majorHAnsi" w:eastAsia="Times New Roman" w:hAnsiTheme="majorHAnsi"/>
          <w:sz w:val="20"/>
          <w:szCs w:val="20"/>
          <w:lang w:val="pt-BR"/>
        </w:rPr>
        <w:t xml:space="preserve"> </w:t>
      </w:r>
      <w:r w:rsidR="00417BE8" w:rsidRPr="006D1C74">
        <w:rPr>
          <w:rFonts w:asciiTheme="majorHAnsi" w:eastAsia="Times New Roman" w:hAnsiTheme="majorHAnsi"/>
          <w:sz w:val="20"/>
          <w:szCs w:val="20"/>
          <w:lang w:val="pt-BR"/>
        </w:rPr>
        <w:t>Direito</w:t>
      </w:r>
      <w:r w:rsidR="002649F0" w:rsidRPr="006D1C74">
        <w:rPr>
          <w:rFonts w:asciiTheme="majorHAnsi" w:eastAsia="Times New Roman" w:hAnsiTheme="majorHAnsi"/>
          <w:sz w:val="20"/>
          <w:szCs w:val="20"/>
          <w:lang w:val="pt-BR"/>
        </w:rPr>
        <w:t>s Humanos</w:t>
      </w:r>
      <w:r w:rsidR="00795010" w:rsidRPr="006D1C74">
        <w:rPr>
          <w:rFonts w:asciiTheme="majorHAnsi" w:eastAsia="Times New Roman" w:hAnsiTheme="majorHAnsi"/>
          <w:sz w:val="20"/>
          <w:szCs w:val="20"/>
          <w:lang w:val="pt-BR"/>
        </w:rPr>
        <w:t xml:space="preserve"> da </w:t>
      </w:r>
      <w:r w:rsidR="002649F0" w:rsidRPr="006D1C74">
        <w:rPr>
          <w:rFonts w:asciiTheme="majorHAnsi" w:eastAsia="Times New Roman" w:hAnsiTheme="majorHAnsi"/>
          <w:sz w:val="20"/>
          <w:szCs w:val="20"/>
          <w:lang w:val="pt-BR"/>
        </w:rPr>
        <w:t>Presid</w:t>
      </w:r>
      <w:r w:rsidR="000D2A81" w:rsidRPr="006D1C74">
        <w:rPr>
          <w:rFonts w:asciiTheme="majorHAnsi" w:eastAsia="Times New Roman" w:hAnsiTheme="majorHAnsi"/>
          <w:sz w:val="20"/>
          <w:szCs w:val="20"/>
          <w:lang w:val="pt-BR"/>
        </w:rPr>
        <w:t>ência</w:t>
      </w:r>
      <w:r w:rsidR="00795010" w:rsidRPr="006D1C74">
        <w:rPr>
          <w:rFonts w:asciiTheme="majorHAnsi" w:eastAsia="Times New Roman" w:hAnsiTheme="majorHAnsi"/>
          <w:sz w:val="20"/>
          <w:szCs w:val="20"/>
          <w:lang w:val="pt-BR"/>
        </w:rPr>
        <w:t xml:space="preserve"> da </w:t>
      </w:r>
      <w:r w:rsidR="002649F0" w:rsidRPr="006D1C74">
        <w:rPr>
          <w:rFonts w:asciiTheme="majorHAnsi" w:eastAsia="Times New Roman" w:hAnsiTheme="majorHAnsi"/>
          <w:sz w:val="20"/>
          <w:szCs w:val="20"/>
          <w:lang w:val="pt-BR"/>
        </w:rPr>
        <w:t>República</w:t>
      </w:r>
      <w:r w:rsidR="00CF037E" w:rsidRPr="006D1C74">
        <w:rPr>
          <w:rFonts w:asciiTheme="majorHAnsi" w:eastAsia="Times New Roman" w:hAnsiTheme="majorHAnsi"/>
          <w:sz w:val="20"/>
          <w:szCs w:val="20"/>
          <w:lang w:val="pt-BR"/>
        </w:rPr>
        <w:t xml:space="preserve"> e</w:t>
      </w:r>
      <w:r w:rsidR="00030019" w:rsidRPr="006D1C74">
        <w:rPr>
          <w:rFonts w:asciiTheme="majorHAnsi" w:eastAsia="Times New Roman" w:hAnsiTheme="majorHAnsi"/>
          <w:sz w:val="20"/>
          <w:szCs w:val="20"/>
          <w:lang w:val="pt-BR"/>
        </w:rPr>
        <w:t xml:space="preserve"> um </w:t>
      </w:r>
      <w:r w:rsidR="002649F0" w:rsidRPr="006D1C74">
        <w:rPr>
          <w:rFonts w:asciiTheme="majorHAnsi" w:eastAsia="Times New Roman" w:hAnsiTheme="majorHAnsi"/>
          <w:sz w:val="20"/>
          <w:szCs w:val="20"/>
          <w:lang w:val="pt-BR"/>
        </w:rPr>
        <w:t>representante</w:t>
      </w:r>
      <w:r w:rsidR="00795010" w:rsidRPr="006D1C74">
        <w:rPr>
          <w:rFonts w:asciiTheme="majorHAnsi" w:eastAsia="Times New Roman" w:hAnsiTheme="majorHAnsi"/>
          <w:sz w:val="20"/>
          <w:szCs w:val="20"/>
          <w:lang w:val="pt-BR"/>
        </w:rPr>
        <w:t xml:space="preserve"> da </w:t>
      </w:r>
      <w:r w:rsidR="002649F0" w:rsidRPr="006D1C74">
        <w:rPr>
          <w:rFonts w:asciiTheme="majorHAnsi" w:eastAsia="Times New Roman" w:hAnsiTheme="majorHAnsi"/>
          <w:sz w:val="20"/>
          <w:szCs w:val="20"/>
          <w:lang w:val="pt-BR"/>
        </w:rPr>
        <w:t xml:space="preserve">parte </w:t>
      </w:r>
      <w:r w:rsidR="00795010" w:rsidRPr="006D1C74">
        <w:rPr>
          <w:rFonts w:asciiTheme="majorHAnsi" w:eastAsia="Times New Roman" w:hAnsiTheme="majorHAnsi"/>
          <w:sz w:val="20"/>
          <w:szCs w:val="20"/>
          <w:lang w:val="pt-BR"/>
        </w:rPr>
        <w:t>peticionária</w:t>
      </w:r>
      <w:r w:rsidR="002649F0" w:rsidRPr="006D1C74">
        <w:rPr>
          <w:rFonts w:asciiTheme="majorHAnsi" w:eastAsia="Times New Roman" w:hAnsiTheme="majorHAnsi"/>
          <w:sz w:val="20"/>
          <w:szCs w:val="20"/>
          <w:lang w:val="pt-BR"/>
        </w:rPr>
        <w:t>. Afirma que,</w:t>
      </w:r>
      <w:r w:rsidR="00F673C7" w:rsidRPr="006D1C74">
        <w:rPr>
          <w:rFonts w:asciiTheme="majorHAnsi" w:eastAsia="Times New Roman" w:hAnsiTheme="majorHAnsi"/>
          <w:sz w:val="20"/>
          <w:szCs w:val="20"/>
          <w:lang w:val="pt-BR"/>
        </w:rPr>
        <w:t xml:space="preserve"> </w:t>
      </w:r>
      <w:r w:rsidR="00E327B7" w:rsidRPr="006D1C74">
        <w:rPr>
          <w:rFonts w:asciiTheme="majorHAnsi" w:eastAsia="Times New Roman" w:hAnsiTheme="majorHAnsi"/>
          <w:sz w:val="20"/>
          <w:szCs w:val="20"/>
          <w:lang w:val="pt-BR"/>
        </w:rPr>
        <w:t>n</w:t>
      </w:r>
      <w:r w:rsidR="002649F0" w:rsidRPr="006D1C74">
        <w:rPr>
          <w:rFonts w:asciiTheme="majorHAnsi" w:eastAsia="Times New Roman" w:hAnsiTheme="majorHAnsi"/>
          <w:sz w:val="20"/>
          <w:szCs w:val="20"/>
          <w:lang w:val="pt-BR"/>
        </w:rPr>
        <w:t>es</w:t>
      </w:r>
      <w:r w:rsidR="00E327B7" w:rsidRPr="006D1C74">
        <w:rPr>
          <w:rFonts w:asciiTheme="majorHAnsi" w:eastAsia="Times New Roman" w:hAnsiTheme="majorHAnsi"/>
          <w:sz w:val="20"/>
          <w:szCs w:val="20"/>
          <w:lang w:val="pt-BR"/>
        </w:rPr>
        <w:t>s</w:t>
      </w:r>
      <w:r w:rsidR="002649F0" w:rsidRPr="006D1C74">
        <w:rPr>
          <w:rFonts w:asciiTheme="majorHAnsi" w:eastAsia="Times New Roman" w:hAnsiTheme="majorHAnsi"/>
          <w:sz w:val="20"/>
          <w:szCs w:val="20"/>
          <w:lang w:val="pt-BR"/>
        </w:rPr>
        <w:t>a reuni</w:t>
      </w:r>
      <w:r w:rsidR="00E327B7" w:rsidRPr="006D1C74">
        <w:rPr>
          <w:rFonts w:asciiTheme="majorHAnsi" w:eastAsia="Times New Roman" w:hAnsiTheme="majorHAnsi"/>
          <w:sz w:val="20"/>
          <w:szCs w:val="20"/>
          <w:lang w:val="pt-BR"/>
        </w:rPr>
        <w:t>ão</w:t>
      </w:r>
      <w:r w:rsidR="002649F0" w:rsidRPr="006D1C74">
        <w:rPr>
          <w:rFonts w:asciiTheme="majorHAnsi" w:eastAsia="Times New Roman" w:hAnsiTheme="majorHAnsi"/>
          <w:sz w:val="20"/>
          <w:szCs w:val="20"/>
          <w:lang w:val="pt-BR"/>
        </w:rPr>
        <w:t>,</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 xml:space="preserve">parte </w:t>
      </w:r>
      <w:r w:rsidR="00795010" w:rsidRPr="006D1C74">
        <w:rPr>
          <w:rFonts w:asciiTheme="majorHAnsi" w:eastAsia="Times New Roman" w:hAnsiTheme="majorHAnsi"/>
          <w:sz w:val="20"/>
          <w:szCs w:val="20"/>
          <w:lang w:val="pt-BR"/>
        </w:rPr>
        <w:t>peticionária</w:t>
      </w:r>
      <w:r w:rsidR="002649F0" w:rsidRPr="006D1C74">
        <w:rPr>
          <w:rFonts w:asciiTheme="majorHAnsi" w:eastAsia="Times New Roman" w:hAnsiTheme="majorHAnsi"/>
          <w:sz w:val="20"/>
          <w:szCs w:val="20"/>
          <w:lang w:val="pt-BR"/>
        </w:rPr>
        <w:t xml:space="preserve"> </w:t>
      </w:r>
      <w:r w:rsidR="00E327B7" w:rsidRPr="006D1C74">
        <w:rPr>
          <w:rFonts w:asciiTheme="majorHAnsi" w:eastAsia="Times New Roman" w:hAnsiTheme="majorHAnsi"/>
          <w:sz w:val="20"/>
          <w:szCs w:val="20"/>
          <w:lang w:val="pt-BR"/>
        </w:rPr>
        <w:t>apresentou</w:t>
      </w:r>
      <w:r w:rsidR="002649F0" w:rsidRPr="006D1C74">
        <w:rPr>
          <w:rFonts w:asciiTheme="majorHAnsi" w:eastAsia="Times New Roman" w:hAnsiTheme="majorHAnsi"/>
          <w:sz w:val="20"/>
          <w:szCs w:val="20"/>
          <w:lang w:val="pt-BR"/>
        </w:rPr>
        <w:t xml:space="preserve"> su</w:t>
      </w:r>
      <w:r w:rsidR="00E327B7" w:rsidRPr="006D1C74">
        <w:rPr>
          <w:rFonts w:asciiTheme="majorHAnsi" w:eastAsia="Times New Roman" w:hAnsiTheme="majorHAnsi"/>
          <w:sz w:val="20"/>
          <w:szCs w:val="20"/>
          <w:lang w:val="pt-BR"/>
        </w:rPr>
        <w:t>a</w:t>
      </w:r>
      <w:r w:rsidR="002649F0" w:rsidRPr="006D1C74">
        <w:rPr>
          <w:rFonts w:asciiTheme="majorHAnsi" w:eastAsia="Times New Roman" w:hAnsiTheme="majorHAnsi"/>
          <w:sz w:val="20"/>
          <w:szCs w:val="20"/>
          <w:lang w:val="pt-BR"/>
        </w:rPr>
        <w:t>s preocupa</w:t>
      </w:r>
      <w:r w:rsidR="00CF037E" w:rsidRPr="006D1C74">
        <w:rPr>
          <w:rFonts w:asciiTheme="majorHAnsi" w:eastAsia="Times New Roman" w:hAnsiTheme="majorHAnsi"/>
          <w:sz w:val="20"/>
          <w:szCs w:val="20"/>
          <w:lang w:val="pt-BR"/>
        </w:rPr>
        <w:t>ções</w:t>
      </w:r>
      <w:r w:rsidR="00F673C7" w:rsidRPr="006D1C74">
        <w:rPr>
          <w:rFonts w:asciiTheme="majorHAnsi" w:eastAsia="Times New Roman" w:hAnsiTheme="majorHAnsi"/>
          <w:sz w:val="20"/>
          <w:szCs w:val="20"/>
          <w:lang w:val="pt-BR"/>
        </w:rPr>
        <w:t xml:space="preserve"> </w:t>
      </w:r>
      <w:r w:rsidR="00E327B7" w:rsidRPr="006D1C74">
        <w:rPr>
          <w:rFonts w:asciiTheme="majorHAnsi" w:eastAsia="Times New Roman" w:hAnsiTheme="majorHAnsi"/>
          <w:sz w:val="20"/>
          <w:szCs w:val="20"/>
          <w:lang w:val="pt-BR"/>
        </w:rPr>
        <w:t>a</w:t>
      </w:r>
      <w:r w:rsidR="00F673C7" w:rsidRPr="006D1C74">
        <w:rPr>
          <w:rFonts w:asciiTheme="majorHAnsi" w:eastAsia="Times New Roman" w:hAnsiTheme="majorHAnsi"/>
          <w:sz w:val="20"/>
          <w:szCs w:val="20"/>
          <w:lang w:val="pt-BR"/>
        </w:rPr>
        <w:t xml:space="preserve"> </w:t>
      </w:r>
      <w:r w:rsidR="00156036" w:rsidRPr="006D1C74">
        <w:rPr>
          <w:rFonts w:asciiTheme="majorHAnsi" w:eastAsia="Times New Roman" w:hAnsiTheme="majorHAnsi"/>
          <w:sz w:val="20"/>
          <w:szCs w:val="20"/>
          <w:lang w:val="pt-BR"/>
        </w:rPr>
        <w:t>respeito</w:t>
      </w:r>
      <w:r w:rsidR="00217759" w:rsidRPr="006D1C74">
        <w:rPr>
          <w:rFonts w:asciiTheme="majorHAnsi" w:eastAsia="Times New Roman" w:hAnsiTheme="majorHAnsi"/>
          <w:sz w:val="20"/>
          <w:szCs w:val="20"/>
          <w:lang w:val="pt-BR"/>
        </w:rPr>
        <w:t xml:space="preserve"> </w:t>
      </w:r>
      <w:r w:rsidR="00E327B7" w:rsidRPr="006D1C74">
        <w:rPr>
          <w:rFonts w:asciiTheme="majorHAnsi" w:eastAsia="Times New Roman" w:hAnsiTheme="majorHAnsi"/>
          <w:sz w:val="20"/>
          <w:szCs w:val="20"/>
          <w:lang w:val="pt-BR"/>
        </w:rPr>
        <w:t>d</w:t>
      </w:r>
      <w:r w:rsidR="00217759" w:rsidRPr="006D1C74">
        <w:rPr>
          <w:rFonts w:asciiTheme="majorHAnsi" w:eastAsia="Times New Roman" w:hAnsiTheme="majorHAnsi"/>
          <w:sz w:val="20"/>
          <w:szCs w:val="20"/>
          <w:lang w:val="pt-BR"/>
        </w:rPr>
        <w:t xml:space="preserve">o </w:t>
      </w:r>
      <w:r w:rsidR="002649F0" w:rsidRPr="006D1C74">
        <w:rPr>
          <w:rFonts w:asciiTheme="majorHAnsi" w:eastAsia="Times New Roman" w:hAnsiTheme="majorHAnsi"/>
          <w:sz w:val="20"/>
          <w:szCs w:val="20"/>
          <w:lang w:val="pt-BR"/>
        </w:rPr>
        <w:t>caso Antonio Tavares</w:t>
      </w:r>
      <w:r w:rsidR="00CF037E" w:rsidRPr="006D1C74">
        <w:rPr>
          <w:rFonts w:asciiTheme="majorHAnsi" w:eastAsia="Times New Roman" w:hAnsiTheme="majorHAnsi"/>
          <w:sz w:val="20"/>
          <w:szCs w:val="20"/>
          <w:lang w:val="pt-BR"/>
        </w:rPr>
        <w:t xml:space="preserve"> e outr</w:t>
      </w:r>
      <w:r w:rsidR="002649F0" w:rsidRPr="006D1C74">
        <w:rPr>
          <w:rFonts w:asciiTheme="majorHAnsi" w:eastAsia="Times New Roman" w:hAnsiTheme="majorHAnsi"/>
          <w:sz w:val="20"/>
          <w:szCs w:val="20"/>
          <w:lang w:val="pt-BR"/>
        </w:rPr>
        <w:t>os</w:t>
      </w:r>
      <w:r w:rsidR="00CF037E" w:rsidRPr="006D1C74">
        <w:rPr>
          <w:rFonts w:asciiTheme="majorHAnsi" w:eastAsia="Times New Roman" w:hAnsiTheme="majorHAnsi"/>
          <w:sz w:val="20"/>
          <w:szCs w:val="20"/>
          <w:lang w:val="pt-BR"/>
        </w:rPr>
        <w:t xml:space="preserve"> e </w:t>
      </w:r>
      <w:r w:rsidR="002649F0" w:rsidRPr="006D1C74">
        <w:rPr>
          <w:rFonts w:asciiTheme="majorHAnsi" w:eastAsia="Times New Roman" w:hAnsiTheme="majorHAnsi"/>
          <w:sz w:val="20"/>
          <w:szCs w:val="20"/>
          <w:lang w:val="pt-BR"/>
        </w:rPr>
        <w:t>p</w:t>
      </w:r>
      <w:r w:rsidR="00E327B7" w:rsidRPr="006D1C74">
        <w:rPr>
          <w:rFonts w:asciiTheme="majorHAnsi" w:eastAsia="Times New Roman" w:hAnsiTheme="majorHAnsi"/>
          <w:sz w:val="20"/>
          <w:szCs w:val="20"/>
          <w:lang w:val="pt-BR"/>
        </w:rPr>
        <w:t>ediu</w:t>
      </w:r>
      <w:r w:rsidR="002649F0" w:rsidRPr="006D1C74">
        <w:rPr>
          <w:rFonts w:asciiTheme="majorHAnsi" w:eastAsia="Times New Roman" w:hAnsiTheme="majorHAnsi"/>
          <w:sz w:val="20"/>
          <w:szCs w:val="20"/>
          <w:lang w:val="pt-BR"/>
        </w:rPr>
        <w:t>, a</w:t>
      </w:r>
      <w:r w:rsidR="00E327B7" w:rsidRPr="006D1C74">
        <w:rPr>
          <w:rFonts w:asciiTheme="majorHAnsi" w:eastAsia="Times New Roman" w:hAnsiTheme="majorHAnsi"/>
          <w:sz w:val="20"/>
          <w:szCs w:val="20"/>
          <w:lang w:val="pt-BR"/>
        </w:rPr>
        <w:t>lém</w:t>
      </w:r>
      <w:r w:rsidR="002649F0" w:rsidRPr="006D1C74">
        <w:rPr>
          <w:rFonts w:asciiTheme="majorHAnsi" w:eastAsia="Times New Roman" w:hAnsiTheme="majorHAnsi"/>
          <w:sz w:val="20"/>
          <w:szCs w:val="20"/>
          <w:lang w:val="pt-BR"/>
        </w:rPr>
        <w:t xml:space="preserve"> de medidas para investigar</w:t>
      </w:r>
      <w:r w:rsidR="00CF037E" w:rsidRPr="006D1C74">
        <w:rPr>
          <w:rFonts w:asciiTheme="majorHAnsi" w:eastAsia="Times New Roman" w:hAnsiTheme="majorHAnsi"/>
          <w:sz w:val="20"/>
          <w:szCs w:val="20"/>
          <w:lang w:val="pt-BR"/>
        </w:rPr>
        <w:t xml:space="preserve"> e </w:t>
      </w:r>
      <w:r w:rsidR="002649F0" w:rsidRPr="006D1C74">
        <w:rPr>
          <w:rFonts w:asciiTheme="majorHAnsi" w:eastAsia="Times New Roman" w:hAnsiTheme="majorHAnsi"/>
          <w:sz w:val="20"/>
          <w:szCs w:val="20"/>
          <w:lang w:val="pt-BR"/>
        </w:rPr>
        <w:t>determinar</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responsabili</w:t>
      </w:r>
      <w:r w:rsidR="00F673C7" w:rsidRPr="006D1C74">
        <w:rPr>
          <w:rFonts w:asciiTheme="majorHAnsi" w:eastAsia="Times New Roman" w:hAnsiTheme="majorHAnsi"/>
          <w:sz w:val="20"/>
          <w:szCs w:val="20"/>
          <w:lang w:val="pt-BR"/>
        </w:rPr>
        <w:t xml:space="preserve">dade </w:t>
      </w:r>
      <w:r w:rsidR="002649F0" w:rsidRPr="006D1C74">
        <w:rPr>
          <w:rFonts w:asciiTheme="majorHAnsi" w:eastAsia="Times New Roman" w:hAnsiTheme="majorHAnsi"/>
          <w:sz w:val="20"/>
          <w:szCs w:val="20"/>
          <w:lang w:val="pt-BR"/>
        </w:rPr>
        <w:t>penal</w:t>
      </w:r>
      <w:r w:rsidR="00700267" w:rsidRPr="006D1C74">
        <w:rPr>
          <w:rFonts w:asciiTheme="majorHAnsi" w:eastAsia="Times New Roman" w:hAnsiTheme="majorHAnsi"/>
          <w:sz w:val="20"/>
          <w:szCs w:val="20"/>
          <w:lang w:val="pt-BR"/>
        </w:rPr>
        <w:t xml:space="preserve"> dos </w:t>
      </w:r>
      <w:r w:rsidR="002649F0" w:rsidRPr="006D1C74">
        <w:rPr>
          <w:rFonts w:asciiTheme="majorHAnsi" w:eastAsia="Times New Roman" w:hAnsiTheme="majorHAnsi"/>
          <w:sz w:val="20"/>
          <w:szCs w:val="20"/>
          <w:lang w:val="pt-BR"/>
        </w:rPr>
        <w:t>autores</w:t>
      </w:r>
      <w:r w:rsidR="00030019" w:rsidRPr="006D1C74">
        <w:rPr>
          <w:rFonts w:asciiTheme="majorHAnsi" w:eastAsia="Times New Roman" w:hAnsiTheme="majorHAnsi"/>
          <w:sz w:val="20"/>
          <w:szCs w:val="20"/>
          <w:lang w:val="pt-BR"/>
        </w:rPr>
        <w:t xml:space="preserve"> do </w:t>
      </w:r>
      <w:r w:rsidR="002649F0" w:rsidRPr="006D1C74">
        <w:rPr>
          <w:rFonts w:asciiTheme="majorHAnsi" w:eastAsia="Times New Roman" w:hAnsiTheme="majorHAnsi"/>
          <w:sz w:val="20"/>
          <w:szCs w:val="20"/>
          <w:lang w:val="pt-BR"/>
        </w:rPr>
        <w:t>homic</w:t>
      </w:r>
      <w:r w:rsidR="00E327B7" w:rsidRPr="006D1C74">
        <w:rPr>
          <w:rFonts w:asciiTheme="majorHAnsi" w:eastAsia="Times New Roman" w:hAnsiTheme="majorHAnsi"/>
          <w:sz w:val="20"/>
          <w:szCs w:val="20"/>
          <w:lang w:val="pt-BR"/>
        </w:rPr>
        <w:t>í</w:t>
      </w:r>
      <w:r w:rsidR="002649F0" w:rsidRPr="006D1C74">
        <w:rPr>
          <w:rFonts w:asciiTheme="majorHAnsi" w:eastAsia="Times New Roman" w:hAnsiTheme="majorHAnsi"/>
          <w:sz w:val="20"/>
          <w:szCs w:val="20"/>
          <w:lang w:val="pt-BR"/>
        </w:rPr>
        <w:t>dio, que</w:t>
      </w:r>
      <w:r w:rsidR="00700267" w:rsidRPr="006D1C74">
        <w:rPr>
          <w:rFonts w:asciiTheme="majorHAnsi" w:eastAsia="Times New Roman" w:hAnsiTheme="majorHAnsi"/>
          <w:sz w:val="20"/>
          <w:szCs w:val="20"/>
          <w:lang w:val="pt-BR"/>
        </w:rPr>
        <w:t xml:space="preserve"> o </w:t>
      </w:r>
      <w:r w:rsidR="002649F0" w:rsidRPr="006D1C74">
        <w:rPr>
          <w:rFonts w:asciiTheme="majorHAnsi" w:eastAsia="Times New Roman" w:hAnsiTheme="majorHAnsi"/>
          <w:sz w:val="20"/>
          <w:szCs w:val="20"/>
          <w:lang w:val="pt-BR"/>
        </w:rPr>
        <w:t>Estado toma</w:t>
      </w:r>
      <w:r w:rsidR="00E327B7" w:rsidRPr="006D1C74">
        <w:rPr>
          <w:rFonts w:asciiTheme="majorHAnsi" w:eastAsia="Times New Roman" w:hAnsiTheme="majorHAnsi"/>
          <w:sz w:val="20"/>
          <w:szCs w:val="20"/>
          <w:lang w:val="pt-BR"/>
        </w:rPr>
        <w:t>sse</w:t>
      </w:r>
      <w:r w:rsidR="00030019" w:rsidRPr="006D1C74">
        <w:rPr>
          <w:rFonts w:asciiTheme="majorHAnsi" w:eastAsia="Times New Roman" w:hAnsiTheme="majorHAnsi"/>
          <w:sz w:val="20"/>
          <w:szCs w:val="20"/>
          <w:lang w:val="pt-BR"/>
        </w:rPr>
        <w:t xml:space="preserve"> uma </w:t>
      </w:r>
      <w:r w:rsidR="002649F0" w:rsidRPr="006D1C74">
        <w:rPr>
          <w:rFonts w:asciiTheme="majorHAnsi" w:eastAsia="Times New Roman" w:hAnsiTheme="majorHAnsi"/>
          <w:sz w:val="20"/>
          <w:szCs w:val="20"/>
          <w:lang w:val="pt-BR"/>
        </w:rPr>
        <w:t>posi</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diferente</w:t>
      </w:r>
      <w:r w:rsidR="00F673C7" w:rsidRPr="006D1C74">
        <w:rPr>
          <w:rFonts w:asciiTheme="majorHAnsi" w:eastAsia="Times New Roman" w:hAnsiTheme="majorHAnsi"/>
          <w:sz w:val="20"/>
          <w:szCs w:val="20"/>
          <w:lang w:val="pt-BR"/>
        </w:rPr>
        <w:t xml:space="preserve"> com </w:t>
      </w:r>
      <w:r w:rsidR="00156036" w:rsidRPr="006D1C74">
        <w:rPr>
          <w:rFonts w:asciiTheme="majorHAnsi" w:eastAsia="Times New Roman" w:hAnsiTheme="majorHAnsi"/>
          <w:sz w:val="20"/>
          <w:szCs w:val="20"/>
          <w:lang w:val="pt-BR"/>
        </w:rPr>
        <w:t>respeito</w:t>
      </w:r>
      <w:r w:rsidR="00030019" w:rsidRPr="006D1C74">
        <w:rPr>
          <w:rFonts w:asciiTheme="majorHAnsi" w:eastAsia="Times New Roman" w:hAnsiTheme="majorHAnsi"/>
          <w:sz w:val="20"/>
          <w:szCs w:val="20"/>
          <w:lang w:val="pt-BR"/>
        </w:rPr>
        <w:t xml:space="preserve"> à </w:t>
      </w:r>
      <w:r w:rsidR="002649F0" w:rsidRPr="006D1C74">
        <w:rPr>
          <w:rFonts w:asciiTheme="majorHAnsi" w:eastAsia="Times New Roman" w:hAnsiTheme="majorHAnsi"/>
          <w:sz w:val="20"/>
          <w:szCs w:val="20"/>
          <w:lang w:val="pt-BR"/>
        </w:rPr>
        <w:t>repara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w:t>
      </w:r>
      <w:r w:rsidR="00F37852" w:rsidRPr="006D1C74">
        <w:rPr>
          <w:rFonts w:asciiTheme="majorHAnsi" w:eastAsia="Times New Roman" w:hAnsiTheme="majorHAnsi"/>
          <w:sz w:val="20"/>
          <w:szCs w:val="20"/>
          <w:lang w:val="pt-BR"/>
        </w:rPr>
        <w:t xml:space="preserve"> </w:t>
      </w:r>
      <w:r w:rsidR="00E327B7" w:rsidRPr="006D1C74">
        <w:rPr>
          <w:rFonts w:asciiTheme="majorHAnsi" w:eastAsia="Times New Roman" w:hAnsiTheme="majorHAnsi"/>
          <w:sz w:val="20"/>
          <w:szCs w:val="20"/>
          <w:lang w:val="pt-BR"/>
        </w:rPr>
        <w:t>quer dizer</w:t>
      </w:r>
      <w:r w:rsidR="002649F0" w:rsidRPr="006D1C74">
        <w:rPr>
          <w:rFonts w:asciiTheme="majorHAnsi" w:eastAsia="Times New Roman" w:hAnsiTheme="majorHAnsi"/>
          <w:sz w:val="20"/>
          <w:szCs w:val="20"/>
          <w:lang w:val="pt-BR"/>
        </w:rPr>
        <w:t>, que desisti</w:t>
      </w:r>
      <w:r w:rsidR="00E327B7" w:rsidRPr="006D1C74">
        <w:rPr>
          <w:rFonts w:asciiTheme="majorHAnsi" w:eastAsia="Times New Roman" w:hAnsiTheme="majorHAnsi"/>
          <w:sz w:val="20"/>
          <w:szCs w:val="20"/>
          <w:lang w:val="pt-BR"/>
        </w:rPr>
        <w:t>ss</w:t>
      </w:r>
      <w:r w:rsidR="002649F0" w:rsidRPr="006D1C74">
        <w:rPr>
          <w:rFonts w:asciiTheme="majorHAnsi" w:eastAsia="Times New Roman" w:hAnsiTheme="majorHAnsi"/>
          <w:sz w:val="20"/>
          <w:szCs w:val="20"/>
          <w:lang w:val="pt-BR"/>
        </w:rPr>
        <w:t>e</w:t>
      </w:r>
      <w:r w:rsidR="00030019" w:rsidRPr="006D1C74">
        <w:rPr>
          <w:rFonts w:asciiTheme="majorHAnsi" w:eastAsia="Times New Roman" w:hAnsiTheme="majorHAnsi"/>
          <w:sz w:val="20"/>
          <w:szCs w:val="20"/>
          <w:lang w:val="pt-BR"/>
        </w:rPr>
        <w:t xml:space="preserve"> do </w:t>
      </w:r>
      <w:r w:rsidR="002649F0" w:rsidRPr="006D1C74">
        <w:rPr>
          <w:rFonts w:asciiTheme="majorHAnsi" w:eastAsia="Times New Roman" w:hAnsiTheme="majorHAnsi"/>
          <w:sz w:val="20"/>
          <w:szCs w:val="20"/>
          <w:lang w:val="pt-BR"/>
        </w:rPr>
        <w:t>recurso interp</w:t>
      </w:r>
      <w:r w:rsidR="00E327B7"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sto</w:t>
      </w:r>
      <w:r w:rsidR="00CF037E" w:rsidRPr="006D1C74">
        <w:rPr>
          <w:rFonts w:asciiTheme="majorHAnsi" w:eastAsia="Times New Roman" w:hAnsiTheme="majorHAnsi"/>
          <w:sz w:val="20"/>
          <w:szCs w:val="20"/>
          <w:lang w:val="pt-BR"/>
        </w:rPr>
        <w:t xml:space="preserve"> e </w:t>
      </w:r>
      <w:r w:rsidR="002649F0" w:rsidRPr="006D1C74">
        <w:rPr>
          <w:rFonts w:asciiTheme="majorHAnsi" w:eastAsia="Times New Roman" w:hAnsiTheme="majorHAnsi"/>
          <w:sz w:val="20"/>
          <w:szCs w:val="20"/>
          <w:lang w:val="pt-BR"/>
        </w:rPr>
        <w:t>apro</w:t>
      </w:r>
      <w:r w:rsidR="00E327B7" w:rsidRPr="006D1C74">
        <w:rPr>
          <w:rFonts w:asciiTheme="majorHAnsi" w:eastAsia="Times New Roman" w:hAnsiTheme="majorHAnsi"/>
          <w:sz w:val="20"/>
          <w:szCs w:val="20"/>
          <w:lang w:val="pt-BR"/>
        </w:rPr>
        <w:t>vasse</w:t>
      </w:r>
      <w:r w:rsidR="00700267" w:rsidRPr="006D1C74">
        <w:rPr>
          <w:rFonts w:asciiTheme="majorHAnsi" w:eastAsia="Times New Roman" w:hAnsiTheme="majorHAnsi"/>
          <w:sz w:val="20"/>
          <w:szCs w:val="20"/>
          <w:lang w:val="pt-BR"/>
        </w:rPr>
        <w:t xml:space="preserve"> o </w:t>
      </w:r>
      <w:r w:rsidR="002649F0" w:rsidRPr="006D1C74">
        <w:rPr>
          <w:rFonts w:asciiTheme="majorHAnsi" w:eastAsia="Times New Roman" w:hAnsiTheme="majorHAnsi"/>
          <w:sz w:val="20"/>
          <w:szCs w:val="20"/>
          <w:lang w:val="pt-BR"/>
        </w:rPr>
        <w:t>recurso</w:t>
      </w:r>
      <w:r w:rsidR="00795010" w:rsidRPr="006D1C74">
        <w:rPr>
          <w:rFonts w:asciiTheme="majorHAnsi" w:eastAsia="Times New Roman" w:hAnsiTheme="majorHAnsi"/>
          <w:sz w:val="20"/>
          <w:szCs w:val="20"/>
          <w:lang w:val="pt-BR"/>
        </w:rPr>
        <w:t xml:space="preserve"> da </w:t>
      </w:r>
      <w:r w:rsidR="002649F0" w:rsidRPr="006D1C74">
        <w:rPr>
          <w:rFonts w:asciiTheme="majorHAnsi" w:eastAsia="Times New Roman" w:hAnsiTheme="majorHAnsi"/>
          <w:sz w:val="20"/>
          <w:szCs w:val="20"/>
          <w:lang w:val="pt-BR"/>
        </w:rPr>
        <w:t>fam</w:t>
      </w:r>
      <w:r w:rsidR="00E327B7" w:rsidRPr="006D1C74">
        <w:rPr>
          <w:rFonts w:asciiTheme="majorHAnsi" w:eastAsia="Times New Roman" w:hAnsiTheme="majorHAnsi"/>
          <w:sz w:val="20"/>
          <w:szCs w:val="20"/>
          <w:lang w:val="pt-BR"/>
        </w:rPr>
        <w:t>í</w:t>
      </w:r>
      <w:r w:rsidR="002649F0" w:rsidRPr="006D1C74">
        <w:rPr>
          <w:rFonts w:asciiTheme="majorHAnsi" w:eastAsia="Times New Roman" w:hAnsiTheme="majorHAnsi"/>
          <w:sz w:val="20"/>
          <w:szCs w:val="20"/>
          <w:lang w:val="pt-BR"/>
        </w:rPr>
        <w:t>lia de Antonio Tavares para aumentar</w:t>
      </w:r>
      <w:r w:rsidR="00700267" w:rsidRPr="006D1C74">
        <w:rPr>
          <w:rFonts w:asciiTheme="majorHAnsi" w:eastAsia="Times New Roman" w:hAnsiTheme="majorHAnsi"/>
          <w:sz w:val="20"/>
          <w:szCs w:val="20"/>
          <w:lang w:val="pt-BR"/>
        </w:rPr>
        <w:t xml:space="preserve"> o </w:t>
      </w:r>
      <w:r w:rsidR="00E327B7" w:rsidRPr="006D1C74">
        <w:rPr>
          <w:rFonts w:asciiTheme="majorHAnsi" w:eastAsia="Times New Roman" w:hAnsiTheme="majorHAnsi"/>
          <w:sz w:val="20"/>
          <w:szCs w:val="20"/>
          <w:lang w:val="pt-BR"/>
        </w:rPr>
        <w:t>valor</w:t>
      </w:r>
      <w:r w:rsidR="00795010" w:rsidRPr="006D1C74">
        <w:rPr>
          <w:rFonts w:asciiTheme="majorHAnsi" w:eastAsia="Times New Roman" w:hAnsiTheme="majorHAnsi"/>
          <w:sz w:val="20"/>
          <w:szCs w:val="20"/>
          <w:lang w:val="pt-BR"/>
        </w:rPr>
        <w:t xml:space="preserve"> da </w:t>
      </w:r>
      <w:r w:rsidR="002649F0" w:rsidRPr="006D1C74">
        <w:rPr>
          <w:rFonts w:asciiTheme="majorHAnsi" w:eastAsia="Times New Roman" w:hAnsiTheme="majorHAnsi"/>
          <w:sz w:val="20"/>
          <w:szCs w:val="20"/>
          <w:lang w:val="pt-BR"/>
        </w:rPr>
        <w:t>indeniza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w:t>
      </w:r>
    </w:p>
    <w:p w14:paraId="67F5658E"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lang w:val="pt-BR"/>
        </w:rPr>
      </w:pPr>
    </w:p>
    <w:p w14:paraId="4C45E0F6"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pt-BR"/>
        </w:rPr>
      </w:pPr>
      <w:r w:rsidRPr="006D1C74">
        <w:rPr>
          <w:rFonts w:asciiTheme="majorHAnsi" w:eastAsia="Times New Roman" w:hAnsiTheme="majorHAnsi"/>
          <w:sz w:val="20"/>
          <w:szCs w:val="20"/>
          <w:lang w:val="pt-BR"/>
        </w:rPr>
        <w:t>A</w:t>
      </w:r>
      <w:r w:rsidR="00E327B7" w:rsidRPr="006D1C74">
        <w:rPr>
          <w:rFonts w:asciiTheme="majorHAnsi" w:eastAsia="Times New Roman" w:hAnsiTheme="majorHAnsi"/>
          <w:sz w:val="20"/>
          <w:szCs w:val="20"/>
          <w:lang w:val="pt-BR"/>
        </w:rPr>
        <w:t>lém disso</w:t>
      </w:r>
      <w:r w:rsidRPr="006D1C74">
        <w:rPr>
          <w:rFonts w:asciiTheme="majorHAnsi" w:eastAsia="Times New Roman" w:hAnsiTheme="majorHAnsi"/>
          <w:sz w:val="20"/>
          <w:szCs w:val="20"/>
          <w:lang w:val="pt-BR"/>
        </w:rPr>
        <w:t>,</w:t>
      </w:r>
      <w:r w:rsidR="00700267" w:rsidRPr="006D1C74">
        <w:rPr>
          <w:rFonts w:asciiTheme="majorHAnsi" w:eastAsia="Times New Roman" w:hAnsiTheme="majorHAnsi"/>
          <w:sz w:val="20"/>
          <w:szCs w:val="20"/>
          <w:lang w:val="pt-BR"/>
        </w:rPr>
        <w:t xml:space="preserve"> o </w:t>
      </w:r>
      <w:r w:rsidRPr="006D1C74">
        <w:rPr>
          <w:rFonts w:asciiTheme="majorHAnsi" w:eastAsia="Times New Roman" w:hAnsiTheme="majorHAnsi"/>
          <w:sz w:val="20"/>
          <w:szCs w:val="20"/>
          <w:lang w:val="pt-BR"/>
        </w:rPr>
        <w:t xml:space="preserve">Estado </w:t>
      </w:r>
      <w:r w:rsidR="00E327B7" w:rsidRPr="006D1C74">
        <w:rPr>
          <w:rFonts w:asciiTheme="majorHAnsi" w:eastAsia="Times New Roman" w:hAnsiTheme="majorHAnsi"/>
          <w:sz w:val="20"/>
          <w:szCs w:val="20"/>
          <w:lang w:val="pt-BR"/>
        </w:rPr>
        <w:t>a</w:t>
      </w:r>
      <w:r w:rsidRPr="006D1C74">
        <w:rPr>
          <w:rFonts w:asciiTheme="majorHAnsi" w:eastAsia="Times New Roman" w:hAnsiTheme="majorHAnsi"/>
          <w:sz w:val="20"/>
          <w:szCs w:val="20"/>
          <w:lang w:val="pt-BR"/>
        </w:rPr>
        <w:t>s</w:t>
      </w:r>
      <w:r w:rsidR="00E327B7" w:rsidRPr="006D1C74">
        <w:rPr>
          <w:rFonts w:asciiTheme="majorHAnsi" w:eastAsia="Times New Roman" w:hAnsiTheme="majorHAnsi"/>
          <w:sz w:val="20"/>
          <w:szCs w:val="20"/>
          <w:lang w:val="pt-BR"/>
        </w:rPr>
        <w:t>sin</w:t>
      </w:r>
      <w:r w:rsidRPr="006D1C74">
        <w:rPr>
          <w:rFonts w:asciiTheme="majorHAnsi" w:eastAsia="Times New Roman" w:hAnsiTheme="majorHAnsi"/>
          <w:sz w:val="20"/>
          <w:szCs w:val="20"/>
          <w:lang w:val="pt-BR"/>
        </w:rPr>
        <w:t>ala que</w:t>
      </w:r>
      <w:r w:rsidR="00700267" w:rsidRPr="006D1C74">
        <w:rPr>
          <w:rFonts w:asciiTheme="majorHAnsi" w:eastAsia="Times New Roman" w:hAnsiTheme="majorHAnsi"/>
          <w:sz w:val="20"/>
          <w:szCs w:val="20"/>
          <w:lang w:val="pt-BR"/>
        </w:rPr>
        <w:t xml:space="preserve"> o </w:t>
      </w:r>
      <w:r w:rsidRPr="006D1C74">
        <w:rPr>
          <w:rFonts w:asciiTheme="majorHAnsi" w:eastAsia="Times New Roman" w:hAnsiTheme="majorHAnsi"/>
          <w:sz w:val="20"/>
          <w:szCs w:val="20"/>
          <w:lang w:val="pt-BR"/>
        </w:rPr>
        <w:t>procurador</w:t>
      </w:r>
      <w:r w:rsidR="00E327B7" w:rsidRPr="006D1C74">
        <w:rPr>
          <w:rFonts w:asciiTheme="majorHAnsi" w:eastAsia="Times New Roman" w:hAnsiTheme="majorHAnsi"/>
          <w:sz w:val="20"/>
          <w:szCs w:val="20"/>
          <w:lang w:val="pt-BR"/>
        </w:rPr>
        <w:t>-</w:t>
      </w:r>
      <w:r w:rsidRPr="006D1C74">
        <w:rPr>
          <w:rFonts w:asciiTheme="majorHAnsi" w:eastAsia="Times New Roman" w:hAnsiTheme="majorHAnsi"/>
          <w:sz w:val="20"/>
          <w:szCs w:val="20"/>
          <w:lang w:val="pt-BR"/>
        </w:rPr>
        <w:t>geral</w:t>
      </w:r>
      <w:r w:rsidR="00030019" w:rsidRPr="006D1C74">
        <w:rPr>
          <w:rFonts w:asciiTheme="majorHAnsi" w:eastAsia="Times New Roman" w:hAnsiTheme="majorHAnsi"/>
          <w:sz w:val="20"/>
          <w:szCs w:val="20"/>
          <w:lang w:val="pt-BR"/>
        </w:rPr>
        <w:t xml:space="preserve"> do </w:t>
      </w:r>
      <w:r w:rsidRPr="006D1C74">
        <w:rPr>
          <w:rFonts w:asciiTheme="majorHAnsi" w:eastAsia="Times New Roman" w:hAnsiTheme="majorHAnsi"/>
          <w:sz w:val="20"/>
          <w:szCs w:val="20"/>
          <w:lang w:val="pt-BR"/>
        </w:rPr>
        <w:t xml:space="preserve">estado </w:t>
      </w:r>
      <w:r w:rsidR="000D2A81" w:rsidRPr="006D1C74">
        <w:rPr>
          <w:rFonts w:asciiTheme="majorHAnsi" w:eastAsia="Times New Roman" w:hAnsiTheme="majorHAnsi"/>
          <w:sz w:val="20"/>
          <w:szCs w:val="20"/>
          <w:lang w:val="pt-BR"/>
        </w:rPr>
        <w:t>do Paraná</w:t>
      </w:r>
      <w:r w:rsidRPr="006D1C74">
        <w:rPr>
          <w:rFonts w:asciiTheme="majorHAnsi" w:eastAsia="Times New Roman" w:hAnsiTheme="majorHAnsi"/>
          <w:sz w:val="20"/>
          <w:szCs w:val="20"/>
          <w:lang w:val="pt-BR"/>
        </w:rPr>
        <w:t xml:space="preserve"> inform</w:t>
      </w:r>
      <w:r w:rsidR="00E327B7" w:rsidRPr="006D1C74">
        <w:rPr>
          <w:rFonts w:asciiTheme="majorHAnsi" w:eastAsia="Times New Roman" w:hAnsiTheme="majorHAnsi"/>
          <w:sz w:val="20"/>
          <w:szCs w:val="20"/>
          <w:lang w:val="pt-BR"/>
        </w:rPr>
        <w:t>ou</w:t>
      </w:r>
      <w:r w:rsidR="00F673C7" w:rsidRPr="006D1C74">
        <w:rPr>
          <w:rFonts w:asciiTheme="majorHAnsi" w:eastAsia="Times New Roman" w:hAnsiTheme="majorHAnsi"/>
          <w:sz w:val="20"/>
          <w:szCs w:val="20"/>
          <w:lang w:val="pt-BR"/>
        </w:rPr>
        <w:t xml:space="preserve"> em </w:t>
      </w:r>
      <w:r w:rsidRPr="006D1C74">
        <w:rPr>
          <w:rFonts w:asciiTheme="majorHAnsi" w:eastAsia="Times New Roman" w:hAnsiTheme="majorHAnsi"/>
          <w:sz w:val="20"/>
          <w:szCs w:val="20"/>
          <w:lang w:val="pt-BR"/>
        </w:rPr>
        <w:t>d</w:t>
      </w:r>
      <w:r w:rsidR="00E327B7" w:rsidRPr="006D1C74">
        <w:rPr>
          <w:rFonts w:asciiTheme="majorHAnsi" w:eastAsia="Times New Roman" w:hAnsiTheme="majorHAnsi"/>
          <w:sz w:val="20"/>
          <w:szCs w:val="20"/>
          <w:lang w:val="pt-BR"/>
        </w:rPr>
        <w:t>ezembro</w:t>
      </w:r>
      <w:r w:rsidRPr="006D1C74">
        <w:rPr>
          <w:rFonts w:asciiTheme="majorHAnsi" w:eastAsia="Times New Roman" w:hAnsiTheme="majorHAnsi"/>
          <w:sz w:val="20"/>
          <w:szCs w:val="20"/>
          <w:lang w:val="pt-BR"/>
        </w:rPr>
        <w:t xml:space="preserve"> de 2013 que </w:t>
      </w:r>
      <w:r w:rsidR="00E327B7" w:rsidRPr="006D1C74">
        <w:rPr>
          <w:rFonts w:asciiTheme="majorHAnsi" w:eastAsia="Times New Roman" w:hAnsiTheme="majorHAnsi"/>
          <w:sz w:val="20"/>
          <w:szCs w:val="20"/>
          <w:lang w:val="pt-BR"/>
        </w:rPr>
        <w:t xml:space="preserve">haviam sido </w:t>
      </w:r>
      <w:r w:rsidRPr="006D1C74">
        <w:rPr>
          <w:rFonts w:asciiTheme="majorHAnsi" w:eastAsia="Times New Roman" w:hAnsiTheme="majorHAnsi"/>
          <w:sz w:val="20"/>
          <w:szCs w:val="20"/>
          <w:lang w:val="pt-BR"/>
        </w:rPr>
        <w:t>estab</w:t>
      </w:r>
      <w:r w:rsidR="00E327B7" w:rsidRPr="006D1C74">
        <w:rPr>
          <w:rFonts w:asciiTheme="majorHAnsi" w:eastAsia="Times New Roman" w:hAnsiTheme="majorHAnsi"/>
          <w:sz w:val="20"/>
          <w:szCs w:val="20"/>
          <w:lang w:val="pt-BR"/>
        </w:rPr>
        <w:t>e</w:t>
      </w:r>
      <w:r w:rsidRPr="006D1C74">
        <w:rPr>
          <w:rFonts w:asciiTheme="majorHAnsi" w:eastAsia="Times New Roman" w:hAnsiTheme="majorHAnsi"/>
          <w:sz w:val="20"/>
          <w:szCs w:val="20"/>
          <w:lang w:val="pt-BR"/>
        </w:rPr>
        <w:t>lecido</w:t>
      </w:r>
      <w:r w:rsidR="00E327B7" w:rsidRPr="006D1C74">
        <w:rPr>
          <w:rFonts w:asciiTheme="majorHAnsi" w:eastAsia="Times New Roman" w:hAnsiTheme="majorHAnsi"/>
          <w:sz w:val="20"/>
          <w:szCs w:val="20"/>
          <w:lang w:val="pt-BR"/>
        </w:rPr>
        <w:t>s</w:t>
      </w:r>
      <w:r w:rsidRPr="006D1C74">
        <w:rPr>
          <w:rFonts w:asciiTheme="majorHAnsi" w:eastAsia="Times New Roman" w:hAnsiTheme="majorHAnsi"/>
          <w:sz w:val="20"/>
          <w:szCs w:val="20"/>
          <w:lang w:val="pt-BR"/>
        </w:rPr>
        <w:t xml:space="preserve"> </w:t>
      </w:r>
      <w:r w:rsidR="00E327B7" w:rsidRPr="006D1C74">
        <w:rPr>
          <w:rFonts w:asciiTheme="majorHAnsi" w:eastAsia="Times New Roman" w:hAnsiTheme="majorHAnsi"/>
          <w:sz w:val="20"/>
          <w:szCs w:val="20"/>
          <w:lang w:val="pt-BR"/>
        </w:rPr>
        <w:t xml:space="preserve">dois </w:t>
      </w:r>
      <w:r w:rsidRPr="006D1C74">
        <w:rPr>
          <w:rFonts w:asciiTheme="majorHAnsi" w:eastAsia="Times New Roman" w:hAnsiTheme="majorHAnsi"/>
          <w:sz w:val="20"/>
          <w:szCs w:val="20"/>
          <w:lang w:val="pt-BR"/>
        </w:rPr>
        <w:t xml:space="preserve">grupos de </w:t>
      </w:r>
      <w:r w:rsidR="00700267" w:rsidRPr="006D1C74">
        <w:rPr>
          <w:rFonts w:asciiTheme="majorHAnsi" w:eastAsia="Times New Roman" w:hAnsiTheme="majorHAnsi"/>
          <w:sz w:val="20"/>
          <w:szCs w:val="20"/>
          <w:lang w:val="pt-BR"/>
        </w:rPr>
        <w:t>trabalh</w:t>
      </w:r>
      <w:r w:rsidRPr="006D1C74">
        <w:rPr>
          <w:rFonts w:asciiTheme="majorHAnsi" w:eastAsia="Times New Roman" w:hAnsiTheme="majorHAnsi"/>
          <w:sz w:val="20"/>
          <w:szCs w:val="20"/>
          <w:lang w:val="pt-BR"/>
        </w:rPr>
        <w:t>o:</w:t>
      </w:r>
      <w:r w:rsidR="00700267" w:rsidRPr="006D1C74">
        <w:rPr>
          <w:rFonts w:asciiTheme="majorHAnsi" w:eastAsia="Times New Roman" w:hAnsiTheme="majorHAnsi"/>
          <w:sz w:val="20"/>
          <w:szCs w:val="20"/>
          <w:lang w:val="pt-BR"/>
        </w:rPr>
        <w:t xml:space="preserve"> o </w:t>
      </w:r>
      <w:r w:rsidRPr="006D1C74">
        <w:rPr>
          <w:rFonts w:asciiTheme="majorHAnsi" w:eastAsia="Times New Roman" w:hAnsiTheme="majorHAnsi"/>
          <w:sz w:val="20"/>
          <w:szCs w:val="20"/>
          <w:lang w:val="pt-BR"/>
        </w:rPr>
        <w:t>prime</w:t>
      </w:r>
      <w:r w:rsidR="00E327B7" w:rsidRPr="006D1C74">
        <w:rPr>
          <w:rFonts w:asciiTheme="majorHAnsi" w:eastAsia="Times New Roman" w:hAnsiTheme="majorHAnsi"/>
          <w:sz w:val="20"/>
          <w:szCs w:val="20"/>
          <w:lang w:val="pt-BR"/>
        </w:rPr>
        <w:t>i</w:t>
      </w:r>
      <w:r w:rsidRPr="006D1C74">
        <w:rPr>
          <w:rFonts w:asciiTheme="majorHAnsi" w:eastAsia="Times New Roman" w:hAnsiTheme="majorHAnsi"/>
          <w:sz w:val="20"/>
          <w:szCs w:val="20"/>
          <w:lang w:val="pt-BR"/>
        </w:rPr>
        <w:t>ro para anali</w:t>
      </w:r>
      <w:r w:rsidR="00E327B7" w:rsidRPr="006D1C74">
        <w:rPr>
          <w:rFonts w:asciiTheme="majorHAnsi" w:eastAsia="Times New Roman" w:hAnsiTheme="majorHAnsi"/>
          <w:sz w:val="20"/>
          <w:szCs w:val="20"/>
          <w:lang w:val="pt-BR"/>
        </w:rPr>
        <w:t>s</w:t>
      </w:r>
      <w:r w:rsidRPr="006D1C74">
        <w:rPr>
          <w:rFonts w:asciiTheme="majorHAnsi" w:eastAsia="Times New Roman" w:hAnsiTheme="majorHAnsi"/>
          <w:sz w:val="20"/>
          <w:szCs w:val="20"/>
          <w:lang w:val="pt-BR"/>
        </w:rPr>
        <w:t>ar</w:t>
      </w:r>
      <w:r w:rsidR="00700267" w:rsidRPr="006D1C74">
        <w:rPr>
          <w:rFonts w:asciiTheme="majorHAnsi" w:eastAsia="Times New Roman" w:hAnsiTheme="majorHAnsi"/>
          <w:sz w:val="20"/>
          <w:szCs w:val="20"/>
          <w:lang w:val="pt-BR"/>
        </w:rPr>
        <w:t xml:space="preserve"> os </w:t>
      </w:r>
      <w:r w:rsidR="00F37852" w:rsidRPr="006D1C74">
        <w:rPr>
          <w:rFonts w:asciiTheme="majorHAnsi" w:eastAsia="Times New Roman" w:hAnsiTheme="majorHAnsi"/>
          <w:sz w:val="20"/>
          <w:szCs w:val="20"/>
          <w:lang w:val="pt-BR"/>
        </w:rPr>
        <w:t>fato</w:t>
      </w:r>
      <w:r w:rsidRPr="006D1C74">
        <w:rPr>
          <w:rFonts w:asciiTheme="majorHAnsi" w:eastAsia="Times New Roman" w:hAnsiTheme="majorHAnsi"/>
          <w:sz w:val="20"/>
          <w:szCs w:val="20"/>
          <w:lang w:val="pt-BR"/>
        </w:rPr>
        <w:t>s</w:t>
      </w:r>
      <w:r w:rsidR="00CF037E" w:rsidRPr="006D1C74">
        <w:rPr>
          <w:rFonts w:asciiTheme="majorHAnsi" w:eastAsia="Times New Roman" w:hAnsiTheme="majorHAnsi"/>
          <w:sz w:val="20"/>
          <w:szCs w:val="20"/>
          <w:lang w:val="pt-BR"/>
        </w:rPr>
        <w:t xml:space="preserve"> e</w:t>
      </w:r>
      <w:r w:rsidR="00700267" w:rsidRPr="006D1C74">
        <w:rPr>
          <w:rFonts w:asciiTheme="majorHAnsi" w:eastAsia="Times New Roman" w:hAnsiTheme="majorHAnsi"/>
          <w:sz w:val="20"/>
          <w:szCs w:val="20"/>
          <w:lang w:val="pt-BR"/>
        </w:rPr>
        <w:t xml:space="preserve"> as </w:t>
      </w:r>
      <w:r w:rsidRPr="006D1C74">
        <w:rPr>
          <w:rFonts w:asciiTheme="majorHAnsi" w:eastAsia="Times New Roman" w:hAnsiTheme="majorHAnsi"/>
          <w:sz w:val="20"/>
          <w:szCs w:val="20"/>
          <w:lang w:val="pt-BR"/>
        </w:rPr>
        <w:t>medidas relacionad</w:t>
      </w:r>
      <w:r w:rsidR="000B6979">
        <w:rPr>
          <w:rFonts w:asciiTheme="majorHAnsi" w:eastAsia="Times New Roman" w:hAnsiTheme="majorHAnsi"/>
          <w:sz w:val="20"/>
          <w:szCs w:val="20"/>
          <w:lang w:val="pt-BR"/>
        </w:rPr>
        <w:t>a</w:t>
      </w:r>
      <w:r w:rsidRPr="006D1C74">
        <w:rPr>
          <w:rFonts w:asciiTheme="majorHAnsi" w:eastAsia="Times New Roman" w:hAnsiTheme="majorHAnsi"/>
          <w:sz w:val="20"/>
          <w:szCs w:val="20"/>
          <w:lang w:val="pt-BR"/>
        </w:rPr>
        <w:t>s</w:t>
      </w:r>
      <w:r w:rsidR="00F673C7" w:rsidRPr="006D1C74">
        <w:rPr>
          <w:rFonts w:asciiTheme="majorHAnsi" w:eastAsia="Times New Roman" w:hAnsiTheme="majorHAnsi"/>
          <w:sz w:val="20"/>
          <w:szCs w:val="20"/>
          <w:lang w:val="pt-BR"/>
        </w:rPr>
        <w:t xml:space="preserve"> com </w:t>
      </w:r>
      <w:r w:rsidR="00700267" w:rsidRPr="006D1C74">
        <w:rPr>
          <w:rFonts w:asciiTheme="majorHAnsi" w:eastAsia="Times New Roman" w:hAnsiTheme="majorHAnsi"/>
          <w:sz w:val="20"/>
          <w:szCs w:val="20"/>
          <w:lang w:val="pt-BR"/>
        </w:rPr>
        <w:t xml:space="preserve">as </w:t>
      </w:r>
      <w:r w:rsidRPr="006D1C74">
        <w:rPr>
          <w:rFonts w:asciiTheme="majorHAnsi" w:eastAsia="Times New Roman" w:hAnsiTheme="majorHAnsi"/>
          <w:sz w:val="20"/>
          <w:szCs w:val="20"/>
          <w:lang w:val="pt-BR"/>
        </w:rPr>
        <w:t xml:space="preserve">185 </w:t>
      </w:r>
      <w:r w:rsidR="00795010" w:rsidRPr="006D1C74">
        <w:rPr>
          <w:rFonts w:asciiTheme="majorHAnsi" w:eastAsia="Times New Roman" w:hAnsiTheme="majorHAnsi"/>
          <w:sz w:val="20"/>
          <w:szCs w:val="20"/>
          <w:lang w:val="pt-BR"/>
        </w:rPr>
        <w:t>vítima</w:t>
      </w:r>
      <w:r w:rsidRPr="006D1C74">
        <w:rPr>
          <w:rFonts w:asciiTheme="majorHAnsi" w:eastAsia="Times New Roman" w:hAnsiTheme="majorHAnsi"/>
          <w:sz w:val="20"/>
          <w:szCs w:val="20"/>
          <w:lang w:val="pt-BR"/>
        </w:rPr>
        <w:t xml:space="preserve">s de </w:t>
      </w:r>
      <w:r w:rsidR="00795010" w:rsidRPr="006D1C74">
        <w:rPr>
          <w:rFonts w:asciiTheme="majorHAnsi" w:eastAsia="Times New Roman" w:hAnsiTheme="majorHAnsi"/>
          <w:sz w:val="20"/>
          <w:szCs w:val="20"/>
          <w:lang w:val="pt-BR"/>
        </w:rPr>
        <w:t>suposta</w:t>
      </w:r>
      <w:r w:rsidRPr="006D1C74">
        <w:rPr>
          <w:rFonts w:asciiTheme="majorHAnsi" w:eastAsia="Times New Roman" w:hAnsiTheme="majorHAnsi"/>
          <w:sz w:val="20"/>
          <w:szCs w:val="20"/>
          <w:lang w:val="pt-BR"/>
        </w:rPr>
        <w:t xml:space="preserve">s </w:t>
      </w:r>
      <w:r w:rsidR="00D74A93" w:rsidRPr="006D1C74">
        <w:rPr>
          <w:rFonts w:asciiTheme="majorHAnsi" w:eastAsia="Times New Roman" w:hAnsiTheme="majorHAnsi"/>
          <w:sz w:val="20"/>
          <w:szCs w:val="20"/>
          <w:lang w:val="pt-BR"/>
        </w:rPr>
        <w:t>lesões</w:t>
      </w:r>
      <w:r w:rsidRPr="006D1C74">
        <w:rPr>
          <w:rFonts w:asciiTheme="majorHAnsi" w:eastAsia="Times New Roman" w:hAnsiTheme="majorHAnsi"/>
          <w:sz w:val="20"/>
          <w:szCs w:val="20"/>
          <w:lang w:val="pt-BR"/>
        </w:rPr>
        <w:t xml:space="preserve"> corpor</w:t>
      </w:r>
      <w:r w:rsidR="00700267" w:rsidRPr="006D1C74">
        <w:rPr>
          <w:rFonts w:asciiTheme="majorHAnsi" w:eastAsia="Times New Roman" w:hAnsiTheme="majorHAnsi"/>
          <w:sz w:val="20"/>
          <w:szCs w:val="20"/>
          <w:lang w:val="pt-BR"/>
        </w:rPr>
        <w:t>ais</w:t>
      </w:r>
      <w:r w:rsidR="00CF037E" w:rsidRPr="006D1C74">
        <w:rPr>
          <w:rFonts w:asciiTheme="majorHAnsi" w:eastAsia="Times New Roman" w:hAnsiTheme="majorHAnsi"/>
          <w:sz w:val="20"/>
          <w:szCs w:val="20"/>
          <w:lang w:val="pt-BR"/>
        </w:rPr>
        <w:t xml:space="preserve"> e</w:t>
      </w:r>
      <w:r w:rsidR="00700267" w:rsidRPr="006D1C74">
        <w:rPr>
          <w:rFonts w:asciiTheme="majorHAnsi" w:eastAsia="Times New Roman" w:hAnsiTheme="majorHAnsi"/>
          <w:sz w:val="20"/>
          <w:szCs w:val="20"/>
          <w:lang w:val="pt-BR"/>
        </w:rPr>
        <w:t xml:space="preserve"> o </w:t>
      </w:r>
      <w:r w:rsidRPr="006D1C74">
        <w:rPr>
          <w:rFonts w:asciiTheme="majorHAnsi" w:eastAsia="Times New Roman" w:hAnsiTheme="majorHAnsi"/>
          <w:sz w:val="20"/>
          <w:szCs w:val="20"/>
          <w:lang w:val="pt-BR"/>
        </w:rPr>
        <w:t xml:space="preserve">segundo para </w:t>
      </w:r>
      <w:r w:rsidR="00E327B7" w:rsidRPr="006D1C74">
        <w:rPr>
          <w:rFonts w:asciiTheme="majorHAnsi" w:eastAsia="Times New Roman" w:hAnsiTheme="majorHAnsi"/>
          <w:sz w:val="20"/>
          <w:szCs w:val="20"/>
          <w:lang w:val="pt-BR"/>
        </w:rPr>
        <w:t>ch</w:t>
      </w:r>
      <w:r w:rsidRPr="006D1C74">
        <w:rPr>
          <w:rFonts w:asciiTheme="majorHAnsi" w:eastAsia="Times New Roman" w:hAnsiTheme="majorHAnsi"/>
          <w:sz w:val="20"/>
          <w:szCs w:val="20"/>
          <w:lang w:val="pt-BR"/>
        </w:rPr>
        <w:t>egar a</w:t>
      </w:r>
      <w:r w:rsidR="00030019" w:rsidRPr="006D1C74">
        <w:rPr>
          <w:rFonts w:asciiTheme="majorHAnsi" w:eastAsia="Times New Roman" w:hAnsiTheme="majorHAnsi"/>
          <w:sz w:val="20"/>
          <w:szCs w:val="20"/>
          <w:lang w:val="pt-BR"/>
        </w:rPr>
        <w:t xml:space="preserve"> uma </w:t>
      </w:r>
      <w:r w:rsidRPr="006D1C74">
        <w:rPr>
          <w:rFonts w:asciiTheme="majorHAnsi" w:eastAsia="Times New Roman" w:hAnsiTheme="majorHAnsi"/>
          <w:sz w:val="20"/>
          <w:szCs w:val="20"/>
          <w:lang w:val="pt-BR"/>
        </w:rPr>
        <w:t>solu</w:t>
      </w:r>
      <w:r w:rsidR="00CF037E" w:rsidRPr="006D1C74">
        <w:rPr>
          <w:rFonts w:asciiTheme="majorHAnsi" w:eastAsia="Times New Roman" w:hAnsiTheme="majorHAnsi"/>
          <w:sz w:val="20"/>
          <w:szCs w:val="20"/>
          <w:lang w:val="pt-BR"/>
        </w:rPr>
        <w:t>ção</w:t>
      </w:r>
      <w:r w:rsidRPr="006D1C74">
        <w:rPr>
          <w:rFonts w:asciiTheme="majorHAnsi" w:eastAsia="Times New Roman" w:hAnsiTheme="majorHAnsi"/>
          <w:sz w:val="20"/>
          <w:szCs w:val="20"/>
          <w:lang w:val="pt-BR"/>
        </w:rPr>
        <w:t xml:space="preserve"> amistosa</w:t>
      </w:r>
      <w:r w:rsidR="00F673C7" w:rsidRPr="006D1C74">
        <w:rPr>
          <w:rFonts w:asciiTheme="majorHAnsi" w:eastAsia="Times New Roman" w:hAnsiTheme="majorHAnsi"/>
          <w:sz w:val="20"/>
          <w:szCs w:val="20"/>
          <w:lang w:val="pt-BR"/>
        </w:rPr>
        <w:t xml:space="preserve"> com </w:t>
      </w:r>
      <w:r w:rsidR="00156036" w:rsidRPr="006D1C74">
        <w:rPr>
          <w:rFonts w:asciiTheme="majorHAnsi" w:eastAsia="Times New Roman" w:hAnsiTheme="majorHAnsi"/>
          <w:sz w:val="20"/>
          <w:szCs w:val="20"/>
          <w:lang w:val="pt-BR"/>
        </w:rPr>
        <w:t>respeito</w:t>
      </w:r>
      <w:r w:rsidR="00030019" w:rsidRPr="006D1C74">
        <w:rPr>
          <w:rFonts w:asciiTheme="majorHAnsi" w:eastAsia="Times New Roman" w:hAnsiTheme="majorHAnsi"/>
          <w:sz w:val="20"/>
          <w:szCs w:val="20"/>
          <w:lang w:val="pt-BR"/>
        </w:rPr>
        <w:t xml:space="preserve"> à </w:t>
      </w:r>
      <w:r w:rsidRPr="006D1C74">
        <w:rPr>
          <w:rFonts w:asciiTheme="majorHAnsi" w:eastAsia="Times New Roman" w:hAnsiTheme="majorHAnsi"/>
          <w:sz w:val="20"/>
          <w:szCs w:val="20"/>
          <w:lang w:val="pt-BR"/>
        </w:rPr>
        <w:t>repara</w:t>
      </w:r>
      <w:r w:rsidR="00CF037E" w:rsidRPr="006D1C74">
        <w:rPr>
          <w:rFonts w:asciiTheme="majorHAnsi" w:eastAsia="Times New Roman" w:hAnsiTheme="majorHAnsi"/>
          <w:sz w:val="20"/>
          <w:szCs w:val="20"/>
          <w:lang w:val="pt-BR"/>
        </w:rPr>
        <w:t>ção</w:t>
      </w:r>
      <w:r w:rsidR="00700267" w:rsidRPr="006D1C74">
        <w:rPr>
          <w:rFonts w:asciiTheme="majorHAnsi" w:eastAsia="Times New Roman" w:hAnsiTheme="majorHAnsi"/>
          <w:sz w:val="20"/>
          <w:szCs w:val="20"/>
          <w:lang w:val="pt-BR"/>
        </w:rPr>
        <w:t xml:space="preserve"> dos </w:t>
      </w:r>
      <w:r w:rsidR="001E2392" w:rsidRPr="006D1C74">
        <w:rPr>
          <w:rFonts w:asciiTheme="majorHAnsi" w:eastAsia="Times New Roman" w:hAnsiTheme="majorHAnsi"/>
          <w:sz w:val="20"/>
          <w:szCs w:val="20"/>
          <w:lang w:val="pt-BR"/>
        </w:rPr>
        <w:t>familiares</w:t>
      </w:r>
      <w:r w:rsidRPr="006D1C74">
        <w:rPr>
          <w:rFonts w:asciiTheme="majorHAnsi" w:eastAsia="Times New Roman" w:hAnsiTheme="majorHAnsi"/>
          <w:sz w:val="20"/>
          <w:szCs w:val="20"/>
          <w:lang w:val="pt-BR"/>
        </w:rPr>
        <w:t xml:space="preserve"> de Antonio Tavares. </w:t>
      </w:r>
      <w:r w:rsidR="00E327B7" w:rsidRPr="006D1C74">
        <w:rPr>
          <w:rFonts w:asciiTheme="majorHAnsi" w:eastAsia="Times New Roman" w:hAnsiTheme="majorHAnsi"/>
          <w:sz w:val="20"/>
          <w:szCs w:val="20"/>
          <w:lang w:val="pt-BR"/>
        </w:rPr>
        <w:t>Esses</w:t>
      </w:r>
      <w:r w:rsidRPr="006D1C74">
        <w:rPr>
          <w:rFonts w:asciiTheme="majorHAnsi" w:eastAsia="Times New Roman" w:hAnsiTheme="majorHAnsi"/>
          <w:sz w:val="20"/>
          <w:szCs w:val="20"/>
          <w:lang w:val="pt-BR"/>
        </w:rPr>
        <w:t xml:space="preserve"> grupos apro</w:t>
      </w:r>
      <w:r w:rsidR="00E327B7" w:rsidRPr="006D1C74">
        <w:rPr>
          <w:rFonts w:asciiTheme="majorHAnsi" w:eastAsia="Times New Roman" w:hAnsiTheme="majorHAnsi"/>
          <w:sz w:val="20"/>
          <w:szCs w:val="20"/>
          <w:lang w:val="pt-BR"/>
        </w:rPr>
        <w:t>varam</w:t>
      </w:r>
      <w:r w:rsidR="00700267" w:rsidRPr="006D1C74">
        <w:rPr>
          <w:rFonts w:asciiTheme="majorHAnsi" w:eastAsia="Times New Roman" w:hAnsiTheme="majorHAnsi"/>
          <w:sz w:val="20"/>
          <w:szCs w:val="20"/>
          <w:lang w:val="pt-BR"/>
        </w:rPr>
        <w:t xml:space="preserve"> o </w:t>
      </w:r>
      <w:r w:rsidR="00927E16" w:rsidRPr="006D1C74">
        <w:rPr>
          <w:rFonts w:asciiTheme="majorHAnsi" w:eastAsia="Times New Roman" w:hAnsiTheme="majorHAnsi"/>
          <w:sz w:val="20"/>
          <w:szCs w:val="20"/>
          <w:lang w:val="pt-BR"/>
        </w:rPr>
        <w:t>Relatório</w:t>
      </w:r>
      <w:r w:rsidRPr="006D1C74">
        <w:rPr>
          <w:rFonts w:asciiTheme="majorHAnsi" w:eastAsia="Times New Roman" w:hAnsiTheme="majorHAnsi"/>
          <w:sz w:val="20"/>
          <w:szCs w:val="20"/>
          <w:lang w:val="pt-BR"/>
        </w:rPr>
        <w:t xml:space="preserve"> Parcial 01/2014, que</w:t>
      </w:r>
      <w:r w:rsidR="00CA7940" w:rsidRPr="006D1C74">
        <w:rPr>
          <w:rFonts w:asciiTheme="majorHAnsi" w:eastAsia="Times New Roman" w:hAnsiTheme="majorHAnsi"/>
          <w:sz w:val="20"/>
          <w:szCs w:val="20"/>
          <w:lang w:val="pt-BR"/>
        </w:rPr>
        <w:t xml:space="preserve"> foi </w:t>
      </w:r>
      <w:r w:rsidRPr="006D1C74">
        <w:rPr>
          <w:rFonts w:asciiTheme="majorHAnsi" w:eastAsia="Times New Roman" w:hAnsiTheme="majorHAnsi"/>
          <w:sz w:val="20"/>
          <w:szCs w:val="20"/>
          <w:lang w:val="pt-BR"/>
        </w:rPr>
        <w:t>transmitido</w:t>
      </w:r>
      <w:r w:rsidR="00030019" w:rsidRPr="006D1C74">
        <w:rPr>
          <w:rFonts w:asciiTheme="majorHAnsi" w:eastAsia="Times New Roman" w:hAnsiTheme="majorHAnsi"/>
          <w:sz w:val="20"/>
          <w:szCs w:val="20"/>
          <w:lang w:val="pt-BR"/>
        </w:rPr>
        <w:t xml:space="preserve"> à </w:t>
      </w:r>
      <w:r w:rsidRPr="006D1C74">
        <w:rPr>
          <w:rFonts w:asciiTheme="majorHAnsi" w:eastAsia="Times New Roman" w:hAnsiTheme="majorHAnsi"/>
          <w:sz w:val="20"/>
          <w:szCs w:val="20"/>
          <w:lang w:val="pt-BR"/>
        </w:rPr>
        <w:t xml:space="preserve">parte </w:t>
      </w:r>
      <w:r w:rsidR="00795010" w:rsidRPr="006D1C74">
        <w:rPr>
          <w:rFonts w:asciiTheme="majorHAnsi" w:eastAsia="Times New Roman" w:hAnsiTheme="majorHAnsi"/>
          <w:sz w:val="20"/>
          <w:szCs w:val="20"/>
          <w:lang w:val="pt-BR"/>
        </w:rPr>
        <w:t>peticionária</w:t>
      </w:r>
      <w:r w:rsidR="00030019" w:rsidRPr="006D1C74">
        <w:rPr>
          <w:rFonts w:asciiTheme="majorHAnsi" w:eastAsia="Times New Roman" w:hAnsiTheme="majorHAnsi"/>
          <w:sz w:val="20"/>
          <w:szCs w:val="20"/>
          <w:lang w:val="pt-BR"/>
        </w:rPr>
        <w:t xml:space="preserve"> do </w:t>
      </w:r>
      <w:r w:rsidRPr="006D1C74">
        <w:rPr>
          <w:rFonts w:asciiTheme="majorHAnsi" w:eastAsia="Times New Roman" w:hAnsiTheme="majorHAnsi"/>
          <w:sz w:val="20"/>
          <w:szCs w:val="20"/>
          <w:lang w:val="pt-BR"/>
        </w:rPr>
        <w:t>caso Antonio Tavares,</w:t>
      </w:r>
      <w:r w:rsidR="00700267" w:rsidRPr="006D1C74">
        <w:rPr>
          <w:rFonts w:asciiTheme="majorHAnsi" w:eastAsia="Times New Roman" w:hAnsiTheme="majorHAnsi"/>
          <w:sz w:val="20"/>
          <w:szCs w:val="20"/>
          <w:lang w:val="pt-BR"/>
        </w:rPr>
        <w:t xml:space="preserve"> a </w:t>
      </w:r>
      <w:r w:rsidR="00E327B7" w:rsidRPr="006D1C74">
        <w:rPr>
          <w:rFonts w:asciiTheme="majorHAnsi" w:eastAsia="Times New Roman" w:hAnsiTheme="majorHAnsi"/>
          <w:sz w:val="20"/>
          <w:szCs w:val="20"/>
          <w:lang w:val="pt-BR"/>
        </w:rPr>
        <w:t>q</w:t>
      </w:r>
      <w:r w:rsidRPr="006D1C74">
        <w:rPr>
          <w:rFonts w:asciiTheme="majorHAnsi" w:eastAsia="Times New Roman" w:hAnsiTheme="majorHAnsi"/>
          <w:sz w:val="20"/>
          <w:szCs w:val="20"/>
          <w:lang w:val="pt-BR"/>
        </w:rPr>
        <w:t>ual respond</w:t>
      </w:r>
      <w:r w:rsidR="00E327B7" w:rsidRPr="006D1C74">
        <w:rPr>
          <w:rFonts w:asciiTheme="majorHAnsi" w:eastAsia="Times New Roman" w:hAnsiTheme="majorHAnsi"/>
          <w:sz w:val="20"/>
          <w:szCs w:val="20"/>
          <w:lang w:val="pt-BR"/>
        </w:rPr>
        <w:t>eu</w:t>
      </w:r>
      <w:r w:rsidR="00F673C7" w:rsidRPr="006D1C74">
        <w:rPr>
          <w:rFonts w:asciiTheme="majorHAnsi" w:eastAsia="Times New Roman" w:hAnsiTheme="majorHAnsi"/>
          <w:sz w:val="20"/>
          <w:szCs w:val="20"/>
          <w:lang w:val="pt-BR"/>
        </w:rPr>
        <w:t xml:space="preserve"> com </w:t>
      </w:r>
      <w:r w:rsidRPr="006D1C74">
        <w:rPr>
          <w:rFonts w:asciiTheme="majorHAnsi" w:eastAsia="Times New Roman" w:hAnsiTheme="majorHAnsi"/>
          <w:sz w:val="20"/>
          <w:szCs w:val="20"/>
          <w:lang w:val="pt-BR"/>
        </w:rPr>
        <w:t>da</w:t>
      </w:r>
      <w:r w:rsidR="00E327B7" w:rsidRPr="006D1C74">
        <w:rPr>
          <w:rFonts w:asciiTheme="majorHAnsi" w:eastAsia="Times New Roman" w:hAnsiTheme="majorHAnsi"/>
          <w:sz w:val="20"/>
          <w:szCs w:val="20"/>
          <w:lang w:val="pt-BR"/>
        </w:rPr>
        <w:t>d</w:t>
      </w:r>
      <w:r w:rsidRPr="006D1C74">
        <w:rPr>
          <w:rFonts w:asciiTheme="majorHAnsi" w:eastAsia="Times New Roman" w:hAnsiTheme="majorHAnsi"/>
          <w:sz w:val="20"/>
          <w:szCs w:val="20"/>
          <w:lang w:val="pt-BR"/>
        </w:rPr>
        <w:t xml:space="preserve">os objetivos </w:t>
      </w:r>
      <w:r w:rsidR="000B6979">
        <w:rPr>
          <w:rFonts w:asciiTheme="majorHAnsi" w:eastAsia="Times New Roman" w:hAnsiTheme="majorHAnsi"/>
          <w:sz w:val="20"/>
          <w:szCs w:val="20"/>
          <w:lang w:val="pt-BR"/>
        </w:rPr>
        <w:t xml:space="preserve">sobre </w:t>
      </w:r>
      <w:r w:rsidR="00700267" w:rsidRPr="006D1C74">
        <w:rPr>
          <w:rFonts w:asciiTheme="majorHAnsi" w:eastAsia="Times New Roman" w:hAnsiTheme="majorHAnsi"/>
          <w:sz w:val="20"/>
          <w:szCs w:val="20"/>
          <w:lang w:val="pt-BR"/>
        </w:rPr>
        <w:t xml:space="preserve">os </w:t>
      </w:r>
      <w:r w:rsidR="001E2392" w:rsidRPr="006D1C74">
        <w:rPr>
          <w:rFonts w:asciiTheme="majorHAnsi" w:eastAsia="Times New Roman" w:hAnsiTheme="majorHAnsi"/>
          <w:sz w:val="20"/>
          <w:szCs w:val="20"/>
          <w:lang w:val="pt-BR"/>
        </w:rPr>
        <w:t>familiares</w:t>
      </w:r>
      <w:r w:rsidR="00CF037E" w:rsidRPr="006D1C74">
        <w:rPr>
          <w:rFonts w:asciiTheme="majorHAnsi" w:eastAsia="Times New Roman" w:hAnsiTheme="majorHAnsi"/>
          <w:sz w:val="20"/>
          <w:szCs w:val="20"/>
          <w:lang w:val="pt-BR"/>
        </w:rPr>
        <w:t xml:space="preserve"> e</w:t>
      </w:r>
      <w:r w:rsidR="00700267" w:rsidRPr="006D1C74">
        <w:rPr>
          <w:rFonts w:asciiTheme="majorHAnsi" w:eastAsia="Times New Roman" w:hAnsiTheme="majorHAnsi"/>
          <w:sz w:val="20"/>
          <w:szCs w:val="20"/>
          <w:lang w:val="pt-BR"/>
        </w:rPr>
        <w:t xml:space="preserve"> a </w:t>
      </w:r>
      <w:r w:rsidRPr="006D1C74">
        <w:rPr>
          <w:rFonts w:asciiTheme="majorHAnsi" w:eastAsia="Times New Roman" w:hAnsiTheme="majorHAnsi"/>
          <w:sz w:val="20"/>
          <w:szCs w:val="20"/>
          <w:lang w:val="pt-BR"/>
        </w:rPr>
        <w:t>situa</w:t>
      </w:r>
      <w:r w:rsidR="00CF037E" w:rsidRPr="006D1C74">
        <w:rPr>
          <w:rFonts w:asciiTheme="majorHAnsi" w:eastAsia="Times New Roman" w:hAnsiTheme="majorHAnsi"/>
          <w:sz w:val="20"/>
          <w:szCs w:val="20"/>
          <w:lang w:val="pt-BR"/>
        </w:rPr>
        <w:t>ção</w:t>
      </w:r>
      <w:r w:rsidRPr="006D1C74">
        <w:rPr>
          <w:rFonts w:asciiTheme="majorHAnsi" w:eastAsia="Times New Roman" w:hAnsiTheme="majorHAnsi"/>
          <w:sz w:val="20"/>
          <w:szCs w:val="20"/>
          <w:lang w:val="pt-BR"/>
        </w:rPr>
        <w:t xml:space="preserve"> financ</w:t>
      </w:r>
      <w:r w:rsidR="00E327B7" w:rsidRPr="006D1C74">
        <w:rPr>
          <w:rFonts w:asciiTheme="majorHAnsi" w:eastAsia="Times New Roman" w:hAnsiTheme="majorHAnsi"/>
          <w:sz w:val="20"/>
          <w:szCs w:val="20"/>
          <w:lang w:val="pt-BR"/>
        </w:rPr>
        <w:t>e</w:t>
      </w:r>
      <w:r w:rsidRPr="006D1C74">
        <w:rPr>
          <w:rFonts w:asciiTheme="majorHAnsi" w:eastAsia="Times New Roman" w:hAnsiTheme="majorHAnsi"/>
          <w:sz w:val="20"/>
          <w:szCs w:val="20"/>
          <w:lang w:val="pt-BR"/>
        </w:rPr>
        <w:t>ira de Antonio Tavares</w:t>
      </w:r>
      <w:r w:rsidR="00F673C7" w:rsidRPr="006D1C74">
        <w:rPr>
          <w:rFonts w:asciiTheme="majorHAnsi" w:eastAsia="Times New Roman" w:hAnsiTheme="majorHAnsi"/>
          <w:sz w:val="20"/>
          <w:szCs w:val="20"/>
          <w:lang w:val="pt-BR"/>
        </w:rPr>
        <w:t xml:space="preserve"> na </w:t>
      </w:r>
      <w:r w:rsidRPr="006D1C74">
        <w:rPr>
          <w:rFonts w:asciiTheme="majorHAnsi" w:eastAsia="Times New Roman" w:hAnsiTheme="majorHAnsi"/>
          <w:sz w:val="20"/>
          <w:szCs w:val="20"/>
          <w:lang w:val="pt-BR"/>
        </w:rPr>
        <w:t>época de s</w:t>
      </w:r>
      <w:r w:rsidR="00E327B7" w:rsidRPr="006D1C74">
        <w:rPr>
          <w:rFonts w:asciiTheme="majorHAnsi" w:eastAsia="Times New Roman" w:hAnsiTheme="majorHAnsi"/>
          <w:sz w:val="20"/>
          <w:szCs w:val="20"/>
          <w:lang w:val="pt-BR"/>
        </w:rPr>
        <w:t>e</w:t>
      </w:r>
      <w:r w:rsidRPr="006D1C74">
        <w:rPr>
          <w:rFonts w:asciiTheme="majorHAnsi" w:eastAsia="Times New Roman" w:hAnsiTheme="majorHAnsi"/>
          <w:sz w:val="20"/>
          <w:szCs w:val="20"/>
          <w:lang w:val="pt-BR"/>
        </w:rPr>
        <w:t>u faleci</w:t>
      </w:r>
      <w:r w:rsidR="00700267" w:rsidRPr="006D1C74">
        <w:rPr>
          <w:rFonts w:asciiTheme="majorHAnsi" w:eastAsia="Times New Roman" w:hAnsiTheme="majorHAnsi"/>
          <w:sz w:val="20"/>
          <w:szCs w:val="20"/>
          <w:lang w:val="pt-BR"/>
        </w:rPr>
        <w:t>mento</w:t>
      </w:r>
      <w:r w:rsidRPr="006D1C74">
        <w:rPr>
          <w:rFonts w:asciiTheme="majorHAnsi" w:eastAsia="Times New Roman" w:hAnsiTheme="majorHAnsi"/>
          <w:sz w:val="20"/>
          <w:szCs w:val="20"/>
          <w:lang w:val="pt-BR"/>
        </w:rPr>
        <w:t xml:space="preserve">, </w:t>
      </w:r>
      <w:r w:rsidR="00E327B7" w:rsidRPr="006D1C74">
        <w:rPr>
          <w:rFonts w:asciiTheme="majorHAnsi" w:eastAsia="Times New Roman" w:hAnsiTheme="majorHAnsi"/>
          <w:sz w:val="20"/>
          <w:szCs w:val="20"/>
          <w:lang w:val="pt-BR"/>
        </w:rPr>
        <w:t>par</w:t>
      </w:r>
      <w:r w:rsidRPr="006D1C74">
        <w:rPr>
          <w:rFonts w:asciiTheme="majorHAnsi" w:eastAsia="Times New Roman" w:hAnsiTheme="majorHAnsi"/>
          <w:sz w:val="20"/>
          <w:szCs w:val="20"/>
          <w:lang w:val="pt-BR"/>
        </w:rPr>
        <w:t xml:space="preserve">a </w:t>
      </w:r>
      <w:r w:rsidR="00E327B7" w:rsidRPr="006D1C74">
        <w:rPr>
          <w:rFonts w:asciiTheme="majorHAnsi" w:eastAsia="Times New Roman" w:hAnsiTheme="majorHAnsi"/>
          <w:sz w:val="20"/>
          <w:szCs w:val="20"/>
          <w:lang w:val="pt-BR"/>
        </w:rPr>
        <w:t>fins</w:t>
      </w:r>
      <w:r w:rsidR="00030019" w:rsidRPr="006D1C74">
        <w:rPr>
          <w:rFonts w:asciiTheme="majorHAnsi" w:eastAsia="Times New Roman" w:hAnsiTheme="majorHAnsi"/>
          <w:sz w:val="20"/>
          <w:szCs w:val="20"/>
          <w:lang w:val="pt-BR"/>
        </w:rPr>
        <w:t xml:space="preserve"> do </w:t>
      </w:r>
      <w:r w:rsidRPr="006D1C74">
        <w:rPr>
          <w:rFonts w:asciiTheme="majorHAnsi" w:eastAsia="Times New Roman" w:hAnsiTheme="majorHAnsi"/>
          <w:sz w:val="20"/>
          <w:szCs w:val="20"/>
          <w:lang w:val="pt-BR"/>
        </w:rPr>
        <w:t>cálculo</w:t>
      </w:r>
      <w:r w:rsidR="00795010" w:rsidRPr="006D1C74">
        <w:rPr>
          <w:rFonts w:asciiTheme="majorHAnsi" w:eastAsia="Times New Roman" w:hAnsiTheme="majorHAnsi"/>
          <w:sz w:val="20"/>
          <w:szCs w:val="20"/>
          <w:lang w:val="pt-BR"/>
        </w:rPr>
        <w:t xml:space="preserve"> da </w:t>
      </w:r>
      <w:r w:rsidRPr="006D1C74">
        <w:rPr>
          <w:rFonts w:asciiTheme="majorHAnsi" w:eastAsia="Times New Roman" w:hAnsiTheme="majorHAnsi"/>
          <w:sz w:val="20"/>
          <w:szCs w:val="20"/>
          <w:lang w:val="pt-BR"/>
        </w:rPr>
        <w:t>indeniza</w:t>
      </w:r>
      <w:r w:rsidR="00CF037E" w:rsidRPr="006D1C74">
        <w:rPr>
          <w:rFonts w:asciiTheme="majorHAnsi" w:eastAsia="Times New Roman" w:hAnsiTheme="majorHAnsi"/>
          <w:sz w:val="20"/>
          <w:szCs w:val="20"/>
          <w:lang w:val="pt-BR"/>
        </w:rPr>
        <w:t>ção</w:t>
      </w:r>
      <w:r w:rsidRPr="006D1C74">
        <w:rPr>
          <w:rFonts w:asciiTheme="majorHAnsi" w:eastAsia="Times New Roman" w:hAnsiTheme="majorHAnsi"/>
          <w:sz w:val="20"/>
          <w:szCs w:val="20"/>
          <w:lang w:val="pt-BR"/>
        </w:rPr>
        <w:t xml:space="preserve">. </w:t>
      </w:r>
      <w:r w:rsidR="00B42161" w:rsidRPr="006D1C74">
        <w:rPr>
          <w:rFonts w:asciiTheme="majorHAnsi" w:eastAsia="Times New Roman" w:hAnsiTheme="majorHAnsi"/>
          <w:sz w:val="20"/>
          <w:szCs w:val="20"/>
          <w:lang w:val="pt-BR"/>
        </w:rPr>
        <w:t>O</w:t>
      </w:r>
      <w:r w:rsidRPr="006D1C74">
        <w:rPr>
          <w:rFonts w:asciiTheme="majorHAnsi" w:eastAsia="Times New Roman" w:hAnsiTheme="majorHAnsi"/>
          <w:sz w:val="20"/>
          <w:szCs w:val="20"/>
          <w:lang w:val="pt-BR"/>
        </w:rPr>
        <w:t xml:space="preserve"> Estado </w:t>
      </w:r>
      <w:r w:rsidR="00E327B7" w:rsidRPr="006D1C74">
        <w:rPr>
          <w:rFonts w:asciiTheme="majorHAnsi" w:eastAsia="Times New Roman" w:hAnsiTheme="majorHAnsi"/>
          <w:sz w:val="20"/>
          <w:szCs w:val="20"/>
          <w:lang w:val="pt-BR"/>
        </w:rPr>
        <w:t>a</w:t>
      </w:r>
      <w:r w:rsidRPr="006D1C74">
        <w:rPr>
          <w:rFonts w:asciiTheme="majorHAnsi" w:eastAsia="Times New Roman" w:hAnsiTheme="majorHAnsi"/>
          <w:sz w:val="20"/>
          <w:szCs w:val="20"/>
          <w:lang w:val="pt-BR"/>
        </w:rPr>
        <w:t>s</w:t>
      </w:r>
      <w:r w:rsidR="00E327B7" w:rsidRPr="006D1C74">
        <w:rPr>
          <w:rFonts w:asciiTheme="majorHAnsi" w:eastAsia="Times New Roman" w:hAnsiTheme="majorHAnsi"/>
          <w:sz w:val="20"/>
          <w:szCs w:val="20"/>
          <w:lang w:val="pt-BR"/>
        </w:rPr>
        <w:t>sin</w:t>
      </w:r>
      <w:r w:rsidRPr="006D1C74">
        <w:rPr>
          <w:rFonts w:asciiTheme="majorHAnsi" w:eastAsia="Times New Roman" w:hAnsiTheme="majorHAnsi"/>
          <w:sz w:val="20"/>
          <w:szCs w:val="20"/>
          <w:lang w:val="pt-BR"/>
        </w:rPr>
        <w:t>ala que</w:t>
      </w:r>
      <w:r w:rsidR="00700267" w:rsidRPr="006D1C74">
        <w:rPr>
          <w:rFonts w:asciiTheme="majorHAnsi" w:eastAsia="Times New Roman" w:hAnsiTheme="majorHAnsi"/>
          <w:sz w:val="20"/>
          <w:szCs w:val="20"/>
          <w:lang w:val="pt-BR"/>
        </w:rPr>
        <w:t xml:space="preserve"> a </w:t>
      </w:r>
      <w:r w:rsidRPr="006D1C74">
        <w:rPr>
          <w:rFonts w:asciiTheme="majorHAnsi" w:eastAsia="Times New Roman" w:hAnsiTheme="majorHAnsi"/>
          <w:sz w:val="20"/>
          <w:szCs w:val="20"/>
          <w:lang w:val="pt-BR"/>
        </w:rPr>
        <w:t xml:space="preserve">parte </w:t>
      </w:r>
      <w:r w:rsidR="00795010" w:rsidRPr="006D1C74">
        <w:rPr>
          <w:rFonts w:asciiTheme="majorHAnsi" w:eastAsia="Times New Roman" w:hAnsiTheme="majorHAnsi"/>
          <w:sz w:val="20"/>
          <w:szCs w:val="20"/>
          <w:lang w:val="pt-BR"/>
        </w:rPr>
        <w:t>peticionária</w:t>
      </w:r>
      <w:r w:rsidRPr="006D1C74">
        <w:rPr>
          <w:rFonts w:asciiTheme="majorHAnsi" w:eastAsia="Times New Roman" w:hAnsiTheme="majorHAnsi"/>
          <w:sz w:val="20"/>
          <w:szCs w:val="20"/>
          <w:lang w:val="pt-BR"/>
        </w:rPr>
        <w:t xml:space="preserve"> a</w:t>
      </w:r>
      <w:r w:rsidR="00E327B7" w:rsidRPr="006D1C74">
        <w:rPr>
          <w:rFonts w:asciiTheme="majorHAnsi" w:eastAsia="Times New Roman" w:hAnsiTheme="majorHAnsi"/>
          <w:sz w:val="20"/>
          <w:szCs w:val="20"/>
          <w:lang w:val="pt-BR"/>
        </w:rPr>
        <w:t>crescentou</w:t>
      </w:r>
      <w:r w:rsidRPr="006D1C74">
        <w:rPr>
          <w:rFonts w:asciiTheme="majorHAnsi" w:eastAsia="Times New Roman" w:hAnsiTheme="majorHAnsi"/>
          <w:sz w:val="20"/>
          <w:szCs w:val="20"/>
          <w:lang w:val="pt-BR"/>
        </w:rPr>
        <w:t xml:space="preserve"> que</w:t>
      </w:r>
      <w:r w:rsidR="00700267" w:rsidRPr="006D1C74">
        <w:rPr>
          <w:rFonts w:asciiTheme="majorHAnsi" w:eastAsia="Times New Roman" w:hAnsiTheme="majorHAnsi"/>
          <w:sz w:val="20"/>
          <w:szCs w:val="20"/>
          <w:lang w:val="pt-BR"/>
        </w:rPr>
        <w:t xml:space="preserve"> a </w:t>
      </w:r>
      <w:r w:rsidRPr="006D1C74">
        <w:rPr>
          <w:rFonts w:asciiTheme="majorHAnsi" w:eastAsia="Times New Roman" w:hAnsiTheme="majorHAnsi"/>
          <w:sz w:val="20"/>
          <w:szCs w:val="20"/>
          <w:lang w:val="pt-BR"/>
        </w:rPr>
        <w:t>prop</w:t>
      </w:r>
      <w:r w:rsidR="00E327B7" w:rsidRPr="006D1C74">
        <w:rPr>
          <w:rFonts w:asciiTheme="majorHAnsi" w:eastAsia="Times New Roman" w:hAnsiTheme="majorHAnsi"/>
          <w:sz w:val="20"/>
          <w:szCs w:val="20"/>
          <w:lang w:val="pt-BR"/>
        </w:rPr>
        <w:t>o</w:t>
      </w:r>
      <w:r w:rsidRPr="006D1C74">
        <w:rPr>
          <w:rFonts w:asciiTheme="majorHAnsi" w:eastAsia="Times New Roman" w:hAnsiTheme="majorHAnsi"/>
          <w:sz w:val="20"/>
          <w:szCs w:val="20"/>
          <w:lang w:val="pt-BR"/>
        </w:rPr>
        <w:t>sta</w:t>
      </w:r>
      <w:r w:rsidR="00F673C7" w:rsidRPr="006D1C74">
        <w:rPr>
          <w:rFonts w:asciiTheme="majorHAnsi" w:eastAsia="Times New Roman" w:hAnsiTheme="majorHAnsi"/>
          <w:sz w:val="20"/>
          <w:szCs w:val="20"/>
          <w:lang w:val="pt-BR"/>
        </w:rPr>
        <w:t xml:space="preserve"> não </w:t>
      </w:r>
      <w:r w:rsidRPr="006D1C74">
        <w:rPr>
          <w:rFonts w:asciiTheme="majorHAnsi" w:eastAsia="Times New Roman" w:hAnsiTheme="majorHAnsi"/>
          <w:sz w:val="20"/>
          <w:szCs w:val="20"/>
          <w:lang w:val="pt-BR"/>
        </w:rPr>
        <w:t>aborda</w:t>
      </w:r>
      <w:r w:rsidR="00E327B7" w:rsidRPr="006D1C74">
        <w:rPr>
          <w:rFonts w:asciiTheme="majorHAnsi" w:eastAsia="Times New Roman" w:hAnsiTheme="majorHAnsi"/>
          <w:sz w:val="20"/>
          <w:szCs w:val="20"/>
          <w:lang w:val="pt-BR"/>
        </w:rPr>
        <w:t>v</w:t>
      </w:r>
      <w:r w:rsidRPr="006D1C74">
        <w:rPr>
          <w:rFonts w:asciiTheme="majorHAnsi" w:eastAsia="Times New Roman" w:hAnsiTheme="majorHAnsi"/>
          <w:sz w:val="20"/>
          <w:szCs w:val="20"/>
          <w:lang w:val="pt-BR"/>
        </w:rPr>
        <w:t>a todas</w:t>
      </w:r>
      <w:r w:rsidR="00700267" w:rsidRPr="006D1C74">
        <w:rPr>
          <w:rFonts w:asciiTheme="majorHAnsi" w:eastAsia="Times New Roman" w:hAnsiTheme="majorHAnsi"/>
          <w:sz w:val="20"/>
          <w:szCs w:val="20"/>
          <w:lang w:val="pt-BR"/>
        </w:rPr>
        <w:t xml:space="preserve"> as </w:t>
      </w:r>
      <w:r w:rsidR="00E327B7" w:rsidRPr="006D1C74">
        <w:rPr>
          <w:rFonts w:asciiTheme="majorHAnsi" w:eastAsia="Times New Roman" w:hAnsiTheme="majorHAnsi"/>
          <w:sz w:val="20"/>
          <w:szCs w:val="20"/>
          <w:lang w:val="pt-BR"/>
        </w:rPr>
        <w:t>q</w:t>
      </w:r>
      <w:r w:rsidRPr="006D1C74">
        <w:rPr>
          <w:rFonts w:asciiTheme="majorHAnsi" w:eastAsia="Times New Roman" w:hAnsiTheme="majorHAnsi"/>
          <w:sz w:val="20"/>
          <w:szCs w:val="20"/>
          <w:lang w:val="pt-BR"/>
        </w:rPr>
        <w:t>uest</w:t>
      </w:r>
      <w:r w:rsidR="00E327B7" w:rsidRPr="006D1C74">
        <w:rPr>
          <w:rFonts w:asciiTheme="majorHAnsi" w:eastAsia="Times New Roman" w:hAnsiTheme="majorHAnsi"/>
          <w:sz w:val="20"/>
          <w:szCs w:val="20"/>
          <w:lang w:val="pt-BR"/>
        </w:rPr>
        <w:t>õe</w:t>
      </w:r>
      <w:r w:rsidRPr="006D1C74">
        <w:rPr>
          <w:rFonts w:asciiTheme="majorHAnsi" w:eastAsia="Times New Roman" w:hAnsiTheme="majorHAnsi"/>
          <w:sz w:val="20"/>
          <w:szCs w:val="20"/>
          <w:lang w:val="pt-BR"/>
        </w:rPr>
        <w:t xml:space="preserve">s </w:t>
      </w:r>
      <w:r w:rsidR="00E327B7" w:rsidRPr="006D1C74">
        <w:rPr>
          <w:rFonts w:asciiTheme="majorHAnsi" w:eastAsia="Times New Roman" w:hAnsiTheme="majorHAnsi"/>
          <w:sz w:val="20"/>
          <w:szCs w:val="20"/>
          <w:lang w:val="pt-BR"/>
        </w:rPr>
        <w:t>apresentadas à</w:t>
      </w:r>
      <w:r w:rsidR="00700267" w:rsidRPr="006D1C74">
        <w:rPr>
          <w:rFonts w:asciiTheme="majorHAnsi" w:eastAsia="Times New Roman" w:hAnsiTheme="majorHAnsi"/>
          <w:sz w:val="20"/>
          <w:szCs w:val="20"/>
          <w:lang w:val="pt-BR"/>
        </w:rPr>
        <w:t xml:space="preserve"> </w:t>
      </w:r>
      <w:r w:rsidRPr="006D1C74">
        <w:rPr>
          <w:rFonts w:asciiTheme="majorHAnsi" w:eastAsia="Times New Roman" w:hAnsiTheme="majorHAnsi"/>
          <w:sz w:val="20"/>
          <w:szCs w:val="20"/>
          <w:lang w:val="pt-BR"/>
        </w:rPr>
        <w:t>CIDH.</w:t>
      </w:r>
    </w:p>
    <w:p w14:paraId="2FD4182E"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lang w:val="pt-BR"/>
        </w:rPr>
      </w:pPr>
    </w:p>
    <w:p w14:paraId="76B07C3E" w14:textId="77777777" w:rsidR="002649F0" w:rsidRPr="006D1C74" w:rsidRDefault="00B4216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Times New Roman" w:hAnsiTheme="majorHAnsi"/>
          <w:sz w:val="20"/>
          <w:szCs w:val="20"/>
          <w:lang w:val="pt-BR"/>
        </w:rPr>
      </w:pPr>
      <w:r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 xml:space="preserve"> Estado informa que,</w:t>
      </w:r>
      <w:r w:rsidR="00F673C7" w:rsidRPr="006D1C74">
        <w:rPr>
          <w:rFonts w:asciiTheme="majorHAnsi" w:eastAsia="Times New Roman" w:hAnsiTheme="majorHAnsi"/>
          <w:sz w:val="20"/>
          <w:szCs w:val="20"/>
          <w:lang w:val="pt-BR"/>
        </w:rPr>
        <w:t xml:space="preserve"> em </w:t>
      </w:r>
      <w:r w:rsidR="00E327B7" w:rsidRPr="006D1C74">
        <w:rPr>
          <w:rFonts w:asciiTheme="majorHAnsi" w:eastAsia="Times New Roman" w:hAnsiTheme="majorHAnsi"/>
          <w:sz w:val="20"/>
          <w:szCs w:val="20"/>
          <w:lang w:val="pt-BR"/>
        </w:rPr>
        <w:t>reunião</w:t>
      </w:r>
      <w:r w:rsidR="002649F0" w:rsidRPr="006D1C74">
        <w:rPr>
          <w:rFonts w:asciiTheme="majorHAnsi" w:eastAsia="Times New Roman" w:hAnsiTheme="majorHAnsi"/>
          <w:sz w:val="20"/>
          <w:szCs w:val="20"/>
          <w:lang w:val="pt-BR"/>
        </w:rPr>
        <w:t xml:space="preserve"> posterior,</w:t>
      </w:r>
      <w:r w:rsidR="00700267" w:rsidRPr="006D1C74">
        <w:rPr>
          <w:rFonts w:asciiTheme="majorHAnsi" w:eastAsia="Times New Roman" w:hAnsiTheme="majorHAnsi"/>
          <w:sz w:val="20"/>
          <w:szCs w:val="20"/>
          <w:lang w:val="pt-BR"/>
        </w:rPr>
        <w:t xml:space="preserve"> os </w:t>
      </w:r>
      <w:r w:rsidR="002649F0" w:rsidRPr="006D1C74">
        <w:rPr>
          <w:rFonts w:asciiTheme="majorHAnsi" w:eastAsia="Times New Roman" w:hAnsiTheme="majorHAnsi"/>
          <w:sz w:val="20"/>
          <w:szCs w:val="20"/>
          <w:lang w:val="pt-BR"/>
        </w:rPr>
        <w:t xml:space="preserve">grupos de </w:t>
      </w:r>
      <w:r w:rsidR="00700267" w:rsidRPr="006D1C74">
        <w:rPr>
          <w:rFonts w:asciiTheme="majorHAnsi" w:eastAsia="Times New Roman" w:hAnsiTheme="majorHAnsi"/>
          <w:sz w:val="20"/>
          <w:szCs w:val="20"/>
          <w:lang w:val="pt-BR"/>
        </w:rPr>
        <w:t>trabalh</w:t>
      </w:r>
      <w:r w:rsidR="002649F0" w:rsidRPr="006D1C74">
        <w:rPr>
          <w:rFonts w:asciiTheme="majorHAnsi" w:eastAsia="Times New Roman" w:hAnsiTheme="majorHAnsi"/>
          <w:sz w:val="20"/>
          <w:szCs w:val="20"/>
          <w:lang w:val="pt-BR"/>
        </w:rPr>
        <w:t>o emiti</w:t>
      </w:r>
      <w:r w:rsidR="00E327B7" w:rsidRPr="006D1C74">
        <w:rPr>
          <w:rFonts w:asciiTheme="majorHAnsi" w:eastAsia="Times New Roman" w:hAnsiTheme="majorHAnsi"/>
          <w:sz w:val="20"/>
          <w:szCs w:val="20"/>
          <w:lang w:val="pt-BR"/>
        </w:rPr>
        <w:t>ram</w:t>
      </w:r>
      <w:r w:rsidR="00700267" w:rsidRPr="006D1C74">
        <w:rPr>
          <w:rFonts w:asciiTheme="majorHAnsi" w:eastAsia="Times New Roman" w:hAnsiTheme="majorHAnsi"/>
          <w:sz w:val="20"/>
          <w:szCs w:val="20"/>
          <w:lang w:val="pt-BR"/>
        </w:rPr>
        <w:t xml:space="preserve"> o </w:t>
      </w:r>
      <w:r w:rsidR="00927E16" w:rsidRPr="006D1C74">
        <w:rPr>
          <w:rFonts w:asciiTheme="majorHAnsi" w:eastAsia="Times New Roman" w:hAnsiTheme="majorHAnsi"/>
          <w:sz w:val="20"/>
          <w:szCs w:val="20"/>
          <w:lang w:val="pt-BR"/>
        </w:rPr>
        <w:t>Relatório</w:t>
      </w:r>
      <w:r w:rsidR="002649F0" w:rsidRPr="006D1C74">
        <w:rPr>
          <w:rFonts w:asciiTheme="majorHAnsi" w:eastAsia="Times New Roman" w:hAnsiTheme="majorHAnsi"/>
          <w:sz w:val="20"/>
          <w:szCs w:val="20"/>
          <w:lang w:val="pt-BR"/>
        </w:rPr>
        <w:t xml:space="preserve"> Parcial 02/2014,</w:t>
      </w:r>
      <w:r w:rsidR="00F673C7" w:rsidRPr="006D1C74">
        <w:rPr>
          <w:rFonts w:asciiTheme="majorHAnsi" w:eastAsia="Times New Roman" w:hAnsiTheme="majorHAnsi"/>
          <w:sz w:val="20"/>
          <w:szCs w:val="20"/>
          <w:lang w:val="pt-BR"/>
        </w:rPr>
        <w:t xml:space="preserve"> em </w:t>
      </w:r>
      <w:r w:rsidR="002649F0" w:rsidRPr="006D1C74">
        <w:rPr>
          <w:rFonts w:asciiTheme="majorHAnsi" w:eastAsia="Times New Roman" w:hAnsiTheme="majorHAnsi"/>
          <w:sz w:val="20"/>
          <w:szCs w:val="20"/>
          <w:lang w:val="pt-BR"/>
        </w:rPr>
        <w:t>virtud</w:t>
      </w:r>
      <w:r w:rsidR="00E327B7" w:rsidRPr="006D1C74">
        <w:rPr>
          <w:rFonts w:asciiTheme="majorHAnsi" w:eastAsia="Times New Roman" w:hAnsiTheme="majorHAnsi"/>
          <w:sz w:val="20"/>
          <w:szCs w:val="20"/>
          <w:lang w:val="pt-BR"/>
        </w:rPr>
        <w:t>e</w:t>
      </w:r>
      <w:r w:rsidR="00030019" w:rsidRPr="006D1C74">
        <w:rPr>
          <w:rFonts w:asciiTheme="majorHAnsi" w:eastAsia="Times New Roman" w:hAnsiTheme="majorHAnsi"/>
          <w:sz w:val="20"/>
          <w:szCs w:val="20"/>
          <w:lang w:val="pt-BR"/>
        </w:rPr>
        <w:t xml:space="preserve"> do </w:t>
      </w:r>
      <w:r w:rsidR="00E327B7" w:rsidRPr="006D1C74">
        <w:rPr>
          <w:rFonts w:asciiTheme="majorHAnsi" w:eastAsia="Times New Roman" w:hAnsiTheme="majorHAnsi"/>
          <w:sz w:val="20"/>
          <w:szCs w:val="20"/>
          <w:lang w:val="pt-BR"/>
        </w:rPr>
        <w:t>q</w:t>
      </w:r>
      <w:r w:rsidR="002649F0" w:rsidRPr="006D1C74">
        <w:rPr>
          <w:rFonts w:asciiTheme="majorHAnsi" w:eastAsia="Times New Roman" w:hAnsiTheme="majorHAnsi"/>
          <w:sz w:val="20"/>
          <w:szCs w:val="20"/>
          <w:lang w:val="pt-BR"/>
        </w:rPr>
        <w:t>ual se form</w:t>
      </w:r>
      <w:r w:rsidR="00E327B7" w:rsidRPr="006D1C74">
        <w:rPr>
          <w:rFonts w:asciiTheme="majorHAnsi" w:eastAsia="Times New Roman" w:hAnsiTheme="majorHAnsi"/>
          <w:sz w:val="20"/>
          <w:szCs w:val="20"/>
          <w:lang w:val="pt-BR"/>
        </w:rPr>
        <w:t>ou</w:t>
      </w:r>
      <w:r w:rsidR="00030019" w:rsidRPr="006D1C74">
        <w:rPr>
          <w:rFonts w:asciiTheme="majorHAnsi" w:eastAsia="Times New Roman" w:hAnsiTheme="majorHAnsi"/>
          <w:sz w:val="20"/>
          <w:szCs w:val="20"/>
          <w:lang w:val="pt-BR"/>
        </w:rPr>
        <w:t xml:space="preserve"> um </w:t>
      </w:r>
      <w:r w:rsidR="002649F0" w:rsidRPr="006D1C74">
        <w:rPr>
          <w:rFonts w:asciiTheme="majorHAnsi" w:eastAsia="Times New Roman" w:hAnsiTheme="majorHAnsi"/>
          <w:sz w:val="20"/>
          <w:szCs w:val="20"/>
          <w:lang w:val="pt-BR"/>
        </w:rPr>
        <w:t xml:space="preserve">grupo de </w:t>
      </w:r>
      <w:r w:rsidR="00700267" w:rsidRPr="006D1C74">
        <w:rPr>
          <w:rFonts w:asciiTheme="majorHAnsi" w:eastAsia="Times New Roman" w:hAnsiTheme="majorHAnsi"/>
          <w:sz w:val="20"/>
          <w:szCs w:val="20"/>
          <w:lang w:val="pt-BR"/>
        </w:rPr>
        <w:t>trabalh</w:t>
      </w:r>
      <w:r w:rsidR="002649F0" w:rsidRPr="006D1C74">
        <w:rPr>
          <w:rFonts w:asciiTheme="majorHAnsi" w:eastAsia="Times New Roman" w:hAnsiTheme="majorHAnsi"/>
          <w:sz w:val="20"/>
          <w:szCs w:val="20"/>
          <w:lang w:val="pt-BR"/>
        </w:rPr>
        <w:t xml:space="preserve">o único para tratar, entre </w:t>
      </w:r>
      <w:r w:rsidR="00CF037E" w:rsidRPr="006D1C74">
        <w:rPr>
          <w:rFonts w:asciiTheme="majorHAnsi" w:eastAsia="Times New Roman" w:hAnsiTheme="majorHAnsi"/>
          <w:sz w:val="20"/>
          <w:szCs w:val="20"/>
          <w:lang w:val="pt-BR"/>
        </w:rPr>
        <w:t>outr</w:t>
      </w:r>
      <w:r w:rsidR="002649F0" w:rsidRPr="006D1C74">
        <w:rPr>
          <w:rFonts w:asciiTheme="majorHAnsi" w:eastAsia="Times New Roman" w:hAnsiTheme="majorHAnsi"/>
          <w:sz w:val="20"/>
          <w:szCs w:val="20"/>
          <w:lang w:val="pt-BR"/>
        </w:rPr>
        <w:t>os p</w:t>
      </w:r>
      <w:r w:rsidR="00E327B7" w:rsidRPr="006D1C74">
        <w:rPr>
          <w:rFonts w:asciiTheme="majorHAnsi" w:eastAsia="Times New Roman" w:hAnsiTheme="majorHAnsi"/>
          <w:sz w:val="20"/>
          <w:szCs w:val="20"/>
          <w:lang w:val="pt-BR"/>
        </w:rPr>
        <w:t>o</w:t>
      </w:r>
      <w:r w:rsidR="002649F0" w:rsidRPr="006D1C74">
        <w:rPr>
          <w:rFonts w:asciiTheme="majorHAnsi" w:eastAsia="Times New Roman" w:hAnsiTheme="majorHAnsi"/>
          <w:sz w:val="20"/>
          <w:szCs w:val="20"/>
          <w:lang w:val="pt-BR"/>
        </w:rPr>
        <w:t>ntos,</w:t>
      </w:r>
      <w:r w:rsidR="00700267" w:rsidRPr="006D1C74">
        <w:rPr>
          <w:rFonts w:asciiTheme="majorHAnsi" w:eastAsia="Times New Roman" w:hAnsiTheme="majorHAnsi"/>
          <w:sz w:val="20"/>
          <w:szCs w:val="20"/>
          <w:lang w:val="pt-BR"/>
        </w:rPr>
        <w:t xml:space="preserve"> a </w:t>
      </w:r>
      <w:r w:rsidR="002649F0" w:rsidRPr="006D1C74">
        <w:rPr>
          <w:rFonts w:asciiTheme="majorHAnsi" w:eastAsia="Times New Roman" w:hAnsiTheme="majorHAnsi"/>
          <w:sz w:val="20"/>
          <w:szCs w:val="20"/>
          <w:lang w:val="pt-BR"/>
        </w:rPr>
        <w:t>inclu</w:t>
      </w:r>
      <w:r w:rsidR="0094446B" w:rsidRPr="006D1C74">
        <w:rPr>
          <w:rFonts w:asciiTheme="majorHAnsi" w:eastAsia="Times New Roman" w:hAnsiTheme="majorHAnsi"/>
          <w:sz w:val="20"/>
          <w:szCs w:val="20"/>
          <w:lang w:val="pt-BR"/>
        </w:rPr>
        <w:t>são</w:t>
      </w:r>
      <w:r w:rsidR="002649F0" w:rsidRPr="006D1C74">
        <w:rPr>
          <w:rFonts w:asciiTheme="majorHAnsi" w:eastAsia="Times New Roman" w:hAnsiTheme="majorHAnsi"/>
          <w:sz w:val="20"/>
          <w:szCs w:val="20"/>
          <w:lang w:val="pt-BR"/>
        </w:rPr>
        <w:t xml:space="preserve"> de medidas de</w:t>
      </w:r>
      <w:r w:rsidR="00F673C7" w:rsidRPr="006D1C74">
        <w:rPr>
          <w:rFonts w:asciiTheme="majorHAnsi" w:eastAsia="Times New Roman" w:hAnsiTheme="majorHAnsi"/>
          <w:sz w:val="20"/>
          <w:szCs w:val="20"/>
          <w:lang w:val="pt-BR"/>
        </w:rPr>
        <w:t xml:space="preserve"> não </w:t>
      </w:r>
      <w:r w:rsidR="002649F0" w:rsidRPr="006D1C74">
        <w:rPr>
          <w:rFonts w:asciiTheme="majorHAnsi" w:eastAsia="Times New Roman" w:hAnsiTheme="majorHAnsi"/>
          <w:sz w:val="20"/>
          <w:szCs w:val="20"/>
          <w:lang w:val="pt-BR"/>
        </w:rPr>
        <w:t>repeti</w:t>
      </w:r>
      <w:r w:rsidR="00CF037E" w:rsidRPr="006D1C74">
        <w:rPr>
          <w:rFonts w:asciiTheme="majorHAnsi" w:eastAsia="Times New Roman" w:hAnsiTheme="majorHAnsi"/>
          <w:sz w:val="20"/>
          <w:szCs w:val="20"/>
          <w:lang w:val="pt-BR"/>
        </w:rPr>
        <w:t xml:space="preserve">ção e </w:t>
      </w:r>
      <w:r w:rsidR="002649F0" w:rsidRPr="006D1C74">
        <w:rPr>
          <w:rFonts w:asciiTheme="majorHAnsi" w:eastAsia="Times New Roman" w:hAnsiTheme="majorHAnsi"/>
          <w:sz w:val="20"/>
          <w:szCs w:val="20"/>
          <w:lang w:val="pt-BR"/>
        </w:rPr>
        <w:t>de repara</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simbólica que </w:t>
      </w:r>
      <w:r w:rsidR="00E327B7" w:rsidRPr="006D1C74">
        <w:rPr>
          <w:rFonts w:asciiTheme="majorHAnsi" w:eastAsia="Times New Roman" w:hAnsiTheme="majorHAnsi"/>
          <w:sz w:val="20"/>
          <w:szCs w:val="20"/>
          <w:lang w:val="pt-BR"/>
        </w:rPr>
        <w:t>incluíssem</w:t>
      </w:r>
      <w:r w:rsidR="00030019" w:rsidRPr="006D1C74">
        <w:rPr>
          <w:rFonts w:asciiTheme="majorHAnsi" w:eastAsia="Times New Roman" w:hAnsiTheme="majorHAnsi"/>
          <w:sz w:val="20"/>
          <w:szCs w:val="20"/>
          <w:lang w:val="pt-BR"/>
        </w:rPr>
        <w:t xml:space="preserve"> </w:t>
      </w:r>
      <w:r w:rsidR="00E327B7" w:rsidRPr="006D1C74">
        <w:rPr>
          <w:rFonts w:asciiTheme="majorHAnsi" w:eastAsia="Times New Roman" w:hAnsiTheme="majorHAnsi"/>
          <w:sz w:val="20"/>
          <w:szCs w:val="20"/>
          <w:lang w:val="pt-BR"/>
        </w:rPr>
        <w:t>a</w:t>
      </w:r>
      <w:r w:rsidR="00030019" w:rsidRPr="006D1C74">
        <w:rPr>
          <w:rFonts w:asciiTheme="majorHAnsi" w:eastAsia="Times New Roman" w:hAnsiTheme="majorHAnsi"/>
          <w:sz w:val="20"/>
          <w:szCs w:val="20"/>
          <w:lang w:val="pt-BR"/>
        </w:rPr>
        <w:t xml:space="preserve">s </w:t>
      </w:r>
      <w:r w:rsidR="002649F0" w:rsidRPr="006D1C74">
        <w:rPr>
          <w:rFonts w:asciiTheme="majorHAnsi" w:eastAsia="Times New Roman" w:hAnsiTheme="majorHAnsi"/>
          <w:sz w:val="20"/>
          <w:szCs w:val="20"/>
          <w:lang w:val="pt-BR"/>
        </w:rPr>
        <w:t xml:space="preserve">185 </w:t>
      </w:r>
      <w:r w:rsidR="00795010" w:rsidRPr="006D1C74">
        <w:rPr>
          <w:rFonts w:asciiTheme="majorHAnsi" w:eastAsia="Times New Roman" w:hAnsiTheme="majorHAnsi"/>
          <w:sz w:val="20"/>
          <w:szCs w:val="20"/>
          <w:lang w:val="pt-BR"/>
        </w:rPr>
        <w:t>vítima</w:t>
      </w:r>
      <w:r w:rsidR="002649F0" w:rsidRPr="006D1C74">
        <w:rPr>
          <w:rFonts w:asciiTheme="majorHAnsi" w:eastAsia="Times New Roman" w:hAnsiTheme="majorHAnsi"/>
          <w:sz w:val="20"/>
          <w:szCs w:val="20"/>
          <w:lang w:val="pt-BR"/>
        </w:rPr>
        <w:t xml:space="preserve">s. </w:t>
      </w:r>
      <w:r w:rsidR="00FB33B4" w:rsidRPr="006D1C74">
        <w:rPr>
          <w:rFonts w:asciiTheme="majorHAnsi" w:eastAsia="Times New Roman" w:hAnsiTheme="majorHAnsi"/>
          <w:sz w:val="20"/>
          <w:szCs w:val="20"/>
          <w:lang w:val="pt-BR"/>
        </w:rPr>
        <w:t>A</w:t>
      </w:r>
      <w:r w:rsidR="00E327B7" w:rsidRPr="006D1C74">
        <w:rPr>
          <w:rFonts w:asciiTheme="majorHAnsi" w:eastAsia="Times New Roman" w:hAnsiTheme="majorHAnsi"/>
          <w:sz w:val="20"/>
          <w:szCs w:val="20"/>
          <w:lang w:val="pt-BR"/>
        </w:rPr>
        <w:t>crescent</w:t>
      </w:r>
      <w:r w:rsidR="00FB33B4" w:rsidRPr="006D1C74">
        <w:rPr>
          <w:rFonts w:asciiTheme="majorHAnsi" w:eastAsia="Times New Roman" w:hAnsiTheme="majorHAnsi"/>
          <w:sz w:val="20"/>
          <w:szCs w:val="20"/>
          <w:lang w:val="pt-BR"/>
        </w:rPr>
        <w:t xml:space="preserve">a </w:t>
      </w:r>
      <w:r w:rsidR="002649F0" w:rsidRPr="006D1C74">
        <w:rPr>
          <w:rFonts w:asciiTheme="majorHAnsi" w:eastAsia="Times New Roman" w:hAnsiTheme="majorHAnsi"/>
          <w:sz w:val="20"/>
          <w:szCs w:val="20"/>
          <w:lang w:val="pt-BR"/>
        </w:rPr>
        <w:t>que emanar</w:t>
      </w:r>
      <w:r w:rsidR="00E327B7" w:rsidRPr="006D1C74">
        <w:rPr>
          <w:rFonts w:asciiTheme="majorHAnsi" w:eastAsia="Times New Roman" w:hAnsiTheme="majorHAnsi"/>
          <w:sz w:val="20"/>
          <w:szCs w:val="20"/>
          <w:lang w:val="pt-BR"/>
        </w:rPr>
        <w:t>am</w:t>
      </w:r>
      <w:r w:rsidR="002649F0" w:rsidRPr="006D1C74">
        <w:rPr>
          <w:rFonts w:asciiTheme="majorHAnsi" w:eastAsia="Times New Roman" w:hAnsiTheme="majorHAnsi"/>
          <w:sz w:val="20"/>
          <w:szCs w:val="20"/>
          <w:lang w:val="pt-BR"/>
        </w:rPr>
        <w:t xml:space="preserve"> tr</w:t>
      </w:r>
      <w:r w:rsidR="00E327B7" w:rsidRPr="006D1C74">
        <w:rPr>
          <w:rFonts w:asciiTheme="majorHAnsi" w:eastAsia="Times New Roman" w:hAnsiTheme="majorHAnsi"/>
          <w:sz w:val="20"/>
          <w:szCs w:val="20"/>
          <w:lang w:val="pt-BR"/>
        </w:rPr>
        <w:t>ê</w:t>
      </w:r>
      <w:r w:rsidR="002649F0" w:rsidRPr="006D1C74">
        <w:rPr>
          <w:rFonts w:asciiTheme="majorHAnsi" w:eastAsia="Times New Roman" w:hAnsiTheme="majorHAnsi"/>
          <w:sz w:val="20"/>
          <w:szCs w:val="20"/>
          <w:lang w:val="pt-BR"/>
        </w:rPr>
        <w:t xml:space="preserve">s atas: </w:t>
      </w:r>
      <w:r w:rsidR="00FB33B4" w:rsidRPr="006D1C74">
        <w:rPr>
          <w:rFonts w:asciiTheme="majorHAnsi" w:eastAsia="Times New Roman" w:hAnsiTheme="majorHAnsi"/>
          <w:sz w:val="20"/>
          <w:szCs w:val="20"/>
          <w:lang w:val="pt-BR"/>
        </w:rPr>
        <w:t>1)</w:t>
      </w:r>
      <w:r w:rsidR="002649F0" w:rsidRPr="006D1C74">
        <w:rPr>
          <w:rFonts w:asciiTheme="majorHAnsi" w:eastAsia="Times New Roman" w:hAnsiTheme="majorHAnsi"/>
          <w:sz w:val="20"/>
          <w:szCs w:val="20"/>
          <w:lang w:val="pt-BR"/>
        </w:rPr>
        <w:t xml:space="preserve"> sobre solu</w:t>
      </w:r>
      <w:r w:rsidR="00CF037E" w:rsidRPr="006D1C74">
        <w:rPr>
          <w:rFonts w:asciiTheme="majorHAnsi" w:eastAsia="Times New Roman" w:hAnsiTheme="majorHAnsi"/>
          <w:sz w:val="20"/>
          <w:szCs w:val="20"/>
          <w:lang w:val="pt-BR"/>
        </w:rPr>
        <w:t>ção</w:t>
      </w:r>
      <w:r w:rsidR="002649F0" w:rsidRPr="006D1C74">
        <w:rPr>
          <w:rFonts w:asciiTheme="majorHAnsi" w:eastAsia="Times New Roman" w:hAnsiTheme="majorHAnsi"/>
          <w:sz w:val="20"/>
          <w:szCs w:val="20"/>
          <w:lang w:val="pt-BR"/>
        </w:rPr>
        <w:t xml:space="preserve"> amistosa, </w:t>
      </w:r>
      <w:r w:rsidR="00FB33B4" w:rsidRPr="006D1C74">
        <w:rPr>
          <w:rFonts w:asciiTheme="majorHAnsi" w:eastAsia="Times New Roman" w:hAnsiTheme="majorHAnsi"/>
          <w:sz w:val="20"/>
          <w:szCs w:val="20"/>
          <w:lang w:val="pt-BR"/>
        </w:rPr>
        <w:t>2)</w:t>
      </w:r>
      <w:r w:rsidR="002649F0" w:rsidRPr="006D1C74">
        <w:rPr>
          <w:rFonts w:asciiTheme="majorHAnsi" w:eastAsia="Times New Roman" w:hAnsiTheme="majorHAnsi"/>
          <w:sz w:val="20"/>
          <w:szCs w:val="20"/>
          <w:lang w:val="pt-BR"/>
        </w:rPr>
        <w:t xml:space="preserve"> de decreto para cr</w:t>
      </w:r>
      <w:r w:rsidR="00E327B7" w:rsidRPr="006D1C74">
        <w:rPr>
          <w:rFonts w:asciiTheme="majorHAnsi" w:eastAsia="Times New Roman" w:hAnsiTheme="majorHAnsi"/>
          <w:sz w:val="20"/>
          <w:szCs w:val="20"/>
          <w:lang w:val="pt-BR"/>
        </w:rPr>
        <w:t>i</w:t>
      </w:r>
      <w:r w:rsidR="002649F0" w:rsidRPr="006D1C74">
        <w:rPr>
          <w:rFonts w:asciiTheme="majorHAnsi" w:eastAsia="Times New Roman" w:hAnsiTheme="majorHAnsi"/>
          <w:sz w:val="20"/>
          <w:szCs w:val="20"/>
          <w:lang w:val="pt-BR"/>
        </w:rPr>
        <w:t>ar</w:t>
      </w:r>
      <w:r w:rsidR="00030019" w:rsidRPr="006D1C74">
        <w:rPr>
          <w:rFonts w:asciiTheme="majorHAnsi" w:eastAsia="Times New Roman" w:hAnsiTheme="majorHAnsi"/>
          <w:sz w:val="20"/>
          <w:szCs w:val="20"/>
          <w:lang w:val="pt-BR"/>
        </w:rPr>
        <w:t xml:space="preserve"> uma </w:t>
      </w:r>
      <w:r w:rsidR="00417BE8" w:rsidRPr="006D1C74">
        <w:rPr>
          <w:rFonts w:asciiTheme="majorHAnsi" w:eastAsia="Times New Roman" w:hAnsiTheme="majorHAnsi"/>
          <w:sz w:val="20"/>
          <w:szCs w:val="20"/>
          <w:lang w:val="pt-BR"/>
        </w:rPr>
        <w:t>comissão</w:t>
      </w:r>
      <w:r w:rsidR="002649F0" w:rsidRPr="006D1C74">
        <w:rPr>
          <w:rFonts w:asciiTheme="majorHAnsi" w:eastAsia="Times New Roman" w:hAnsiTheme="majorHAnsi"/>
          <w:sz w:val="20"/>
          <w:szCs w:val="20"/>
          <w:lang w:val="pt-BR"/>
        </w:rPr>
        <w:t xml:space="preserve"> especial</w:t>
      </w:r>
      <w:r w:rsidR="001C325B" w:rsidRPr="006D1C74">
        <w:rPr>
          <w:rFonts w:asciiTheme="majorHAnsi" w:eastAsia="Times New Roman" w:hAnsiTheme="majorHAnsi"/>
          <w:sz w:val="20"/>
          <w:szCs w:val="20"/>
          <w:lang w:val="pt-BR"/>
        </w:rPr>
        <w:t xml:space="preserve"> para investigar</w:t>
      </w:r>
      <w:r w:rsidR="00700267" w:rsidRPr="006D1C74">
        <w:rPr>
          <w:rFonts w:asciiTheme="majorHAnsi" w:eastAsia="Times New Roman" w:hAnsiTheme="majorHAnsi"/>
          <w:sz w:val="20"/>
          <w:szCs w:val="20"/>
          <w:lang w:val="pt-BR"/>
        </w:rPr>
        <w:t xml:space="preserve"> os </w:t>
      </w:r>
      <w:r w:rsidR="00F37852" w:rsidRPr="006D1C74">
        <w:rPr>
          <w:rFonts w:asciiTheme="majorHAnsi" w:eastAsia="Times New Roman" w:hAnsiTheme="majorHAnsi"/>
          <w:sz w:val="20"/>
          <w:szCs w:val="20"/>
          <w:lang w:val="pt-BR"/>
        </w:rPr>
        <w:t>fato</w:t>
      </w:r>
      <w:r w:rsidR="001C325B" w:rsidRPr="006D1C74">
        <w:rPr>
          <w:rFonts w:asciiTheme="majorHAnsi" w:eastAsia="Times New Roman" w:hAnsiTheme="majorHAnsi"/>
          <w:sz w:val="20"/>
          <w:szCs w:val="20"/>
          <w:lang w:val="pt-BR"/>
        </w:rPr>
        <w:t>s</w:t>
      </w:r>
      <w:r w:rsidR="00CF037E" w:rsidRPr="006D1C74">
        <w:rPr>
          <w:rFonts w:asciiTheme="majorHAnsi" w:eastAsia="Times New Roman" w:hAnsiTheme="majorHAnsi"/>
          <w:sz w:val="20"/>
          <w:szCs w:val="20"/>
          <w:lang w:val="pt-BR"/>
        </w:rPr>
        <w:t xml:space="preserve"> e </w:t>
      </w:r>
      <w:r w:rsidR="001C325B" w:rsidRPr="006D1C74">
        <w:rPr>
          <w:rFonts w:asciiTheme="majorHAnsi" w:eastAsia="Times New Roman" w:hAnsiTheme="majorHAnsi"/>
          <w:sz w:val="20"/>
          <w:szCs w:val="20"/>
          <w:lang w:val="pt-BR"/>
        </w:rPr>
        <w:lastRenderedPageBreak/>
        <w:t>propor medidas de repara</w:t>
      </w:r>
      <w:r w:rsidR="00CF037E" w:rsidRPr="006D1C74">
        <w:rPr>
          <w:rFonts w:asciiTheme="majorHAnsi" w:eastAsia="Times New Roman" w:hAnsiTheme="majorHAnsi"/>
          <w:sz w:val="20"/>
          <w:szCs w:val="20"/>
          <w:lang w:val="pt-BR"/>
        </w:rPr>
        <w:t xml:space="preserve">ção e </w:t>
      </w:r>
      <w:r w:rsidR="00FB33B4" w:rsidRPr="006D1C74">
        <w:rPr>
          <w:rFonts w:asciiTheme="majorHAnsi" w:eastAsia="Times New Roman" w:hAnsiTheme="majorHAnsi"/>
          <w:sz w:val="20"/>
          <w:szCs w:val="20"/>
          <w:lang w:val="pt-BR"/>
        </w:rPr>
        <w:t>3)</w:t>
      </w:r>
      <w:r w:rsidR="002649F0" w:rsidRPr="006D1C74">
        <w:rPr>
          <w:rFonts w:asciiTheme="majorHAnsi" w:eastAsia="Times New Roman" w:hAnsiTheme="majorHAnsi"/>
          <w:sz w:val="20"/>
          <w:szCs w:val="20"/>
          <w:lang w:val="pt-BR"/>
        </w:rPr>
        <w:t xml:space="preserve"> de le</w:t>
      </w:r>
      <w:r w:rsidR="00E327B7" w:rsidRPr="006D1C74">
        <w:rPr>
          <w:rFonts w:asciiTheme="majorHAnsi" w:eastAsia="Times New Roman" w:hAnsiTheme="majorHAnsi"/>
          <w:sz w:val="20"/>
          <w:szCs w:val="20"/>
          <w:lang w:val="pt-BR"/>
        </w:rPr>
        <w:t>i</w:t>
      </w:r>
      <w:r w:rsidR="002649F0" w:rsidRPr="006D1C74">
        <w:rPr>
          <w:rFonts w:asciiTheme="majorHAnsi" w:eastAsia="Times New Roman" w:hAnsiTheme="majorHAnsi"/>
          <w:sz w:val="20"/>
          <w:szCs w:val="20"/>
          <w:lang w:val="pt-BR"/>
        </w:rPr>
        <w:t xml:space="preserve"> para autorizar gastos</w:t>
      </w:r>
      <w:r w:rsidR="001C325B" w:rsidRPr="006D1C74">
        <w:rPr>
          <w:rFonts w:asciiTheme="majorHAnsi" w:eastAsia="Times New Roman" w:hAnsiTheme="majorHAnsi"/>
          <w:sz w:val="20"/>
          <w:szCs w:val="20"/>
          <w:lang w:val="pt-BR"/>
        </w:rPr>
        <w:t xml:space="preserve"> para</w:t>
      </w:r>
      <w:r w:rsidR="00700267" w:rsidRPr="006D1C74">
        <w:rPr>
          <w:rFonts w:asciiTheme="majorHAnsi" w:eastAsia="Times New Roman" w:hAnsiTheme="majorHAnsi"/>
          <w:sz w:val="20"/>
          <w:szCs w:val="20"/>
          <w:lang w:val="pt-BR"/>
        </w:rPr>
        <w:t xml:space="preserve"> a </w:t>
      </w:r>
      <w:r w:rsidR="001C325B" w:rsidRPr="006D1C74">
        <w:rPr>
          <w:rFonts w:asciiTheme="majorHAnsi" w:eastAsia="Times New Roman" w:hAnsiTheme="majorHAnsi"/>
          <w:sz w:val="20"/>
          <w:szCs w:val="20"/>
          <w:lang w:val="pt-BR"/>
        </w:rPr>
        <w:t>compensa</w:t>
      </w:r>
      <w:r w:rsidR="00CF037E" w:rsidRPr="006D1C74">
        <w:rPr>
          <w:rFonts w:asciiTheme="majorHAnsi" w:eastAsia="Times New Roman" w:hAnsiTheme="majorHAnsi"/>
          <w:sz w:val="20"/>
          <w:szCs w:val="20"/>
          <w:lang w:val="pt-BR"/>
        </w:rPr>
        <w:t>ção</w:t>
      </w:r>
      <w:r w:rsidR="00030019" w:rsidRPr="006D1C74">
        <w:rPr>
          <w:rFonts w:asciiTheme="majorHAnsi" w:eastAsia="Times New Roman" w:hAnsiTheme="majorHAnsi"/>
          <w:sz w:val="20"/>
          <w:szCs w:val="20"/>
          <w:lang w:val="pt-BR"/>
        </w:rPr>
        <w:t xml:space="preserve"> </w:t>
      </w:r>
      <w:r w:rsidR="00E327B7" w:rsidRPr="006D1C74">
        <w:rPr>
          <w:rFonts w:asciiTheme="majorHAnsi" w:eastAsia="Times New Roman" w:hAnsiTheme="majorHAnsi"/>
          <w:sz w:val="20"/>
          <w:szCs w:val="20"/>
          <w:lang w:val="pt-BR"/>
        </w:rPr>
        <w:t>da</w:t>
      </w:r>
      <w:r w:rsidR="00030019" w:rsidRPr="006D1C74">
        <w:rPr>
          <w:rFonts w:asciiTheme="majorHAnsi" w:eastAsia="Times New Roman" w:hAnsiTheme="majorHAnsi"/>
          <w:sz w:val="20"/>
          <w:szCs w:val="20"/>
          <w:lang w:val="pt-BR"/>
        </w:rPr>
        <w:t xml:space="preserve"> </w:t>
      </w:r>
      <w:r w:rsidR="00E327B7" w:rsidRPr="006D1C74">
        <w:rPr>
          <w:rFonts w:asciiTheme="majorHAnsi" w:eastAsia="Times New Roman" w:hAnsiTheme="majorHAnsi"/>
          <w:sz w:val="20"/>
          <w:szCs w:val="20"/>
          <w:lang w:val="pt-BR"/>
        </w:rPr>
        <w:t>família</w:t>
      </w:r>
      <w:r w:rsidR="001C325B" w:rsidRPr="006D1C74">
        <w:rPr>
          <w:rFonts w:asciiTheme="majorHAnsi" w:eastAsia="Times New Roman" w:hAnsiTheme="majorHAnsi"/>
          <w:sz w:val="20"/>
          <w:szCs w:val="20"/>
          <w:lang w:val="pt-BR"/>
        </w:rPr>
        <w:t xml:space="preserve"> de Antonio Tavares</w:t>
      </w:r>
      <w:r w:rsidR="002649F0" w:rsidRPr="006D1C74">
        <w:rPr>
          <w:rFonts w:asciiTheme="majorHAnsi" w:eastAsia="Times New Roman" w:hAnsiTheme="majorHAnsi"/>
          <w:sz w:val="20"/>
          <w:szCs w:val="20"/>
          <w:lang w:val="pt-BR"/>
        </w:rPr>
        <w:t xml:space="preserve">. </w:t>
      </w:r>
    </w:p>
    <w:p w14:paraId="6B9B4710"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sz w:val="20"/>
          <w:szCs w:val="20"/>
          <w:lang w:val="pt-BR"/>
        </w:rPr>
      </w:pPr>
    </w:p>
    <w:p w14:paraId="3F022A6C" w14:textId="77777777" w:rsidR="002649F0" w:rsidRPr="006D1C74" w:rsidRDefault="002649F0" w:rsidP="00E46227">
      <w:pPr>
        <w:pStyle w:val="Heading1"/>
        <w:rPr>
          <w:lang w:val="pt-BR"/>
        </w:rPr>
      </w:pPr>
      <w:bookmarkStart w:id="11" w:name="_Toc506225825"/>
      <w:bookmarkStart w:id="12" w:name="_Toc7618500"/>
      <w:bookmarkStart w:id="13" w:name="_Toc43554269"/>
      <w:r w:rsidRPr="006D1C74">
        <w:rPr>
          <w:lang w:val="pt-BR"/>
        </w:rPr>
        <w:t>DETERMINA</w:t>
      </w:r>
      <w:r w:rsidR="00CF037E" w:rsidRPr="006D1C74">
        <w:rPr>
          <w:lang w:val="pt-BR"/>
        </w:rPr>
        <w:t>ÇÕES</w:t>
      </w:r>
      <w:r w:rsidRPr="006D1C74">
        <w:rPr>
          <w:lang w:val="pt-BR"/>
        </w:rPr>
        <w:t xml:space="preserve"> DE </w:t>
      </w:r>
      <w:r w:rsidR="003373F3" w:rsidRPr="006D1C74">
        <w:rPr>
          <w:lang w:val="pt-BR"/>
        </w:rPr>
        <w:t>FAT</w:t>
      </w:r>
      <w:bookmarkEnd w:id="11"/>
      <w:bookmarkEnd w:id="12"/>
      <w:r w:rsidRPr="006D1C74">
        <w:rPr>
          <w:lang w:val="pt-BR"/>
        </w:rPr>
        <w:t>O</w:t>
      </w:r>
      <w:bookmarkEnd w:id="13"/>
    </w:p>
    <w:p w14:paraId="51224394" w14:textId="77777777" w:rsidR="002649F0" w:rsidRPr="006D1C74" w:rsidRDefault="002649F0" w:rsidP="002649F0">
      <w:pPr>
        <w:keepNext/>
        <w:keepLines/>
        <w:ind w:left="720"/>
        <w:outlineLvl w:val="0"/>
        <w:rPr>
          <w:rFonts w:asciiTheme="majorHAnsi" w:eastAsia="Batang" w:hAnsiTheme="majorHAnsi" w:cstheme="majorBidi"/>
          <w:b/>
          <w:bCs/>
          <w:sz w:val="20"/>
          <w:szCs w:val="20"/>
          <w:bdr w:val="none" w:sz="0" w:space="0" w:color="auto"/>
          <w:lang w:val="pt-BR" w:eastAsia="es-ES"/>
        </w:rPr>
      </w:pPr>
    </w:p>
    <w:p w14:paraId="2A877682" w14:textId="77777777" w:rsidR="002649F0" w:rsidRPr="006D1C74" w:rsidRDefault="00E26335" w:rsidP="00E46227">
      <w:pPr>
        <w:pStyle w:val="Heading2"/>
        <w:numPr>
          <w:ilvl w:val="0"/>
          <w:numId w:val="67"/>
        </w:numPr>
        <w:rPr>
          <w:lang w:val="pt-BR"/>
        </w:rPr>
      </w:pPr>
      <w:bookmarkStart w:id="14" w:name="_Toc43554270"/>
      <w:r w:rsidRPr="006D1C74">
        <w:rPr>
          <w:lang w:val="pt-BR"/>
        </w:rPr>
        <w:t>Aspectos contextu</w:t>
      </w:r>
      <w:r w:rsidR="00700267" w:rsidRPr="006D1C74">
        <w:rPr>
          <w:lang w:val="pt-BR"/>
        </w:rPr>
        <w:t>ais</w:t>
      </w:r>
      <w:bookmarkEnd w:id="14"/>
    </w:p>
    <w:p w14:paraId="315936B2" w14:textId="77777777" w:rsidR="00F26998" w:rsidRPr="006D1C74" w:rsidRDefault="00F26998" w:rsidP="00F269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sz w:val="20"/>
          <w:szCs w:val="20"/>
          <w:bdr w:val="none" w:sz="0" w:space="0" w:color="auto"/>
          <w:lang w:val="pt-BR"/>
        </w:rPr>
      </w:pPr>
    </w:p>
    <w:p w14:paraId="46941D4F" w14:textId="77777777" w:rsidR="00F26998" w:rsidRPr="00BD5C64" w:rsidRDefault="00F26998" w:rsidP="00F269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eastAsia="Batang" w:hAnsiTheme="majorHAnsi"/>
          <w:sz w:val="20"/>
          <w:szCs w:val="20"/>
          <w:bdr w:val="none" w:sz="0" w:space="0" w:color="auto"/>
          <w:lang w:val="pt-BR"/>
        </w:rPr>
      </w:pPr>
      <w:r w:rsidRPr="00BD5C64">
        <w:rPr>
          <w:rFonts w:asciiTheme="majorHAnsi" w:eastAsia="Batang" w:hAnsiTheme="majorHAnsi"/>
          <w:sz w:val="20"/>
          <w:szCs w:val="20"/>
          <w:bdr w:val="none" w:sz="0" w:space="0" w:color="auto"/>
          <w:lang w:val="pt-BR"/>
        </w:rPr>
        <w:t xml:space="preserve">Em seu relatório de 1997 sobre o Brasil, a CIDH salientou que o país em questão “possui um território extenso, com grande capacidade produtiva e de assentamento social; contudo, por razões históricas, a distribuição da propriedade das terras é extremamente desequilibrada, gerando, em </w:t>
      </w:r>
      <w:r w:rsidR="00623C35" w:rsidRPr="00BD5C64">
        <w:rPr>
          <w:rFonts w:asciiTheme="majorHAnsi" w:eastAsia="Batang" w:hAnsiTheme="majorHAnsi"/>
          <w:sz w:val="20"/>
          <w:szCs w:val="20"/>
          <w:bdr w:val="none" w:sz="0" w:space="0" w:color="auto"/>
          <w:lang w:val="pt-BR"/>
        </w:rPr>
        <w:t>consequência</w:t>
      </w:r>
      <w:r w:rsidRPr="00BD5C64">
        <w:rPr>
          <w:rFonts w:asciiTheme="majorHAnsi" w:eastAsia="Batang" w:hAnsiTheme="majorHAnsi"/>
          <w:sz w:val="20"/>
          <w:szCs w:val="20"/>
          <w:bdr w:val="none" w:sz="0" w:space="0" w:color="auto"/>
          <w:lang w:val="pt-BR"/>
        </w:rPr>
        <w:t xml:space="preserve">, </w:t>
      </w:r>
      <w:r w:rsidRPr="00BD5C64">
        <w:rPr>
          <w:rFonts w:asciiTheme="majorHAnsi" w:eastAsia="Times New Roman" w:hAnsiTheme="majorHAnsi"/>
          <w:sz w:val="20"/>
          <w:szCs w:val="20"/>
          <w:lang w:val="pt-BR"/>
        </w:rPr>
        <w:t>condições</w:t>
      </w:r>
      <w:r w:rsidRPr="00BD5C64">
        <w:rPr>
          <w:rFonts w:asciiTheme="majorHAnsi" w:eastAsia="Batang" w:hAnsiTheme="majorHAnsi"/>
          <w:sz w:val="20"/>
          <w:szCs w:val="20"/>
          <w:bdr w:val="none" w:sz="0" w:space="0" w:color="auto"/>
          <w:lang w:val="pt-BR"/>
        </w:rPr>
        <w:t xml:space="preserve"> propícias para enfrentamentos sociais e violações de direitos humanos”. A CIDH salientou também que muitos agricultores e suas famílias sofrem com um acesso precário à terra, com problemas de saúde, trabalho e educação e com confrontos com proprietários e agentes estatais</w:t>
      </w:r>
      <w:r w:rsidRPr="00BD5C64">
        <w:rPr>
          <w:rStyle w:val="FootnoteReference"/>
          <w:rFonts w:asciiTheme="majorHAnsi" w:eastAsia="Batang" w:hAnsiTheme="majorHAnsi"/>
          <w:sz w:val="20"/>
          <w:szCs w:val="20"/>
          <w:bdr w:val="none" w:sz="0" w:space="0" w:color="auto"/>
          <w:lang w:val="pt-BR"/>
        </w:rPr>
        <w:footnoteReference w:id="6"/>
      </w:r>
      <w:r w:rsidRPr="00BD5C64">
        <w:rPr>
          <w:rFonts w:asciiTheme="majorHAnsi" w:eastAsia="Batang" w:hAnsiTheme="majorHAnsi"/>
          <w:sz w:val="20"/>
          <w:szCs w:val="20"/>
          <w:bdr w:val="none" w:sz="0" w:space="0" w:color="auto"/>
          <w:lang w:val="pt-BR"/>
        </w:rPr>
        <w:t>.</w:t>
      </w:r>
    </w:p>
    <w:p w14:paraId="3B3546F3" w14:textId="77777777" w:rsidR="00F26998" w:rsidRPr="00BD5C64" w:rsidRDefault="00F26998" w:rsidP="00F269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sz w:val="20"/>
          <w:szCs w:val="20"/>
          <w:bdr w:val="none" w:sz="0" w:space="0" w:color="auto"/>
          <w:lang w:val="pt-BR"/>
        </w:rPr>
      </w:pPr>
    </w:p>
    <w:p w14:paraId="05EFBDA9" w14:textId="77777777" w:rsidR="00F26998" w:rsidRPr="00BD5C64" w:rsidRDefault="00F26998" w:rsidP="00F269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BD5C64">
        <w:rPr>
          <w:rFonts w:asciiTheme="majorHAnsi" w:eastAsia="Batang" w:hAnsiTheme="majorHAnsi"/>
          <w:sz w:val="20"/>
          <w:szCs w:val="20"/>
          <w:bdr w:val="none" w:sz="0" w:space="0" w:color="auto"/>
          <w:lang w:val="pt-BR"/>
        </w:rPr>
        <w:t>A CIDH notou, em suas considerações de contexto em outro caso por ela examinado e decidido: a violência relacionada a demandas por terra e reforma agrária</w:t>
      </w:r>
      <w:r w:rsidR="00F673C7" w:rsidRPr="00BD5C64">
        <w:rPr>
          <w:rFonts w:asciiTheme="majorHAnsi" w:eastAsia="Batang" w:hAnsiTheme="majorHAnsi"/>
          <w:sz w:val="20"/>
          <w:szCs w:val="20"/>
          <w:bdr w:val="none" w:sz="0" w:space="0" w:color="auto"/>
          <w:lang w:val="pt-BR"/>
        </w:rPr>
        <w:t xml:space="preserve"> no </w:t>
      </w:r>
      <w:r w:rsidRPr="00BD5C64">
        <w:rPr>
          <w:rFonts w:asciiTheme="majorHAnsi" w:eastAsia="Batang" w:hAnsiTheme="majorHAnsi"/>
          <w:sz w:val="20"/>
          <w:szCs w:val="20"/>
          <w:bdr w:val="none" w:sz="0" w:space="0" w:color="auto"/>
          <w:lang w:val="pt-BR"/>
        </w:rPr>
        <w:t>Brasil é sistemática e generalizada; em diferentes estados, há profundas conexões entre poderosos proprietários latifundiários e autoridades locais; esses atores são, por vezes, mandantes de assassinatos e financiadores de desocupações forçadas; não é incomum a constituição de grupos de pistoleiros para atacar e coagir trabalhadores rurais; a violência é particularmente intensa contra os líderes dos movimentos e os defensores dos direitos humanos dos trabalhadores e serve para causar temor generalizado e, assim, desanimar os demais defensores de direitos humanos e atemorizar e silenciar as denúncias e reivindicações; a estreita relação entre os mandantes dos crimes e as estruturas locais de poder tem garantido a impunidade na quase totalidade dos casos de violência rural</w:t>
      </w:r>
      <w:r w:rsidR="00F673C7" w:rsidRPr="00BD5C64">
        <w:rPr>
          <w:rFonts w:asciiTheme="majorHAnsi" w:eastAsia="Batang" w:hAnsiTheme="majorHAnsi"/>
          <w:sz w:val="20"/>
          <w:szCs w:val="20"/>
          <w:bdr w:val="none" w:sz="0" w:space="0" w:color="auto"/>
          <w:lang w:val="pt-BR"/>
        </w:rPr>
        <w:t xml:space="preserve"> no </w:t>
      </w:r>
      <w:r w:rsidRPr="00BD5C64">
        <w:rPr>
          <w:rFonts w:asciiTheme="majorHAnsi" w:eastAsia="Batang" w:hAnsiTheme="majorHAnsi"/>
          <w:sz w:val="20"/>
          <w:szCs w:val="20"/>
          <w:bdr w:val="none" w:sz="0" w:space="0" w:color="auto"/>
          <w:lang w:val="pt-BR"/>
        </w:rPr>
        <w:t>Brasil</w:t>
      </w:r>
      <w:r w:rsidRPr="00BD5C64">
        <w:rPr>
          <w:rStyle w:val="FootnoteReference"/>
          <w:rFonts w:asciiTheme="majorHAnsi" w:eastAsia="Batang" w:hAnsiTheme="majorHAnsi"/>
          <w:sz w:val="20"/>
          <w:szCs w:val="20"/>
          <w:bdr w:val="none" w:sz="0" w:space="0" w:color="auto"/>
          <w:lang w:val="pt-BR"/>
        </w:rPr>
        <w:footnoteReference w:id="7"/>
      </w:r>
      <w:r w:rsidRPr="00BD5C64">
        <w:rPr>
          <w:rFonts w:asciiTheme="majorHAnsi" w:eastAsia="Batang" w:hAnsiTheme="majorHAnsi"/>
          <w:sz w:val="20"/>
          <w:szCs w:val="20"/>
          <w:bdr w:val="none" w:sz="0" w:space="0" w:color="auto"/>
          <w:lang w:val="pt-BR"/>
        </w:rPr>
        <w:t>.</w:t>
      </w:r>
    </w:p>
    <w:p w14:paraId="594BA6A7" w14:textId="77777777" w:rsidR="0005539E" w:rsidRPr="00BD5C64" w:rsidRDefault="0005539E" w:rsidP="0005539E">
      <w:pPr>
        <w:pStyle w:val="ListParagraph"/>
        <w:rPr>
          <w:rFonts w:asciiTheme="majorHAnsi" w:eastAsia="Batang" w:hAnsiTheme="majorHAnsi"/>
          <w:sz w:val="20"/>
          <w:szCs w:val="20"/>
          <w:bdr w:val="none" w:sz="0" w:space="0" w:color="auto"/>
          <w:lang w:val="pt-BR"/>
        </w:rPr>
      </w:pPr>
    </w:p>
    <w:p w14:paraId="46453F97" w14:textId="77777777" w:rsidR="002649F0" w:rsidRPr="00BD5C64" w:rsidRDefault="00F26998" w:rsidP="00F269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BD5C64">
        <w:rPr>
          <w:rFonts w:asciiTheme="majorHAnsi" w:eastAsia="Batang" w:hAnsiTheme="majorHAnsi"/>
          <w:sz w:val="20"/>
          <w:szCs w:val="20"/>
          <w:bdr w:val="none" w:sz="0" w:space="0" w:color="auto"/>
          <w:lang w:val="pt-BR"/>
        </w:rPr>
        <w:t>O problema da impunidade generalizada também foi notado pela Relatora Especial sobre Execuções Extrajudiciais, Sumárias ou Arbitrárias das Nações Unidas. Em seu relatório sobre a visita feita ao Brasil, a Relatora ressaltou que “em alguns casos, os juízes estão sujeitos à pressão de políticos locais ou influentes atores econômicos, tais como os latifundiários”</w:t>
      </w:r>
      <w:r w:rsidR="002649F0" w:rsidRPr="00BD5C64">
        <w:rPr>
          <w:rFonts w:asciiTheme="majorHAnsi" w:eastAsia="Batang" w:hAnsiTheme="majorHAnsi"/>
          <w:sz w:val="20"/>
          <w:szCs w:val="20"/>
          <w:bdr w:val="none" w:sz="0" w:space="0" w:color="auto"/>
          <w:vertAlign w:val="superscript"/>
          <w:lang w:val="pt-BR"/>
        </w:rPr>
        <w:footnoteReference w:id="8"/>
      </w:r>
      <w:r w:rsidR="002649F0" w:rsidRPr="00BD5C64">
        <w:rPr>
          <w:rFonts w:asciiTheme="majorHAnsi" w:eastAsia="Batang" w:hAnsiTheme="majorHAnsi"/>
          <w:sz w:val="20"/>
          <w:szCs w:val="20"/>
          <w:bdr w:val="none" w:sz="0" w:space="0" w:color="auto"/>
          <w:lang w:val="pt-BR"/>
        </w:rPr>
        <w:t>.</w:t>
      </w:r>
    </w:p>
    <w:p w14:paraId="69A56569" w14:textId="77777777" w:rsidR="002649F0" w:rsidRPr="00BD5C6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540"/>
        </w:tabs>
        <w:jc w:val="both"/>
        <w:rPr>
          <w:rFonts w:asciiTheme="majorHAnsi" w:eastAsia="Batang" w:hAnsiTheme="majorHAnsi"/>
          <w:color w:val="FF0000"/>
          <w:sz w:val="20"/>
          <w:szCs w:val="20"/>
          <w:bdr w:val="none" w:sz="0" w:space="0" w:color="auto"/>
          <w:lang w:val="pt-BR"/>
        </w:rPr>
      </w:pPr>
    </w:p>
    <w:p w14:paraId="09305A05" w14:textId="77777777" w:rsidR="002649F0" w:rsidRPr="00BD5C64" w:rsidRDefault="00E26335"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BD5C64">
        <w:rPr>
          <w:rFonts w:asciiTheme="majorHAnsi" w:eastAsia="Batang" w:hAnsiTheme="majorHAnsi"/>
          <w:sz w:val="20"/>
          <w:szCs w:val="20"/>
          <w:bdr w:val="none" w:sz="0" w:space="0" w:color="auto"/>
          <w:lang w:val="pt-BR"/>
        </w:rPr>
        <w:t>Por su</w:t>
      </w:r>
      <w:r w:rsidR="00883990" w:rsidRPr="00BD5C64">
        <w:rPr>
          <w:rFonts w:asciiTheme="majorHAnsi" w:eastAsia="Batang" w:hAnsiTheme="majorHAnsi"/>
          <w:sz w:val="20"/>
          <w:szCs w:val="20"/>
          <w:bdr w:val="none" w:sz="0" w:space="0" w:color="auto"/>
          <w:lang w:val="pt-BR"/>
        </w:rPr>
        <w:t>a</w:t>
      </w:r>
      <w:r w:rsidRPr="00BD5C64">
        <w:rPr>
          <w:rFonts w:asciiTheme="majorHAnsi" w:eastAsia="Batang" w:hAnsiTheme="majorHAnsi"/>
          <w:sz w:val="20"/>
          <w:szCs w:val="20"/>
          <w:bdr w:val="none" w:sz="0" w:space="0" w:color="auto"/>
          <w:lang w:val="pt-BR"/>
        </w:rPr>
        <w:t xml:space="preserve"> </w:t>
      </w:r>
      <w:r w:rsidR="00883990" w:rsidRPr="00BD5C64">
        <w:rPr>
          <w:rFonts w:asciiTheme="majorHAnsi" w:eastAsia="Batang" w:hAnsiTheme="majorHAnsi"/>
          <w:sz w:val="20"/>
          <w:szCs w:val="20"/>
          <w:bdr w:val="none" w:sz="0" w:space="0" w:color="auto"/>
          <w:lang w:val="pt-BR"/>
        </w:rPr>
        <w:t>vez</w:t>
      </w:r>
      <w:r w:rsidRPr="00BD5C64">
        <w:rPr>
          <w:rFonts w:asciiTheme="majorHAnsi" w:eastAsia="Batang" w:hAnsiTheme="majorHAnsi"/>
          <w:sz w:val="20"/>
          <w:szCs w:val="20"/>
          <w:bdr w:val="none" w:sz="0" w:space="0" w:color="auto"/>
          <w:lang w:val="pt-BR"/>
        </w:rPr>
        <w:t>,</w:t>
      </w:r>
      <w:r w:rsidR="00700267" w:rsidRPr="00BD5C64">
        <w:rPr>
          <w:rFonts w:asciiTheme="majorHAnsi" w:eastAsia="Batang" w:hAnsiTheme="majorHAnsi"/>
          <w:sz w:val="20"/>
          <w:szCs w:val="20"/>
          <w:bdr w:val="none" w:sz="0" w:space="0" w:color="auto"/>
          <w:lang w:val="pt-BR"/>
        </w:rPr>
        <w:t xml:space="preserve"> </w:t>
      </w:r>
      <w:r w:rsidR="005600A4" w:rsidRPr="00BD5C64">
        <w:rPr>
          <w:rFonts w:asciiTheme="majorHAnsi" w:eastAsia="Batang" w:hAnsiTheme="majorHAnsi"/>
          <w:sz w:val="20"/>
          <w:szCs w:val="20"/>
          <w:bdr w:val="none" w:sz="0" w:space="0" w:color="auto"/>
          <w:lang w:val="pt-BR"/>
        </w:rPr>
        <w:t>no</w:t>
      </w:r>
      <w:r w:rsidR="00F673C7" w:rsidRPr="00BD5C64">
        <w:rPr>
          <w:rFonts w:asciiTheme="majorHAnsi" w:eastAsia="Batang" w:hAnsiTheme="majorHAnsi"/>
          <w:sz w:val="20"/>
          <w:szCs w:val="20"/>
          <w:bdr w:val="none" w:sz="0" w:space="0" w:color="auto"/>
          <w:lang w:val="pt-BR"/>
        </w:rPr>
        <w:t xml:space="preserve"> </w:t>
      </w:r>
      <w:r w:rsidR="00927E16" w:rsidRPr="00BD5C64">
        <w:rPr>
          <w:rFonts w:asciiTheme="majorHAnsi" w:eastAsia="Batang" w:hAnsiTheme="majorHAnsi"/>
          <w:sz w:val="20"/>
          <w:szCs w:val="20"/>
          <w:bdr w:val="none" w:sz="0" w:space="0" w:color="auto"/>
          <w:lang w:val="pt-BR"/>
        </w:rPr>
        <w:t>Relatório</w:t>
      </w:r>
      <w:r w:rsidR="002649F0" w:rsidRPr="00BD5C64">
        <w:rPr>
          <w:rFonts w:asciiTheme="majorHAnsi" w:eastAsia="Batang" w:hAnsiTheme="majorHAnsi"/>
          <w:sz w:val="20"/>
          <w:szCs w:val="20"/>
          <w:bdr w:val="none" w:sz="0" w:space="0" w:color="auto"/>
          <w:lang w:val="pt-BR"/>
        </w:rPr>
        <w:t xml:space="preserve"> de </w:t>
      </w:r>
      <w:r w:rsidR="00927E16" w:rsidRPr="00BD5C64">
        <w:rPr>
          <w:rFonts w:asciiTheme="majorHAnsi" w:eastAsia="Batang" w:hAnsiTheme="majorHAnsi"/>
          <w:sz w:val="20"/>
          <w:szCs w:val="20"/>
          <w:bdr w:val="none" w:sz="0" w:space="0" w:color="auto"/>
          <w:lang w:val="pt-BR"/>
        </w:rPr>
        <w:t>Mérito</w:t>
      </w:r>
      <w:r w:rsidR="002649F0" w:rsidRPr="00BD5C64">
        <w:rPr>
          <w:rFonts w:asciiTheme="majorHAnsi" w:eastAsia="Batang" w:hAnsiTheme="majorHAnsi"/>
          <w:sz w:val="20"/>
          <w:szCs w:val="20"/>
          <w:bdr w:val="none" w:sz="0" w:space="0" w:color="auto"/>
          <w:lang w:val="pt-BR"/>
        </w:rPr>
        <w:t xml:space="preserve"> 25/09, </w:t>
      </w:r>
      <w:r w:rsidR="002649F0" w:rsidRPr="00BD5C64">
        <w:rPr>
          <w:rFonts w:asciiTheme="majorHAnsi" w:eastAsia="Batang" w:hAnsiTheme="majorHAnsi"/>
          <w:i/>
          <w:sz w:val="20"/>
          <w:szCs w:val="20"/>
          <w:bdr w:val="none" w:sz="0" w:space="0" w:color="auto"/>
          <w:lang w:val="pt-BR"/>
        </w:rPr>
        <w:t>Sebastião Camargo Filho,</w:t>
      </w:r>
      <w:r w:rsidR="002649F0" w:rsidRPr="00BD5C64">
        <w:rPr>
          <w:rFonts w:asciiTheme="majorHAnsi" w:eastAsia="Batang" w:hAnsiTheme="majorHAnsi"/>
          <w:sz w:val="20"/>
          <w:szCs w:val="20"/>
          <w:bdr w:val="none" w:sz="0" w:space="0" w:color="auto"/>
          <w:lang w:val="pt-BR"/>
        </w:rPr>
        <w:t xml:space="preserve"> </w:t>
      </w:r>
      <w:r w:rsidR="004F2BE4" w:rsidRPr="00BD5C64">
        <w:rPr>
          <w:rFonts w:asciiTheme="majorHAnsi" w:eastAsia="Batang" w:hAnsiTheme="majorHAnsi"/>
          <w:sz w:val="20"/>
          <w:szCs w:val="20"/>
          <w:bdr w:val="none" w:sz="0" w:space="0" w:color="auto"/>
          <w:lang w:val="pt-BR"/>
        </w:rPr>
        <w:t xml:space="preserve">a Comissão </w:t>
      </w:r>
      <w:r w:rsidR="002649F0" w:rsidRPr="00BD5C64">
        <w:rPr>
          <w:rFonts w:asciiTheme="majorHAnsi" w:eastAsia="Batang" w:hAnsiTheme="majorHAnsi"/>
          <w:sz w:val="20"/>
          <w:szCs w:val="20"/>
          <w:bdr w:val="none" w:sz="0" w:space="0" w:color="auto"/>
          <w:lang w:val="pt-BR"/>
        </w:rPr>
        <w:t>re</w:t>
      </w:r>
      <w:r w:rsidR="009A7684" w:rsidRPr="00BD5C64">
        <w:rPr>
          <w:rFonts w:asciiTheme="majorHAnsi" w:eastAsia="Batang" w:hAnsiTheme="majorHAnsi"/>
          <w:sz w:val="20"/>
          <w:szCs w:val="20"/>
          <w:bdr w:val="none" w:sz="0" w:space="0" w:color="auto"/>
          <w:lang w:val="pt-BR"/>
        </w:rPr>
        <w:t>s</w:t>
      </w:r>
      <w:r w:rsidR="002649F0" w:rsidRPr="00BD5C64">
        <w:rPr>
          <w:rFonts w:asciiTheme="majorHAnsi" w:eastAsia="Batang" w:hAnsiTheme="majorHAnsi"/>
          <w:sz w:val="20"/>
          <w:szCs w:val="20"/>
          <w:bdr w:val="none" w:sz="0" w:space="0" w:color="auto"/>
          <w:lang w:val="pt-BR"/>
        </w:rPr>
        <w:t>salt</w:t>
      </w:r>
      <w:r w:rsidR="005600A4" w:rsidRPr="00BD5C64">
        <w:rPr>
          <w:rFonts w:asciiTheme="majorHAnsi" w:eastAsia="Batang" w:hAnsiTheme="majorHAnsi"/>
          <w:sz w:val="20"/>
          <w:szCs w:val="20"/>
          <w:bdr w:val="none" w:sz="0" w:space="0" w:color="auto"/>
          <w:lang w:val="pt-BR"/>
        </w:rPr>
        <w:t>ou</w:t>
      </w:r>
      <w:r w:rsidR="002649F0" w:rsidRPr="00BD5C64">
        <w:rPr>
          <w:rFonts w:asciiTheme="majorHAnsi" w:eastAsia="Batang" w:hAnsiTheme="majorHAnsi"/>
          <w:sz w:val="20"/>
          <w:szCs w:val="20"/>
          <w:bdr w:val="none" w:sz="0" w:space="0" w:color="auto"/>
          <w:lang w:val="pt-BR"/>
        </w:rPr>
        <w:t>:</w:t>
      </w:r>
    </w:p>
    <w:p w14:paraId="1EFA225F" w14:textId="77777777" w:rsidR="00F26998" w:rsidRPr="00BD5C64" w:rsidRDefault="00F26998" w:rsidP="00F26998">
      <w:pPr>
        <w:pBdr>
          <w:top w:val="none" w:sz="0" w:space="0" w:color="auto"/>
          <w:left w:val="none" w:sz="0" w:space="0" w:color="auto"/>
          <w:bottom w:val="none" w:sz="0" w:space="0" w:color="auto"/>
          <w:right w:val="none" w:sz="0" w:space="0" w:color="auto"/>
          <w:between w:val="none" w:sz="0" w:space="0" w:color="auto"/>
          <w:bar w:val="none" w:sz="0" w:color="auto"/>
        </w:pBdr>
        <w:ind w:right="432"/>
        <w:jc w:val="both"/>
        <w:rPr>
          <w:rFonts w:asciiTheme="majorHAnsi" w:eastAsia="Batang" w:hAnsiTheme="majorHAnsi"/>
          <w:sz w:val="18"/>
          <w:szCs w:val="18"/>
          <w:bdr w:val="none" w:sz="0" w:space="0" w:color="auto"/>
          <w:lang w:val="pt-BR"/>
        </w:rPr>
      </w:pPr>
    </w:p>
    <w:p w14:paraId="7D0564F5" w14:textId="77777777" w:rsidR="00F26998" w:rsidRPr="00BD5C64" w:rsidRDefault="00F26998" w:rsidP="002649F0">
      <w:pPr>
        <w:pBdr>
          <w:top w:val="none" w:sz="0" w:space="0" w:color="auto"/>
          <w:left w:val="none" w:sz="0" w:space="0" w:color="auto"/>
          <w:bottom w:val="none" w:sz="0" w:space="0" w:color="auto"/>
          <w:right w:val="none" w:sz="0" w:space="0" w:color="auto"/>
          <w:between w:val="none" w:sz="0" w:space="0" w:color="auto"/>
          <w:bar w:val="none" w:sz="0" w:color="auto"/>
        </w:pBdr>
        <w:ind w:left="432" w:right="432"/>
        <w:jc w:val="both"/>
        <w:rPr>
          <w:rFonts w:asciiTheme="majorHAnsi" w:eastAsia="Batang" w:hAnsiTheme="majorHAnsi"/>
          <w:sz w:val="18"/>
          <w:szCs w:val="18"/>
          <w:bdr w:val="none" w:sz="0" w:space="0" w:color="auto"/>
          <w:lang w:val="pt-BR"/>
        </w:rPr>
      </w:pPr>
      <w:r w:rsidRPr="00BD5C64">
        <w:rPr>
          <w:rFonts w:asciiTheme="majorHAnsi" w:eastAsia="Batang" w:hAnsiTheme="majorHAnsi"/>
          <w:sz w:val="20"/>
          <w:szCs w:val="20"/>
          <w:bdr w:val="none" w:sz="0" w:space="0" w:color="auto"/>
          <w:lang w:val="pt-BR"/>
        </w:rPr>
        <w:t>Segundo dados da Comissão Pastoral da Terra,</w:t>
      </w:r>
      <w:r w:rsidR="00F673C7" w:rsidRPr="00BD5C64">
        <w:rPr>
          <w:rFonts w:asciiTheme="majorHAnsi" w:eastAsia="Batang" w:hAnsiTheme="majorHAnsi"/>
          <w:sz w:val="20"/>
          <w:szCs w:val="20"/>
          <w:bdr w:val="none" w:sz="0" w:space="0" w:color="auto"/>
          <w:lang w:val="pt-BR"/>
        </w:rPr>
        <w:t xml:space="preserve"> no </w:t>
      </w:r>
      <w:r w:rsidRPr="00BD5C64">
        <w:rPr>
          <w:rFonts w:asciiTheme="majorHAnsi" w:eastAsia="Batang" w:hAnsiTheme="majorHAnsi"/>
          <w:sz w:val="20"/>
          <w:szCs w:val="20"/>
          <w:bdr w:val="none" w:sz="0" w:space="0" w:color="auto"/>
          <w:lang w:val="pt-BR"/>
        </w:rPr>
        <w:t>período de 1988 a 2000, 1.517 pessoas ligadas à luta pela reforma agrária foram assassinadas. Nos 20 anos de ditadura militar (1964-1984) foram assassinados 42 trabalhadores rurais por ano. Entre 1985 e 1989 essa cifra triplicou e chegou a 117 assassinatos por ano. De 1990 a 1993, morreram 52 pessoas por ano. Entre 1994 e 1997 o número de mortes anuais chegou a 43. Em 1998, [...] 47 pessoas foram assassinadas em conflitos relacionados com a terra</w:t>
      </w:r>
      <w:r w:rsidR="00F673C7" w:rsidRPr="00BD5C64">
        <w:rPr>
          <w:rFonts w:asciiTheme="majorHAnsi" w:eastAsia="Batang" w:hAnsiTheme="majorHAnsi"/>
          <w:sz w:val="20"/>
          <w:szCs w:val="20"/>
          <w:bdr w:val="none" w:sz="0" w:space="0" w:color="auto"/>
          <w:lang w:val="pt-BR"/>
        </w:rPr>
        <w:t xml:space="preserve"> no </w:t>
      </w:r>
      <w:r w:rsidRPr="00BD5C64">
        <w:rPr>
          <w:rFonts w:asciiTheme="majorHAnsi" w:eastAsia="Batang" w:hAnsiTheme="majorHAnsi"/>
          <w:sz w:val="20"/>
          <w:szCs w:val="20"/>
          <w:bdr w:val="none" w:sz="0" w:space="0" w:color="auto"/>
          <w:lang w:val="pt-BR"/>
        </w:rPr>
        <w:t>país, oito dos quais</w:t>
      </w:r>
      <w:r w:rsidR="00F673C7" w:rsidRPr="00BD5C64">
        <w:rPr>
          <w:rFonts w:asciiTheme="majorHAnsi" w:eastAsia="Batang" w:hAnsiTheme="majorHAnsi"/>
          <w:sz w:val="20"/>
          <w:szCs w:val="20"/>
          <w:bdr w:val="none" w:sz="0" w:space="0" w:color="auto"/>
          <w:lang w:val="pt-BR"/>
        </w:rPr>
        <w:t xml:space="preserve"> no </w:t>
      </w:r>
      <w:r w:rsidRPr="00BD5C64">
        <w:rPr>
          <w:rFonts w:asciiTheme="majorHAnsi" w:eastAsia="Batang" w:hAnsiTheme="majorHAnsi"/>
          <w:sz w:val="20"/>
          <w:szCs w:val="20"/>
          <w:bdr w:val="none" w:sz="0" w:space="0" w:color="auto"/>
          <w:lang w:val="pt-BR"/>
        </w:rPr>
        <w:t>Estado do Paraná.</w:t>
      </w:r>
    </w:p>
    <w:p w14:paraId="52FF1206" w14:textId="77777777" w:rsidR="00F26998" w:rsidRPr="00BD5C64" w:rsidRDefault="00F26998" w:rsidP="002649F0">
      <w:pPr>
        <w:pBdr>
          <w:top w:val="none" w:sz="0" w:space="0" w:color="auto"/>
          <w:left w:val="none" w:sz="0" w:space="0" w:color="auto"/>
          <w:bottom w:val="none" w:sz="0" w:space="0" w:color="auto"/>
          <w:right w:val="none" w:sz="0" w:space="0" w:color="auto"/>
          <w:between w:val="none" w:sz="0" w:space="0" w:color="auto"/>
          <w:bar w:val="none" w:sz="0" w:color="auto"/>
        </w:pBdr>
        <w:ind w:left="432" w:right="432"/>
        <w:jc w:val="both"/>
        <w:rPr>
          <w:rFonts w:asciiTheme="majorHAnsi" w:eastAsia="Batang" w:hAnsiTheme="majorHAnsi"/>
          <w:sz w:val="18"/>
          <w:szCs w:val="18"/>
          <w:bdr w:val="none" w:sz="0" w:space="0" w:color="auto"/>
          <w:lang w:val="pt-BR"/>
        </w:rPr>
      </w:pPr>
    </w:p>
    <w:p w14:paraId="1E63564F" w14:textId="77777777" w:rsidR="00F26998" w:rsidRPr="00BD5C64" w:rsidRDefault="00F26998" w:rsidP="002649F0">
      <w:pPr>
        <w:pBdr>
          <w:top w:val="none" w:sz="0" w:space="0" w:color="auto"/>
          <w:left w:val="none" w:sz="0" w:space="0" w:color="auto"/>
          <w:bottom w:val="none" w:sz="0" w:space="0" w:color="auto"/>
          <w:right w:val="none" w:sz="0" w:space="0" w:color="auto"/>
          <w:between w:val="none" w:sz="0" w:space="0" w:color="auto"/>
          <w:bar w:val="none" w:sz="0" w:color="auto"/>
        </w:pBdr>
        <w:ind w:left="432" w:right="432"/>
        <w:jc w:val="both"/>
        <w:rPr>
          <w:rFonts w:asciiTheme="majorHAnsi" w:eastAsia="Batang" w:hAnsiTheme="majorHAnsi"/>
          <w:sz w:val="18"/>
          <w:szCs w:val="18"/>
          <w:bdr w:val="none" w:sz="0" w:space="0" w:color="auto"/>
          <w:lang w:val="pt-BR"/>
        </w:rPr>
      </w:pPr>
    </w:p>
    <w:p w14:paraId="63F2DE47" w14:textId="77777777" w:rsidR="00F26998" w:rsidRPr="00BD5C64" w:rsidRDefault="00F26998" w:rsidP="00F26998">
      <w:pPr>
        <w:pBdr>
          <w:top w:val="none" w:sz="0" w:space="0" w:color="auto"/>
          <w:left w:val="none" w:sz="0" w:space="0" w:color="auto"/>
          <w:bottom w:val="none" w:sz="0" w:space="0" w:color="auto"/>
          <w:right w:val="none" w:sz="0" w:space="0" w:color="auto"/>
          <w:between w:val="none" w:sz="0" w:space="0" w:color="auto"/>
          <w:bar w:val="none" w:sz="0" w:color="auto"/>
        </w:pBdr>
        <w:ind w:left="432"/>
        <w:jc w:val="both"/>
        <w:rPr>
          <w:rFonts w:asciiTheme="majorHAnsi" w:eastAsia="Batang" w:hAnsiTheme="majorHAnsi"/>
          <w:sz w:val="20"/>
          <w:szCs w:val="20"/>
          <w:bdr w:val="none" w:sz="0" w:space="0" w:color="auto"/>
          <w:lang w:val="pt-BR"/>
        </w:rPr>
      </w:pPr>
      <w:r w:rsidRPr="00BD5C64">
        <w:rPr>
          <w:rFonts w:asciiTheme="majorHAnsi" w:eastAsia="Batang" w:hAnsiTheme="majorHAnsi"/>
          <w:sz w:val="20"/>
          <w:szCs w:val="20"/>
          <w:bdr w:val="none" w:sz="0" w:space="0" w:color="auto"/>
          <w:lang w:val="pt-BR"/>
        </w:rPr>
        <w:t xml:space="preserve">De acordo com informações recebidas pela Comissão, tanto em sua sede quanto nas visitas </w:t>
      </w:r>
      <w:r w:rsidRPr="00BD5C64">
        <w:rPr>
          <w:rFonts w:asciiTheme="majorHAnsi" w:eastAsia="Batang" w:hAnsiTheme="majorHAnsi"/>
          <w:i/>
          <w:iCs/>
          <w:sz w:val="20"/>
          <w:szCs w:val="20"/>
          <w:bdr w:val="none" w:sz="0" w:space="0" w:color="auto"/>
          <w:lang w:val="pt-BR"/>
        </w:rPr>
        <w:t>in loco</w:t>
      </w:r>
      <w:r w:rsidRPr="00BD5C64">
        <w:rPr>
          <w:rFonts w:asciiTheme="majorHAnsi" w:eastAsia="Batang" w:hAnsiTheme="majorHAnsi"/>
          <w:sz w:val="20"/>
          <w:szCs w:val="20"/>
          <w:bdr w:val="none" w:sz="0" w:space="0" w:color="auto"/>
          <w:lang w:val="pt-BR"/>
        </w:rPr>
        <w:t>, a CIDH nota que</w:t>
      </w:r>
      <w:r w:rsidR="00F673C7" w:rsidRPr="00BD5C64">
        <w:rPr>
          <w:rFonts w:asciiTheme="majorHAnsi" w:eastAsia="Batang" w:hAnsiTheme="majorHAnsi"/>
          <w:sz w:val="20"/>
          <w:szCs w:val="20"/>
          <w:bdr w:val="none" w:sz="0" w:space="0" w:color="auto"/>
          <w:lang w:val="pt-BR"/>
        </w:rPr>
        <w:t xml:space="preserve"> no </w:t>
      </w:r>
      <w:r w:rsidRPr="00BD5C64">
        <w:rPr>
          <w:rFonts w:asciiTheme="majorHAnsi" w:eastAsia="Batang" w:hAnsiTheme="majorHAnsi"/>
          <w:sz w:val="20"/>
          <w:szCs w:val="20"/>
          <w:bdr w:val="none" w:sz="0" w:space="0" w:color="auto"/>
          <w:lang w:val="pt-BR"/>
        </w:rPr>
        <w:t>Brasil,</w:t>
      </w:r>
      <w:r w:rsidR="00F673C7" w:rsidRPr="00BD5C64">
        <w:rPr>
          <w:rFonts w:asciiTheme="majorHAnsi" w:eastAsia="Batang" w:hAnsiTheme="majorHAnsi"/>
          <w:sz w:val="20"/>
          <w:szCs w:val="20"/>
          <w:bdr w:val="none" w:sz="0" w:space="0" w:color="auto"/>
          <w:lang w:val="pt-BR"/>
        </w:rPr>
        <w:t xml:space="preserve"> no </w:t>
      </w:r>
      <w:r w:rsidRPr="00BD5C64">
        <w:rPr>
          <w:rFonts w:asciiTheme="majorHAnsi" w:eastAsia="Batang" w:hAnsiTheme="majorHAnsi"/>
          <w:sz w:val="20"/>
          <w:szCs w:val="20"/>
          <w:bdr w:val="none" w:sz="0" w:space="0" w:color="auto"/>
          <w:lang w:val="pt-BR"/>
        </w:rPr>
        <w:t>momento em que ocorreram os fatos, a violência contra trabalhadores rurais que lutam pela distribuição eq</w:t>
      </w:r>
      <w:r w:rsidR="009A7684" w:rsidRPr="00BD5C64">
        <w:rPr>
          <w:rFonts w:asciiTheme="majorHAnsi" w:eastAsia="Batang" w:hAnsiTheme="majorHAnsi"/>
          <w:sz w:val="20"/>
          <w:szCs w:val="20"/>
          <w:bdr w:val="none" w:sz="0" w:space="0" w:color="auto"/>
          <w:lang w:val="pt-BR"/>
        </w:rPr>
        <w:t>u</w:t>
      </w:r>
      <w:r w:rsidRPr="00BD5C64">
        <w:rPr>
          <w:rFonts w:asciiTheme="majorHAnsi" w:eastAsia="Batang" w:hAnsiTheme="majorHAnsi"/>
          <w:sz w:val="20"/>
          <w:szCs w:val="20"/>
          <w:bdr w:val="none" w:sz="0" w:space="0" w:color="auto"/>
          <w:lang w:val="pt-BR"/>
        </w:rPr>
        <w:t xml:space="preserve">itativa da terra </w:t>
      </w:r>
      <w:r w:rsidR="002709AC" w:rsidRPr="00BD5C64">
        <w:rPr>
          <w:rFonts w:asciiTheme="majorHAnsi" w:eastAsia="Batang" w:hAnsiTheme="majorHAnsi"/>
          <w:sz w:val="20"/>
          <w:szCs w:val="20"/>
          <w:bdr w:val="none" w:sz="0" w:space="0" w:color="auto"/>
          <w:lang w:val="pt-BR"/>
        </w:rPr>
        <w:t>era</w:t>
      </w:r>
      <w:r w:rsidRPr="00BD5C64">
        <w:rPr>
          <w:rFonts w:asciiTheme="majorHAnsi" w:eastAsia="Batang" w:hAnsiTheme="majorHAnsi"/>
          <w:sz w:val="20"/>
          <w:szCs w:val="20"/>
          <w:bdr w:val="none" w:sz="0" w:space="0" w:color="auto"/>
          <w:lang w:val="pt-BR"/>
        </w:rPr>
        <w:t xml:space="preserve"> sistemática e generalizada. </w:t>
      </w:r>
    </w:p>
    <w:p w14:paraId="774631DE" w14:textId="77777777" w:rsidR="00F26998" w:rsidRPr="00BD5C64" w:rsidRDefault="00F26998" w:rsidP="00F26998">
      <w:pPr>
        <w:pBdr>
          <w:top w:val="none" w:sz="0" w:space="0" w:color="auto"/>
          <w:left w:val="none" w:sz="0" w:space="0" w:color="auto"/>
          <w:bottom w:val="none" w:sz="0" w:space="0" w:color="auto"/>
          <w:right w:val="none" w:sz="0" w:space="0" w:color="auto"/>
          <w:between w:val="none" w:sz="0" w:space="0" w:color="auto"/>
          <w:bar w:val="none" w:sz="0" w:color="auto"/>
        </w:pBdr>
        <w:ind w:left="432"/>
        <w:jc w:val="both"/>
        <w:rPr>
          <w:rFonts w:asciiTheme="majorHAnsi" w:eastAsia="Batang" w:hAnsiTheme="majorHAnsi"/>
          <w:sz w:val="20"/>
          <w:szCs w:val="20"/>
          <w:bdr w:val="none" w:sz="0" w:space="0" w:color="auto"/>
          <w:lang w:val="pt-BR"/>
        </w:rPr>
      </w:pPr>
    </w:p>
    <w:p w14:paraId="5AF3F6F3" w14:textId="77777777" w:rsidR="00F26998" w:rsidRPr="00BD5C64" w:rsidRDefault="00F26998" w:rsidP="00F26998">
      <w:pPr>
        <w:pBdr>
          <w:top w:val="none" w:sz="0" w:space="0" w:color="auto"/>
          <w:left w:val="none" w:sz="0" w:space="0" w:color="auto"/>
          <w:bottom w:val="none" w:sz="0" w:space="0" w:color="auto"/>
          <w:right w:val="none" w:sz="0" w:space="0" w:color="auto"/>
          <w:between w:val="none" w:sz="0" w:space="0" w:color="auto"/>
          <w:bar w:val="none" w:sz="0" w:color="auto"/>
        </w:pBdr>
        <w:ind w:left="432"/>
        <w:jc w:val="both"/>
        <w:rPr>
          <w:rFonts w:asciiTheme="majorHAnsi" w:eastAsia="Batang" w:hAnsiTheme="majorHAnsi"/>
          <w:sz w:val="20"/>
          <w:szCs w:val="20"/>
          <w:bdr w:val="none" w:sz="0" w:space="0" w:color="auto"/>
          <w:lang w:val="pt-BR"/>
        </w:rPr>
      </w:pPr>
      <w:r w:rsidRPr="00BD5C64">
        <w:rPr>
          <w:rFonts w:asciiTheme="majorHAnsi" w:eastAsia="Batang" w:hAnsiTheme="majorHAnsi"/>
          <w:sz w:val="20"/>
          <w:szCs w:val="20"/>
          <w:bdr w:val="none" w:sz="0" w:space="0" w:color="auto"/>
          <w:lang w:val="pt-BR"/>
        </w:rPr>
        <w:lastRenderedPageBreak/>
        <w:t xml:space="preserve">             [...] A Comissão constatou que essa violência se dirige e se intensifica contra os líderes dos movimentos, os defensores dos direitos humanos dos trabalhadores rurais e todo aquele que se destaque na promoção da implementação de um processo de reforma agrária. Assim como em outros países da Região que possuem esse tipo de conflito rural,</w:t>
      </w:r>
      <w:r w:rsidR="00F673C7" w:rsidRPr="00BD5C64">
        <w:rPr>
          <w:rFonts w:asciiTheme="majorHAnsi" w:eastAsia="Batang" w:hAnsiTheme="majorHAnsi"/>
          <w:sz w:val="20"/>
          <w:szCs w:val="20"/>
          <w:bdr w:val="none" w:sz="0" w:space="0" w:color="auto"/>
          <w:lang w:val="pt-BR"/>
        </w:rPr>
        <w:t xml:space="preserve"> no </w:t>
      </w:r>
      <w:r w:rsidRPr="00BD5C64">
        <w:rPr>
          <w:rFonts w:asciiTheme="majorHAnsi" w:eastAsia="Batang" w:hAnsiTheme="majorHAnsi"/>
          <w:sz w:val="20"/>
          <w:szCs w:val="20"/>
          <w:bdr w:val="none" w:sz="0" w:space="0" w:color="auto"/>
          <w:lang w:val="pt-BR"/>
        </w:rPr>
        <w:t>Brasil as pessoas que promovem e lideram as reivindicações relacionadas com os direitos de trabalhadores rurais são as mais afetadas, ao serem identificadas como alvos de ataques que servem de exemplo para dissuadir as demais pessoas que participam das reivindicações. Os atos de violência contra essas pessoas são destinados a causar temor generalizado e, por conseguinte, desanimar os demais defensores e defensoras de direitos humanos, bem como a atemorizar e silenciar as denúncias, queixas e reivindicações das vítimas</w:t>
      </w:r>
      <w:r w:rsidRPr="00BD5C64">
        <w:rPr>
          <w:rStyle w:val="FootnoteReference"/>
          <w:rFonts w:asciiTheme="majorHAnsi" w:eastAsia="Batang" w:hAnsiTheme="majorHAnsi"/>
          <w:sz w:val="20"/>
          <w:szCs w:val="20"/>
          <w:bdr w:val="none" w:sz="0" w:space="0" w:color="auto"/>
          <w:lang w:val="pt-BR"/>
        </w:rPr>
        <w:footnoteReference w:id="9"/>
      </w:r>
      <w:r w:rsidRPr="00BD5C64">
        <w:rPr>
          <w:rFonts w:asciiTheme="majorHAnsi" w:eastAsia="Batang" w:hAnsiTheme="majorHAnsi"/>
          <w:sz w:val="20"/>
          <w:szCs w:val="20"/>
          <w:bdr w:val="none" w:sz="0" w:space="0" w:color="auto"/>
          <w:lang w:val="pt-BR"/>
        </w:rPr>
        <w:t>.</w:t>
      </w:r>
    </w:p>
    <w:p w14:paraId="5C55B84B" w14:textId="77777777" w:rsidR="00F26998" w:rsidRPr="00BD5C64" w:rsidRDefault="00F26998" w:rsidP="002649F0">
      <w:pPr>
        <w:pBdr>
          <w:top w:val="none" w:sz="0" w:space="0" w:color="auto"/>
          <w:left w:val="none" w:sz="0" w:space="0" w:color="auto"/>
          <w:bottom w:val="none" w:sz="0" w:space="0" w:color="auto"/>
          <w:right w:val="none" w:sz="0" w:space="0" w:color="auto"/>
          <w:between w:val="none" w:sz="0" w:space="0" w:color="auto"/>
          <w:bar w:val="none" w:sz="0" w:color="auto"/>
        </w:pBdr>
        <w:ind w:left="432" w:right="432"/>
        <w:jc w:val="both"/>
        <w:rPr>
          <w:rFonts w:asciiTheme="majorHAnsi" w:eastAsia="Batang" w:hAnsiTheme="majorHAnsi"/>
          <w:sz w:val="18"/>
          <w:szCs w:val="18"/>
          <w:bdr w:val="none" w:sz="0" w:space="0" w:color="auto"/>
          <w:lang w:val="pt-BR"/>
        </w:rPr>
      </w:pPr>
    </w:p>
    <w:p w14:paraId="198D6C11" w14:textId="77777777" w:rsidR="002649F0" w:rsidRPr="00BD5C64" w:rsidRDefault="002649F0" w:rsidP="00E46227">
      <w:pPr>
        <w:pStyle w:val="Heading2"/>
        <w:rPr>
          <w:lang w:val="pt-BR"/>
        </w:rPr>
      </w:pPr>
      <w:bookmarkStart w:id="15" w:name="_Toc7618503"/>
      <w:bookmarkStart w:id="16" w:name="_Toc43554271"/>
      <w:r w:rsidRPr="00BD5C64">
        <w:rPr>
          <w:lang w:val="pt-BR"/>
        </w:rPr>
        <w:t>Sobre o</w:t>
      </w:r>
      <w:r w:rsidR="004F2BE4" w:rsidRPr="00BD5C64">
        <w:rPr>
          <w:lang w:val="pt-BR"/>
        </w:rPr>
        <w:t>s</w:t>
      </w:r>
      <w:r w:rsidRPr="00BD5C64">
        <w:rPr>
          <w:lang w:val="pt-BR"/>
        </w:rPr>
        <w:t xml:space="preserve"> </w:t>
      </w:r>
      <w:r w:rsidR="004F2BE4" w:rsidRPr="00BD5C64">
        <w:rPr>
          <w:lang w:val="pt-BR"/>
        </w:rPr>
        <w:t xml:space="preserve">fatos </w:t>
      </w:r>
      <w:r w:rsidRPr="00BD5C64">
        <w:rPr>
          <w:lang w:val="pt-BR"/>
        </w:rPr>
        <w:t>oc</w:t>
      </w:r>
      <w:r w:rsidR="009A7684" w:rsidRPr="00BD5C64">
        <w:rPr>
          <w:lang w:val="pt-BR"/>
        </w:rPr>
        <w:t>o</w:t>
      </w:r>
      <w:r w:rsidRPr="00BD5C64">
        <w:rPr>
          <w:lang w:val="pt-BR"/>
        </w:rPr>
        <w:t>rrido</w:t>
      </w:r>
      <w:r w:rsidR="004F2BE4" w:rsidRPr="00BD5C64">
        <w:rPr>
          <w:lang w:val="pt-BR"/>
        </w:rPr>
        <w:t>s</w:t>
      </w:r>
      <w:r w:rsidR="00700267" w:rsidRPr="00BD5C64">
        <w:rPr>
          <w:lang w:val="pt-BR"/>
        </w:rPr>
        <w:t xml:space="preserve"> </w:t>
      </w:r>
      <w:r w:rsidR="009A7684" w:rsidRPr="00BD5C64">
        <w:rPr>
          <w:lang w:val="pt-BR"/>
        </w:rPr>
        <w:t>em</w:t>
      </w:r>
      <w:r w:rsidR="00700267" w:rsidRPr="00BD5C64">
        <w:rPr>
          <w:lang w:val="pt-BR"/>
        </w:rPr>
        <w:t xml:space="preserve"> </w:t>
      </w:r>
      <w:r w:rsidRPr="00BD5C64">
        <w:rPr>
          <w:lang w:val="pt-BR"/>
        </w:rPr>
        <w:t>2 de ma</w:t>
      </w:r>
      <w:r w:rsidR="009A7684" w:rsidRPr="00BD5C64">
        <w:rPr>
          <w:lang w:val="pt-BR"/>
        </w:rPr>
        <w:t>i</w:t>
      </w:r>
      <w:r w:rsidRPr="00BD5C64">
        <w:rPr>
          <w:lang w:val="pt-BR"/>
        </w:rPr>
        <w:t>o de 2000</w:t>
      </w:r>
      <w:bookmarkEnd w:id="15"/>
      <w:bookmarkEnd w:id="16"/>
    </w:p>
    <w:p w14:paraId="61779234" w14:textId="77777777" w:rsidR="002649F0" w:rsidRPr="00BD5C64" w:rsidRDefault="002649F0" w:rsidP="002649F0">
      <w:pPr>
        <w:ind w:firstLine="720"/>
        <w:rPr>
          <w:rFonts w:asciiTheme="majorHAnsi" w:hAnsiTheme="majorHAnsi"/>
          <w:sz w:val="20"/>
          <w:szCs w:val="20"/>
          <w:lang w:val="pt-BR"/>
        </w:rPr>
      </w:pPr>
    </w:p>
    <w:p w14:paraId="4330C06A" w14:textId="77777777" w:rsidR="00F26998" w:rsidRPr="00BD5C64" w:rsidRDefault="00F26998" w:rsidP="00F269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BD5C64">
        <w:rPr>
          <w:rFonts w:asciiTheme="majorHAnsi" w:hAnsiTheme="majorHAnsi"/>
          <w:color w:val="000000"/>
          <w:sz w:val="20"/>
          <w:szCs w:val="20"/>
          <w:lang w:val="pt-BR"/>
        </w:rPr>
        <w:t>Em 2 de maio de 2000, mais de 1</w:t>
      </w:r>
      <w:r w:rsidR="004F2BE4" w:rsidRPr="00BD5C64">
        <w:rPr>
          <w:rFonts w:asciiTheme="majorHAnsi" w:hAnsiTheme="majorHAnsi"/>
          <w:color w:val="000000"/>
          <w:sz w:val="20"/>
          <w:szCs w:val="20"/>
          <w:lang w:val="pt-BR"/>
        </w:rPr>
        <w:t>.</w:t>
      </w:r>
      <w:r w:rsidRPr="00BD5C64">
        <w:rPr>
          <w:rFonts w:asciiTheme="majorHAnsi" w:hAnsiTheme="majorHAnsi"/>
          <w:color w:val="000000"/>
          <w:sz w:val="20"/>
          <w:szCs w:val="20"/>
          <w:lang w:val="pt-BR"/>
        </w:rPr>
        <w:t>500 trabalhadores rurais integrantes do MST dirigiam-se, em 50 ônibus, à capital do estado do Paraná, Curitiba, a fim de realizar uma marcha</w:t>
      </w:r>
      <w:r w:rsidRPr="00BD5C64">
        <w:rPr>
          <w:rFonts w:asciiTheme="majorHAnsi" w:hAnsiTheme="majorHAnsi"/>
          <w:sz w:val="20"/>
          <w:szCs w:val="20"/>
          <w:lang w:val="pt-BR"/>
        </w:rPr>
        <w:t xml:space="preserve"> </w:t>
      </w:r>
      <w:r w:rsidRPr="00BD5C64">
        <w:rPr>
          <w:rFonts w:asciiTheme="majorHAnsi" w:hAnsiTheme="majorHAnsi"/>
          <w:color w:val="000000"/>
          <w:sz w:val="20"/>
          <w:szCs w:val="20"/>
          <w:lang w:val="pt-BR"/>
        </w:rPr>
        <w:t>pela reforma agrária que culminaria com uma manifestação</w:t>
      </w:r>
      <w:r w:rsidRPr="00BD5C64">
        <w:rPr>
          <w:rFonts w:asciiTheme="majorHAnsi" w:hAnsiTheme="majorHAnsi"/>
          <w:sz w:val="20"/>
          <w:szCs w:val="20"/>
          <w:lang w:val="pt-BR"/>
        </w:rPr>
        <w:t xml:space="preserve"> </w:t>
      </w:r>
      <w:r w:rsidRPr="00BD5C64">
        <w:rPr>
          <w:rFonts w:asciiTheme="majorHAnsi" w:hAnsiTheme="majorHAnsi"/>
          <w:color w:val="000000"/>
          <w:sz w:val="20"/>
          <w:szCs w:val="20"/>
          <w:lang w:val="pt-BR"/>
        </w:rPr>
        <w:t>em c</w:t>
      </w:r>
      <w:r w:rsidR="006E610A" w:rsidRPr="00BD5C64">
        <w:rPr>
          <w:rFonts w:asciiTheme="majorHAnsi" w:hAnsiTheme="majorHAnsi"/>
          <w:color w:val="000000"/>
          <w:sz w:val="20"/>
          <w:szCs w:val="20"/>
          <w:lang w:val="pt-BR"/>
        </w:rPr>
        <w:t>omemo</w:t>
      </w:r>
      <w:r w:rsidRPr="00BD5C64">
        <w:rPr>
          <w:rFonts w:asciiTheme="majorHAnsi" w:hAnsiTheme="majorHAnsi"/>
          <w:color w:val="000000"/>
          <w:sz w:val="20"/>
          <w:szCs w:val="20"/>
          <w:lang w:val="pt-BR"/>
        </w:rPr>
        <w:t xml:space="preserve">ração </w:t>
      </w:r>
      <w:r w:rsidR="009A7684" w:rsidRPr="00BD5C64">
        <w:rPr>
          <w:rFonts w:asciiTheme="majorHAnsi" w:hAnsiTheme="majorHAnsi"/>
          <w:color w:val="000000"/>
          <w:sz w:val="20"/>
          <w:szCs w:val="20"/>
          <w:lang w:val="pt-BR"/>
        </w:rPr>
        <w:t>d</w:t>
      </w:r>
      <w:r w:rsidRPr="00BD5C64">
        <w:rPr>
          <w:rFonts w:asciiTheme="majorHAnsi" w:hAnsiTheme="majorHAnsi"/>
          <w:color w:val="000000"/>
          <w:sz w:val="20"/>
          <w:szCs w:val="20"/>
          <w:lang w:val="pt-BR"/>
        </w:rPr>
        <w:t>o Dia do Trabalh</w:t>
      </w:r>
      <w:r w:rsidR="004F2BE4" w:rsidRPr="00BD5C64">
        <w:rPr>
          <w:rFonts w:asciiTheme="majorHAnsi" w:hAnsiTheme="majorHAnsi"/>
          <w:color w:val="000000"/>
          <w:sz w:val="20"/>
          <w:szCs w:val="20"/>
          <w:lang w:val="pt-BR"/>
        </w:rPr>
        <w:t>o</w:t>
      </w:r>
      <w:r w:rsidRPr="00BD5C64">
        <w:rPr>
          <w:rFonts w:asciiTheme="majorHAnsi" w:hAnsiTheme="majorHAnsi"/>
          <w:color w:val="000000"/>
          <w:sz w:val="20"/>
          <w:szCs w:val="20"/>
          <w:lang w:val="pt-BR"/>
        </w:rPr>
        <w:t xml:space="preserve"> em frente ao edifício do INCRA</w:t>
      </w:r>
      <w:r w:rsidRPr="00BD5C64">
        <w:rPr>
          <w:rStyle w:val="FootnoteReference"/>
          <w:rFonts w:asciiTheme="majorHAnsi" w:hAnsiTheme="majorHAnsi"/>
          <w:color w:val="000000"/>
          <w:sz w:val="20"/>
          <w:szCs w:val="20"/>
          <w:lang w:val="pt-BR"/>
        </w:rPr>
        <w:footnoteReference w:id="10"/>
      </w:r>
      <w:r w:rsidRPr="00BD5C64">
        <w:rPr>
          <w:rFonts w:asciiTheme="majorHAnsi" w:hAnsiTheme="majorHAnsi"/>
          <w:color w:val="000000"/>
          <w:sz w:val="20"/>
          <w:szCs w:val="20"/>
          <w:lang w:val="pt-BR"/>
        </w:rPr>
        <w:t xml:space="preserve"> - Instituto Nacional de Colonização e Reforma Agrária</w:t>
      </w:r>
      <w:r w:rsidRPr="00BD5C64">
        <w:rPr>
          <w:rStyle w:val="FootnoteReference"/>
          <w:rFonts w:asciiTheme="majorHAnsi" w:hAnsiTheme="majorHAnsi"/>
          <w:color w:val="000000"/>
          <w:sz w:val="20"/>
          <w:szCs w:val="20"/>
          <w:lang w:val="pt-BR"/>
        </w:rPr>
        <w:footnoteReference w:id="11"/>
      </w:r>
      <w:r w:rsidRPr="00BD5C64">
        <w:rPr>
          <w:rFonts w:asciiTheme="majorHAnsi" w:hAnsiTheme="majorHAnsi"/>
          <w:color w:val="000000"/>
          <w:sz w:val="20"/>
          <w:szCs w:val="20"/>
          <w:lang w:val="pt-BR"/>
        </w:rPr>
        <w:t>.</w:t>
      </w:r>
    </w:p>
    <w:p w14:paraId="357C6AE5"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sz w:val="20"/>
          <w:szCs w:val="20"/>
          <w:bdr w:val="none" w:sz="0" w:space="0" w:color="auto"/>
          <w:lang w:val="pt-BR"/>
        </w:rPr>
      </w:pPr>
    </w:p>
    <w:p w14:paraId="011DAD1C" w14:textId="77777777" w:rsidR="002649F0" w:rsidRPr="006D1C74" w:rsidRDefault="00B4216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6D1C74">
        <w:rPr>
          <w:rFonts w:asciiTheme="majorHAnsi" w:eastAsia="Batang" w:hAnsiTheme="majorHAnsi"/>
          <w:sz w:val="20"/>
          <w:szCs w:val="20"/>
          <w:bdr w:val="none" w:sz="0" w:space="0" w:color="auto"/>
          <w:lang w:val="pt-BR"/>
        </w:rPr>
        <w:t>A</w:t>
      </w:r>
      <w:r w:rsidR="002649F0" w:rsidRPr="006D1C74">
        <w:rPr>
          <w:rFonts w:asciiTheme="majorHAnsi" w:eastAsia="Batang" w:hAnsiTheme="majorHAnsi"/>
          <w:sz w:val="20"/>
          <w:szCs w:val="20"/>
          <w:bdr w:val="none" w:sz="0" w:space="0" w:color="auto"/>
          <w:lang w:val="pt-BR"/>
        </w:rPr>
        <w:t xml:space="preserve"> </w:t>
      </w:r>
      <w:r w:rsidR="00F37852" w:rsidRPr="006D1C74">
        <w:rPr>
          <w:rFonts w:asciiTheme="majorHAnsi" w:eastAsia="Batang" w:hAnsiTheme="majorHAnsi"/>
          <w:sz w:val="20"/>
          <w:szCs w:val="20"/>
          <w:bdr w:val="none" w:sz="0" w:space="0" w:color="auto"/>
          <w:lang w:val="pt-BR"/>
        </w:rPr>
        <w:t>polícia</w:t>
      </w:r>
      <w:r w:rsidR="002649F0" w:rsidRPr="006D1C74">
        <w:rPr>
          <w:rFonts w:asciiTheme="majorHAnsi" w:eastAsia="Batang" w:hAnsiTheme="majorHAnsi"/>
          <w:sz w:val="20"/>
          <w:szCs w:val="20"/>
          <w:bdr w:val="none" w:sz="0" w:space="0" w:color="auto"/>
          <w:lang w:val="pt-BR"/>
        </w:rPr>
        <w:t xml:space="preserve"> militar </w:t>
      </w:r>
      <w:r w:rsidR="000D2A81" w:rsidRPr="006D1C74">
        <w:rPr>
          <w:rFonts w:asciiTheme="majorHAnsi" w:eastAsia="Batang" w:hAnsiTheme="majorHAnsi"/>
          <w:sz w:val="20"/>
          <w:szCs w:val="20"/>
          <w:bdr w:val="none" w:sz="0" w:space="0" w:color="auto"/>
          <w:lang w:val="pt-BR"/>
        </w:rPr>
        <w:t>do Paraná</w:t>
      </w:r>
      <w:r w:rsidR="002649F0" w:rsidRPr="006D1C74">
        <w:rPr>
          <w:rFonts w:asciiTheme="majorHAnsi" w:eastAsia="Batang" w:hAnsiTheme="majorHAnsi"/>
          <w:sz w:val="20"/>
          <w:szCs w:val="20"/>
          <w:bdr w:val="none" w:sz="0" w:space="0" w:color="auto"/>
          <w:lang w:val="pt-BR"/>
        </w:rPr>
        <w:t xml:space="preserve"> d</w:t>
      </w:r>
      <w:r w:rsidR="006E610A" w:rsidRPr="006D1C74">
        <w:rPr>
          <w:rFonts w:asciiTheme="majorHAnsi" w:eastAsia="Batang" w:hAnsiTheme="majorHAnsi"/>
          <w:sz w:val="20"/>
          <w:szCs w:val="20"/>
          <w:bdr w:val="none" w:sz="0" w:space="0" w:color="auto"/>
          <w:lang w:val="pt-BR"/>
        </w:rPr>
        <w:t>eu</w:t>
      </w:r>
      <w:r w:rsidR="002649F0" w:rsidRPr="006D1C74">
        <w:rPr>
          <w:rFonts w:asciiTheme="majorHAnsi" w:eastAsia="Batang" w:hAnsiTheme="majorHAnsi"/>
          <w:sz w:val="20"/>
          <w:szCs w:val="20"/>
          <w:bdr w:val="none" w:sz="0" w:space="0" w:color="auto"/>
          <w:lang w:val="pt-BR"/>
        </w:rPr>
        <w:t xml:space="preserve"> instru</w:t>
      </w:r>
      <w:r w:rsidR="006E610A" w:rsidRPr="006D1C74">
        <w:rPr>
          <w:rFonts w:asciiTheme="majorHAnsi" w:eastAsia="Batang" w:hAnsiTheme="majorHAnsi"/>
          <w:sz w:val="20"/>
          <w:szCs w:val="20"/>
          <w:bdr w:val="none" w:sz="0" w:space="0" w:color="auto"/>
          <w:lang w:val="pt-BR"/>
        </w:rPr>
        <w:t>ç</w:t>
      </w:r>
      <w:r w:rsidR="00CF037E" w:rsidRPr="006D1C74">
        <w:rPr>
          <w:rFonts w:asciiTheme="majorHAnsi" w:eastAsia="Batang" w:hAnsiTheme="majorHAnsi"/>
          <w:sz w:val="20"/>
          <w:szCs w:val="20"/>
          <w:bdr w:val="none" w:sz="0" w:space="0" w:color="auto"/>
          <w:lang w:val="pt-BR"/>
        </w:rPr>
        <w:t>ões</w:t>
      </w:r>
      <w:r w:rsidR="00217759" w:rsidRPr="006D1C74">
        <w:rPr>
          <w:rFonts w:asciiTheme="majorHAnsi" w:eastAsia="Batang" w:hAnsiTheme="majorHAnsi"/>
          <w:sz w:val="20"/>
          <w:szCs w:val="20"/>
          <w:bdr w:val="none" w:sz="0" w:space="0" w:color="auto"/>
          <w:lang w:val="pt-BR"/>
        </w:rPr>
        <w:t xml:space="preserve"> ao </w:t>
      </w:r>
      <w:r w:rsidR="002649F0" w:rsidRPr="006D1C74">
        <w:rPr>
          <w:rFonts w:asciiTheme="majorHAnsi" w:eastAsia="Batang" w:hAnsiTheme="majorHAnsi"/>
          <w:sz w:val="20"/>
          <w:szCs w:val="20"/>
          <w:bdr w:val="none" w:sz="0" w:space="0" w:color="auto"/>
          <w:lang w:val="pt-BR"/>
        </w:rPr>
        <w:t xml:space="preserve">Comando de </w:t>
      </w:r>
      <w:r w:rsidR="00F37852" w:rsidRPr="006D1C74">
        <w:rPr>
          <w:rFonts w:asciiTheme="majorHAnsi" w:eastAsia="Batang" w:hAnsiTheme="majorHAnsi"/>
          <w:sz w:val="20"/>
          <w:szCs w:val="20"/>
          <w:bdr w:val="none" w:sz="0" w:space="0" w:color="auto"/>
          <w:lang w:val="pt-BR"/>
        </w:rPr>
        <w:t>Pol</w:t>
      </w:r>
      <w:r w:rsidR="004F2BE4" w:rsidRPr="006D1C74">
        <w:rPr>
          <w:rFonts w:asciiTheme="majorHAnsi" w:eastAsia="Batang" w:hAnsiTheme="majorHAnsi"/>
          <w:sz w:val="20"/>
          <w:szCs w:val="20"/>
          <w:bdr w:val="none" w:sz="0" w:space="0" w:color="auto"/>
          <w:lang w:val="pt-BR"/>
        </w:rPr>
        <w:t>i</w:t>
      </w:r>
      <w:r w:rsidR="00F37852" w:rsidRPr="006D1C74">
        <w:rPr>
          <w:rFonts w:asciiTheme="majorHAnsi" w:eastAsia="Batang" w:hAnsiTheme="majorHAnsi"/>
          <w:sz w:val="20"/>
          <w:szCs w:val="20"/>
          <w:bdr w:val="none" w:sz="0" w:space="0" w:color="auto"/>
          <w:lang w:val="pt-BR"/>
        </w:rPr>
        <w:t>cia</w:t>
      </w:r>
      <w:r w:rsidR="004F2BE4" w:rsidRPr="006D1C74">
        <w:rPr>
          <w:rFonts w:asciiTheme="majorHAnsi" w:eastAsia="Batang" w:hAnsiTheme="majorHAnsi"/>
          <w:sz w:val="20"/>
          <w:szCs w:val="20"/>
          <w:bdr w:val="none" w:sz="0" w:space="0" w:color="auto"/>
          <w:lang w:val="pt-BR"/>
        </w:rPr>
        <w:t>mento</w:t>
      </w:r>
      <w:r w:rsidR="00795010" w:rsidRPr="006D1C74">
        <w:rPr>
          <w:rFonts w:asciiTheme="majorHAnsi" w:eastAsia="Batang" w:hAnsiTheme="majorHAnsi"/>
          <w:sz w:val="20"/>
          <w:szCs w:val="20"/>
          <w:bdr w:val="none" w:sz="0" w:space="0" w:color="auto"/>
          <w:lang w:val="pt-BR"/>
        </w:rPr>
        <w:t xml:space="preserve"> da </w:t>
      </w:r>
      <w:r w:rsidR="002649F0" w:rsidRPr="006D1C74">
        <w:rPr>
          <w:rFonts w:asciiTheme="majorHAnsi" w:eastAsia="Batang" w:hAnsiTheme="majorHAnsi"/>
          <w:sz w:val="20"/>
          <w:szCs w:val="20"/>
          <w:bdr w:val="none" w:sz="0" w:space="0" w:color="auto"/>
          <w:lang w:val="pt-BR"/>
        </w:rPr>
        <w:t>Capital (CPC) para que refor</w:t>
      </w:r>
      <w:r w:rsidR="006E610A" w:rsidRPr="006D1C74">
        <w:rPr>
          <w:rFonts w:asciiTheme="majorHAnsi" w:eastAsia="Batang" w:hAnsiTheme="majorHAnsi"/>
          <w:sz w:val="20"/>
          <w:szCs w:val="20"/>
          <w:bdr w:val="none" w:sz="0" w:space="0" w:color="auto"/>
          <w:lang w:val="pt-BR"/>
        </w:rPr>
        <w:t>çasse</w:t>
      </w:r>
      <w:r w:rsidR="00700267" w:rsidRPr="006D1C74">
        <w:rPr>
          <w:rFonts w:asciiTheme="majorHAnsi" w:eastAsia="Batang" w:hAnsiTheme="majorHAnsi"/>
          <w:sz w:val="20"/>
          <w:szCs w:val="20"/>
          <w:bdr w:val="none" w:sz="0" w:space="0" w:color="auto"/>
          <w:lang w:val="pt-BR"/>
        </w:rPr>
        <w:t xml:space="preserve"> os </w:t>
      </w:r>
      <w:r w:rsidR="002649F0" w:rsidRPr="006D1C74">
        <w:rPr>
          <w:rFonts w:asciiTheme="majorHAnsi" w:eastAsia="Batang" w:hAnsiTheme="majorHAnsi"/>
          <w:sz w:val="20"/>
          <w:szCs w:val="20"/>
          <w:bdr w:val="none" w:sz="0" w:space="0" w:color="auto"/>
          <w:lang w:val="pt-BR"/>
        </w:rPr>
        <w:t>efetivos</w:t>
      </w:r>
      <w:r w:rsidR="00700267" w:rsidRPr="006D1C74">
        <w:rPr>
          <w:rFonts w:asciiTheme="majorHAnsi" w:eastAsia="Batang" w:hAnsiTheme="majorHAnsi"/>
          <w:sz w:val="20"/>
          <w:szCs w:val="20"/>
          <w:bdr w:val="none" w:sz="0" w:space="0" w:color="auto"/>
          <w:lang w:val="pt-BR"/>
        </w:rPr>
        <w:t xml:space="preserve"> dos </w:t>
      </w:r>
      <w:r w:rsidR="002649F0" w:rsidRPr="006D1C74">
        <w:rPr>
          <w:rFonts w:asciiTheme="majorHAnsi" w:eastAsia="Batang" w:hAnsiTheme="majorHAnsi"/>
          <w:sz w:val="20"/>
          <w:szCs w:val="20"/>
          <w:bdr w:val="none" w:sz="0" w:space="0" w:color="auto"/>
          <w:lang w:val="pt-BR"/>
        </w:rPr>
        <w:t>p</w:t>
      </w:r>
      <w:r w:rsidR="006E610A" w:rsidRPr="006D1C74">
        <w:rPr>
          <w:rFonts w:asciiTheme="majorHAnsi" w:eastAsia="Batang" w:hAnsiTheme="majorHAnsi"/>
          <w:sz w:val="20"/>
          <w:szCs w:val="20"/>
          <w:bdr w:val="none" w:sz="0" w:space="0" w:color="auto"/>
          <w:lang w:val="pt-BR"/>
        </w:rPr>
        <w:t>o</w:t>
      </w:r>
      <w:r w:rsidR="002649F0" w:rsidRPr="006D1C74">
        <w:rPr>
          <w:rFonts w:asciiTheme="majorHAnsi" w:eastAsia="Batang" w:hAnsiTheme="majorHAnsi"/>
          <w:sz w:val="20"/>
          <w:szCs w:val="20"/>
          <w:bdr w:val="none" w:sz="0" w:space="0" w:color="auto"/>
          <w:lang w:val="pt-BR"/>
        </w:rPr>
        <w:t>stos</w:t>
      </w:r>
      <w:r w:rsidR="00030019" w:rsidRPr="006D1C74">
        <w:rPr>
          <w:rFonts w:asciiTheme="majorHAnsi" w:eastAsia="Batang" w:hAnsiTheme="majorHAnsi"/>
          <w:sz w:val="20"/>
          <w:szCs w:val="20"/>
          <w:bdr w:val="none" w:sz="0" w:space="0" w:color="auto"/>
          <w:lang w:val="pt-BR"/>
        </w:rPr>
        <w:t xml:space="preserve"> do </w:t>
      </w:r>
      <w:r w:rsidR="002649F0" w:rsidRPr="006D1C74">
        <w:rPr>
          <w:rFonts w:asciiTheme="majorHAnsi" w:eastAsia="Batang" w:hAnsiTheme="majorHAnsi"/>
          <w:sz w:val="20"/>
          <w:szCs w:val="20"/>
          <w:bdr w:val="none" w:sz="0" w:space="0" w:color="auto"/>
          <w:lang w:val="pt-BR"/>
        </w:rPr>
        <w:t>Batal</w:t>
      </w:r>
      <w:r w:rsidR="006E610A" w:rsidRPr="006D1C74">
        <w:rPr>
          <w:rFonts w:asciiTheme="majorHAnsi" w:eastAsia="Batang" w:hAnsiTheme="majorHAnsi"/>
          <w:sz w:val="20"/>
          <w:szCs w:val="20"/>
          <w:bdr w:val="none" w:sz="0" w:space="0" w:color="auto"/>
          <w:lang w:val="pt-BR"/>
        </w:rPr>
        <w:t>hão</w:t>
      </w:r>
      <w:r w:rsidR="00795010" w:rsidRPr="006D1C74">
        <w:rPr>
          <w:rFonts w:asciiTheme="majorHAnsi" w:eastAsia="Batang" w:hAnsiTheme="majorHAnsi"/>
          <w:sz w:val="20"/>
          <w:szCs w:val="20"/>
          <w:bdr w:val="none" w:sz="0" w:space="0" w:color="auto"/>
          <w:lang w:val="pt-BR"/>
        </w:rPr>
        <w:t xml:space="preserve"> da </w:t>
      </w:r>
      <w:r w:rsidR="00F37852" w:rsidRPr="006D1C74">
        <w:rPr>
          <w:rFonts w:asciiTheme="majorHAnsi" w:eastAsia="Batang" w:hAnsiTheme="majorHAnsi"/>
          <w:sz w:val="20"/>
          <w:szCs w:val="20"/>
          <w:bdr w:val="none" w:sz="0" w:space="0" w:color="auto"/>
          <w:lang w:val="pt-BR"/>
        </w:rPr>
        <w:t>Polícia</w:t>
      </w:r>
      <w:r w:rsidR="002649F0" w:rsidRPr="006D1C74">
        <w:rPr>
          <w:rFonts w:asciiTheme="majorHAnsi" w:eastAsia="Batang" w:hAnsiTheme="majorHAnsi"/>
          <w:sz w:val="20"/>
          <w:szCs w:val="20"/>
          <w:bdr w:val="none" w:sz="0" w:space="0" w:color="auto"/>
          <w:lang w:val="pt-BR"/>
        </w:rPr>
        <w:t xml:space="preserve"> </w:t>
      </w:r>
      <w:r w:rsidR="006E610A" w:rsidRPr="006D1C74">
        <w:rPr>
          <w:rFonts w:asciiTheme="majorHAnsi" w:eastAsia="Batang" w:hAnsiTheme="majorHAnsi"/>
          <w:sz w:val="20"/>
          <w:szCs w:val="20"/>
          <w:bdr w:val="none" w:sz="0" w:space="0" w:color="auto"/>
          <w:lang w:val="pt-BR"/>
        </w:rPr>
        <w:t>Rodoviária</w:t>
      </w:r>
      <w:r w:rsidR="002649F0" w:rsidRPr="006D1C74">
        <w:rPr>
          <w:rFonts w:asciiTheme="majorHAnsi" w:eastAsia="Batang" w:hAnsiTheme="majorHAnsi"/>
          <w:sz w:val="20"/>
          <w:szCs w:val="20"/>
          <w:bdr w:val="none" w:sz="0" w:space="0" w:color="auto"/>
          <w:lang w:val="pt-BR"/>
        </w:rPr>
        <w:t xml:space="preserve"> (BPR)</w:t>
      </w:r>
      <w:r w:rsidR="00F673C7" w:rsidRPr="006D1C74">
        <w:rPr>
          <w:rFonts w:asciiTheme="majorHAnsi" w:eastAsia="Batang" w:hAnsiTheme="majorHAnsi"/>
          <w:sz w:val="20"/>
          <w:szCs w:val="20"/>
          <w:bdr w:val="none" w:sz="0" w:space="0" w:color="auto"/>
          <w:lang w:val="pt-BR"/>
        </w:rPr>
        <w:t xml:space="preserve"> com </w:t>
      </w:r>
      <w:r w:rsidR="00700267" w:rsidRPr="006D1C74">
        <w:rPr>
          <w:rFonts w:asciiTheme="majorHAnsi" w:eastAsia="Batang" w:hAnsiTheme="majorHAnsi"/>
          <w:sz w:val="20"/>
          <w:szCs w:val="20"/>
          <w:bdr w:val="none" w:sz="0" w:space="0" w:color="auto"/>
          <w:lang w:val="pt-BR"/>
        </w:rPr>
        <w:t>o</w:t>
      </w:r>
      <w:r w:rsidR="00F673C7" w:rsidRPr="006D1C74">
        <w:rPr>
          <w:rFonts w:asciiTheme="majorHAnsi" w:eastAsia="Batang" w:hAnsiTheme="majorHAnsi"/>
          <w:sz w:val="20"/>
          <w:szCs w:val="20"/>
          <w:bdr w:val="none" w:sz="0" w:space="0" w:color="auto"/>
          <w:lang w:val="pt-BR"/>
        </w:rPr>
        <w:t xml:space="preserve"> fim </w:t>
      </w:r>
      <w:r w:rsidR="002649F0" w:rsidRPr="006D1C74">
        <w:rPr>
          <w:rFonts w:asciiTheme="majorHAnsi" w:eastAsia="Batang" w:hAnsiTheme="majorHAnsi"/>
          <w:sz w:val="20"/>
          <w:szCs w:val="20"/>
          <w:bdr w:val="none" w:sz="0" w:space="0" w:color="auto"/>
          <w:lang w:val="pt-BR"/>
        </w:rPr>
        <w:t>interceptar</w:t>
      </w:r>
      <w:r w:rsidR="00700267" w:rsidRPr="006D1C74">
        <w:rPr>
          <w:rFonts w:asciiTheme="majorHAnsi" w:eastAsia="Batang" w:hAnsiTheme="majorHAnsi"/>
          <w:sz w:val="20"/>
          <w:szCs w:val="20"/>
          <w:bdr w:val="none" w:sz="0" w:space="0" w:color="auto"/>
          <w:lang w:val="pt-BR"/>
        </w:rPr>
        <w:t xml:space="preserve"> os </w:t>
      </w:r>
      <w:r w:rsidR="006E610A" w:rsidRPr="006D1C74">
        <w:rPr>
          <w:rFonts w:asciiTheme="majorHAnsi" w:eastAsia="Batang" w:hAnsiTheme="majorHAnsi"/>
          <w:sz w:val="20"/>
          <w:szCs w:val="20"/>
          <w:bdr w:val="none" w:sz="0" w:space="0" w:color="auto"/>
          <w:lang w:val="pt-BR"/>
        </w:rPr>
        <w:t>ônibus</w:t>
      </w:r>
      <w:r w:rsidR="00CF037E" w:rsidRPr="006D1C74">
        <w:rPr>
          <w:rFonts w:asciiTheme="majorHAnsi" w:eastAsia="Batang" w:hAnsiTheme="majorHAnsi"/>
          <w:sz w:val="20"/>
          <w:szCs w:val="20"/>
          <w:bdr w:val="none" w:sz="0" w:space="0" w:color="auto"/>
          <w:lang w:val="pt-BR"/>
        </w:rPr>
        <w:t xml:space="preserve"> e </w:t>
      </w:r>
      <w:r w:rsidR="00585D35" w:rsidRPr="006D1C74">
        <w:rPr>
          <w:rFonts w:asciiTheme="majorHAnsi" w:eastAsia="Batang" w:hAnsiTheme="majorHAnsi"/>
          <w:sz w:val="20"/>
          <w:szCs w:val="20"/>
          <w:bdr w:val="none" w:sz="0" w:space="0" w:color="auto"/>
          <w:lang w:val="pt-BR"/>
        </w:rPr>
        <w:t>orde</w:t>
      </w:r>
      <w:r w:rsidR="006E610A" w:rsidRPr="006D1C74">
        <w:rPr>
          <w:rFonts w:asciiTheme="majorHAnsi" w:eastAsia="Batang" w:hAnsiTheme="majorHAnsi"/>
          <w:sz w:val="20"/>
          <w:szCs w:val="20"/>
          <w:bdr w:val="none" w:sz="0" w:space="0" w:color="auto"/>
          <w:lang w:val="pt-BR"/>
        </w:rPr>
        <w:t>nasse</w:t>
      </w:r>
      <w:r w:rsidR="002649F0" w:rsidRPr="006D1C74">
        <w:rPr>
          <w:rFonts w:asciiTheme="majorHAnsi" w:eastAsia="Batang" w:hAnsiTheme="majorHAnsi"/>
          <w:sz w:val="20"/>
          <w:szCs w:val="20"/>
          <w:bdr w:val="none" w:sz="0" w:space="0" w:color="auto"/>
          <w:lang w:val="pt-BR"/>
        </w:rPr>
        <w:t xml:space="preserve"> a</w:t>
      </w:r>
      <w:r w:rsidR="00700267" w:rsidRPr="006D1C74">
        <w:rPr>
          <w:rFonts w:asciiTheme="majorHAnsi" w:eastAsia="Batang" w:hAnsiTheme="majorHAnsi"/>
          <w:sz w:val="20"/>
          <w:szCs w:val="20"/>
          <w:bdr w:val="none" w:sz="0" w:space="0" w:color="auto"/>
          <w:lang w:val="pt-BR"/>
        </w:rPr>
        <w:t xml:space="preserve">os </w:t>
      </w:r>
      <w:r w:rsidR="002649F0" w:rsidRPr="006D1C74">
        <w:rPr>
          <w:rFonts w:asciiTheme="majorHAnsi" w:eastAsia="Batang" w:hAnsiTheme="majorHAnsi"/>
          <w:sz w:val="20"/>
          <w:szCs w:val="20"/>
          <w:bdr w:val="none" w:sz="0" w:space="0" w:color="auto"/>
          <w:lang w:val="pt-BR"/>
        </w:rPr>
        <w:t>líderes respons</w:t>
      </w:r>
      <w:r w:rsidR="006E610A" w:rsidRPr="006D1C74">
        <w:rPr>
          <w:rFonts w:asciiTheme="majorHAnsi" w:eastAsia="Batang" w:hAnsiTheme="majorHAnsi"/>
          <w:sz w:val="20"/>
          <w:szCs w:val="20"/>
          <w:bdr w:val="none" w:sz="0" w:space="0" w:color="auto"/>
          <w:lang w:val="pt-BR"/>
        </w:rPr>
        <w:t>áveis pelos ônibus</w:t>
      </w:r>
      <w:r w:rsidR="002649F0" w:rsidRPr="006D1C74">
        <w:rPr>
          <w:rFonts w:asciiTheme="majorHAnsi" w:eastAsia="Batang" w:hAnsiTheme="majorHAnsi"/>
          <w:sz w:val="20"/>
          <w:szCs w:val="20"/>
          <w:bdr w:val="none" w:sz="0" w:space="0" w:color="auto"/>
          <w:lang w:val="pt-BR"/>
        </w:rPr>
        <w:t xml:space="preserve">, </w:t>
      </w:r>
      <w:r w:rsidR="006E610A" w:rsidRPr="006D1C74">
        <w:rPr>
          <w:rFonts w:asciiTheme="majorHAnsi" w:eastAsia="Batang" w:hAnsiTheme="majorHAnsi"/>
          <w:sz w:val="20"/>
          <w:szCs w:val="20"/>
          <w:bdr w:val="none" w:sz="0" w:space="0" w:color="auto"/>
          <w:lang w:val="pt-BR"/>
        </w:rPr>
        <w:t>bem</w:t>
      </w:r>
      <w:r w:rsidR="002649F0" w:rsidRPr="006D1C74">
        <w:rPr>
          <w:rFonts w:asciiTheme="majorHAnsi" w:eastAsia="Batang" w:hAnsiTheme="majorHAnsi"/>
          <w:sz w:val="20"/>
          <w:szCs w:val="20"/>
          <w:bdr w:val="none" w:sz="0" w:space="0" w:color="auto"/>
          <w:lang w:val="pt-BR"/>
        </w:rPr>
        <w:t xml:space="preserve"> como a</w:t>
      </w:r>
      <w:r w:rsidR="00700267" w:rsidRPr="006D1C74">
        <w:rPr>
          <w:rFonts w:asciiTheme="majorHAnsi" w:eastAsia="Batang" w:hAnsiTheme="majorHAnsi"/>
          <w:sz w:val="20"/>
          <w:szCs w:val="20"/>
          <w:bdr w:val="none" w:sz="0" w:space="0" w:color="auto"/>
          <w:lang w:val="pt-BR"/>
        </w:rPr>
        <w:t xml:space="preserve">os </w:t>
      </w:r>
      <w:r w:rsidR="006E610A" w:rsidRPr="006D1C74">
        <w:rPr>
          <w:rFonts w:asciiTheme="majorHAnsi" w:eastAsia="Batang" w:hAnsiTheme="majorHAnsi"/>
          <w:sz w:val="20"/>
          <w:szCs w:val="20"/>
          <w:bdr w:val="none" w:sz="0" w:space="0" w:color="auto"/>
          <w:lang w:val="pt-BR"/>
        </w:rPr>
        <w:t>motoristas</w:t>
      </w:r>
      <w:r w:rsidR="00CF037E" w:rsidRPr="006D1C74">
        <w:rPr>
          <w:rFonts w:asciiTheme="majorHAnsi" w:eastAsia="Batang" w:hAnsiTheme="majorHAnsi"/>
          <w:sz w:val="20"/>
          <w:szCs w:val="20"/>
          <w:bdr w:val="none" w:sz="0" w:space="0" w:color="auto"/>
          <w:lang w:val="pt-BR"/>
        </w:rPr>
        <w:t xml:space="preserve"> e </w:t>
      </w:r>
      <w:r w:rsidR="002649F0" w:rsidRPr="006D1C74">
        <w:rPr>
          <w:rFonts w:asciiTheme="majorHAnsi" w:eastAsia="Batang" w:hAnsiTheme="majorHAnsi"/>
          <w:sz w:val="20"/>
          <w:szCs w:val="20"/>
          <w:bdr w:val="none" w:sz="0" w:space="0" w:color="auto"/>
          <w:lang w:val="pt-BR"/>
        </w:rPr>
        <w:t>pas</w:t>
      </w:r>
      <w:r w:rsidR="006E610A" w:rsidRPr="006D1C74">
        <w:rPr>
          <w:rFonts w:asciiTheme="majorHAnsi" w:eastAsia="Batang" w:hAnsiTheme="majorHAnsi"/>
          <w:sz w:val="20"/>
          <w:szCs w:val="20"/>
          <w:bdr w:val="none" w:sz="0" w:space="0" w:color="auto"/>
          <w:lang w:val="pt-BR"/>
        </w:rPr>
        <w:t>s</w:t>
      </w:r>
      <w:r w:rsidR="002649F0" w:rsidRPr="006D1C74">
        <w:rPr>
          <w:rFonts w:asciiTheme="majorHAnsi" w:eastAsia="Batang" w:hAnsiTheme="majorHAnsi"/>
          <w:sz w:val="20"/>
          <w:szCs w:val="20"/>
          <w:bdr w:val="none" w:sz="0" w:space="0" w:color="auto"/>
          <w:lang w:val="pt-BR"/>
        </w:rPr>
        <w:t>a</w:t>
      </w:r>
      <w:r w:rsidR="006E610A" w:rsidRPr="006D1C74">
        <w:rPr>
          <w:rFonts w:asciiTheme="majorHAnsi" w:eastAsia="Batang" w:hAnsiTheme="majorHAnsi"/>
          <w:sz w:val="20"/>
          <w:szCs w:val="20"/>
          <w:bdr w:val="none" w:sz="0" w:space="0" w:color="auto"/>
          <w:lang w:val="pt-BR"/>
        </w:rPr>
        <w:t>g</w:t>
      </w:r>
      <w:r w:rsidR="002649F0" w:rsidRPr="006D1C74">
        <w:rPr>
          <w:rFonts w:asciiTheme="majorHAnsi" w:eastAsia="Batang" w:hAnsiTheme="majorHAnsi"/>
          <w:sz w:val="20"/>
          <w:szCs w:val="20"/>
          <w:bdr w:val="none" w:sz="0" w:space="0" w:color="auto"/>
          <w:lang w:val="pt-BR"/>
        </w:rPr>
        <w:t>e</w:t>
      </w:r>
      <w:r w:rsidR="006E610A" w:rsidRPr="006D1C74">
        <w:rPr>
          <w:rFonts w:asciiTheme="majorHAnsi" w:eastAsia="Batang" w:hAnsiTheme="majorHAnsi"/>
          <w:sz w:val="20"/>
          <w:szCs w:val="20"/>
          <w:bdr w:val="none" w:sz="0" w:space="0" w:color="auto"/>
          <w:lang w:val="pt-BR"/>
        </w:rPr>
        <w:t>i</w:t>
      </w:r>
      <w:r w:rsidR="002649F0" w:rsidRPr="006D1C74">
        <w:rPr>
          <w:rFonts w:asciiTheme="majorHAnsi" w:eastAsia="Batang" w:hAnsiTheme="majorHAnsi"/>
          <w:sz w:val="20"/>
          <w:szCs w:val="20"/>
          <w:bdr w:val="none" w:sz="0" w:space="0" w:color="auto"/>
          <w:lang w:val="pt-BR"/>
        </w:rPr>
        <w:t>ros, que regre</w:t>
      </w:r>
      <w:r w:rsidR="006E610A" w:rsidRPr="006D1C74">
        <w:rPr>
          <w:rFonts w:asciiTheme="majorHAnsi" w:eastAsia="Batang" w:hAnsiTheme="majorHAnsi"/>
          <w:sz w:val="20"/>
          <w:szCs w:val="20"/>
          <w:bdr w:val="none" w:sz="0" w:space="0" w:color="auto"/>
          <w:lang w:val="pt-BR"/>
        </w:rPr>
        <w:t>s</w:t>
      </w:r>
      <w:r w:rsidR="002649F0" w:rsidRPr="006D1C74">
        <w:rPr>
          <w:rFonts w:asciiTheme="majorHAnsi" w:eastAsia="Batang" w:hAnsiTheme="majorHAnsi"/>
          <w:sz w:val="20"/>
          <w:szCs w:val="20"/>
          <w:bdr w:val="none" w:sz="0" w:space="0" w:color="auto"/>
          <w:lang w:val="pt-BR"/>
        </w:rPr>
        <w:t>sa</w:t>
      </w:r>
      <w:r w:rsidR="006E610A" w:rsidRPr="006D1C74">
        <w:rPr>
          <w:rFonts w:asciiTheme="majorHAnsi" w:eastAsia="Batang" w:hAnsiTheme="majorHAnsi"/>
          <w:sz w:val="20"/>
          <w:szCs w:val="20"/>
          <w:bdr w:val="none" w:sz="0" w:space="0" w:color="auto"/>
          <w:lang w:val="pt-BR"/>
        </w:rPr>
        <w:t>ssem</w:t>
      </w:r>
      <w:r w:rsidR="002649F0" w:rsidRPr="006D1C74">
        <w:rPr>
          <w:rFonts w:asciiTheme="majorHAnsi" w:eastAsia="Batang" w:hAnsiTheme="majorHAnsi"/>
          <w:sz w:val="20"/>
          <w:szCs w:val="20"/>
          <w:bdr w:val="none" w:sz="0" w:space="0" w:color="auto"/>
          <w:lang w:val="pt-BR"/>
        </w:rPr>
        <w:t xml:space="preserve"> a su</w:t>
      </w:r>
      <w:r w:rsidR="006E610A" w:rsidRPr="006D1C74">
        <w:rPr>
          <w:rFonts w:asciiTheme="majorHAnsi" w:eastAsia="Batang" w:hAnsiTheme="majorHAnsi"/>
          <w:sz w:val="20"/>
          <w:szCs w:val="20"/>
          <w:bdr w:val="none" w:sz="0" w:space="0" w:color="auto"/>
          <w:lang w:val="pt-BR"/>
        </w:rPr>
        <w:t>a</w:t>
      </w:r>
      <w:r w:rsidR="002649F0" w:rsidRPr="006D1C74">
        <w:rPr>
          <w:rFonts w:asciiTheme="majorHAnsi" w:eastAsia="Batang" w:hAnsiTheme="majorHAnsi"/>
          <w:sz w:val="20"/>
          <w:szCs w:val="20"/>
          <w:bdr w:val="none" w:sz="0" w:space="0" w:color="auto"/>
          <w:lang w:val="pt-BR"/>
        </w:rPr>
        <w:t>s cidades de orige</w:t>
      </w:r>
      <w:r w:rsidR="006E610A" w:rsidRPr="006D1C74">
        <w:rPr>
          <w:rFonts w:asciiTheme="majorHAnsi" w:eastAsia="Batang" w:hAnsiTheme="majorHAnsi"/>
          <w:sz w:val="20"/>
          <w:szCs w:val="20"/>
          <w:bdr w:val="none" w:sz="0" w:space="0" w:color="auto"/>
          <w:lang w:val="pt-BR"/>
        </w:rPr>
        <w:t>m</w:t>
      </w:r>
      <w:r w:rsidR="002649F0" w:rsidRPr="006D1C74">
        <w:rPr>
          <w:rFonts w:asciiTheme="majorHAnsi" w:eastAsia="Batang" w:hAnsiTheme="majorHAnsi"/>
          <w:sz w:val="20"/>
          <w:szCs w:val="20"/>
          <w:bdr w:val="none" w:sz="0" w:space="0" w:color="auto"/>
          <w:lang w:val="pt-BR"/>
        </w:rPr>
        <w:t xml:space="preserve"> se </w:t>
      </w:r>
      <w:r w:rsidR="006E610A" w:rsidRPr="006D1C74">
        <w:rPr>
          <w:rFonts w:asciiTheme="majorHAnsi" w:eastAsia="Batang" w:hAnsiTheme="majorHAnsi"/>
          <w:sz w:val="20"/>
          <w:szCs w:val="20"/>
          <w:bdr w:val="none" w:sz="0" w:space="0" w:color="auto"/>
          <w:lang w:val="pt-BR"/>
        </w:rPr>
        <w:t xml:space="preserve">fossem </w:t>
      </w:r>
      <w:r w:rsidR="002649F0" w:rsidRPr="006D1C74">
        <w:rPr>
          <w:rFonts w:asciiTheme="majorHAnsi" w:eastAsia="Batang" w:hAnsiTheme="majorHAnsi"/>
          <w:sz w:val="20"/>
          <w:szCs w:val="20"/>
          <w:bdr w:val="none" w:sz="0" w:space="0" w:color="auto"/>
          <w:lang w:val="pt-BR"/>
        </w:rPr>
        <w:t>confirma</w:t>
      </w:r>
      <w:r w:rsidR="006E610A" w:rsidRPr="006D1C74">
        <w:rPr>
          <w:rFonts w:asciiTheme="majorHAnsi" w:eastAsia="Batang" w:hAnsiTheme="majorHAnsi"/>
          <w:sz w:val="20"/>
          <w:szCs w:val="20"/>
          <w:bdr w:val="none" w:sz="0" w:space="0" w:color="auto"/>
          <w:lang w:val="pt-BR"/>
        </w:rPr>
        <w:t>dos</w:t>
      </w:r>
      <w:r w:rsidR="00700267" w:rsidRPr="006D1C74">
        <w:rPr>
          <w:rFonts w:asciiTheme="majorHAnsi" w:eastAsia="Batang" w:hAnsiTheme="majorHAnsi"/>
          <w:sz w:val="20"/>
          <w:szCs w:val="20"/>
          <w:bdr w:val="none" w:sz="0" w:space="0" w:color="auto"/>
          <w:lang w:val="pt-BR"/>
        </w:rPr>
        <w:t xml:space="preserve"> os </w:t>
      </w:r>
      <w:r w:rsidR="002649F0" w:rsidRPr="006D1C74">
        <w:rPr>
          <w:rFonts w:asciiTheme="majorHAnsi" w:eastAsia="Batang" w:hAnsiTheme="majorHAnsi"/>
          <w:sz w:val="20"/>
          <w:szCs w:val="20"/>
          <w:bdr w:val="none" w:sz="0" w:space="0" w:color="auto"/>
          <w:lang w:val="pt-BR"/>
        </w:rPr>
        <w:t>objetivos de ocupa</w:t>
      </w:r>
      <w:r w:rsidR="00CF037E" w:rsidRPr="006D1C74">
        <w:rPr>
          <w:rFonts w:asciiTheme="majorHAnsi" w:eastAsia="Batang" w:hAnsiTheme="majorHAnsi"/>
          <w:sz w:val="20"/>
          <w:szCs w:val="20"/>
          <w:bdr w:val="none" w:sz="0" w:space="0" w:color="auto"/>
          <w:lang w:val="pt-BR"/>
        </w:rPr>
        <w:t>ção</w:t>
      </w:r>
      <w:r w:rsidR="002649F0" w:rsidRPr="006D1C74">
        <w:rPr>
          <w:rFonts w:asciiTheme="majorHAnsi" w:eastAsia="Batang" w:hAnsiTheme="majorHAnsi"/>
          <w:sz w:val="20"/>
          <w:szCs w:val="20"/>
          <w:bdr w:val="none" w:sz="0" w:space="0" w:color="auto"/>
          <w:lang w:val="pt-BR"/>
        </w:rPr>
        <w:t xml:space="preserve"> de pr</w:t>
      </w:r>
      <w:r w:rsidR="006E610A" w:rsidRPr="006D1C74">
        <w:rPr>
          <w:rFonts w:asciiTheme="majorHAnsi" w:eastAsia="Batang" w:hAnsiTheme="majorHAnsi"/>
          <w:sz w:val="20"/>
          <w:szCs w:val="20"/>
          <w:bdr w:val="none" w:sz="0" w:space="0" w:color="auto"/>
          <w:lang w:val="pt-BR"/>
        </w:rPr>
        <w:t>é</w:t>
      </w:r>
      <w:r w:rsidR="002649F0" w:rsidRPr="006D1C74">
        <w:rPr>
          <w:rFonts w:asciiTheme="majorHAnsi" w:eastAsia="Batang" w:hAnsiTheme="majorHAnsi"/>
          <w:sz w:val="20"/>
          <w:szCs w:val="20"/>
          <w:bdr w:val="none" w:sz="0" w:space="0" w:color="auto"/>
          <w:lang w:val="pt-BR"/>
        </w:rPr>
        <w:t>dios públicos</w:t>
      </w:r>
      <w:r w:rsidR="00CF037E" w:rsidRPr="006D1C74">
        <w:rPr>
          <w:rFonts w:asciiTheme="majorHAnsi" w:eastAsia="Batang" w:hAnsiTheme="majorHAnsi"/>
          <w:sz w:val="20"/>
          <w:szCs w:val="20"/>
          <w:bdr w:val="none" w:sz="0" w:space="0" w:color="auto"/>
          <w:lang w:val="pt-BR"/>
        </w:rPr>
        <w:t xml:space="preserve"> e</w:t>
      </w:r>
      <w:r w:rsidR="00700267" w:rsidRPr="006D1C74">
        <w:rPr>
          <w:rFonts w:asciiTheme="majorHAnsi" w:eastAsia="Batang" w:hAnsiTheme="majorHAnsi"/>
          <w:sz w:val="20"/>
          <w:szCs w:val="20"/>
          <w:bdr w:val="none" w:sz="0" w:space="0" w:color="auto"/>
          <w:lang w:val="pt-BR"/>
        </w:rPr>
        <w:t xml:space="preserve"> a </w:t>
      </w:r>
      <w:r w:rsidR="002649F0" w:rsidRPr="006D1C74">
        <w:rPr>
          <w:rFonts w:asciiTheme="majorHAnsi" w:eastAsia="Batang" w:hAnsiTheme="majorHAnsi"/>
          <w:sz w:val="20"/>
          <w:szCs w:val="20"/>
          <w:bdr w:val="none" w:sz="0" w:space="0" w:color="auto"/>
          <w:lang w:val="pt-BR"/>
        </w:rPr>
        <w:t>po</w:t>
      </w:r>
      <w:r w:rsidR="006E610A" w:rsidRPr="006D1C74">
        <w:rPr>
          <w:rFonts w:asciiTheme="majorHAnsi" w:eastAsia="Batang" w:hAnsiTheme="majorHAnsi"/>
          <w:sz w:val="20"/>
          <w:szCs w:val="20"/>
          <w:bdr w:val="none" w:sz="0" w:space="0" w:color="auto"/>
          <w:lang w:val="pt-BR"/>
        </w:rPr>
        <w:t>s</w:t>
      </w:r>
      <w:r w:rsidR="002649F0" w:rsidRPr="006D1C74">
        <w:rPr>
          <w:rFonts w:asciiTheme="majorHAnsi" w:eastAsia="Batang" w:hAnsiTheme="majorHAnsi"/>
          <w:sz w:val="20"/>
          <w:szCs w:val="20"/>
          <w:bdr w:val="none" w:sz="0" w:space="0" w:color="auto"/>
          <w:lang w:val="pt-BR"/>
        </w:rPr>
        <w:t>se de armas</w:t>
      </w:r>
      <w:r w:rsidR="00CF037E" w:rsidRPr="006D1C74">
        <w:rPr>
          <w:rFonts w:asciiTheme="majorHAnsi" w:eastAsia="Batang" w:hAnsiTheme="majorHAnsi"/>
          <w:sz w:val="20"/>
          <w:szCs w:val="20"/>
          <w:bdr w:val="none" w:sz="0" w:space="0" w:color="auto"/>
          <w:lang w:val="pt-BR"/>
        </w:rPr>
        <w:t xml:space="preserve"> e </w:t>
      </w:r>
      <w:r w:rsidR="002649F0" w:rsidRPr="006D1C74">
        <w:rPr>
          <w:rFonts w:asciiTheme="majorHAnsi" w:eastAsia="Batang" w:hAnsiTheme="majorHAnsi"/>
          <w:sz w:val="20"/>
          <w:szCs w:val="20"/>
          <w:bdr w:val="none" w:sz="0" w:space="0" w:color="auto"/>
          <w:lang w:val="pt-BR"/>
        </w:rPr>
        <w:t xml:space="preserve">de </w:t>
      </w:r>
      <w:r w:rsidR="006E610A" w:rsidRPr="006D1C74">
        <w:rPr>
          <w:rFonts w:asciiTheme="majorHAnsi" w:eastAsia="Batang" w:hAnsiTheme="majorHAnsi"/>
          <w:sz w:val="20"/>
          <w:szCs w:val="20"/>
          <w:bdr w:val="none" w:sz="0" w:space="0" w:color="auto"/>
          <w:lang w:val="pt-BR"/>
        </w:rPr>
        <w:t>f</w:t>
      </w:r>
      <w:r w:rsidR="002649F0" w:rsidRPr="006D1C74">
        <w:rPr>
          <w:rFonts w:asciiTheme="majorHAnsi" w:eastAsia="Batang" w:hAnsiTheme="majorHAnsi"/>
          <w:sz w:val="20"/>
          <w:szCs w:val="20"/>
          <w:bdr w:val="none" w:sz="0" w:space="0" w:color="auto"/>
          <w:lang w:val="pt-BR"/>
        </w:rPr>
        <w:t>erramentas que pud</w:t>
      </w:r>
      <w:r w:rsidR="006E610A" w:rsidRPr="006D1C74">
        <w:rPr>
          <w:rFonts w:asciiTheme="majorHAnsi" w:eastAsia="Batang" w:hAnsiTheme="majorHAnsi"/>
          <w:sz w:val="20"/>
          <w:szCs w:val="20"/>
          <w:bdr w:val="none" w:sz="0" w:space="0" w:color="auto"/>
          <w:lang w:val="pt-BR"/>
        </w:rPr>
        <w:t xml:space="preserve">essem </w:t>
      </w:r>
      <w:r w:rsidR="002649F0" w:rsidRPr="006D1C74">
        <w:rPr>
          <w:rFonts w:asciiTheme="majorHAnsi" w:eastAsia="Batang" w:hAnsiTheme="majorHAnsi"/>
          <w:sz w:val="20"/>
          <w:szCs w:val="20"/>
          <w:bdr w:val="none" w:sz="0" w:space="0" w:color="auto"/>
          <w:lang w:val="pt-BR"/>
        </w:rPr>
        <w:t>ser usadas como t</w:t>
      </w:r>
      <w:r w:rsidR="00700267" w:rsidRPr="006D1C74">
        <w:rPr>
          <w:rFonts w:asciiTheme="majorHAnsi" w:eastAsia="Batang" w:hAnsiTheme="majorHAnsi"/>
          <w:sz w:val="20"/>
          <w:szCs w:val="20"/>
          <w:bdr w:val="none" w:sz="0" w:space="0" w:color="auto"/>
          <w:lang w:val="pt-BR"/>
        </w:rPr>
        <w:t>ais</w:t>
      </w:r>
      <w:r w:rsidR="002649F0" w:rsidRPr="006D1C74">
        <w:rPr>
          <w:rFonts w:asciiTheme="majorHAnsi" w:eastAsia="Batang" w:hAnsiTheme="majorHAnsi"/>
          <w:sz w:val="20"/>
          <w:szCs w:val="20"/>
          <w:bdr w:val="none" w:sz="0" w:space="0" w:color="auto"/>
          <w:vertAlign w:val="superscript"/>
          <w:lang w:val="pt-BR"/>
        </w:rPr>
        <w:footnoteReference w:id="12"/>
      </w:r>
      <w:r w:rsidR="002649F0" w:rsidRPr="006D1C74">
        <w:rPr>
          <w:rFonts w:asciiTheme="majorHAnsi" w:eastAsia="Batang" w:hAnsiTheme="majorHAnsi"/>
          <w:sz w:val="20"/>
          <w:szCs w:val="20"/>
          <w:bdr w:val="none" w:sz="0" w:space="0" w:color="auto"/>
          <w:lang w:val="pt-BR"/>
        </w:rPr>
        <w:t>.</w:t>
      </w:r>
      <w:r w:rsidR="002649F0" w:rsidRPr="006D1C74">
        <w:rPr>
          <w:rFonts w:asciiTheme="majorHAnsi" w:hAnsiTheme="majorHAnsi"/>
          <w:color w:val="000000"/>
          <w:sz w:val="20"/>
          <w:szCs w:val="20"/>
          <w:lang w:val="pt-BR"/>
        </w:rPr>
        <w:t xml:space="preserve"> </w:t>
      </w:r>
    </w:p>
    <w:p w14:paraId="6A86BD72" w14:textId="77777777" w:rsidR="002649F0" w:rsidRPr="006D1C74" w:rsidRDefault="002649F0" w:rsidP="002649F0">
      <w:pPr>
        <w:ind w:left="720"/>
        <w:rPr>
          <w:rFonts w:asciiTheme="majorHAnsi" w:eastAsia="Batang" w:hAnsiTheme="majorHAnsi" w:cs="Cambria"/>
          <w:color w:val="000000"/>
          <w:sz w:val="20"/>
          <w:szCs w:val="20"/>
          <w:u w:color="000000"/>
          <w:bdr w:val="none" w:sz="0" w:space="0" w:color="auto"/>
          <w:lang w:val="pt-BR" w:eastAsia="es-ES"/>
        </w:rPr>
      </w:pPr>
    </w:p>
    <w:p w14:paraId="4E1EBA0C"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6D1C74">
        <w:rPr>
          <w:rFonts w:asciiTheme="majorHAnsi" w:eastAsia="Batang" w:hAnsiTheme="majorHAnsi"/>
          <w:sz w:val="20"/>
          <w:szCs w:val="20"/>
          <w:bdr w:val="none" w:sz="0" w:space="0" w:color="auto"/>
          <w:lang w:val="pt-BR"/>
        </w:rPr>
        <w:t>Esta a</w:t>
      </w:r>
      <w:r w:rsidR="00CF037E" w:rsidRPr="006D1C74">
        <w:rPr>
          <w:rFonts w:asciiTheme="majorHAnsi" w:eastAsia="Batang" w:hAnsiTheme="majorHAnsi"/>
          <w:sz w:val="20"/>
          <w:szCs w:val="20"/>
          <w:bdr w:val="none" w:sz="0" w:space="0" w:color="auto"/>
          <w:lang w:val="pt-BR"/>
        </w:rPr>
        <w:t>ção</w:t>
      </w:r>
      <w:r w:rsidRPr="006D1C74">
        <w:rPr>
          <w:rFonts w:asciiTheme="majorHAnsi" w:eastAsia="Batang" w:hAnsiTheme="majorHAnsi"/>
          <w:sz w:val="20"/>
          <w:szCs w:val="20"/>
          <w:bdr w:val="none" w:sz="0" w:space="0" w:color="auto"/>
          <w:lang w:val="pt-BR"/>
        </w:rPr>
        <w:t xml:space="preserve"> </w:t>
      </w:r>
      <w:r w:rsidR="006E610A" w:rsidRPr="006D1C74">
        <w:rPr>
          <w:rFonts w:asciiTheme="majorHAnsi" w:eastAsia="Batang" w:hAnsiTheme="majorHAnsi"/>
          <w:sz w:val="20"/>
          <w:szCs w:val="20"/>
          <w:bdr w:val="none" w:sz="0" w:space="0" w:color="auto"/>
          <w:lang w:val="pt-BR"/>
        </w:rPr>
        <w:t>baseou-</w:t>
      </w:r>
      <w:r w:rsidRPr="006D1C74">
        <w:rPr>
          <w:rFonts w:asciiTheme="majorHAnsi" w:eastAsia="Batang" w:hAnsiTheme="majorHAnsi"/>
          <w:sz w:val="20"/>
          <w:szCs w:val="20"/>
          <w:bdr w:val="none" w:sz="0" w:space="0" w:color="auto"/>
          <w:lang w:val="pt-BR"/>
        </w:rPr>
        <w:t xml:space="preserve">se </w:t>
      </w:r>
      <w:r w:rsidR="00F673C7" w:rsidRPr="006D1C74">
        <w:rPr>
          <w:rFonts w:asciiTheme="majorHAnsi" w:eastAsia="Batang" w:hAnsiTheme="majorHAnsi"/>
          <w:sz w:val="20"/>
          <w:szCs w:val="20"/>
          <w:bdr w:val="none" w:sz="0" w:space="0" w:color="auto"/>
          <w:lang w:val="pt-BR"/>
        </w:rPr>
        <w:t xml:space="preserve">na </w:t>
      </w:r>
      <w:r w:rsidR="00585D35" w:rsidRPr="006D1C74">
        <w:rPr>
          <w:rFonts w:asciiTheme="majorHAnsi" w:eastAsia="Batang" w:hAnsiTheme="majorHAnsi"/>
          <w:sz w:val="20"/>
          <w:szCs w:val="20"/>
          <w:bdr w:val="none" w:sz="0" w:space="0" w:color="auto"/>
          <w:lang w:val="pt-BR"/>
        </w:rPr>
        <w:t>ordem</w:t>
      </w:r>
      <w:r w:rsidRPr="006D1C74">
        <w:rPr>
          <w:rFonts w:asciiTheme="majorHAnsi" w:eastAsia="Batang" w:hAnsiTheme="majorHAnsi"/>
          <w:sz w:val="20"/>
          <w:szCs w:val="20"/>
          <w:bdr w:val="none" w:sz="0" w:space="0" w:color="auto"/>
          <w:lang w:val="pt-BR"/>
        </w:rPr>
        <w:t xml:space="preserve"> de alerta</w:t>
      </w:r>
      <w:r w:rsidR="00030019" w:rsidRPr="006D1C74">
        <w:rPr>
          <w:rFonts w:asciiTheme="majorHAnsi" w:eastAsia="Batang" w:hAnsiTheme="majorHAnsi"/>
          <w:sz w:val="20"/>
          <w:szCs w:val="20"/>
          <w:bdr w:val="none" w:sz="0" w:space="0" w:color="auto"/>
          <w:lang w:val="pt-BR"/>
        </w:rPr>
        <w:t xml:space="preserve"> do </w:t>
      </w:r>
      <w:r w:rsidRPr="006D1C74">
        <w:rPr>
          <w:rFonts w:asciiTheme="majorHAnsi" w:eastAsia="Batang" w:hAnsiTheme="majorHAnsi"/>
          <w:sz w:val="20"/>
          <w:szCs w:val="20"/>
          <w:bdr w:val="none" w:sz="0" w:space="0" w:color="auto"/>
          <w:lang w:val="pt-BR"/>
        </w:rPr>
        <w:t>Secret</w:t>
      </w:r>
      <w:r w:rsidR="006E610A" w:rsidRPr="006D1C74">
        <w:rPr>
          <w:rFonts w:asciiTheme="majorHAnsi" w:eastAsia="Batang" w:hAnsiTheme="majorHAnsi"/>
          <w:sz w:val="20"/>
          <w:szCs w:val="20"/>
          <w:bdr w:val="none" w:sz="0" w:space="0" w:color="auto"/>
          <w:lang w:val="pt-BR"/>
        </w:rPr>
        <w:t>á</w:t>
      </w:r>
      <w:r w:rsidRPr="006D1C74">
        <w:rPr>
          <w:rFonts w:asciiTheme="majorHAnsi" w:eastAsia="Batang" w:hAnsiTheme="majorHAnsi"/>
          <w:sz w:val="20"/>
          <w:szCs w:val="20"/>
          <w:bdr w:val="none" w:sz="0" w:space="0" w:color="auto"/>
          <w:lang w:val="pt-BR"/>
        </w:rPr>
        <w:t>rio de Segur</w:t>
      </w:r>
      <w:r w:rsidR="006E610A" w:rsidRPr="006D1C74">
        <w:rPr>
          <w:rFonts w:asciiTheme="majorHAnsi" w:eastAsia="Batang" w:hAnsiTheme="majorHAnsi"/>
          <w:sz w:val="20"/>
          <w:szCs w:val="20"/>
          <w:bdr w:val="none" w:sz="0" w:space="0" w:color="auto"/>
          <w:lang w:val="pt-BR"/>
        </w:rPr>
        <w:t>ança</w:t>
      </w:r>
      <w:r w:rsidR="00F673C7" w:rsidRPr="006D1C74">
        <w:rPr>
          <w:rFonts w:asciiTheme="majorHAnsi" w:eastAsia="Batang" w:hAnsiTheme="majorHAnsi"/>
          <w:sz w:val="20"/>
          <w:szCs w:val="20"/>
          <w:bdr w:val="none" w:sz="0" w:space="0" w:color="auto"/>
          <w:lang w:val="pt-BR"/>
        </w:rPr>
        <w:t xml:space="preserve"> </w:t>
      </w:r>
      <w:r w:rsidRPr="006D1C74">
        <w:rPr>
          <w:rFonts w:asciiTheme="majorHAnsi" w:eastAsia="Batang" w:hAnsiTheme="majorHAnsi"/>
          <w:sz w:val="20"/>
          <w:szCs w:val="20"/>
          <w:bdr w:val="none" w:sz="0" w:space="0" w:color="auto"/>
          <w:lang w:val="pt-BR"/>
        </w:rPr>
        <w:t xml:space="preserve">Pública </w:t>
      </w:r>
      <w:r w:rsidR="000D2A81" w:rsidRPr="006D1C74">
        <w:rPr>
          <w:rFonts w:asciiTheme="majorHAnsi" w:eastAsia="Batang" w:hAnsiTheme="majorHAnsi"/>
          <w:sz w:val="20"/>
          <w:szCs w:val="20"/>
          <w:bdr w:val="none" w:sz="0" w:space="0" w:color="auto"/>
          <w:lang w:val="pt-BR"/>
        </w:rPr>
        <w:t>do Paraná</w:t>
      </w:r>
      <w:r w:rsidRPr="006D1C74">
        <w:rPr>
          <w:rFonts w:asciiTheme="majorHAnsi" w:eastAsia="Batang" w:hAnsiTheme="majorHAnsi"/>
          <w:sz w:val="20"/>
          <w:szCs w:val="20"/>
          <w:bdr w:val="none" w:sz="0" w:space="0" w:color="auto"/>
          <w:vertAlign w:val="superscript"/>
          <w:lang w:val="pt-BR"/>
        </w:rPr>
        <w:footnoteReference w:id="13"/>
      </w:r>
      <w:r w:rsidR="00F673C7" w:rsidRPr="006D1C74">
        <w:rPr>
          <w:rFonts w:asciiTheme="majorHAnsi" w:eastAsia="Batang" w:hAnsiTheme="majorHAnsi"/>
          <w:sz w:val="20"/>
          <w:szCs w:val="20"/>
          <w:bdr w:val="none" w:sz="0" w:space="0" w:color="auto"/>
          <w:lang w:val="pt-BR"/>
        </w:rPr>
        <w:t xml:space="preserve"> </w:t>
      </w:r>
      <w:r w:rsidR="006E610A" w:rsidRPr="006D1C74">
        <w:rPr>
          <w:rFonts w:asciiTheme="majorHAnsi" w:eastAsia="Batang" w:hAnsiTheme="majorHAnsi"/>
          <w:sz w:val="20"/>
          <w:szCs w:val="20"/>
          <w:bdr w:val="none" w:sz="0" w:space="0" w:color="auto"/>
          <w:lang w:val="pt-BR"/>
        </w:rPr>
        <w:t>sobre possíveis</w:t>
      </w:r>
      <w:r w:rsidRPr="006D1C74">
        <w:rPr>
          <w:rFonts w:asciiTheme="majorHAnsi" w:eastAsia="Batang" w:hAnsiTheme="majorHAnsi"/>
          <w:sz w:val="20"/>
          <w:szCs w:val="20"/>
          <w:bdr w:val="none" w:sz="0" w:space="0" w:color="auto"/>
          <w:lang w:val="pt-BR"/>
        </w:rPr>
        <w:t xml:space="preserve"> manifesta</w:t>
      </w:r>
      <w:r w:rsidR="00CF037E" w:rsidRPr="006D1C74">
        <w:rPr>
          <w:rFonts w:asciiTheme="majorHAnsi" w:eastAsia="Batang" w:hAnsiTheme="majorHAnsi"/>
          <w:sz w:val="20"/>
          <w:szCs w:val="20"/>
          <w:bdr w:val="none" w:sz="0" w:space="0" w:color="auto"/>
          <w:lang w:val="pt-BR"/>
        </w:rPr>
        <w:t>ções e</w:t>
      </w:r>
      <w:r w:rsidR="00F673C7" w:rsidRPr="006D1C74">
        <w:rPr>
          <w:rFonts w:asciiTheme="majorHAnsi" w:eastAsia="Batang" w:hAnsiTheme="majorHAnsi"/>
          <w:sz w:val="20"/>
          <w:szCs w:val="20"/>
          <w:bdr w:val="none" w:sz="0" w:space="0" w:color="auto"/>
          <w:lang w:val="pt-BR"/>
        </w:rPr>
        <w:t xml:space="preserve"> na </w:t>
      </w:r>
      <w:r w:rsidRPr="006D1C74">
        <w:rPr>
          <w:rFonts w:asciiTheme="majorHAnsi" w:eastAsia="Batang" w:hAnsiTheme="majorHAnsi"/>
          <w:sz w:val="20"/>
          <w:szCs w:val="20"/>
          <w:bdr w:val="none" w:sz="0" w:space="0" w:color="auto"/>
          <w:lang w:val="pt-BR"/>
        </w:rPr>
        <w:t>interdi</w:t>
      </w:r>
      <w:r w:rsidR="00CF037E" w:rsidRPr="006D1C74">
        <w:rPr>
          <w:rFonts w:asciiTheme="majorHAnsi" w:eastAsia="Batang" w:hAnsiTheme="majorHAnsi"/>
          <w:sz w:val="20"/>
          <w:szCs w:val="20"/>
          <w:bdr w:val="none" w:sz="0" w:space="0" w:color="auto"/>
          <w:lang w:val="pt-BR"/>
        </w:rPr>
        <w:t>ção</w:t>
      </w:r>
      <w:r w:rsidRPr="006D1C74">
        <w:rPr>
          <w:rFonts w:asciiTheme="majorHAnsi" w:eastAsia="Batang" w:hAnsiTheme="majorHAnsi"/>
          <w:sz w:val="20"/>
          <w:szCs w:val="20"/>
          <w:bdr w:val="none" w:sz="0" w:space="0" w:color="auto"/>
          <w:lang w:val="pt-BR"/>
        </w:rPr>
        <w:t xml:space="preserve"> </w:t>
      </w:r>
      <w:r w:rsidR="00010861" w:rsidRPr="006D1C74">
        <w:rPr>
          <w:rFonts w:asciiTheme="majorHAnsi" w:eastAsia="Batang" w:hAnsiTheme="majorHAnsi"/>
          <w:sz w:val="20"/>
          <w:szCs w:val="20"/>
          <w:bdr w:val="none" w:sz="0" w:space="0" w:color="auto"/>
          <w:lang w:val="pt-BR"/>
        </w:rPr>
        <w:t>proibitória</w:t>
      </w:r>
      <w:r w:rsidRPr="006D1C74">
        <w:rPr>
          <w:rFonts w:asciiTheme="majorHAnsi" w:eastAsia="Batang" w:hAnsiTheme="majorHAnsi"/>
          <w:sz w:val="20"/>
          <w:szCs w:val="20"/>
          <w:bdr w:val="none" w:sz="0" w:space="0" w:color="auto"/>
          <w:lang w:val="pt-BR"/>
        </w:rPr>
        <w:t xml:space="preserve"> 21/2000</w:t>
      </w:r>
      <w:r w:rsidRPr="006D1C74">
        <w:rPr>
          <w:rFonts w:asciiTheme="majorHAnsi" w:eastAsia="Batang" w:hAnsiTheme="majorHAnsi"/>
          <w:sz w:val="20"/>
          <w:szCs w:val="20"/>
          <w:bdr w:val="none" w:sz="0" w:space="0" w:color="auto"/>
          <w:vertAlign w:val="superscript"/>
          <w:lang w:val="pt-BR"/>
        </w:rPr>
        <w:footnoteReference w:id="14"/>
      </w:r>
      <w:r w:rsidRPr="006D1C74">
        <w:rPr>
          <w:rFonts w:asciiTheme="majorHAnsi" w:eastAsia="Batang" w:hAnsiTheme="majorHAnsi"/>
          <w:sz w:val="20"/>
          <w:szCs w:val="20"/>
          <w:bdr w:val="none" w:sz="0" w:space="0" w:color="auto"/>
          <w:lang w:val="pt-BR"/>
        </w:rPr>
        <w:t>, mediante</w:t>
      </w:r>
      <w:r w:rsidR="00700267" w:rsidRPr="006D1C74">
        <w:rPr>
          <w:rFonts w:asciiTheme="majorHAnsi" w:eastAsia="Batang" w:hAnsiTheme="majorHAnsi"/>
          <w:sz w:val="20"/>
          <w:szCs w:val="20"/>
          <w:bdr w:val="none" w:sz="0" w:space="0" w:color="auto"/>
          <w:lang w:val="pt-BR"/>
        </w:rPr>
        <w:t xml:space="preserve"> a </w:t>
      </w:r>
      <w:r w:rsidR="006E610A" w:rsidRPr="006D1C74">
        <w:rPr>
          <w:rFonts w:asciiTheme="majorHAnsi" w:eastAsia="Batang" w:hAnsiTheme="majorHAnsi"/>
          <w:sz w:val="20"/>
          <w:szCs w:val="20"/>
          <w:bdr w:val="none" w:sz="0" w:space="0" w:color="auto"/>
          <w:lang w:val="pt-BR"/>
        </w:rPr>
        <w:t>q</w:t>
      </w:r>
      <w:r w:rsidRPr="006D1C74">
        <w:rPr>
          <w:rFonts w:asciiTheme="majorHAnsi" w:eastAsia="Batang" w:hAnsiTheme="majorHAnsi"/>
          <w:sz w:val="20"/>
          <w:szCs w:val="20"/>
          <w:bdr w:val="none" w:sz="0" w:space="0" w:color="auto"/>
          <w:lang w:val="pt-BR"/>
        </w:rPr>
        <w:t>ual se proib</w:t>
      </w:r>
      <w:r w:rsidR="00055622" w:rsidRPr="006D1C74">
        <w:rPr>
          <w:rFonts w:asciiTheme="majorHAnsi" w:eastAsia="Batang" w:hAnsiTheme="majorHAnsi"/>
          <w:sz w:val="20"/>
          <w:szCs w:val="20"/>
          <w:bdr w:val="none" w:sz="0" w:space="0" w:color="auto"/>
          <w:lang w:val="pt-BR"/>
        </w:rPr>
        <w:t>ia</w:t>
      </w:r>
      <w:r w:rsidR="00700267" w:rsidRPr="006D1C74">
        <w:rPr>
          <w:rFonts w:asciiTheme="majorHAnsi" w:eastAsia="Batang" w:hAnsiTheme="majorHAnsi"/>
          <w:sz w:val="20"/>
          <w:szCs w:val="20"/>
          <w:bdr w:val="none" w:sz="0" w:space="0" w:color="auto"/>
          <w:lang w:val="pt-BR"/>
        </w:rPr>
        <w:t xml:space="preserve"> a </w:t>
      </w:r>
      <w:r w:rsidRPr="006D1C74">
        <w:rPr>
          <w:rFonts w:asciiTheme="majorHAnsi" w:eastAsia="Batang" w:hAnsiTheme="majorHAnsi"/>
          <w:sz w:val="20"/>
          <w:szCs w:val="20"/>
          <w:bdr w:val="none" w:sz="0" w:space="0" w:color="auto"/>
          <w:lang w:val="pt-BR"/>
        </w:rPr>
        <w:t>ocupa</w:t>
      </w:r>
      <w:r w:rsidR="00CF037E" w:rsidRPr="006D1C74">
        <w:rPr>
          <w:rFonts w:asciiTheme="majorHAnsi" w:eastAsia="Batang" w:hAnsiTheme="majorHAnsi"/>
          <w:sz w:val="20"/>
          <w:szCs w:val="20"/>
          <w:bdr w:val="none" w:sz="0" w:space="0" w:color="auto"/>
          <w:lang w:val="pt-BR"/>
        </w:rPr>
        <w:t>ção</w:t>
      </w:r>
      <w:r w:rsidRPr="006D1C74">
        <w:rPr>
          <w:rFonts w:asciiTheme="majorHAnsi" w:eastAsia="Batang" w:hAnsiTheme="majorHAnsi"/>
          <w:sz w:val="20"/>
          <w:szCs w:val="20"/>
          <w:bdr w:val="none" w:sz="0" w:space="0" w:color="auto"/>
          <w:lang w:val="pt-BR"/>
        </w:rPr>
        <w:t xml:space="preserve"> de </w:t>
      </w:r>
      <w:r w:rsidR="006E610A" w:rsidRPr="006D1C74">
        <w:rPr>
          <w:rFonts w:asciiTheme="majorHAnsi" w:eastAsia="Batang" w:hAnsiTheme="majorHAnsi"/>
          <w:sz w:val="20"/>
          <w:szCs w:val="20"/>
          <w:bdr w:val="none" w:sz="0" w:space="0" w:color="auto"/>
          <w:lang w:val="pt-BR"/>
        </w:rPr>
        <w:t>prédio</w:t>
      </w:r>
      <w:r w:rsidRPr="006D1C74">
        <w:rPr>
          <w:rFonts w:asciiTheme="majorHAnsi" w:eastAsia="Batang" w:hAnsiTheme="majorHAnsi"/>
          <w:sz w:val="20"/>
          <w:szCs w:val="20"/>
          <w:bdr w:val="none" w:sz="0" w:space="0" w:color="auto"/>
          <w:lang w:val="pt-BR"/>
        </w:rPr>
        <w:t>s públicos de uso especial</w:t>
      </w:r>
      <w:r w:rsidR="00030019" w:rsidRPr="006D1C74">
        <w:rPr>
          <w:rFonts w:asciiTheme="majorHAnsi" w:eastAsia="Batang" w:hAnsiTheme="majorHAnsi"/>
          <w:sz w:val="20"/>
          <w:szCs w:val="20"/>
          <w:bdr w:val="none" w:sz="0" w:space="0" w:color="auto"/>
          <w:lang w:val="pt-BR"/>
        </w:rPr>
        <w:t xml:space="preserve"> do </w:t>
      </w:r>
      <w:r w:rsidRPr="006D1C74">
        <w:rPr>
          <w:rFonts w:asciiTheme="majorHAnsi" w:eastAsia="Batang" w:hAnsiTheme="majorHAnsi"/>
          <w:sz w:val="20"/>
          <w:szCs w:val="20"/>
          <w:bdr w:val="none" w:sz="0" w:space="0" w:color="auto"/>
          <w:lang w:val="pt-BR"/>
        </w:rPr>
        <w:t>Estado situados</w:t>
      </w:r>
      <w:r w:rsidR="00FC2F62" w:rsidRPr="006D1C74">
        <w:rPr>
          <w:rFonts w:asciiTheme="majorHAnsi" w:eastAsia="Batang" w:hAnsiTheme="majorHAnsi"/>
          <w:sz w:val="20"/>
          <w:szCs w:val="20"/>
          <w:bdr w:val="none" w:sz="0" w:space="0" w:color="auto"/>
          <w:lang w:val="pt-BR"/>
        </w:rPr>
        <w:t xml:space="preserve"> no </w:t>
      </w:r>
      <w:r w:rsidRPr="006D1C74">
        <w:rPr>
          <w:rFonts w:asciiTheme="majorHAnsi" w:eastAsia="Batang" w:hAnsiTheme="majorHAnsi"/>
          <w:sz w:val="20"/>
          <w:szCs w:val="20"/>
          <w:bdr w:val="none" w:sz="0" w:space="0" w:color="auto"/>
          <w:lang w:val="pt-BR"/>
        </w:rPr>
        <w:t>centro cívico de Curitiba</w:t>
      </w:r>
      <w:r w:rsidRPr="006D1C74">
        <w:rPr>
          <w:rFonts w:asciiTheme="majorHAnsi" w:eastAsia="Batang" w:hAnsiTheme="majorHAnsi"/>
          <w:sz w:val="20"/>
          <w:szCs w:val="20"/>
          <w:bdr w:val="none" w:sz="0" w:space="0" w:color="auto"/>
          <w:vertAlign w:val="superscript"/>
          <w:lang w:val="pt-BR"/>
        </w:rPr>
        <w:footnoteReference w:id="15"/>
      </w:r>
      <w:r w:rsidRPr="006D1C74">
        <w:rPr>
          <w:rFonts w:asciiTheme="majorHAnsi" w:eastAsia="Batang" w:hAnsiTheme="majorHAnsi"/>
          <w:sz w:val="20"/>
          <w:szCs w:val="20"/>
          <w:bdr w:val="none" w:sz="0" w:space="0" w:color="auto"/>
          <w:lang w:val="pt-BR"/>
        </w:rPr>
        <w:t>.</w:t>
      </w:r>
      <w:r w:rsidR="00F673C7" w:rsidRPr="006D1C74">
        <w:rPr>
          <w:rFonts w:asciiTheme="majorHAnsi" w:eastAsia="Batang" w:hAnsiTheme="majorHAnsi"/>
          <w:sz w:val="20"/>
          <w:szCs w:val="20"/>
          <w:bdr w:val="none" w:sz="0" w:space="0" w:color="auto"/>
          <w:lang w:val="pt-BR"/>
        </w:rPr>
        <w:t xml:space="preserve"> </w:t>
      </w:r>
      <w:r w:rsidR="00C6461F" w:rsidRPr="006D1C74">
        <w:rPr>
          <w:rFonts w:asciiTheme="majorHAnsi" w:eastAsia="Batang" w:hAnsiTheme="majorHAnsi"/>
          <w:sz w:val="20"/>
          <w:szCs w:val="20"/>
          <w:bdr w:val="none" w:sz="0" w:space="0" w:color="auto"/>
          <w:lang w:val="pt-BR"/>
        </w:rPr>
        <w:t>Ess</w:t>
      </w:r>
      <w:r w:rsidRPr="006D1C74">
        <w:rPr>
          <w:rFonts w:asciiTheme="majorHAnsi" w:eastAsia="Batang" w:hAnsiTheme="majorHAnsi"/>
          <w:sz w:val="20"/>
          <w:szCs w:val="20"/>
          <w:bdr w:val="none" w:sz="0" w:space="0" w:color="auto"/>
          <w:lang w:val="pt-BR"/>
        </w:rPr>
        <w:t>a deci</w:t>
      </w:r>
      <w:r w:rsidR="0094446B" w:rsidRPr="006D1C74">
        <w:rPr>
          <w:rFonts w:asciiTheme="majorHAnsi" w:eastAsia="Batang" w:hAnsiTheme="majorHAnsi"/>
          <w:sz w:val="20"/>
          <w:szCs w:val="20"/>
          <w:bdr w:val="none" w:sz="0" w:space="0" w:color="auto"/>
          <w:lang w:val="pt-BR"/>
        </w:rPr>
        <w:t>são</w:t>
      </w:r>
      <w:r w:rsidRPr="006D1C74">
        <w:rPr>
          <w:rFonts w:asciiTheme="majorHAnsi" w:eastAsia="Batang" w:hAnsiTheme="majorHAnsi"/>
          <w:sz w:val="20"/>
          <w:szCs w:val="20"/>
          <w:bdr w:val="none" w:sz="0" w:space="0" w:color="auto"/>
          <w:lang w:val="pt-BR"/>
        </w:rPr>
        <w:t xml:space="preserve"> judicial </w:t>
      </w:r>
      <w:r w:rsidR="00C6461F" w:rsidRPr="006D1C74">
        <w:rPr>
          <w:rFonts w:asciiTheme="majorHAnsi" w:eastAsia="Batang" w:hAnsiTheme="majorHAnsi"/>
          <w:sz w:val="20"/>
          <w:szCs w:val="20"/>
          <w:bdr w:val="none" w:sz="0" w:space="0" w:color="auto"/>
          <w:lang w:val="pt-BR"/>
        </w:rPr>
        <w:t>indicava</w:t>
      </w:r>
      <w:r w:rsidRPr="006D1C74">
        <w:rPr>
          <w:rFonts w:asciiTheme="majorHAnsi" w:eastAsia="Batang" w:hAnsiTheme="majorHAnsi"/>
          <w:sz w:val="20"/>
          <w:szCs w:val="20"/>
          <w:bdr w:val="none" w:sz="0" w:space="0" w:color="auto"/>
          <w:lang w:val="pt-BR"/>
        </w:rPr>
        <w:t xml:space="preserve"> expre</w:t>
      </w:r>
      <w:r w:rsidR="00C6461F" w:rsidRPr="006D1C74">
        <w:rPr>
          <w:rFonts w:asciiTheme="majorHAnsi" w:eastAsia="Batang" w:hAnsiTheme="majorHAnsi"/>
          <w:sz w:val="20"/>
          <w:szCs w:val="20"/>
          <w:bdr w:val="none" w:sz="0" w:space="0" w:color="auto"/>
          <w:lang w:val="pt-BR"/>
        </w:rPr>
        <w:t>s</w:t>
      </w:r>
      <w:r w:rsidRPr="006D1C74">
        <w:rPr>
          <w:rFonts w:asciiTheme="majorHAnsi" w:eastAsia="Batang" w:hAnsiTheme="majorHAnsi"/>
          <w:sz w:val="20"/>
          <w:szCs w:val="20"/>
          <w:bdr w:val="none" w:sz="0" w:space="0" w:color="auto"/>
          <w:lang w:val="pt-BR"/>
        </w:rPr>
        <w:t>samente que</w:t>
      </w:r>
      <w:r w:rsidR="00F673C7" w:rsidRPr="006D1C74">
        <w:rPr>
          <w:rFonts w:asciiTheme="majorHAnsi" w:eastAsia="Batang" w:hAnsiTheme="majorHAnsi"/>
          <w:sz w:val="20"/>
          <w:szCs w:val="20"/>
          <w:bdr w:val="none" w:sz="0" w:space="0" w:color="auto"/>
          <w:lang w:val="pt-BR"/>
        </w:rPr>
        <w:t xml:space="preserve"> não </w:t>
      </w:r>
      <w:r w:rsidRPr="006D1C74">
        <w:rPr>
          <w:rFonts w:asciiTheme="majorHAnsi" w:eastAsia="Batang" w:hAnsiTheme="majorHAnsi"/>
          <w:sz w:val="20"/>
          <w:szCs w:val="20"/>
          <w:bdr w:val="none" w:sz="0" w:space="0" w:color="auto"/>
          <w:lang w:val="pt-BR"/>
        </w:rPr>
        <w:t>se proib</w:t>
      </w:r>
      <w:r w:rsidR="00055622" w:rsidRPr="006D1C74">
        <w:rPr>
          <w:rFonts w:asciiTheme="majorHAnsi" w:eastAsia="Batang" w:hAnsiTheme="majorHAnsi"/>
          <w:sz w:val="20"/>
          <w:szCs w:val="20"/>
          <w:bdr w:val="none" w:sz="0" w:space="0" w:color="auto"/>
          <w:lang w:val="pt-BR"/>
        </w:rPr>
        <w:t>ia</w:t>
      </w:r>
      <w:r w:rsidR="00700267" w:rsidRPr="006D1C74">
        <w:rPr>
          <w:rFonts w:asciiTheme="majorHAnsi" w:eastAsia="Batang" w:hAnsiTheme="majorHAnsi"/>
          <w:sz w:val="20"/>
          <w:szCs w:val="20"/>
          <w:bdr w:val="none" w:sz="0" w:space="0" w:color="auto"/>
          <w:lang w:val="pt-BR"/>
        </w:rPr>
        <w:t xml:space="preserve"> a </w:t>
      </w:r>
      <w:r w:rsidRPr="006D1C74">
        <w:rPr>
          <w:rFonts w:asciiTheme="majorHAnsi" w:eastAsia="Batang" w:hAnsiTheme="majorHAnsi"/>
          <w:sz w:val="20"/>
          <w:szCs w:val="20"/>
          <w:bdr w:val="none" w:sz="0" w:space="0" w:color="auto"/>
          <w:lang w:val="pt-BR"/>
        </w:rPr>
        <w:t>li</w:t>
      </w:r>
      <w:r w:rsidR="00C6461F" w:rsidRPr="006D1C74">
        <w:rPr>
          <w:rFonts w:asciiTheme="majorHAnsi" w:eastAsia="Batang" w:hAnsiTheme="majorHAnsi"/>
          <w:sz w:val="20"/>
          <w:szCs w:val="20"/>
          <w:bdr w:val="none" w:sz="0" w:space="0" w:color="auto"/>
          <w:lang w:val="pt-BR"/>
        </w:rPr>
        <w:t>v</w:t>
      </w:r>
      <w:r w:rsidRPr="006D1C74">
        <w:rPr>
          <w:rFonts w:asciiTheme="majorHAnsi" w:eastAsia="Batang" w:hAnsiTheme="majorHAnsi"/>
          <w:sz w:val="20"/>
          <w:szCs w:val="20"/>
          <w:bdr w:val="none" w:sz="0" w:space="0" w:color="auto"/>
          <w:lang w:val="pt-BR"/>
        </w:rPr>
        <w:t>re circula</w:t>
      </w:r>
      <w:r w:rsidR="00CF037E" w:rsidRPr="006D1C74">
        <w:rPr>
          <w:rFonts w:asciiTheme="majorHAnsi" w:eastAsia="Batang" w:hAnsiTheme="majorHAnsi"/>
          <w:sz w:val="20"/>
          <w:szCs w:val="20"/>
          <w:bdr w:val="none" w:sz="0" w:space="0" w:color="auto"/>
          <w:lang w:val="pt-BR"/>
        </w:rPr>
        <w:t>ção</w:t>
      </w:r>
      <w:r w:rsidRPr="006D1C74">
        <w:rPr>
          <w:rFonts w:asciiTheme="majorHAnsi" w:eastAsia="Batang" w:hAnsiTheme="majorHAnsi"/>
          <w:sz w:val="20"/>
          <w:szCs w:val="20"/>
          <w:bdr w:val="none" w:sz="0" w:space="0" w:color="auto"/>
          <w:lang w:val="pt-BR"/>
        </w:rPr>
        <w:t xml:space="preserve"> n</w:t>
      </w:r>
      <w:r w:rsidR="00C6461F" w:rsidRPr="006D1C74">
        <w:rPr>
          <w:rFonts w:asciiTheme="majorHAnsi" w:eastAsia="Batang" w:hAnsiTheme="majorHAnsi"/>
          <w:sz w:val="20"/>
          <w:szCs w:val="20"/>
          <w:bdr w:val="none" w:sz="0" w:space="0" w:color="auto"/>
          <w:lang w:val="pt-BR"/>
        </w:rPr>
        <w:t>em</w:t>
      </w:r>
      <w:r w:rsidR="00700267" w:rsidRPr="006D1C74">
        <w:rPr>
          <w:rFonts w:asciiTheme="majorHAnsi" w:eastAsia="Batang" w:hAnsiTheme="majorHAnsi"/>
          <w:sz w:val="20"/>
          <w:szCs w:val="20"/>
          <w:bdr w:val="none" w:sz="0" w:space="0" w:color="auto"/>
          <w:lang w:val="pt-BR"/>
        </w:rPr>
        <w:t xml:space="preserve"> a </w:t>
      </w:r>
      <w:r w:rsidRPr="006D1C74">
        <w:rPr>
          <w:rFonts w:asciiTheme="majorHAnsi" w:eastAsia="Batang" w:hAnsiTheme="majorHAnsi"/>
          <w:sz w:val="20"/>
          <w:szCs w:val="20"/>
          <w:bdr w:val="none" w:sz="0" w:space="0" w:color="auto"/>
          <w:lang w:val="pt-BR"/>
        </w:rPr>
        <w:t>realiza</w:t>
      </w:r>
      <w:r w:rsidR="00CF037E" w:rsidRPr="006D1C74">
        <w:rPr>
          <w:rFonts w:asciiTheme="majorHAnsi" w:eastAsia="Batang" w:hAnsiTheme="majorHAnsi"/>
          <w:sz w:val="20"/>
          <w:szCs w:val="20"/>
          <w:bdr w:val="none" w:sz="0" w:space="0" w:color="auto"/>
          <w:lang w:val="pt-BR"/>
        </w:rPr>
        <w:t>ção</w:t>
      </w:r>
      <w:r w:rsidRPr="006D1C74">
        <w:rPr>
          <w:rFonts w:asciiTheme="majorHAnsi" w:eastAsia="Batang" w:hAnsiTheme="majorHAnsi"/>
          <w:sz w:val="20"/>
          <w:szCs w:val="20"/>
          <w:bdr w:val="none" w:sz="0" w:space="0" w:color="auto"/>
          <w:lang w:val="pt-BR"/>
        </w:rPr>
        <w:t xml:space="preserve"> de manifesta</w:t>
      </w:r>
      <w:r w:rsidR="00CF037E" w:rsidRPr="006D1C74">
        <w:rPr>
          <w:rFonts w:asciiTheme="majorHAnsi" w:eastAsia="Batang" w:hAnsiTheme="majorHAnsi"/>
          <w:sz w:val="20"/>
          <w:szCs w:val="20"/>
          <w:bdr w:val="none" w:sz="0" w:space="0" w:color="auto"/>
          <w:lang w:val="pt-BR"/>
        </w:rPr>
        <w:t>ções</w:t>
      </w:r>
      <w:r w:rsidR="00F673C7" w:rsidRPr="006D1C74">
        <w:rPr>
          <w:rFonts w:asciiTheme="majorHAnsi" w:eastAsia="Batang" w:hAnsiTheme="majorHAnsi"/>
          <w:sz w:val="20"/>
          <w:szCs w:val="20"/>
          <w:bdr w:val="none" w:sz="0" w:space="0" w:color="auto"/>
          <w:lang w:val="pt-BR"/>
        </w:rPr>
        <w:t xml:space="preserve"> </w:t>
      </w:r>
      <w:r w:rsidR="00C6461F" w:rsidRPr="006D1C74">
        <w:rPr>
          <w:rFonts w:asciiTheme="majorHAnsi" w:eastAsia="Batang" w:hAnsiTheme="majorHAnsi"/>
          <w:sz w:val="20"/>
          <w:szCs w:val="20"/>
          <w:bdr w:val="none" w:sz="0" w:space="0" w:color="auto"/>
          <w:lang w:val="pt-BR"/>
        </w:rPr>
        <w:t>n</w:t>
      </w:r>
      <w:r w:rsidR="00700267" w:rsidRPr="006D1C74">
        <w:rPr>
          <w:rFonts w:asciiTheme="majorHAnsi" w:eastAsia="Batang" w:hAnsiTheme="majorHAnsi"/>
          <w:sz w:val="20"/>
          <w:szCs w:val="20"/>
          <w:bdr w:val="none" w:sz="0" w:space="0" w:color="auto"/>
          <w:lang w:val="pt-BR"/>
        </w:rPr>
        <w:t xml:space="preserve">as </w:t>
      </w:r>
      <w:r w:rsidR="00C6461F" w:rsidRPr="006D1C74">
        <w:rPr>
          <w:rFonts w:asciiTheme="majorHAnsi" w:eastAsia="Batang" w:hAnsiTheme="majorHAnsi"/>
          <w:sz w:val="20"/>
          <w:szCs w:val="20"/>
          <w:bdr w:val="none" w:sz="0" w:space="0" w:color="auto"/>
          <w:lang w:val="pt-BR"/>
        </w:rPr>
        <w:t>rua</w:t>
      </w:r>
      <w:r w:rsidRPr="006D1C74">
        <w:rPr>
          <w:rFonts w:asciiTheme="majorHAnsi" w:eastAsia="Batang" w:hAnsiTheme="majorHAnsi"/>
          <w:sz w:val="20"/>
          <w:szCs w:val="20"/>
          <w:bdr w:val="none" w:sz="0" w:space="0" w:color="auto"/>
          <w:lang w:val="pt-BR"/>
        </w:rPr>
        <w:t>s</w:t>
      </w:r>
      <w:r w:rsidR="00C6461F" w:rsidRPr="006D1C74">
        <w:rPr>
          <w:rFonts w:asciiTheme="majorHAnsi" w:eastAsia="Batang" w:hAnsiTheme="majorHAnsi"/>
          <w:sz w:val="20"/>
          <w:szCs w:val="20"/>
          <w:bdr w:val="none" w:sz="0" w:space="0" w:color="auto"/>
          <w:lang w:val="pt-BR"/>
        </w:rPr>
        <w:t>, praças</w:t>
      </w:r>
      <w:r w:rsidR="00CF037E" w:rsidRPr="006D1C74">
        <w:rPr>
          <w:rFonts w:asciiTheme="majorHAnsi" w:eastAsia="Batang" w:hAnsiTheme="majorHAnsi"/>
          <w:sz w:val="20"/>
          <w:szCs w:val="20"/>
          <w:bdr w:val="none" w:sz="0" w:space="0" w:color="auto"/>
          <w:lang w:val="pt-BR"/>
        </w:rPr>
        <w:t xml:space="preserve"> e outr</w:t>
      </w:r>
      <w:r w:rsidRPr="006D1C74">
        <w:rPr>
          <w:rFonts w:asciiTheme="majorHAnsi" w:eastAsia="Batang" w:hAnsiTheme="majorHAnsi"/>
          <w:sz w:val="20"/>
          <w:szCs w:val="20"/>
          <w:bdr w:val="none" w:sz="0" w:space="0" w:color="auto"/>
          <w:lang w:val="pt-BR"/>
        </w:rPr>
        <w:t>os lugares públicos</w:t>
      </w:r>
      <w:r w:rsidRPr="006D1C74">
        <w:rPr>
          <w:rFonts w:asciiTheme="majorHAnsi" w:eastAsia="Batang" w:hAnsiTheme="majorHAnsi"/>
          <w:sz w:val="20"/>
          <w:szCs w:val="20"/>
          <w:bdr w:val="none" w:sz="0" w:space="0" w:color="auto"/>
          <w:vertAlign w:val="superscript"/>
          <w:lang w:val="pt-BR"/>
        </w:rPr>
        <w:footnoteReference w:id="16"/>
      </w:r>
      <w:r w:rsidRPr="006D1C74">
        <w:rPr>
          <w:rFonts w:asciiTheme="majorHAnsi" w:eastAsia="Batang" w:hAnsiTheme="majorHAnsi"/>
          <w:sz w:val="20"/>
          <w:szCs w:val="20"/>
          <w:bdr w:val="none" w:sz="0" w:space="0" w:color="auto"/>
          <w:lang w:val="pt-BR"/>
        </w:rPr>
        <w:t xml:space="preserve">. </w:t>
      </w:r>
    </w:p>
    <w:p w14:paraId="0BD4386D"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sz w:val="20"/>
          <w:szCs w:val="20"/>
          <w:bdr w:val="none" w:sz="0" w:space="0" w:color="auto"/>
          <w:lang w:val="pt-BR"/>
        </w:rPr>
      </w:pPr>
    </w:p>
    <w:p w14:paraId="67856DCF"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6D1C74">
        <w:rPr>
          <w:rFonts w:asciiTheme="majorHAnsi" w:hAnsiTheme="majorHAnsi"/>
          <w:color w:val="000000"/>
          <w:sz w:val="20"/>
          <w:szCs w:val="20"/>
          <w:lang w:val="pt-BR"/>
        </w:rPr>
        <w:t xml:space="preserve"> </w:t>
      </w:r>
      <w:r w:rsidR="00C6461F" w:rsidRPr="006D1C74">
        <w:rPr>
          <w:rFonts w:asciiTheme="majorHAnsi" w:hAnsiTheme="majorHAnsi"/>
          <w:color w:val="000000"/>
          <w:sz w:val="20"/>
          <w:szCs w:val="20"/>
          <w:lang w:val="pt-BR"/>
        </w:rPr>
        <w:t>Q</w:t>
      </w:r>
      <w:r w:rsidRPr="006D1C74">
        <w:rPr>
          <w:rFonts w:asciiTheme="majorHAnsi" w:hAnsiTheme="majorHAnsi"/>
          <w:color w:val="000000"/>
          <w:sz w:val="20"/>
          <w:szCs w:val="20"/>
          <w:lang w:val="pt-BR"/>
        </w:rPr>
        <w:t>uando</w:t>
      </w:r>
      <w:r w:rsidR="00700267" w:rsidRPr="006D1C74">
        <w:rPr>
          <w:rFonts w:asciiTheme="majorHAnsi" w:hAnsiTheme="majorHAnsi"/>
          <w:color w:val="000000"/>
          <w:sz w:val="20"/>
          <w:szCs w:val="20"/>
          <w:lang w:val="pt-BR"/>
        </w:rPr>
        <w:t xml:space="preserve"> os trabalh</w:t>
      </w:r>
      <w:r w:rsidRPr="006D1C74">
        <w:rPr>
          <w:rFonts w:asciiTheme="majorHAnsi" w:hAnsiTheme="majorHAnsi"/>
          <w:color w:val="000000"/>
          <w:sz w:val="20"/>
          <w:szCs w:val="20"/>
          <w:lang w:val="pt-BR"/>
        </w:rPr>
        <w:t>adores rur</w:t>
      </w:r>
      <w:r w:rsidR="00700267" w:rsidRPr="006D1C74">
        <w:rPr>
          <w:rFonts w:asciiTheme="majorHAnsi" w:hAnsiTheme="majorHAnsi"/>
          <w:color w:val="000000"/>
          <w:sz w:val="20"/>
          <w:szCs w:val="20"/>
          <w:lang w:val="pt-BR"/>
        </w:rPr>
        <w:t>ais</w:t>
      </w:r>
      <w:r w:rsidRPr="006D1C74">
        <w:rPr>
          <w:rFonts w:asciiTheme="majorHAnsi" w:hAnsiTheme="majorHAnsi"/>
          <w:color w:val="000000"/>
          <w:sz w:val="20"/>
          <w:szCs w:val="20"/>
          <w:lang w:val="pt-BR"/>
        </w:rPr>
        <w:t xml:space="preserve"> esta</w:t>
      </w:r>
      <w:r w:rsidR="00C6461F" w:rsidRPr="006D1C74">
        <w:rPr>
          <w:rFonts w:asciiTheme="majorHAnsi" w:hAnsiTheme="majorHAnsi"/>
          <w:color w:val="000000"/>
          <w:sz w:val="20"/>
          <w:szCs w:val="20"/>
          <w:lang w:val="pt-BR"/>
        </w:rPr>
        <w:t>vam</w:t>
      </w:r>
      <w:r w:rsidR="00FC2F62" w:rsidRPr="006D1C74">
        <w:rPr>
          <w:rFonts w:asciiTheme="majorHAnsi" w:hAnsiTheme="majorHAnsi"/>
          <w:color w:val="000000"/>
          <w:sz w:val="20"/>
          <w:szCs w:val="20"/>
          <w:lang w:val="pt-BR"/>
        </w:rPr>
        <w:t xml:space="preserve"> no </w:t>
      </w:r>
      <w:r w:rsidRPr="006D1C74">
        <w:rPr>
          <w:rFonts w:asciiTheme="majorHAnsi" w:hAnsiTheme="majorHAnsi"/>
          <w:color w:val="000000"/>
          <w:sz w:val="20"/>
          <w:szCs w:val="20"/>
          <w:lang w:val="pt-BR"/>
        </w:rPr>
        <w:t>munic</w:t>
      </w:r>
      <w:r w:rsidR="00C6461F" w:rsidRPr="006D1C74">
        <w:rPr>
          <w:rFonts w:asciiTheme="majorHAnsi" w:hAnsiTheme="majorHAnsi"/>
          <w:color w:val="000000"/>
          <w:sz w:val="20"/>
          <w:szCs w:val="20"/>
          <w:lang w:val="pt-BR"/>
        </w:rPr>
        <w:t>í</w:t>
      </w:r>
      <w:r w:rsidRPr="006D1C74">
        <w:rPr>
          <w:rFonts w:asciiTheme="majorHAnsi" w:hAnsiTheme="majorHAnsi"/>
          <w:color w:val="000000"/>
          <w:sz w:val="20"/>
          <w:szCs w:val="20"/>
          <w:lang w:val="pt-BR"/>
        </w:rPr>
        <w:t xml:space="preserve">pio de Irati, alguns </w:t>
      </w:r>
      <w:r w:rsidR="00C6461F" w:rsidRPr="006D1C74">
        <w:rPr>
          <w:rFonts w:asciiTheme="majorHAnsi" w:hAnsiTheme="majorHAnsi"/>
          <w:color w:val="000000"/>
          <w:sz w:val="20"/>
          <w:szCs w:val="20"/>
          <w:lang w:val="pt-BR"/>
        </w:rPr>
        <w:t>ônibus foram</w:t>
      </w:r>
      <w:r w:rsidRPr="006D1C74">
        <w:rPr>
          <w:rFonts w:asciiTheme="majorHAnsi" w:hAnsiTheme="majorHAnsi"/>
          <w:color w:val="000000"/>
          <w:sz w:val="20"/>
          <w:szCs w:val="20"/>
          <w:lang w:val="pt-BR"/>
        </w:rPr>
        <w:t xml:space="preserve"> abordados</w:t>
      </w:r>
      <w:r w:rsidR="00F37852" w:rsidRPr="006D1C74">
        <w:rPr>
          <w:rFonts w:asciiTheme="majorHAnsi" w:hAnsiTheme="majorHAnsi"/>
          <w:color w:val="000000"/>
          <w:sz w:val="20"/>
          <w:szCs w:val="20"/>
          <w:lang w:val="pt-BR"/>
        </w:rPr>
        <w:t xml:space="preserve"> pela polícia</w:t>
      </w:r>
      <w:r w:rsidRPr="006D1C74">
        <w:rPr>
          <w:rFonts w:asciiTheme="majorHAnsi" w:hAnsiTheme="majorHAnsi"/>
          <w:color w:val="000000"/>
          <w:sz w:val="20"/>
          <w:szCs w:val="20"/>
          <w:lang w:val="pt-BR"/>
        </w:rPr>
        <w:t xml:space="preserve"> militar, que</w:t>
      </w:r>
      <w:r w:rsidR="00700267" w:rsidRPr="006D1C74">
        <w:rPr>
          <w:rFonts w:asciiTheme="majorHAnsi" w:hAnsiTheme="majorHAnsi"/>
          <w:color w:val="000000"/>
          <w:sz w:val="20"/>
          <w:szCs w:val="20"/>
          <w:lang w:val="pt-BR"/>
        </w:rPr>
        <w:t xml:space="preserve"> os </w:t>
      </w:r>
      <w:r w:rsidRPr="006D1C74">
        <w:rPr>
          <w:rFonts w:asciiTheme="majorHAnsi" w:hAnsiTheme="majorHAnsi"/>
          <w:color w:val="000000"/>
          <w:sz w:val="20"/>
          <w:szCs w:val="20"/>
          <w:lang w:val="pt-BR"/>
        </w:rPr>
        <w:t>inspecion</w:t>
      </w:r>
      <w:r w:rsidR="00C6461F" w:rsidRPr="006D1C74">
        <w:rPr>
          <w:rFonts w:asciiTheme="majorHAnsi" w:hAnsiTheme="majorHAnsi"/>
          <w:color w:val="000000"/>
          <w:sz w:val="20"/>
          <w:szCs w:val="20"/>
          <w:lang w:val="pt-BR"/>
        </w:rPr>
        <w:t>ou</w:t>
      </w:r>
      <w:r w:rsidRPr="006D1C74">
        <w:rPr>
          <w:rFonts w:asciiTheme="majorHAnsi" w:hAnsiTheme="majorHAnsi"/>
          <w:color w:val="000000"/>
          <w:sz w:val="20"/>
          <w:szCs w:val="20"/>
          <w:lang w:val="pt-BR"/>
        </w:rPr>
        <w:t xml:space="preserve"> e </w:t>
      </w:r>
      <w:r w:rsidR="00C6461F" w:rsidRPr="006D1C74">
        <w:rPr>
          <w:rFonts w:asciiTheme="majorHAnsi" w:hAnsiTheme="majorHAnsi"/>
          <w:color w:val="000000"/>
          <w:sz w:val="20"/>
          <w:szCs w:val="20"/>
          <w:lang w:val="pt-BR"/>
        </w:rPr>
        <w:t>apreendeu</w:t>
      </w:r>
      <w:r w:rsidRPr="006D1C74">
        <w:rPr>
          <w:rFonts w:asciiTheme="majorHAnsi" w:hAnsiTheme="majorHAnsi"/>
          <w:color w:val="000000"/>
          <w:sz w:val="20"/>
          <w:szCs w:val="20"/>
          <w:lang w:val="pt-BR"/>
        </w:rPr>
        <w:t xml:space="preserve"> materi</w:t>
      </w:r>
      <w:r w:rsidR="00700267" w:rsidRPr="006D1C74">
        <w:rPr>
          <w:rFonts w:asciiTheme="majorHAnsi" w:hAnsiTheme="majorHAnsi"/>
          <w:color w:val="000000"/>
          <w:sz w:val="20"/>
          <w:szCs w:val="20"/>
          <w:lang w:val="pt-BR"/>
        </w:rPr>
        <w:t>ais</w:t>
      </w:r>
      <w:r w:rsidRPr="006D1C74">
        <w:rPr>
          <w:rFonts w:asciiTheme="majorHAnsi" w:hAnsiTheme="majorHAnsi"/>
          <w:color w:val="000000"/>
          <w:sz w:val="20"/>
          <w:szCs w:val="20"/>
          <w:lang w:val="pt-BR"/>
        </w:rPr>
        <w:t xml:space="preserve"> que esta</w:t>
      </w:r>
      <w:r w:rsidR="00C6461F" w:rsidRPr="006D1C74">
        <w:rPr>
          <w:rFonts w:asciiTheme="majorHAnsi" w:hAnsiTheme="majorHAnsi"/>
          <w:color w:val="000000"/>
          <w:sz w:val="20"/>
          <w:szCs w:val="20"/>
          <w:lang w:val="pt-BR"/>
        </w:rPr>
        <w:t>vam</w:t>
      </w:r>
      <w:r w:rsidR="00217759" w:rsidRPr="006D1C74">
        <w:rPr>
          <w:rFonts w:asciiTheme="majorHAnsi" w:hAnsiTheme="majorHAnsi"/>
          <w:color w:val="000000"/>
          <w:sz w:val="20"/>
          <w:szCs w:val="20"/>
          <w:lang w:val="pt-BR"/>
        </w:rPr>
        <w:t xml:space="preserve"> nos </w:t>
      </w:r>
      <w:r w:rsidRPr="006D1C74">
        <w:rPr>
          <w:rFonts w:asciiTheme="majorHAnsi" w:hAnsiTheme="majorHAnsi"/>
          <w:color w:val="000000"/>
          <w:sz w:val="20"/>
          <w:szCs w:val="20"/>
          <w:lang w:val="pt-BR"/>
        </w:rPr>
        <w:t>comparti</w:t>
      </w:r>
      <w:r w:rsidR="00700267" w:rsidRPr="006D1C74">
        <w:rPr>
          <w:rFonts w:asciiTheme="majorHAnsi" w:hAnsiTheme="majorHAnsi"/>
          <w:color w:val="000000"/>
          <w:sz w:val="20"/>
          <w:szCs w:val="20"/>
          <w:lang w:val="pt-BR"/>
        </w:rPr>
        <w:t>mento</w:t>
      </w:r>
      <w:r w:rsidRPr="006D1C74">
        <w:rPr>
          <w:rFonts w:asciiTheme="majorHAnsi" w:hAnsiTheme="majorHAnsi"/>
          <w:color w:val="000000"/>
          <w:sz w:val="20"/>
          <w:szCs w:val="20"/>
          <w:lang w:val="pt-BR"/>
        </w:rPr>
        <w:t>s</w:t>
      </w:r>
      <w:r w:rsidR="00030019" w:rsidRPr="006D1C74">
        <w:rPr>
          <w:rFonts w:asciiTheme="majorHAnsi" w:hAnsiTheme="majorHAnsi"/>
          <w:color w:val="000000"/>
          <w:sz w:val="20"/>
          <w:szCs w:val="20"/>
          <w:lang w:val="pt-BR"/>
        </w:rPr>
        <w:t xml:space="preserve"> d</w:t>
      </w:r>
      <w:r w:rsidR="00C6461F" w:rsidRPr="006D1C74">
        <w:rPr>
          <w:rFonts w:asciiTheme="majorHAnsi" w:hAnsiTheme="majorHAnsi"/>
          <w:color w:val="000000"/>
          <w:sz w:val="20"/>
          <w:szCs w:val="20"/>
          <w:lang w:val="pt-BR"/>
        </w:rPr>
        <w:t>e bagagem</w:t>
      </w:r>
      <w:r w:rsidRPr="006D1C74">
        <w:rPr>
          <w:rFonts w:asciiTheme="majorHAnsi" w:hAnsiTheme="majorHAnsi"/>
          <w:color w:val="000000"/>
          <w:sz w:val="20"/>
          <w:szCs w:val="20"/>
          <w:vertAlign w:val="superscript"/>
          <w:lang w:val="pt-BR"/>
        </w:rPr>
        <w:footnoteReference w:id="17"/>
      </w:r>
      <w:r w:rsidRPr="006D1C74">
        <w:rPr>
          <w:rFonts w:asciiTheme="majorHAnsi" w:hAnsiTheme="majorHAnsi"/>
          <w:color w:val="000000"/>
          <w:sz w:val="20"/>
          <w:szCs w:val="20"/>
          <w:lang w:val="pt-BR"/>
        </w:rPr>
        <w:t>. Posteriormente,</w:t>
      </w:r>
      <w:r w:rsidR="00700267" w:rsidRPr="006D1C74">
        <w:rPr>
          <w:rFonts w:asciiTheme="majorHAnsi" w:hAnsiTheme="majorHAnsi"/>
          <w:color w:val="000000"/>
          <w:sz w:val="20"/>
          <w:szCs w:val="20"/>
          <w:lang w:val="pt-BR"/>
        </w:rPr>
        <w:t xml:space="preserve"> os </w:t>
      </w:r>
      <w:r w:rsidRPr="006D1C74">
        <w:rPr>
          <w:rFonts w:asciiTheme="majorHAnsi" w:hAnsiTheme="majorHAnsi"/>
          <w:color w:val="000000"/>
          <w:sz w:val="20"/>
          <w:szCs w:val="20"/>
          <w:lang w:val="pt-BR"/>
        </w:rPr>
        <w:t>agentes</w:t>
      </w:r>
      <w:r w:rsidR="00795010" w:rsidRPr="006D1C74">
        <w:rPr>
          <w:rFonts w:asciiTheme="majorHAnsi" w:hAnsiTheme="majorHAnsi"/>
          <w:color w:val="000000"/>
          <w:sz w:val="20"/>
          <w:szCs w:val="20"/>
          <w:lang w:val="pt-BR"/>
        </w:rPr>
        <w:t xml:space="preserve"> da </w:t>
      </w:r>
      <w:r w:rsidR="00F37852" w:rsidRPr="006D1C74">
        <w:rPr>
          <w:rFonts w:asciiTheme="majorHAnsi" w:hAnsiTheme="majorHAnsi"/>
          <w:color w:val="000000"/>
          <w:sz w:val="20"/>
          <w:szCs w:val="20"/>
          <w:lang w:val="pt-BR"/>
        </w:rPr>
        <w:t>polícia</w:t>
      </w:r>
      <w:r w:rsidRPr="006D1C74">
        <w:rPr>
          <w:rFonts w:asciiTheme="majorHAnsi" w:hAnsiTheme="majorHAnsi"/>
          <w:color w:val="000000"/>
          <w:sz w:val="20"/>
          <w:szCs w:val="20"/>
          <w:lang w:val="pt-BR"/>
        </w:rPr>
        <w:t xml:space="preserve"> militar escoltar</w:t>
      </w:r>
      <w:r w:rsidR="00C6461F" w:rsidRPr="006D1C74">
        <w:rPr>
          <w:rFonts w:asciiTheme="majorHAnsi" w:hAnsiTheme="majorHAnsi"/>
          <w:color w:val="000000"/>
          <w:sz w:val="20"/>
          <w:szCs w:val="20"/>
          <w:lang w:val="pt-BR"/>
        </w:rPr>
        <w:t>am</w:t>
      </w:r>
      <w:r w:rsidR="00700267" w:rsidRPr="006D1C74">
        <w:rPr>
          <w:rFonts w:asciiTheme="majorHAnsi" w:hAnsiTheme="majorHAnsi"/>
          <w:color w:val="000000"/>
          <w:sz w:val="20"/>
          <w:szCs w:val="20"/>
          <w:lang w:val="pt-BR"/>
        </w:rPr>
        <w:t xml:space="preserve"> a </w:t>
      </w:r>
      <w:r w:rsidRPr="006D1C74">
        <w:rPr>
          <w:rFonts w:asciiTheme="majorHAnsi" w:hAnsiTheme="majorHAnsi"/>
          <w:color w:val="000000"/>
          <w:sz w:val="20"/>
          <w:szCs w:val="20"/>
          <w:lang w:val="pt-BR"/>
        </w:rPr>
        <w:t>caravana</w:t>
      </w:r>
      <w:r w:rsidR="00F673C7" w:rsidRPr="006D1C74">
        <w:rPr>
          <w:rFonts w:asciiTheme="majorHAnsi" w:hAnsiTheme="majorHAnsi"/>
          <w:color w:val="000000"/>
          <w:sz w:val="20"/>
          <w:szCs w:val="20"/>
          <w:lang w:val="pt-BR"/>
        </w:rPr>
        <w:t xml:space="preserve"> em </w:t>
      </w:r>
      <w:r w:rsidRPr="006D1C74">
        <w:rPr>
          <w:rFonts w:asciiTheme="majorHAnsi" w:hAnsiTheme="majorHAnsi"/>
          <w:color w:val="000000"/>
          <w:sz w:val="20"/>
          <w:szCs w:val="20"/>
          <w:lang w:val="pt-BR"/>
        </w:rPr>
        <w:t>dire</w:t>
      </w:r>
      <w:r w:rsidR="00CF037E" w:rsidRPr="006D1C74">
        <w:rPr>
          <w:rFonts w:asciiTheme="majorHAnsi" w:hAnsiTheme="majorHAnsi"/>
          <w:color w:val="000000"/>
          <w:sz w:val="20"/>
          <w:szCs w:val="20"/>
          <w:lang w:val="pt-BR"/>
        </w:rPr>
        <w:t>ção</w:t>
      </w:r>
      <w:r w:rsidRPr="006D1C74">
        <w:rPr>
          <w:rFonts w:asciiTheme="majorHAnsi" w:hAnsiTheme="majorHAnsi"/>
          <w:color w:val="000000"/>
          <w:sz w:val="20"/>
          <w:szCs w:val="20"/>
          <w:lang w:val="pt-BR"/>
        </w:rPr>
        <w:t xml:space="preserve"> a Curitiba, onde ter</w:t>
      </w:r>
      <w:r w:rsidR="00055622" w:rsidRPr="006D1C74">
        <w:rPr>
          <w:rFonts w:asciiTheme="majorHAnsi" w:hAnsiTheme="majorHAnsi"/>
          <w:color w:val="000000"/>
          <w:sz w:val="20"/>
          <w:szCs w:val="20"/>
          <w:lang w:val="pt-BR"/>
        </w:rPr>
        <w:t>ia</w:t>
      </w:r>
      <w:r w:rsidRPr="006D1C74">
        <w:rPr>
          <w:rFonts w:asciiTheme="majorHAnsi" w:hAnsiTheme="majorHAnsi"/>
          <w:color w:val="000000"/>
          <w:sz w:val="20"/>
          <w:szCs w:val="20"/>
          <w:lang w:val="pt-BR"/>
        </w:rPr>
        <w:t xml:space="preserve"> lugar</w:t>
      </w:r>
      <w:r w:rsidR="00700267" w:rsidRPr="006D1C74">
        <w:rPr>
          <w:rFonts w:asciiTheme="majorHAnsi" w:hAnsiTheme="majorHAnsi"/>
          <w:color w:val="000000"/>
          <w:sz w:val="20"/>
          <w:szCs w:val="20"/>
          <w:lang w:val="pt-BR"/>
        </w:rPr>
        <w:t xml:space="preserve"> a </w:t>
      </w:r>
      <w:r w:rsidRPr="006D1C74">
        <w:rPr>
          <w:rFonts w:asciiTheme="majorHAnsi" w:hAnsiTheme="majorHAnsi"/>
          <w:color w:val="000000"/>
          <w:sz w:val="20"/>
          <w:szCs w:val="20"/>
          <w:lang w:val="pt-BR"/>
        </w:rPr>
        <w:t>manifesta</w:t>
      </w:r>
      <w:r w:rsidR="00CF037E" w:rsidRPr="006D1C74">
        <w:rPr>
          <w:rFonts w:asciiTheme="majorHAnsi" w:hAnsiTheme="majorHAnsi"/>
          <w:color w:val="000000"/>
          <w:sz w:val="20"/>
          <w:szCs w:val="20"/>
          <w:lang w:val="pt-BR"/>
        </w:rPr>
        <w:t>ção</w:t>
      </w:r>
      <w:r w:rsidRPr="006D1C74">
        <w:rPr>
          <w:rFonts w:asciiTheme="majorHAnsi" w:hAnsiTheme="majorHAnsi"/>
          <w:color w:val="000000"/>
          <w:sz w:val="20"/>
          <w:szCs w:val="20"/>
          <w:lang w:val="pt-BR"/>
        </w:rPr>
        <w:t>.</w:t>
      </w:r>
      <w:r w:rsidR="00700267" w:rsidRPr="006D1C74">
        <w:rPr>
          <w:rFonts w:asciiTheme="majorHAnsi" w:hAnsiTheme="majorHAnsi"/>
          <w:color w:val="000000"/>
          <w:sz w:val="20"/>
          <w:szCs w:val="20"/>
          <w:lang w:val="pt-BR"/>
        </w:rPr>
        <w:t xml:space="preserve"> </w:t>
      </w:r>
      <w:r w:rsidR="00C6461F" w:rsidRPr="006D1C74">
        <w:rPr>
          <w:rFonts w:asciiTheme="majorHAnsi" w:hAnsiTheme="majorHAnsi"/>
          <w:color w:val="000000"/>
          <w:sz w:val="20"/>
          <w:szCs w:val="20"/>
          <w:lang w:val="pt-BR"/>
        </w:rPr>
        <w:t>Contudo</w:t>
      </w:r>
      <w:r w:rsidRPr="006D1C74">
        <w:rPr>
          <w:rFonts w:asciiTheme="majorHAnsi" w:hAnsiTheme="majorHAnsi"/>
          <w:color w:val="000000"/>
          <w:sz w:val="20"/>
          <w:szCs w:val="20"/>
          <w:lang w:val="pt-BR"/>
        </w:rPr>
        <w:t>, de</w:t>
      </w:r>
      <w:r w:rsidR="00C6461F" w:rsidRPr="006D1C74">
        <w:rPr>
          <w:rFonts w:asciiTheme="majorHAnsi" w:hAnsiTheme="majorHAnsi"/>
          <w:color w:val="000000"/>
          <w:sz w:val="20"/>
          <w:szCs w:val="20"/>
          <w:lang w:val="pt-BR"/>
        </w:rPr>
        <w:t>pois</w:t>
      </w:r>
      <w:r w:rsidRPr="006D1C74">
        <w:rPr>
          <w:rFonts w:asciiTheme="majorHAnsi" w:hAnsiTheme="majorHAnsi"/>
          <w:color w:val="000000"/>
          <w:sz w:val="20"/>
          <w:szCs w:val="20"/>
          <w:lang w:val="pt-BR"/>
        </w:rPr>
        <w:t xml:space="preserve"> de </w:t>
      </w:r>
      <w:r w:rsidR="00C6461F" w:rsidRPr="006D1C74">
        <w:rPr>
          <w:rFonts w:asciiTheme="majorHAnsi" w:hAnsiTheme="majorHAnsi"/>
          <w:color w:val="000000"/>
          <w:sz w:val="20"/>
          <w:szCs w:val="20"/>
          <w:lang w:val="pt-BR"/>
        </w:rPr>
        <w:t>pe</w:t>
      </w:r>
      <w:r w:rsidRPr="006D1C74">
        <w:rPr>
          <w:rFonts w:asciiTheme="majorHAnsi" w:hAnsiTheme="majorHAnsi"/>
          <w:color w:val="000000"/>
          <w:sz w:val="20"/>
          <w:szCs w:val="20"/>
          <w:lang w:val="pt-BR"/>
        </w:rPr>
        <w:t xml:space="preserve">rcorrer alguns </w:t>
      </w:r>
      <w:r w:rsidR="00C6461F" w:rsidRPr="006D1C74">
        <w:rPr>
          <w:rFonts w:asciiTheme="majorHAnsi" w:hAnsiTheme="majorHAnsi"/>
          <w:color w:val="000000"/>
          <w:sz w:val="20"/>
          <w:szCs w:val="20"/>
          <w:lang w:val="pt-BR"/>
        </w:rPr>
        <w:t>qu</w:t>
      </w:r>
      <w:r w:rsidRPr="006D1C74">
        <w:rPr>
          <w:rFonts w:asciiTheme="majorHAnsi" w:hAnsiTheme="majorHAnsi"/>
          <w:color w:val="000000"/>
          <w:sz w:val="20"/>
          <w:szCs w:val="20"/>
          <w:lang w:val="pt-BR"/>
        </w:rPr>
        <w:t>il</w:t>
      </w:r>
      <w:r w:rsidR="00C6461F" w:rsidRPr="006D1C74">
        <w:rPr>
          <w:rFonts w:asciiTheme="majorHAnsi" w:hAnsiTheme="majorHAnsi"/>
          <w:color w:val="000000"/>
          <w:sz w:val="20"/>
          <w:szCs w:val="20"/>
          <w:lang w:val="pt-BR"/>
        </w:rPr>
        <w:t>ô</w:t>
      </w:r>
      <w:r w:rsidRPr="006D1C74">
        <w:rPr>
          <w:rFonts w:asciiTheme="majorHAnsi" w:hAnsiTheme="majorHAnsi"/>
          <w:color w:val="000000"/>
          <w:sz w:val="20"/>
          <w:szCs w:val="20"/>
          <w:lang w:val="pt-BR"/>
        </w:rPr>
        <w:t>metros,</w:t>
      </w:r>
      <w:r w:rsidR="00700267" w:rsidRPr="006D1C74">
        <w:rPr>
          <w:rFonts w:asciiTheme="majorHAnsi" w:hAnsiTheme="majorHAnsi"/>
          <w:color w:val="000000"/>
          <w:sz w:val="20"/>
          <w:szCs w:val="20"/>
          <w:lang w:val="pt-BR"/>
        </w:rPr>
        <w:t xml:space="preserve"> os </w:t>
      </w:r>
      <w:r w:rsidRPr="006D1C74">
        <w:rPr>
          <w:rFonts w:asciiTheme="majorHAnsi" w:hAnsiTheme="majorHAnsi"/>
          <w:color w:val="000000"/>
          <w:sz w:val="20"/>
          <w:szCs w:val="20"/>
          <w:lang w:val="pt-BR"/>
        </w:rPr>
        <w:t xml:space="preserve">agentes de </w:t>
      </w:r>
      <w:r w:rsidR="00F37852" w:rsidRPr="006D1C74">
        <w:rPr>
          <w:rFonts w:asciiTheme="majorHAnsi" w:hAnsiTheme="majorHAnsi"/>
          <w:color w:val="000000"/>
          <w:sz w:val="20"/>
          <w:szCs w:val="20"/>
          <w:lang w:val="pt-BR"/>
        </w:rPr>
        <w:t>polícia</w:t>
      </w:r>
      <w:r w:rsidRPr="006D1C74">
        <w:rPr>
          <w:rFonts w:asciiTheme="majorHAnsi" w:hAnsiTheme="majorHAnsi"/>
          <w:color w:val="000000"/>
          <w:sz w:val="20"/>
          <w:szCs w:val="20"/>
          <w:lang w:val="pt-BR"/>
        </w:rPr>
        <w:t xml:space="preserve"> imp</w:t>
      </w:r>
      <w:r w:rsidR="00C6461F" w:rsidRPr="006D1C74">
        <w:rPr>
          <w:rFonts w:asciiTheme="majorHAnsi" w:hAnsiTheme="majorHAnsi"/>
          <w:color w:val="000000"/>
          <w:sz w:val="20"/>
          <w:szCs w:val="20"/>
          <w:lang w:val="pt-BR"/>
        </w:rPr>
        <w:t>e</w:t>
      </w:r>
      <w:r w:rsidRPr="006D1C74">
        <w:rPr>
          <w:rFonts w:asciiTheme="majorHAnsi" w:hAnsiTheme="majorHAnsi"/>
          <w:color w:val="000000"/>
          <w:sz w:val="20"/>
          <w:szCs w:val="20"/>
          <w:lang w:val="pt-BR"/>
        </w:rPr>
        <w:t>di</w:t>
      </w:r>
      <w:r w:rsidR="00C6461F" w:rsidRPr="006D1C74">
        <w:rPr>
          <w:rFonts w:asciiTheme="majorHAnsi" w:hAnsiTheme="majorHAnsi"/>
          <w:color w:val="000000"/>
          <w:sz w:val="20"/>
          <w:szCs w:val="20"/>
          <w:lang w:val="pt-BR"/>
        </w:rPr>
        <w:t>ram</w:t>
      </w:r>
      <w:r w:rsidR="00700267" w:rsidRPr="006D1C74">
        <w:rPr>
          <w:rFonts w:asciiTheme="majorHAnsi" w:hAnsiTheme="majorHAnsi"/>
          <w:color w:val="000000"/>
          <w:sz w:val="20"/>
          <w:szCs w:val="20"/>
          <w:lang w:val="pt-BR"/>
        </w:rPr>
        <w:t xml:space="preserve"> a </w:t>
      </w:r>
      <w:r w:rsidRPr="006D1C74">
        <w:rPr>
          <w:rFonts w:asciiTheme="majorHAnsi" w:hAnsiTheme="majorHAnsi"/>
          <w:color w:val="000000"/>
          <w:sz w:val="20"/>
          <w:szCs w:val="20"/>
          <w:lang w:val="pt-BR"/>
        </w:rPr>
        <w:t>entrada</w:t>
      </w:r>
      <w:r w:rsidR="00700267" w:rsidRPr="006D1C74">
        <w:rPr>
          <w:rFonts w:asciiTheme="majorHAnsi" w:hAnsiTheme="majorHAnsi"/>
          <w:color w:val="000000"/>
          <w:sz w:val="20"/>
          <w:szCs w:val="20"/>
          <w:lang w:val="pt-BR"/>
        </w:rPr>
        <w:t xml:space="preserve"> dos </w:t>
      </w:r>
      <w:r w:rsidRPr="006D1C74">
        <w:rPr>
          <w:rFonts w:asciiTheme="majorHAnsi" w:hAnsiTheme="majorHAnsi"/>
          <w:color w:val="000000"/>
          <w:sz w:val="20"/>
          <w:szCs w:val="20"/>
          <w:lang w:val="pt-BR"/>
        </w:rPr>
        <w:t>manifestantes</w:t>
      </w:r>
      <w:r w:rsidR="00F673C7" w:rsidRPr="006D1C74">
        <w:rPr>
          <w:rFonts w:asciiTheme="majorHAnsi" w:hAnsiTheme="majorHAnsi"/>
          <w:color w:val="000000"/>
          <w:sz w:val="20"/>
          <w:szCs w:val="20"/>
          <w:lang w:val="pt-BR"/>
        </w:rPr>
        <w:t xml:space="preserve"> na </w:t>
      </w:r>
      <w:r w:rsidRPr="006D1C74">
        <w:rPr>
          <w:rFonts w:asciiTheme="majorHAnsi" w:hAnsiTheme="majorHAnsi"/>
          <w:color w:val="000000"/>
          <w:sz w:val="20"/>
          <w:szCs w:val="20"/>
          <w:lang w:val="pt-BR"/>
        </w:rPr>
        <w:t>ci</w:t>
      </w:r>
      <w:r w:rsidR="00F673C7" w:rsidRPr="006D1C74">
        <w:rPr>
          <w:rFonts w:asciiTheme="majorHAnsi" w:hAnsiTheme="majorHAnsi"/>
          <w:color w:val="000000"/>
          <w:sz w:val="20"/>
          <w:szCs w:val="20"/>
          <w:lang w:val="pt-BR"/>
        </w:rPr>
        <w:t xml:space="preserve">dade </w:t>
      </w:r>
      <w:r w:rsidR="00CF037E" w:rsidRPr="006D1C74">
        <w:rPr>
          <w:rFonts w:asciiTheme="majorHAnsi" w:hAnsiTheme="majorHAnsi"/>
          <w:color w:val="000000"/>
          <w:sz w:val="20"/>
          <w:szCs w:val="20"/>
          <w:lang w:val="pt-BR"/>
        </w:rPr>
        <w:t xml:space="preserve">e </w:t>
      </w:r>
      <w:r w:rsidR="00585D35" w:rsidRPr="006D1C74">
        <w:rPr>
          <w:rFonts w:asciiTheme="majorHAnsi" w:hAnsiTheme="majorHAnsi"/>
          <w:color w:val="000000"/>
          <w:sz w:val="20"/>
          <w:szCs w:val="20"/>
          <w:lang w:val="pt-BR"/>
        </w:rPr>
        <w:t>orde</w:t>
      </w:r>
      <w:r w:rsidR="00C6461F" w:rsidRPr="006D1C74">
        <w:rPr>
          <w:rFonts w:asciiTheme="majorHAnsi" w:hAnsiTheme="majorHAnsi"/>
          <w:color w:val="000000"/>
          <w:sz w:val="20"/>
          <w:szCs w:val="20"/>
          <w:lang w:val="pt-BR"/>
        </w:rPr>
        <w:t xml:space="preserve">naram que eles </w:t>
      </w:r>
      <w:r w:rsidR="00623C35" w:rsidRPr="006D1C74">
        <w:rPr>
          <w:rFonts w:asciiTheme="majorHAnsi" w:hAnsiTheme="majorHAnsi"/>
          <w:color w:val="000000"/>
          <w:sz w:val="20"/>
          <w:szCs w:val="20"/>
          <w:lang w:val="pt-BR"/>
        </w:rPr>
        <w:t>regressassem</w:t>
      </w:r>
      <w:r w:rsidRPr="006D1C74">
        <w:rPr>
          <w:rFonts w:asciiTheme="majorHAnsi" w:hAnsiTheme="majorHAnsi"/>
          <w:color w:val="000000"/>
          <w:sz w:val="20"/>
          <w:szCs w:val="20"/>
          <w:lang w:val="pt-BR"/>
        </w:rPr>
        <w:t xml:space="preserve">, indicando que </w:t>
      </w:r>
      <w:r w:rsidR="00C6461F" w:rsidRPr="006D1C74">
        <w:rPr>
          <w:rFonts w:asciiTheme="majorHAnsi" w:hAnsiTheme="majorHAnsi"/>
          <w:color w:val="000000"/>
          <w:sz w:val="20"/>
          <w:szCs w:val="20"/>
          <w:lang w:val="pt-BR"/>
        </w:rPr>
        <w:t xml:space="preserve">o protesto havia sido </w:t>
      </w:r>
      <w:r w:rsidR="00623C35" w:rsidRPr="006D1C74">
        <w:rPr>
          <w:rFonts w:asciiTheme="majorHAnsi" w:hAnsiTheme="majorHAnsi"/>
          <w:color w:val="000000"/>
          <w:sz w:val="20"/>
          <w:szCs w:val="20"/>
          <w:lang w:val="pt-BR"/>
        </w:rPr>
        <w:t>proibido</w:t>
      </w:r>
      <w:r w:rsidR="00700267" w:rsidRPr="006D1C74">
        <w:rPr>
          <w:rFonts w:asciiTheme="majorHAnsi" w:hAnsiTheme="majorHAnsi"/>
          <w:color w:val="000000"/>
          <w:sz w:val="20"/>
          <w:szCs w:val="20"/>
          <w:lang w:val="pt-BR"/>
        </w:rPr>
        <w:t xml:space="preserve"> </w:t>
      </w:r>
      <w:r w:rsidR="00F673C7" w:rsidRPr="006D1C74">
        <w:rPr>
          <w:rFonts w:asciiTheme="majorHAnsi" w:hAnsiTheme="majorHAnsi"/>
          <w:color w:val="000000"/>
          <w:sz w:val="20"/>
          <w:szCs w:val="20"/>
          <w:lang w:val="pt-BR"/>
        </w:rPr>
        <w:t xml:space="preserve">em </w:t>
      </w:r>
      <w:r w:rsidRPr="006D1C74">
        <w:rPr>
          <w:rFonts w:asciiTheme="majorHAnsi" w:hAnsiTheme="majorHAnsi"/>
          <w:color w:val="000000"/>
          <w:sz w:val="20"/>
          <w:szCs w:val="20"/>
          <w:lang w:val="pt-BR"/>
        </w:rPr>
        <w:t>virtud</w:t>
      </w:r>
      <w:r w:rsidR="00C6461F" w:rsidRPr="006D1C74">
        <w:rPr>
          <w:rFonts w:asciiTheme="majorHAnsi" w:hAnsiTheme="majorHAnsi"/>
          <w:color w:val="000000"/>
          <w:sz w:val="20"/>
          <w:szCs w:val="20"/>
          <w:lang w:val="pt-BR"/>
        </w:rPr>
        <w:t>e</w:t>
      </w:r>
      <w:r w:rsidR="00795010" w:rsidRPr="006D1C74">
        <w:rPr>
          <w:rFonts w:asciiTheme="majorHAnsi" w:hAnsiTheme="majorHAnsi"/>
          <w:color w:val="000000"/>
          <w:sz w:val="20"/>
          <w:szCs w:val="20"/>
          <w:lang w:val="pt-BR"/>
        </w:rPr>
        <w:t xml:space="preserve"> da </w:t>
      </w:r>
      <w:r w:rsidR="00585D35" w:rsidRPr="006D1C74">
        <w:rPr>
          <w:rFonts w:asciiTheme="majorHAnsi" w:hAnsiTheme="majorHAnsi"/>
          <w:color w:val="000000"/>
          <w:sz w:val="20"/>
          <w:szCs w:val="20"/>
          <w:lang w:val="pt-BR"/>
        </w:rPr>
        <w:t>ordem</w:t>
      </w:r>
      <w:r w:rsidRPr="006D1C74">
        <w:rPr>
          <w:rFonts w:asciiTheme="majorHAnsi" w:hAnsiTheme="majorHAnsi"/>
          <w:color w:val="000000"/>
          <w:sz w:val="20"/>
          <w:szCs w:val="20"/>
          <w:lang w:val="pt-BR"/>
        </w:rPr>
        <w:t xml:space="preserve"> de interdi</w:t>
      </w:r>
      <w:r w:rsidR="00CF037E" w:rsidRPr="006D1C74">
        <w:rPr>
          <w:rFonts w:asciiTheme="majorHAnsi" w:hAnsiTheme="majorHAnsi"/>
          <w:color w:val="000000"/>
          <w:sz w:val="20"/>
          <w:szCs w:val="20"/>
          <w:lang w:val="pt-BR"/>
        </w:rPr>
        <w:t>ção</w:t>
      </w:r>
      <w:r w:rsidRPr="006D1C74">
        <w:rPr>
          <w:rFonts w:asciiTheme="majorHAnsi" w:hAnsiTheme="majorHAnsi"/>
          <w:color w:val="000000"/>
          <w:sz w:val="20"/>
          <w:szCs w:val="20"/>
          <w:lang w:val="pt-BR"/>
        </w:rPr>
        <w:t xml:space="preserve"> </w:t>
      </w:r>
      <w:r w:rsidR="00010861" w:rsidRPr="006D1C74">
        <w:rPr>
          <w:rFonts w:asciiTheme="majorHAnsi" w:hAnsiTheme="majorHAnsi"/>
          <w:color w:val="000000"/>
          <w:sz w:val="20"/>
          <w:szCs w:val="20"/>
          <w:lang w:val="pt-BR"/>
        </w:rPr>
        <w:t>proibitória</w:t>
      </w:r>
      <w:r w:rsidRPr="006D1C74">
        <w:rPr>
          <w:rFonts w:asciiTheme="majorHAnsi" w:hAnsiTheme="majorHAnsi"/>
          <w:i/>
          <w:iCs/>
          <w:color w:val="000000"/>
          <w:sz w:val="20"/>
          <w:szCs w:val="20"/>
          <w:lang w:val="pt-BR"/>
        </w:rPr>
        <w:t> </w:t>
      </w:r>
      <w:r w:rsidRPr="006D1C74">
        <w:rPr>
          <w:rFonts w:asciiTheme="majorHAnsi" w:hAnsiTheme="majorHAnsi"/>
          <w:color w:val="000000"/>
          <w:sz w:val="20"/>
          <w:szCs w:val="20"/>
          <w:lang w:val="pt-BR"/>
        </w:rPr>
        <w:t xml:space="preserve">21/2000. </w:t>
      </w:r>
      <w:r w:rsidR="00C6461F" w:rsidRPr="006D1C74">
        <w:rPr>
          <w:rFonts w:asciiTheme="majorHAnsi" w:hAnsiTheme="majorHAnsi"/>
          <w:color w:val="000000"/>
          <w:sz w:val="20"/>
          <w:szCs w:val="20"/>
          <w:lang w:val="pt-BR"/>
        </w:rPr>
        <w:t>Após</w:t>
      </w:r>
      <w:r w:rsidRPr="006D1C74">
        <w:rPr>
          <w:rFonts w:asciiTheme="majorHAnsi" w:hAnsiTheme="majorHAnsi"/>
          <w:color w:val="000000"/>
          <w:sz w:val="20"/>
          <w:szCs w:val="20"/>
          <w:lang w:val="pt-BR"/>
        </w:rPr>
        <w:t xml:space="preserve"> rec</w:t>
      </w:r>
      <w:r w:rsidR="00C6461F" w:rsidRPr="006D1C74">
        <w:rPr>
          <w:rFonts w:asciiTheme="majorHAnsi" w:hAnsiTheme="majorHAnsi"/>
          <w:color w:val="000000"/>
          <w:sz w:val="20"/>
          <w:szCs w:val="20"/>
          <w:lang w:val="pt-BR"/>
        </w:rPr>
        <w:t>e</w:t>
      </w:r>
      <w:r w:rsidRPr="006D1C74">
        <w:rPr>
          <w:rFonts w:asciiTheme="majorHAnsi" w:hAnsiTheme="majorHAnsi"/>
          <w:color w:val="000000"/>
          <w:sz w:val="20"/>
          <w:szCs w:val="20"/>
          <w:lang w:val="pt-BR"/>
        </w:rPr>
        <w:t>b</w:t>
      </w:r>
      <w:r w:rsidR="00C6461F" w:rsidRPr="006D1C74">
        <w:rPr>
          <w:rFonts w:asciiTheme="majorHAnsi" w:hAnsiTheme="majorHAnsi"/>
          <w:color w:val="000000"/>
          <w:sz w:val="20"/>
          <w:szCs w:val="20"/>
          <w:lang w:val="pt-BR"/>
        </w:rPr>
        <w:t>e</w:t>
      </w:r>
      <w:r w:rsidRPr="006D1C74">
        <w:rPr>
          <w:rFonts w:asciiTheme="majorHAnsi" w:hAnsiTheme="majorHAnsi"/>
          <w:color w:val="000000"/>
          <w:sz w:val="20"/>
          <w:szCs w:val="20"/>
          <w:lang w:val="pt-BR"/>
        </w:rPr>
        <w:t>r</w:t>
      </w:r>
      <w:r w:rsidR="00700267" w:rsidRPr="006D1C74">
        <w:rPr>
          <w:rFonts w:asciiTheme="majorHAnsi" w:hAnsiTheme="majorHAnsi"/>
          <w:color w:val="000000"/>
          <w:sz w:val="20"/>
          <w:szCs w:val="20"/>
          <w:lang w:val="pt-BR"/>
        </w:rPr>
        <w:t xml:space="preserve"> a </w:t>
      </w:r>
      <w:r w:rsidR="00585D35" w:rsidRPr="006D1C74">
        <w:rPr>
          <w:rFonts w:asciiTheme="majorHAnsi" w:hAnsiTheme="majorHAnsi"/>
          <w:color w:val="000000"/>
          <w:sz w:val="20"/>
          <w:szCs w:val="20"/>
          <w:lang w:val="pt-BR"/>
        </w:rPr>
        <w:t>ordem</w:t>
      </w:r>
      <w:r w:rsidRPr="006D1C74">
        <w:rPr>
          <w:rFonts w:asciiTheme="majorHAnsi" w:hAnsiTheme="majorHAnsi"/>
          <w:color w:val="000000"/>
          <w:sz w:val="20"/>
          <w:szCs w:val="20"/>
          <w:lang w:val="pt-BR"/>
        </w:rPr>
        <w:t xml:space="preserve"> policial,</w:t>
      </w:r>
      <w:r w:rsidR="00700267" w:rsidRPr="006D1C74">
        <w:rPr>
          <w:rFonts w:asciiTheme="majorHAnsi" w:hAnsiTheme="majorHAnsi"/>
          <w:color w:val="000000"/>
          <w:sz w:val="20"/>
          <w:szCs w:val="20"/>
          <w:lang w:val="pt-BR"/>
        </w:rPr>
        <w:t xml:space="preserve"> os </w:t>
      </w:r>
      <w:r w:rsidRPr="006D1C74">
        <w:rPr>
          <w:rFonts w:asciiTheme="majorHAnsi" w:hAnsiTheme="majorHAnsi"/>
          <w:color w:val="000000"/>
          <w:sz w:val="20"/>
          <w:szCs w:val="20"/>
          <w:lang w:val="pt-BR"/>
        </w:rPr>
        <w:t>manifestantes empr</w:t>
      </w:r>
      <w:r w:rsidR="00C6461F" w:rsidRPr="006D1C74">
        <w:rPr>
          <w:rFonts w:asciiTheme="majorHAnsi" w:hAnsiTheme="majorHAnsi"/>
          <w:color w:val="000000"/>
          <w:sz w:val="20"/>
          <w:szCs w:val="20"/>
          <w:lang w:val="pt-BR"/>
        </w:rPr>
        <w:t>e</w:t>
      </w:r>
      <w:r w:rsidRPr="006D1C74">
        <w:rPr>
          <w:rFonts w:asciiTheme="majorHAnsi" w:hAnsiTheme="majorHAnsi"/>
          <w:color w:val="000000"/>
          <w:sz w:val="20"/>
          <w:szCs w:val="20"/>
          <w:lang w:val="pt-BR"/>
        </w:rPr>
        <w:t>end</w:t>
      </w:r>
      <w:r w:rsidR="00C6461F" w:rsidRPr="006D1C74">
        <w:rPr>
          <w:rFonts w:asciiTheme="majorHAnsi" w:hAnsiTheme="majorHAnsi"/>
          <w:color w:val="000000"/>
          <w:sz w:val="20"/>
          <w:szCs w:val="20"/>
          <w:lang w:val="pt-BR"/>
        </w:rPr>
        <w:t xml:space="preserve">eram </w:t>
      </w:r>
      <w:r w:rsidR="00700267" w:rsidRPr="006D1C74">
        <w:rPr>
          <w:rFonts w:asciiTheme="majorHAnsi" w:hAnsiTheme="majorHAnsi"/>
          <w:color w:val="000000"/>
          <w:sz w:val="20"/>
          <w:szCs w:val="20"/>
          <w:lang w:val="pt-BR"/>
        </w:rPr>
        <w:t xml:space="preserve">o </w:t>
      </w:r>
      <w:r w:rsidRPr="006D1C74">
        <w:rPr>
          <w:rFonts w:asciiTheme="majorHAnsi" w:hAnsiTheme="majorHAnsi"/>
          <w:color w:val="000000"/>
          <w:sz w:val="20"/>
          <w:szCs w:val="20"/>
          <w:lang w:val="pt-BR"/>
        </w:rPr>
        <w:t>regre</w:t>
      </w:r>
      <w:r w:rsidR="00C6461F" w:rsidRPr="006D1C74">
        <w:rPr>
          <w:rFonts w:asciiTheme="majorHAnsi" w:hAnsiTheme="majorHAnsi"/>
          <w:color w:val="000000"/>
          <w:sz w:val="20"/>
          <w:szCs w:val="20"/>
          <w:lang w:val="pt-BR"/>
        </w:rPr>
        <w:t>s</w:t>
      </w:r>
      <w:r w:rsidRPr="006D1C74">
        <w:rPr>
          <w:rFonts w:asciiTheme="majorHAnsi" w:hAnsiTheme="majorHAnsi"/>
          <w:color w:val="000000"/>
          <w:sz w:val="20"/>
          <w:szCs w:val="20"/>
          <w:lang w:val="pt-BR"/>
        </w:rPr>
        <w:t>so</w:t>
      </w:r>
      <w:r w:rsidRPr="006D1C74">
        <w:rPr>
          <w:rFonts w:asciiTheme="majorHAnsi" w:hAnsiTheme="majorHAnsi"/>
          <w:color w:val="000000"/>
          <w:sz w:val="20"/>
          <w:szCs w:val="20"/>
          <w:vertAlign w:val="superscript"/>
          <w:lang w:val="pt-BR"/>
        </w:rPr>
        <w:footnoteReference w:id="18"/>
      </w:r>
      <w:r w:rsidRPr="006D1C74">
        <w:rPr>
          <w:rFonts w:asciiTheme="majorHAnsi" w:hAnsiTheme="majorHAnsi"/>
          <w:color w:val="000000"/>
          <w:sz w:val="20"/>
          <w:szCs w:val="20"/>
          <w:lang w:val="pt-BR"/>
        </w:rPr>
        <w:t xml:space="preserve">. </w:t>
      </w:r>
    </w:p>
    <w:p w14:paraId="04D29198" w14:textId="77777777" w:rsidR="002649F0" w:rsidRPr="006D1C74" w:rsidRDefault="002649F0" w:rsidP="002649F0">
      <w:pPr>
        <w:ind w:left="720"/>
        <w:rPr>
          <w:rFonts w:asciiTheme="majorHAnsi" w:eastAsia="Cambria" w:hAnsiTheme="majorHAnsi" w:cs="Cambria"/>
          <w:color w:val="000000"/>
          <w:sz w:val="20"/>
          <w:szCs w:val="20"/>
          <w:u w:color="000000"/>
          <w:lang w:val="pt-BR" w:eastAsia="es-ES"/>
        </w:rPr>
      </w:pPr>
    </w:p>
    <w:p w14:paraId="1D281D35"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6D1C74">
        <w:rPr>
          <w:rFonts w:asciiTheme="majorHAnsi" w:hAnsiTheme="majorHAnsi"/>
          <w:color w:val="000000"/>
          <w:sz w:val="20"/>
          <w:szCs w:val="20"/>
          <w:lang w:val="pt-BR"/>
        </w:rPr>
        <w:lastRenderedPageBreak/>
        <w:t>N</w:t>
      </w:r>
      <w:r w:rsidR="00C6461F" w:rsidRPr="006D1C74">
        <w:rPr>
          <w:rFonts w:asciiTheme="majorHAnsi" w:hAnsiTheme="majorHAnsi"/>
          <w:color w:val="000000"/>
          <w:sz w:val="20"/>
          <w:szCs w:val="20"/>
          <w:lang w:val="pt-BR"/>
        </w:rPr>
        <w:t>ã</w:t>
      </w:r>
      <w:r w:rsidRPr="006D1C74">
        <w:rPr>
          <w:rFonts w:asciiTheme="majorHAnsi" w:hAnsiTheme="majorHAnsi"/>
          <w:color w:val="000000"/>
          <w:sz w:val="20"/>
          <w:szCs w:val="20"/>
          <w:lang w:val="pt-BR"/>
        </w:rPr>
        <w:t xml:space="preserve">o obstante, </w:t>
      </w:r>
      <w:r w:rsidR="00C6461F" w:rsidRPr="006D1C74">
        <w:rPr>
          <w:rFonts w:asciiTheme="majorHAnsi" w:hAnsiTheme="majorHAnsi"/>
          <w:color w:val="000000"/>
          <w:sz w:val="20"/>
          <w:szCs w:val="20"/>
          <w:lang w:val="pt-BR"/>
        </w:rPr>
        <w:t>q</w:t>
      </w:r>
      <w:r w:rsidRPr="006D1C74">
        <w:rPr>
          <w:rFonts w:asciiTheme="majorHAnsi" w:hAnsiTheme="majorHAnsi"/>
          <w:color w:val="000000"/>
          <w:sz w:val="20"/>
          <w:szCs w:val="20"/>
          <w:lang w:val="pt-BR"/>
        </w:rPr>
        <w:t xml:space="preserve">uando </w:t>
      </w:r>
      <w:r w:rsidR="00C6461F" w:rsidRPr="006D1C74">
        <w:rPr>
          <w:rFonts w:asciiTheme="majorHAnsi" w:hAnsiTheme="majorHAnsi"/>
          <w:color w:val="000000"/>
          <w:sz w:val="20"/>
          <w:szCs w:val="20"/>
          <w:lang w:val="pt-BR"/>
        </w:rPr>
        <w:t>ch</w:t>
      </w:r>
      <w:r w:rsidRPr="006D1C74">
        <w:rPr>
          <w:rFonts w:asciiTheme="majorHAnsi" w:hAnsiTheme="majorHAnsi"/>
          <w:color w:val="000000"/>
          <w:sz w:val="20"/>
          <w:szCs w:val="20"/>
          <w:lang w:val="pt-BR"/>
        </w:rPr>
        <w:t>egar</w:t>
      </w:r>
      <w:r w:rsidR="00C6461F" w:rsidRPr="006D1C74">
        <w:rPr>
          <w:rFonts w:asciiTheme="majorHAnsi" w:hAnsiTheme="majorHAnsi"/>
          <w:color w:val="000000"/>
          <w:sz w:val="20"/>
          <w:szCs w:val="20"/>
          <w:lang w:val="pt-BR"/>
        </w:rPr>
        <w:t>am</w:t>
      </w:r>
      <w:r w:rsidR="00217759" w:rsidRPr="006D1C74">
        <w:rPr>
          <w:rFonts w:asciiTheme="majorHAnsi" w:hAnsiTheme="majorHAnsi"/>
          <w:color w:val="000000"/>
          <w:sz w:val="20"/>
          <w:szCs w:val="20"/>
          <w:lang w:val="pt-BR"/>
        </w:rPr>
        <w:t xml:space="preserve"> ao </w:t>
      </w:r>
      <w:r w:rsidR="00C6461F" w:rsidRPr="006D1C74">
        <w:rPr>
          <w:rFonts w:asciiTheme="majorHAnsi" w:hAnsiTheme="majorHAnsi"/>
          <w:color w:val="000000"/>
          <w:sz w:val="20"/>
          <w:szCs w:val="20"/>
          <w:lang w:val="pt-BR"/>
        </w:rPr>
        <w:t>qu</w:t>
      </w:r>
      <w:r w:rsidRPr="006D1C74">
        <w:rPr>
          <w:rFonts w:asciiTheme="majorHAnsi" w:hAnsiTheme="majorHAnsi"/>
          <w:color w:val="000000"/>
          <w:sz w:val="20"/>
          <w:szCs w:val="20"/>
          <w:lang w:val="pt-BR"/>
        </w:rPr>
        <w:t>il</w:t>
      </w:r>
      <w:r w:rsidR="00C6461F" w:rsidRPr="006D1C74">
        <w:rPr>
          <w:rFonts w:asciiTheme="majorHAnsi" w:hAnsiTheme="majorHAnsi"/>
          <w:color w:val="000000"/>
          <w:sz w:val="20"/>
          <w:szCs w:val="20"/>
          <w:lang w:val="pt-BR"/>
        </w:rPr>
        <w:t>ô</w:t>
      </w:r>
      <w:r w:rsidRPr="006D1C74">
        <w:rPr>
          <w:rFonts w:asciiTheme="majorHAnsi" w:hAnsiTheme="majorHAnsi"/>
          <w:color w:val="000000"/>
          <w:sz w:val="20"/>
          <w:szCs w:val="20"/>
          <w:lang w:val="pt-BR"/>
        </w:rPr>
        <w:t>metro 15</w:t>
      </w:r>
      <w:r w:rsidR="00795010" w:rsidRPr="006D1C74">
        <w:rPr>
          <w:rFonts w:asciiTheme="majorHAnsi" w:hAnsiTheme="majorHAnsi"/>
          <w:color w:val="000000"/>
          <w:sz w:val="20"/>
          <w:szCs w:val="20"/>
          <w:lang w:val="pt-BR"/>
        </w:rPr>
        <w:t xml:space="preserve"> da </w:t>
      </w:r>
      <w:r w:rsidR="00C6461F" w:rsidRPr="006D1C74">
        <w:rPr>
          <w:rFonts w:asciiTheme="majorHAnsi" w:hAnsiTheme="majorHAnsi"/>
          <w:color w:val="000000"/>
          <w:sz w:val="20"/>
          <w:szCs w:val="20"/>
          <w:lang w:val="pt-BR"/>
        </w:rPr>
        <w:t>rodovia</w:t>
      </w:r>
      <w:r w:rsidRPr="006D1C74">
        <w:rPr>
          <w:rFonts w:asciiTheme="majorHAnsi" w:hAnsiTheme="majorHAnsi"/>
          <w:color w:val="000000"/>
          <w:sz w:val="20"/>
          <w:szCs w:val="20"/>
          <w:lang w:val="pt-BR"/>
        </w:rPr>
        <w:t xml:space="preserve"> BR 227,</w:t>
      </w:r>
      <w:r w:rsidR="00F37852" w:rsidRPr="006D1C74">
        <w:rPr>
          <w:rFonts w:asciiTheme="majorHAnsi" w:hAnsiTheme="majorHAnsi"/>
          <w:color w:val="000000"/>
          <w:sz w:val="20"/>
          <w:szCs w:val="20"/>
          <w:lang w:val="pt-BR"/>
        </w:rPr>
        <w:t xml:space="preserve"> pela </w:t>
      </w:r>
      <w:r w:rsidR="00FD1F0A" w:rsidRPr="006D1C74">
        <w:rPr>
          <w:rFonts w:asciiTheme="majorHAnsi" w:hAnsiTheme="majorHAnsi"/>
          <w:color w:val="000000"/>
          <w:sz w:val="20"/>
          <w:szCs w:val="20"/>
          <w:lang w:val="pt-BR"/>
        </w:rPr>
        <w:t>q</w:t>
      </w:r>
      <w:r w:rsidRPr="006D1C74">
        <w:rPr>
          <w:rFonts w:asciiTheme="majorHAnsi" w:hAnsiTheme="majorHAnsi"/>
          <w:color w:val="000000"/>
          <w:sz w:val="20"/>
          <w:szCs w:val="20"/>
          <w:lang w:val="pt-BR"/>
        </w:rPr>
        <w:t>ual transita</w:t>
      </w:r>
      <w:r w:rsidR="00C6461F" w:rsidRPr="006D1C74">
        <w:rPr>
          <w:rFonts w:asciiTheme="majorHAnsi" w:hAnsiTheme="majorHAnsi"/>
          <w:color w:val="000000"/>
          <w:sz w:val="20"/>
          <w:szCs w:val="20"/>
          <w:lang w:val="pt-BR"/>
        </w:rPr>
        <w:t>vam</w:t>
      </w:r>
      <w:r w:rsidR="00FC2F62" w:rsidRPr="006D1C74">
        <w:rPr>
          <w:rFonts w:asciiTheme="majorHAnsi" w:hAnsiTheme="majorHAnsi"/>
          <w:color w:val="000000"/>
          <w:sz w:val="20"/>
          <w:szCs w:val="20"/>
          <w:lang w:val="pt-BR"/>
        </w:rPr>
        <w:t xml:space="preserve"> no </w:t>
      </w:r>
      <w:r w:rsidRPr="006D1C74">
        <w:rPr>
          <w:rFonts w:asciiTheme="majorHAnsi" w:hAnsiTheme="majorHAnsi"/>
          <w:color w:val="000000"/>
          <w:sz w:val="20"/>
          <w:szCs w:val="20"/>
          <w:lang w:val="pt-BR"/>
        </w:rPr>
        <w:t>sentido de Curitiba a Campo Largo</w:t>
      </w:r>
      <w:r w:rsidR="00C6461F" w:rsidRPr="006D1C74">
        <w:rPr>
          <w:rFonts w:asciiTheme="majorHAnsi" w:hAnsiTheme="majorHAnsi"/>
          <w:color w:val="000000"/>
          <w:sz w:val="20"/>
          <w:szCs w:val="20"/>
          <w:lang w:val="pt-BR"/>
        </w:rPr>
        <w:t>, n</w:t>
      </w:r>
      <w:r w:rsidR="00700267" w:rsidRPr="006D1C74">
        <w:rPr>
          <w:rFonts w:asciiTheme="majorHAnsi" w:hAnsiTheme="majorHAnsi"/>
          <w:color w:val="000000"/>
          <w:sz w:val="20"/>
          <w:szCs w:val="20"/>
          <w:lang w:val="pt-BR"/>
        </w:rPr>
        <w:t xml:space="preserve">as </w:t>
      </w:r>
      <w:r w:rsidRPr="006D1C74">
        <w:rPr>
          <w:rFonts w:asciiTheme="majorHAnsi" w:hAnsiTheme="majorHAnsi"/>
          <w:color w:val="000000"/>
          <w:sz w:val="20"/>
          <w:szCs w:val="20"/>
          <w:lang w:val="pt-BR"/>
        </w:rPr>
        <w:t>proximidades d</w:t>
      </w:r>
      <w:r w:rsidR="00CC4F19">
        <w:rPr>
          <w:rFonts w:asciiTheme="majorHAnsi" w:hAnsiTheme="majorHAnsi"/>
          <w:color w:val="000000"/>
          <w:sz w:val="20"/>
          <w:szCs w:val="20"/>
          <w:lang w:val="pt-BR"/>
        </w:rPr>
        <w:t>o</w:t>
      </w:r>
      <w:r w:rsidRPr="006D1C74">
        <w:rPr>
          <w:rFonts w:asciiTheme="majorHAnsi" w:hAnsiTheme="majorHAnsi"/>
          <w:color w:val="000000"/>
          <w:sz w:val="20"/>
          <w:szCs w:val="20"/>
          <w:lang w:val="pt-BR"/>
        </w:rPr>
        <w:t xml:space="preserve"> Posto Saguaru,</w:t>
      </w:r>
      <w:r w:rsidR="00700267" w:rsidRPr="006D1C74">
        <w:rPr>
          <w:rFonts w:asciiTheme="majorHAnsi" w:hAnsiTheme="majorHAnsi"/>
          <w:color w:val="000000"/>
          <w:sz w:val="20"/>
          <w:szCs w:val="20"/>
          <w:lang w:val="pt-BR"/>
        </w:rPr>
        <w:t xml:space="preserve"> os </w:t>
      </w:r>
      <w:r w:rsidRPr="006D1C74">
        <w:rPr>
          <w:rFonts w:asciiTheme="majorHAnsi" w:hAnsiTheme="majorHAnsi"/>
          <w:color w:val="000000"/>
          <w:sz w:val="20"/>
          <w:szCs w:val="20"/>
          <w:lang w:val="pt-BR"/>
        </w:rPr>
        <w:t>integrantes</w:t>
      </w:r>
      <w:r w:rsidR="00030019" w:rsidRPr="006D1C74">
        <w:rPr>
          <w:rFonts w:asciiTheme="majorHAnsi" w:hAnsiTheme="majorHAnsi"/>
          <w:color w:val="000000"/>
          <w:sz w:val="20"/>
          <w:szCs w:val="20"/>
          <w:lang w:val="pt-BR"/>
        </w:rPr>
        <w:t xml:space="preserve"> do </w:t>
      </w:r>
      <w:r w:rsidRPr="006D1C74">
        <w:rPr>
          <w:rFonts w:asciiTheme="majorHAnsi" w:hAnsiTheme="majorHAnsi"/>
          <w:color w:val="000000"/>
          <w:sz w:val="20"/>
          <w:szCs w:val="20"/>
          <w:lang w:val="pt-BR"/>
        </w:rPr>
        <w:t>MST vi</w:t>
      </w:r>
      <w:r w:rsidR="00C6461F" w:rsidRPr="006D1C74">
        <w:rPr>
          <w:rFonts w:asciiTheme="majorHAnsi" w:hAnsiTheme="majorHAnsi"/>
          <w:color w:val="000000"/>
          <w:sz w:val="20"/>
          <w:szCs w:val="20"/>
          <w:lang w:val="pt-BR"/>
        </w:rPr>
        <w:t>ram</w:t>
      </w:r>
      <w:r w:rsidRPr="006D1C74">
        <w:rPr>
          <w:rFonts w:asciiTheme="majorHAnsi" w:hAnsiTheme="majorHAnsi"/>
          <w:color w:val="000000"/>
          <w:sz w:val="20"/>
          <w:szCs w:val="20"/>
          <w:lang w:val="pt-BR"/>
        </w:rPr>
        <w:t xml:space="preserve"> </w:t>
      </w:r>
      <w:r w:rsidR="00CF037E" w:rsidRPr="006D1C74">
        <w:rPr>
          <w:rFonts w:asciiTheme="majorHAnsi" w:hAnsiTheme="majorHAnsi"/>
          <w:color w:val="000000"/>
          <w:sz w:val="20"/>
          <w:szCs w:val="20"/>
          <w:lang w:val="pt-BR"/>
        </w:rPr>
        <w:t>outr</w:t>
      </w:r>
      <w:r w:rsidRPr="006D1C74">
        <w:rPr>
          <w:rFonts w:asciiTheme="majorHAnsi" w:hAnsiTheme="majorHAnsi"/>
          <w:color w:val="000000"/>
          <w:sz w:val="20"/>
          <w:szCs w:val="20"/>
          <w:lang w:val="pt-BR"/>
        </w:rPr>
        <w:t xml:space="preserve">o </w:t>
      </w:r>
      <w:r w:rsidR="00C6461F" w:rsidRPr="006D1C74">
        <w:rPr>
          <w:rFonts w:asciiTheme="majorHAnsi" w:hAnsiTheme="majorHAnsi"/>
          <w:color w:val="000000"/>
          <w:sz w:val="20"/>
          <w:szCs w:val="20"/>
          <w:lang w:val="pt-BR"/>
        </w:rPr>
        <w:t>ônibus</w:t>
      </w:r>
      <w:r w:rsidR="00030019" w:rsidRPr="006D1C74">
        <w:rPr>
          <w:rFonts w:asciiTheme="majorHAnsi" w:hAnsiTheme="majorHAnsi"/>
          <w:color w:val="000000"/>
          <w:sz w:val="20"/>
          <w:szCs w:val="20"/>
          <w:lang w:val="pt-BR"/>
        </w:rPr>
        <w:t xml:space="preserve"> do </w:t>
      </w:r>
      <w:r w:rsidRPr="006D1C74">
        <w:rPr>
          <w:rFonts w:asciiTheme="majorHAnsi" w:hAnsiTheme="majorHAnsi"/>
          <w:color w:val="000000"/>
          <w:sz w:val="20"/>
          <w:szCs w:val="20"/>
          <w:lang w:val="pt-BR"/>
        </w:rPr>
        <w:t>movi</w:t>
      </w:r>
      <w:r w:rsidR="00700267" w:rsidRPr="006D1C74">
        <w:rPr>
          <w:rFonts w:asciiTheme="majorHAnsi" w:hAnsiTheme="majorHAnsi"/>
          <w:color w:val="000000"/>
          <w:sz w:val="20"/>
          <w:szCs w:val="20"/>
          <w:lang w:val="pt-BR"/>
        </w:rPr>
        <w:t>mento</w:t>
      </w:r>
      <w:r w:rsidRPr="006D1C74">
        <w:rPr>
          <w:rFonts w:asciiTheme="majorHAnsi" w:hAnsiTheme="majorHAnsi"/>
          <w:color w:val="000000"/>
          <w:sz w:val="20"/>
          <w:szCs w:val="20"/>
          <w:lang w:val="pt-BR"/>
        </w:rPr>
        <w:t xml:space="preserve"> parado</w:t>
      </w:r>
      <w:r w:rsidR="00FC2F62" w:rsidRPr="006D1C74">
        <w:rPr>
          <w:rFonts w:asciiTheme="majorHAnsi" w:hAnsiTheme="majorHAnsi"/>
          <w:color w:val="000000"/>
          <w:sz w:val="20"/>
          <w:szCs w:val="20"/>
          <w:lang w:val="pt-BR"/>
        </w:rPr>
        <w:t xml:space="preserve"> no </w:t>
      </w:r>
      <w:r w:rsidRPr="006D1C74">
        <w:rPr>
          <w:rFonts w:asciiTheme="majorHAnsi" w:hAnsiTheme="majorHAnsi"/>
          <w:color w:val="000000"/>
          <w:sz w:val="20"/>
          <w:szCs w:val="20"/>
          <w:lang w:val="pt-BR"/>
        </w:rPr>
        <w:t>sentido contr</w:t>
      </w:r>
      <w:r w:rsidR="00C6461F" w:rsidRPr="006D1C74">
        <w:rPr>
          <w:rFonts w:asciiTheme="majorHAnsi" w:hAnsiTheme="majorHAnsi"/>
          <w:color w:val="000000"/>
          <w:sz w:val="20"/>
          <w:szCs w:val="20"/>
          <w:lang w:val="pt-BR"/>
        </w:rPr>
        <w:t>á</w:t>
      </w:r>
      <w:r w:rsidRPr="006D1C74">
        <w:rPr>
          <w:rFonts w:asciiTheme="majorHAnsi" w:hAnsiTheme="majorHAnsi"/>
          <w:color w:val="000000"/>
          <w:sz w:val="20"/>
          <w:szCs w:val="20"/>
          <w:lang w:val="pt-BR"/>
        </w:rPr>
        <w:t>rio</w:t>
      </w:r>
      <w:r w:rsidR="00795010" w:rsidRPr="006D1C74">
        <w:rPr>
          <w:rFonts w:asciiTheme="majorHAnsi" w:hAnsiTheme="majorHAnsi"/>
          <w:color w:val="000000"/>
          <w:sz w:val="20"/>
          <w:szCs w:val="20"/>
          <w:lang w:val="pt-BR"/>
        </w:rPr>
        <w:t xml:space="preserve"> da </w:t>
      </w:r>
      <w:r w:rsidR="00C6461F" w:rsidRPr="006D1C74">
        <w:rPr>
          <w:rFonts w:asciiTheme="majorHAnsi" w:hAnsiTheme="majorHAnsi"/>
          <w:color w:val="000000"/>
          <w:sz w:val="20"/>
          <w:szCs w:val="20"/>
          <w:lang w:val="pt-BR"/>
        </w:rPr>
        <w:t>rodovia</w:t>
      </w:r>
      <w:r w:rsidR="00CF037E" w:rsidRPr="006D1C74">
        <w:rPr>
          <w:rFonts w:asciiTheme="majorHAnsi" w:hAnsiTheme="majorHAnsi"/>
          <w:color w:val="000000"/>
          <w:sz w:val="20"/>
          <w:szCs w:val="20"/>
          <w:lang w:val="pt-BR"/>
        </w:rPr>
        <w:t xml:space="preserve"> e </w:t>
      </w:r>
      <w:r w:rsidR="00C6461F" w:rsidRPr="006D1C74">
        <w:rPr>
          <w:rFonts w:asciiTheme="majorHAnsi" w:hAnsiTheme="majorHAnsi"/>
          <w:color w:val="000000"/>
          <w:sz w:val="20"/>
          <w:szCs w:val="20"/>
          <w:lang w:val="pt-BR"/>
        </w:rPr>
        <w:t xml:space="preserve">desceram </w:t>
      </w:r>
      <w:r w:rsidR="00700267" w:rsidRPr="006D1C74">
        <w:rPr>
          <w:rFonts w:asciiTheme="majorHAnsi" w:hAnsiTheme="majorHAnsi"/>
          <w:color w:val="000000"/>
          <w:sz w:val="20"/>
          <w:szCs w:val="20"/>
          <w:lang w:val="pt-BR"/>
        </w:rPr>
        <w:t xml:space="preserve">dos </w:t>
      </w:r>
      <w:r w:rsidR="00C6461F" w:rsidRPr="006D1C74">
        <w:rPr>
          <w:rFonts w:asciiTheme="majorHAnsi" w:hAnsiTheme="majorHAnsi"/>
          <w:color w:val="000000"/>
          <w:sz w:val="20"/>
          <w:szCs w:val="20"/>
          <w:lang w:val="pt-BR"/>
        </w:rPr>
        <w:t>ônibus</w:t>
      </w:r>
      <w:r w:rsidRPr="006D1C74">
        <w:rPr>
          <w:rFonts w:asciiTheme="majorHAnsi" w:hAnsiTheme="majorHAnsi"/>
          <w:color w:val="000000"/>
          <w:sz w:val="20"/>
          <w:szCs w:val="20"/>
          <w:lang w:val="pt-BR"/>
        </w:rPr>
        <w:t xml:space="preserve"> para averiguar </w:t>
      </w:r>
      <w:r w:rsidR="00C6461F" w:rsidRPr="006D1C74">
        <w:rPr>
          <w:rFonts w:asciiTheme="majorHAnsi" w:hAnsiTheme="majorHAnsi"/>
          <w:color w:val="000000"/>
          <w:sz w:val="20"/>
          <w:szCs w:val="20"/>
          <w:lang w:val="pt-BR"/>
        </w:rPr>
        <w:t xml:space="preserve">o </w:t>
      </w:r>
      <w:r w:rsidRPr="006D1C74">
        <w:rPr>
          <w:rFonts w:asciiTheme="majorHAnsi" w:hAnsiTheme="majorHAnsi"/>
          <w:color w:val="000000"/>
          <w:sz w:val="20"/>
          <w:szCs w:val="20"/>
          <w:lang w:val="pt-BR"/>
        </w:rPr>
        <w:t>qu</w:t>
      </w:r>
      <w:r w:rsidR="00C6461F" w:rsidRPr="006D1C74">
        <w:rPr>
          <w:rFonts w:asciiTheme="majorHAnsi" w:hAnsiTheme="majorHAnsi"/>
          <w:color w:val="000000"/>
          <w:sz w:val="20"/>
          <w:szCs w:val="20"/>
          <w:lang w:val="pt-BR"/>
        </w:rPr>
        <w:t>e</w:t>
      </w:r>
      <w:r w:rsidRPr="006D1C74">
        <w:rPr>
          <w:rFonts w:asciiTheme="majorHAnsi" w:hAnsiTheme="majorHAnsi"/>
          <w:color w:val="000000"/>
          <w:sz w:val="20"/>
          <w:szCs w:val="20"/>
          <w:lang w:val="pt-BR"/>
        </w:rPr>
        <w:t xml:space="preserve"> ha</w:t>
      </w:r>
      <w:r w:rsidR="00C6461F" w:rsidRPr="006D1C74">
        <w:rPr>
          <w:rFonts w:asciiTheme="majorHAnsi" w:hAnsiTheme="majorHAnsi"/>
          <w:color w:val="000000"/>
          <w:sz w:val="20"/>
          <w:szCs w:val="20"/>
          <w:lang w:val="pt-BR"/>
        </w:rPr>
        <w:t>v</w:t>
      </w:r>
      <w:r w:rsidR="00055622" w:rsidRPr="006D1C74">
        <w:rPr>
          <w:rFonts w:asciiTheme="majorHAnsi" w:hAnsiTheme="majorHAnsi"/>
          <w:color w:val="000000"/>
          <w:sz w:val="20"/>
          <w:szCs w:val="20"/>
          <w:lang w:val="pt-BR"/>
        </w:rPr>
        <w:t>ia</w:t>
      </w:r>
      <w:r w:rsidRPr="006D1C74">
        <w:rPr>
          <w:rFonts w:asciiTheme="majorHAnsi" w:hAnsiTheme="majorHAnsi"/>
          <w:color w:val="000000"/>
          <w:sz w:val="20"/>
          <w:szCs w:val="20"/>
          <w:lang w:val="pt-BR"/>
        </w:rPr>
        <w:t xml:space="preserve"> </w:t>
      </w:r>
      <w:r w:rsidR="00C6461F" w:rsidRPr="006D1C74">
        <w:rPr>
          <w:rFonts w:asciiTheme="majorHAnsi" w:hAnsiTheme="majorHAnsi"/>
          <w:color w:val="000000"/>
          <w:sz w:val="20"/>
          <w:szCs w:val="20"/>
          <w:lang w:val="pt-BR"/>
        </w:rPr>
        <w:t>acontecido</w:t>
      </w:r>
      <w:r w:rsidRPr="006D1C74">
        <w:rPr>
          <w:rFonts w:asciiTheme="majorHAnsi" w:hAnsiTheme="majorHAnsi"/>
          <w:color w:val="000000"/>
          <w:sz w:val="20"/>
          <w:szCs w:val="20"/>
          <w:lang w:val="pt-BR"/>
        </w:rPr>
        <w:t>.</w:t>
      </w:r>
      <w:r w:rsidR="00700267" w:rsidRPr="006D1C74">
        <w:rPr>
          <w:rFonts w:asciiTheme="majorHAnsi" w:hAnsiTheme="majorHAnsi"/>
          <w:color w:val="000000"/>
          <w:sz w:val="20"/>
          <w:szCs w:val="20"/>
          <w:lang w:val="pt-BR"/>
        </w:rPr>
        <w:t xml:space="preserve"> </w:t>
      </w:r>
      <w:r w:rsidR="00C6461F" w:rsidRPr="006D1C74">
        <w:rPr>
          <w:rFonts w:asciiTheme="majorHAnsi" w:hAnsiTheme="majorHAnsi"/>
          <w:color w:val="000000"/>
          <w:sz w:val="20"/>
          <w:szCs w:val="20"/>
          <w:lang w:val="pt-BR"/>
        </w:rPr>
        <w:t>O</w:t>
      </w:r>
      <w:r w:rsidR="00700267" w:rsidRPr="006D1C74">
        <w:rPr>
          <w:rFonts w:asciiTheme="majorHAnsi" w:hAnsiTheme="majorHAnsi"/>
          <w:color w:val="000000"/>
          <w:sz w:val="20"/>
          <w:szCs w:val="20"/>
          <w:lang w:val="pt-BR"/>
        </w:rPr>
        <w:t xml:space="preserve">s </w:t>
      </w:r>
      <w:r w:rsidRPr="006D1C74">
        <w:rPr>
          <w:rFonts w:asciiTheme="majorHAnsi" w:hAnsiTheme="majorHAnsi"/>
          <w:color w:val="000000"/>
          <w:sz w:val="20"/>
          <w:szCs w:val="20"/>
          <w:lang w:val="pt-BR"/>
        </w:rPr>
        <w:t xml:space="preserve">agentes de </w:t>
      </w:r>
      <w:r w:rsidR="00F37852" w:rsidRPr="006D1C74">
        <w:rPr>
          <w:rFonts w:asciiTheme="majorHAnsi" w:hAnsiTheme="majorHAnsi"/>
          <w:color w:val="000000"/>
          <w:sz w:val="20"/>
          <w:szCs w:val="20"/>
          <w:lang w:val="pt-BR"/>
        </w:rPr>
        <w:t>polícia</w:t>
      </w:r>
      <w:r w:rsidRPr="006D1C74">
        <w:rPr>
          <w:rFonts w:asciiTheme="majorHAnsi" w:hAnsiTheme="majorHAnsi"/>
          <w:color w:val="000000"/>
          <w:sz w:val="20"/>
          <w:szCs w:val="20"/>
          <w:lang w:val="pt-BR"/>
        </w:rPr>
        <w:t xml:space="preserve"> </w:t>
      </w:r>
      <w:r w:rsidR="00585D35" w:rsidRPr="006D1C74">
        <w:rPr>
          <w:rFonts w:asciiTheme="majorHAnsi" w:hAnsiTheme="majorHAnsi"/>
          <w:color w:val="000000"/>
          <w:sz w:val="20"/>
          <w:szCs w:val="20"/>
          <w:lang w:val="pt-BR"/>
        </w:rPr>
        <w:t>orde</w:t>
      </w:r>
      <w:r w:rsidR="00C6461F" w:rsidRPr="006D1C74">
        <w:rPr>
          <w:rFonts w:asciiTheme="majorHAnsi" w:hAnsiTheme="majorHAnsi"/>
          <w:color w:val="000000"/>
          <w:sz w:val="20"/>
          <w:szCs w:val="20"/>
          <w:lang w:val="pt-BR"/>
        </w:rPr>
        <w:t xml:space="preserve">naram </w:t>
      </w:r>
      <w:r w:rsidRPr="006D1C74">
        <w:rPr>
          <w:rFonts w:asciiTheme="majorHAnsi" w:hAnsiTheme="majorHAnsi"/>
          <w:color w:val="000000"/>
          <w:sz w:val="20"/>
          <w:szCs w:val="20"/>
          <w:lang w:val="pt-BR"/>
        </w:rPr>
        <w:t>que</w:t>
      </w:r>
      <w:r w:rsidR="00F673C7" w:rsidRPr="006D1C74">
        <w:rPr>
          <w:rFonts w:asciiTheme="majorHAnsi" w:hAnsiTheme="majorHAnsi"/>
          <w:color w:val="000000"/>
          <w:sz w:val="20"/>
          <w:szCs w:val="20"/>
          <w:lang w:val="pt-BR"/>
        </w:rPr>
        <w:t xml:space="preserve"> não </w:t>
      </w:r>
      <w:r w:rsidR="00C6461F" w:rsidRPr="006D1C74">
        <w:rPr>
          <w:rFonts w:asciiTheme="majorHAnsi" w:hAnsiTheme="majorHAnsi"/>
          <w:color w:val="000000"/>
          <w:sz w:val="20"/>
          <w:szCs w:val="20"/>
          <w:lang w:val="pt-BR"/>
        </w:rPr>
        <w:t>descessem</w:t>
      </w:r>
      <w:r w:rsidRPr="006D1C74">
        <w:rPr>
          <w:rFonts w:asciiTheme="majorHAnsi" w:hAnsiTheme="majorHAnsi"/>
          <w:color w:val="000000"/>
          <w:sz w:val="20"/>
          <w:szCs w:val="20"/>
          <w:lang w:val="pt-BR"/>
        </w:rPr>
        <w:t xml:space="preserve">, </w:t>
      </w:r>
      <w:r w:rsidR="00C6461F" w:rsidRPr="006D1C74">
        <w:rPr>
          <w:rFonts w:asciiTheme="majorHAnsi" w:hAnsiTheme="majorHAnsi"/>
          <w:color w:val="000000"/>
          <w:sz w:val="20"/>
          <w:szCs w:val="20"/>
          <w:lang w:val="pt-BR"/>
        </w:rPr>
        <w:t>mas</w:t>
      </w:r>
      <w:r w:rsidRPr="006D1C74">
        <w:rPr>
          <w:rFonts w:asciiTheme="majorHAnsi" w:hAnsiTheme="majorHAnsi"/>
          <w:color w:val="000000"/>
          <w:sz w:val="20"/>
          <w:szCs w:val="20"/>
          <w:lang w:val="pt-BR"/>
        </w:rPr>
        <w:t xml:space="preserve"> alguns </w:t>
      </w:r>
      <w:r w:rsidR="00700267" w:rsidRPr="006D1C74">
        <w:rPr>
          <w:rFonts w:asciiTheme="majorHAnsi" w:hAnsiTheme="majorHAnsi"/>
          <w:color w:val="000000"/>
          <w:sz w:val="20"/>
          <w:szCs w:val="20"/>
          <w:lang w:val="pt-BR"/>
        </w:rPr>
        <w:t>trabalh</w:t>
      </w:r>
      <w:r w:rsidRPr="006D1C74">
        <w:rPr>
          <w:rFonts w:asciiTheme="majorHAnsi" w:hAnsiTheme="majorHAnsi"/>
          <w:color w:val="000000"/>
          <w:sz w:val="20"/>
          <w:szCs w:val="20"/>
          <w:lang w:val="pt-BR"/>
        </w:rPr>
        <w:t xml:space="preserve">adores </w:t>
      </w:r>
      <w:r w:rsidR="00C6461F" w:rsidRPr="006D1C74">
        <w:rPr>
          <w:rFonts w:asciiTheme="majorHAnsi" w:hAnsiTheme="majorHAnsi"/>
          <w:color w:val="000000"/>
          <w:sz w:val="20"/>
          <w:szCs w:val="20"/>
          <w:lang w:val="pt-BR"/>
        </w:rPr>
        <w:t xml:space="preserve">já </w:t>
      </w:r>
      <w:r w:rsidRPr="006D1C74">
        <w:rPr>
          <w:rFonts w:asciiTheme="majorHAnsi" w:hAnsiTheme="majorHAnsi"/>
          <w:color w:val="000000"/>
          <w:sz w:val="20"/>
          <w:szCs w:val="20"/>
          <w:lang w:val="pt-BR"/>
        </w:rPr>
        <w:t>ha</w:t>
      </w:r>
      <w:r w:rsidR="00C6461F" w:rsidRPr="006D1C74">
        <w:rPr>
          <w:rFonts w:asciiTheme="majorHAnsi" w:hAnsiTheme="majorHAnsi"/>
          <w:color w:val="000000"/>
          <w:sz w:val="20"/>
          <w:szCs w:val="20"/>
          <w:lang w:val="pt-BR"/>
        </w:rPr>
        <w:t xml:space="preserve">viam </w:t>
      </w:r>
      <w:r w:rsidRPr="006D1C74">
        <w:rPr>
          <w:rFonts w:asciiTheme="majorHAnsi" w:hAnsiTheme="majorHAnsi"/>
          <w:color w:val="000000"/>
          <w:sz w:val="20"/>
          <w:szCs w:val="20"/>
          <w:lang w:val="pt-BR"/>
        </w:rPr>
        <w:t>cruzado</w:t>
      </w:r>
      <w:r w:rsidR="00700267" w:rsidRPr="006D1C74">
        <w:rPr>
          <w:rFonts w:asciiTheme="majorHAnsi" w:hAnsiTheme="majorHAnsi"/>
          <w:color w:val="000000"/>
          <w:sz w:val="20"/>
          <w:szCs w:val="20"/>
          <w:lang w:val="pt-BR"/>
        </w:rPr>
        <w:t xml:space="preserve"> a </w:t>
      </w:r>
      <w:r w:rsidR="00C6461F" w:rsidRPr="006D1C74">
        <w:rPr>
          <w:rFonts w:asciiTheme="majorHAnsi" w:hAnsiTheme="majorHAnsi"/>
          <w:color w:val="000000"/>
          <w:sz w:val="20"/>
          <w:szCs w:val="20"/>
          <w:lang w:val="pt-BR"/>
        </w:rPr>
        <w:t>rodovia</w:t>
      </w:r>
      <w:r w:rsidRPr="006D1C74">
        <w:rPr>
          <w:rFonts w:asciiTheme="majorHAnsi" w:hAnsiTheme="majorHAnsi"/>
          <w:color w:val="000000"/>
          <w:sz w:val="20"/>
          <w:szCs w:val="20"/>
          <w:vertAlign w:val="superscript"/>
          <w:lang w:val="pt-BR"/>
        </w:rPr>
        <w:footnoteReference w:id="19"/>
      </w:r>
      <w:r w:rsidRPr="006D1C74">
        <w:rPr>
          <w:rFonts w:asciiTheme="majorHAnsi" w:hAnsiTheme="majorHAnsi"/>
          <w:color w:val="000000"/>
          <w:sz w:val="20"/>
          <w:szCs w:val="20"/>
          <w:lang w:val="pt-BR"/>
        </w:rPr>
        <w:t xml:space="preserve">. </w:t>
      </w:r>
    </w:p>
    <w:p w14:paraId="26F53B72" w14:textId="77777777" w:rsidR="002649F0" w:rsidRPr="006D1C74" w:rsidRDefault="002649F0" w:rsidP="002649F0">
      <w:pPr>
        <w:ind w:left="720"/>
        <w:rPr>
          <w:rFonts w:asciiTheme="majorHAnsi" w:eastAsia="Cambria" w:hAnsiTheme="majorHAnsi" w:cs="Cambria"/>
          <w:color w:val="000000"/>
          <w:sz w:val="20"/>
          <w:szCs w:val="20"/>
          <w:u w:color="000000"/>
          <w:lang w:val="pt-BR" w:eastAsia="es-ES"/>
        </w:rPr>
      </w:pPr>
    </w:p>
    <w:p w14:paraId="28F638F1" w14:textId="77777777" w:rsidR="002649F0" w:rsidRPr="006D1C74" w:rsidRDefault="00C6461F"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6D1C74">
        <w:rPr>
          <w:rFonts w:asciiTheme="majorHAnsi" w:eastAsia="Batang" w:hAnsiTheme="majorHAnsi"/>
          <w:sz w:val="20"/>
          <w:szCs w:val="20"/>
          <w:bdr w:val="none" w:sz="0" w:space="0" w:color="auto"/>
          <w:lang w:val="pt-BR"/>
        </w:rPr>
        <w:t>O</w:t>
      </w:r>
      <w:r w:rsidR="002649F0" w:rsidRPr="006D1C74">
        <w:rPr>
          <w:rFonts w:asciiTheme="majorHAnsi" w:eastAsia="Batang" w:hAnsiTheme="majorHAnsi"/>
          <w:sz w:val="20"/>
          <w:szCs w:val="20"/>
          <w:bdr w:val="none" w:sz="0" w:space="0" w:color="auto"/>
          <w:lang w:val="pt-BR"/>
        </w:rPr>
        <w:t>s agentes</w:t>
      </w:r>
      <w:r w:rsidR="00795010" w:rsidRPr="006D1C74">
        <w:rPr>
          <w:rFonts w:asciiTheme="majorHAnsi" w:eastAsia="Batang" w:hAnsiTheme="majorHAnsi"/>
          <w:sz w:val="20"/>
          <w:szCs w:val="20"/>
          <w:bdr w:val="none" w:sz="0" w:space="0" w:color="auto"/>
          <w:lang w:val="pt-BR"/>
        </w:rPr>
        <w:t xml:space="preserve"> da </w:t>
      </w:r>
      <w:r w:rsidR="00F37852" w:rsidRPr="006D1C74">
        <w:rPr>
          <w:rFonts w:asciiTheme="majorHAnsi" w:eastAsia="Batang" w:hAnsiTheme="majorHAnsi"/>
          <w:sz w:val="20"/>
          <w:szCs w:val="20"/>
          <w:bdr w:val="none" w:sz="0" w:space="0" w:color="auto"/>
          <w:lang w:val="pt-BR"/>
        </w:rPr>
        <w:t>polícia</w:t>
      </w:r>
      <w:r w:rsidR="002649F0" w:rsidRPr="006D1C74">
        <w:rPr>
          <w:rFonts w:asciiTheme="majorHAnsi" w:eastAsia="Batang" w:hAnsiTheme="majorHAnsi"/>
          <w:sz w:val="20"/>
          <w:szCs w:val="20"/>
          <w:bdr w:val="none" w:sz="0" w:space="0" w:color="auto"/>
          <w:lang w:val="pt-BR"/>
        </w:rPr>
        <w:t xml:space="preserve"> militar </w:t>
      </w:r>
      <w:r w:rsidR="00FD1F0A" w:rsidRPr="006D1C74">
        <w:rPr>
          <w:rFonts w:asciiTheme="majorHAnsi" w:eastAsia="Batang" w:hAnsiTheme="majorHAnsi"/>
          <w:sz w:val="20"/>
          <w:szCs w:val="20"/>
          <w:bdr w:val="none" w:sz="0" w:space="0" w:color="auto"/>
          <w:lang w:val="pt-BR"/>
        </w:rPr>
        <w:t>desceram</w:t>
      </w:r>
      <w:r w:rsidR="002649F0" w:rsidRPr="006D1C74">
        <w:rPr>
          <w:rFonts w:asciiTheme="majorHAnsi" w:eastAsia="Batang" w:hAnsiTheme="majorHAnsi"/>
          <w:sz w:val="20"/>
          <w:szCs w:val="20"/>
          <w:bdr w:val="none" w:sz="0" w:space="0" w:color="auto"/>
          <w:lang w:val="pt-BR"/>
        </w:rPr>
        <w:t xml:space="preserve"> de s</w:t>
      </w:r>
      <w:r w:rsidR="00FD1F0A" w:rsidRPr="006D1C74">
        <w:rPr>
          <w:rFonts w:asciiTheme="majorHAnsi" w:eastAsia="Batang" w:hAnsiTheme="majorHAnsi"/>
          <w:sz w:val="20"/>
          <w:szCs w:val="20"/>
          <w:bdr w:val="none" w:sz="0" w:space="0" w:color="auto"/>
          <w:lang w:val="pt-BR"/>
        </w:rPr>
        <w:t>e</w:t>
      </w:r>
      <w:r w:rsidR="002649F0" w:rsidRPr="006D1C74">
        <w:rPr>
          <w:rFonts w:asciiTheme="majorHAnsi" w:eastAsia="Batang" w:hAnsiTheme="majorHAnsi"/>
          <w:sz w:val="20"/>
          <w:szCs w:val="20"/>
          <w:bdr w:val="none" w:sz="0" w:space="0" w:color="auto"/>
          <w:lang w:val="pt-BR"/>
        </w:rPr>
        <w:t xml:space="preserve">us veículos </w:t>
      </w:r>
      <w:r w:rsidR="00FD1F0A" w:rsidRPr="006D1C74">
        <w:rPr>
          <w:rFonts w:asciiTheme="majorHAnsi" w:eastAsia="Batang" w:hAnsiTheme="majorHAnsi"/>
          <w:sz w:val="20"/>
          <w:szCs w:val="20"/>
          <w:bdr w:val="none" w:sz="0" w:space="0" w:color="auto"/>
          <w:lang w:val="pt-BR"/>
        </w:rPr>
        <w:t>e</w:t>
      </w:r>
      <w:r w:rsidR="002649F0" w:rsidRPr="006D1C74">
        <w:rPr>
          <w:rFonts w:asciiTheme="majorHAnsi" w:eastAsia="Batang" w:hAnsiTheme="majorHAnsi"/>
          <w:sz w:val="20"/>
          <w:szCs w:val="20"/>
          <w:bdr w:val="none" w:sz="0" w:space="0" w:color="auto"/>
          <w:lang w:val="pt-BR"/>
        </w:rPr>
        <w:t xml:space="preserve">, </w:t>
      </w:r>
      <w:r w:rsidR="00FD1F0A" w:rsidRPr="006D1C74">
        <w:rPr>
          <w:rFonts w:asciiTheme="majorHAnsi" w:eastAsia="Batang" w:hAnsiTheme="majorHAnsi"/>
          <w:sz w:val="20"/>
          <w:szCs w:val="20"/>
          <w:bdr w:val="none" w:sz="0" w:space="0" w:color="auto"/>
          <w:lang w:val="pt-BR"/>
        </w:rPr>
        <w:t>com</w:t>
      </w:r>
      <w:r w:rsidR="00700267" w:rsidRPr="006D1C74">
        <w:rPr>
          <w:rFonts w:asciiTheme="majorHAnsi" w:eastAsia="Batang" w:hAnsiTheme="majorHAnsi"/>
          <w:sz w:val="20"/>
          <w:szCs w:val="20"/>
          <w:bdr w:val="none" w:sz="0" w:space="0" w:color="auto"/>
          <w:lang w:val="pt-BR"/>
        </w:rPr>
        <w:t xml:space="preserve"> a </w:t>
      </w:r>
      <w:r w:rsidR="002649F0" w:rsidRPr="006D1C74">
        <w:rPr>
          <w:rFonts w:asciiTheme="majorHAnsi" w:eastAsia="Batang" w:hAnsiTheme="majorHAnsi"/>
          <w:sz w:val="20"/>
          <w:szCs w:val="20"/>
          <w:bdr w:val="none" w:sz="0" w:space="0" w:color="auto"/>
          <w:lang w:val="pt-BR"/>
        </w:rPr>
        <w:t>justifica</w:t>
      </w:r>
      <w:r w:rsidR="00E430A3">
        <w:rPr>
          <w:rFonts w:asciiTheme="majorHAnsi" w:eastAsia="Batang" w:hAnsiTheme="majorHAnsi"/>
          <w:sz w:val="20"/>
          <w:szCs w:val="20"/>
          <w:bdr w:val="none" w:sz="0" w:space="0" w:color="auto"/>
          <w:lang w:val="pt-BR"/>
        </w:rPr>
        <w:t>tiva</w:t>
      </w:r>
      <w:r w:rsidR="002649F0" w:rsidRPr="006D1C74">
        <w:rPr>
          <w:rFonts w:asciiTheme="majorHAnsi" w:eastAsia="Batang" w:hAnsiTheme="majorHAnsi"/>
          <w:sz w:val="20"/>
          <w:szCs w:val="20"/>
          <w:bdr w:val="none" w:sz="0" w:space="0" w:color="auto"/>
          <w:lang w:val="pt-BR"/>
        </w:rPr>
        <w:t xml:space="preserve"> de manter</w:t>
      </w:r>
      <w:r w:rsidR="00700267" w:rsidRPr="006D1C74">
        <w:rPr>
          <w:rFonts w:asciiTheme="majorHAnsi" w:eastAsia="Batang" w:hAnsiTheme="majorHAnsi"/>
          <w:sz w:val="20"/>
          <w:szCs w:val="20"/>
          <w:bdr w:val="none" w:sz="0" w:space="0" w:color="auto"/>
          <w:lang w:val="pt-BR"/>
        </w:rPr>
        <w:t xml:space="preserve"> </w:t>
      </w:r>
      <w:r w:rsidR="00FD1F0A" w:rsidRPr="006D1C74">
        <w:rPr>
          <w:rFonts w:asciiTheme="majorHAnsi" w:eastAsia="Batang" w:hAnsiTheme="majorHAnsi"/>
          <w:sz w:val="20"/>
          <w:szCs w:val="20"/>
          <w:bdr w:val="none" w:sz="0" w:space="0" w:color="auto"/>
          <w:lang w:val="pt-BR"/>
        </w:rPr>
        <w:t>a</w:t>
      </w:r>
      <w:r w:rsidR="00700267" w:rsidRPr="006D1C74">
        <w:rPr>
          <w:rFonts w:asciiTheme="majorHAnsi" w:eastAsia="Batang" w:hAnsiTheme="majorHAnsi"/>
          <w:sz w:val="20"/>
          <w:szCs w:val="20"/>
          <w:bdr w:val="none" w:sz="0" w:space="0" w:color="auto"/>
          <w:lang w:val="pt-BR"/>
        </w:rPr>
        <w:t xml:space="preserve"> </w:t>
      </w:r>
      <w:r w:rsidR="00585D35" w:rsidRPr="006D1C74">
        <w:rPr>
          <w:rFonts w:asciiTheme="majorHAnsi" w:eastAsia="Batang" w:hAnsiTheme="majorHAnsi"/>
          <w:sz w:val="20"/>
          <w:szCs w:val="20"/>
          <w:bdr w:val="none" w:sz="0" w:space="0" w:color="auto"/>
          <w:lang w:val="pt-BR"/>
        </w:rPr>
        <w:t>ordem</w:t>
      </w:r>
      <w:r w:rsidR="002649F0" w:rsidRPr="006D1C74">
        <w:rPr>
          <w:rFonts w:asciiTheme="majorHAnsi" w:eastAsia="Batang" w:hAnsiTheme="majorHAnsi"/>
          <w:sz w:val="20"/>
          <w:szCs w:val="20"/>
          <w:bdr w:val="none" w:sz="0" w:space="0" w:color="auto"/>
          <w:lang w:val="pt-BR"/>
        </w:rPr>
        <w:t>,</w:t>
      </w:r>
      <w:r w:rsidR="002649F0" w:rsidRPr="006D1C74">
        <w:rPr>
          <w:rFonts w:asciiTheme="majorHAnsi" w:hAnsiTheme="majorHAnsi"/>
          <w:color w:val="000000"/>
          <w:sz w:val="20"/>
          <w:szCs w:val="20"/>
          <w:lang w:val="pt-BR"/>
        </w:rPr>
        <w:t xml:space="preserve"> efetuar</w:t>
      </w:r>
      <w:r w:rsidR="00FD1F0A" w:rsidRPr="006D1C74">
        <w:rPr>
          <w:rFonts w:asciiTheme="majorHAnsi" w:hAnsiTheme="majorHAnsi"/>
          <w:color w:val="000000"/>
          <w:sz w:val="20"/>
          <w:szCs w:val="20"/>
          <w:lang w:val="pt-BR"/>
        </w:rPr>
        <w:t>am</w:t>
      </w:r>
      <w:r w:rsidR="002649F0" w:rsidRPr="006D1C74">
        <w:rPr>
          <w:rFonts w:asciiTheme="majorHAnsi" w:hAnsiTheme="majorHAnsi"/>
          <w:color w:val="000000"/>
          <w:sz w:val="20"/>
          <w:szCs w:val="20"/>
          <w:lang w:val="pt-BR"/>
        </w:rPr>
        <w:t xml:space="preserve"> disparos para tratar de intimidar </w:t>
      </w:r>
      <w:r w:rsidR="00700267" w:rsidRPr="006D1C74">
        <w:rPr>
          <w:rFonts w:asciiTheme="majorHAnsi" w:hAnsiTheme="majorHAnsi"/>
          <w:color w:val="000000"/>
          <w:sz w:val="20"/>
          <w:szCs w:val="20"/>
          <w:lang w:val="pt-BR"/>
        </w:rPr>
        <w:t xml:space="preserve">os </w:t>
      </w:r>
      <w:r w:rsidR="002649F0" w:rsidRPr="006D1C74">
        <w:rPr>
          <w:rFonts w:asciiTheme="majorHAnsi" w:hAnsiTheme="majorHAnsi"/>
          <w:color w:val="000000"/>
          <w:sz w:val="20"/>
          <w:szCs w:val="20"/>
          <w:lang w:val="pt-BR"/>
        </w:rPr>
        <w:t>integrantes</w:t>
      </w:r>
      <w:r w:rsidR="00030019" w:rsidRPr="006D1C74">
        <w:rPr>
          <w:rFonts w:asciiTheme="majorHAnsi" w:hAnsiTheme="majorHAnsi"/>
          <w:color w:val="000000"/>
          <w:sz w:val="20"/>
          <w:szCs w:val="20"/>
          <w:lang w:val="pt-BR"/>
        </w:rPr>
        <w:t xml:space="preserve"> do </w:t>
      </w:r>
      <w:r w:rsidR="002649F0" w:rsidRPr="006D1C74">
        <w:rPr>
          <w:rFonts w:asciiTheme="majorHAnsi" w:hAnsiTheme="majorHAnsi"/>
          <w:color w:val="000000"/>
          <w:sz w:val="20"/>
          <w:szCs w:val="20"/>
          <w:lang w:val="pt-BR"/>
        </w:rPr>
        <w:t>movi</w:t>
      </w:r>
      <w:r w:rsidR="00700267" w:rsidRPr="006D1C74">
        <w:rPr>
          <w:rFonts w:asciiTheme="majorHAnsi" w:hAnsiTheme="majorHAnsi"/>
          <w:color w:val="000000"/>
          <w:sz w:val="20"/>
          <w:szCs w:val="20"/>
          <w:lang w:val="pt-BR"/>
        </w:rPr>
        <w:t>mento</w:t>
      </w:r>
      <w:r w:rsidR="002649F0" w:rsidRPr="006D1C74">
        <w:rPr>
          <w:rFonts w:asciiTheme="majorHAnsi" w:hAnsiTheme="majorHAnsi"/>
          <w:color w:val="000000"/>
          <w:sz w:val="20"/>
          <w:szCs w:val="20"/>
          <w:lang w:val="pt-BR"/>
        </w:rPr>
        <w:t xml:space="preserve"> rural</w:t>
      </w:r>
      <w:r w:rsidR="002649F0" w:rsidRPr="006D1C74">
        <w:rPr>
          <w:rFonts w:asciiTheme="majorHAnsi" w:eastAsia="Batang" w:hAnsiTheme="majorHAnsi"/>
          <w:sz w:val="20"/>
          <w:szCs w:val="20"/>
          <w:bdr w:val="none" w:sz="0" w:space="0" w:color="auto"/>
          <w:vertAlign w:val="superscript"/>
          <w:lang w:val="pt-BR"/>
        </w:rPr>
        <w:footnoteReference w:id="20"/>
      </w:r>
      <w:r w:rsidR="002649F0" w:rsidRPr="006D1C74">
        <w:rPr>
          <w:rFonts w:asciiTheme="majorHAnsi" w:eastAsia="Batang" w:hAnsiTheme="majorHAnsi"/>
          <w:sz w:val="20"/>
          <w:szCs w:val="20"/>
          <w:bdr w:val="none" w:sz="0" w:space="0" w:color="auto"/>
          <w:lang w:val="pt-BR"/>
        </w:rPr>
        <w:t xml:space="preserve">. </w:t>
      </w:r>
      <w:r w:rsidR="00B42161" w:rsidRPr="006D1C74">
        <w:rPr>
          <w:rFonts w:asciiTheme="majorHAnsi" w:eastAsia="Batang" w:hAnsiTheme="majorHAnsi"/>
          <w:sz w:val="20"/>
          <w:szCs w:val="20"/>
          <w:bdr w:val="none" w:sz="0" w:space="0" w:color="auto"/>
          <w:lang w:val="pt-BR"/>
        </w:rPr>
        <w:t>O</w:t>
      </w:r>
      <w:r w:rsidR="002649F0" w:rsidRPr="006D1C74">
        <w:rPr>
          <w:rFonts w:asciiTheme="majorHAnsi" w:eastAsia="Batang" w:hAnsiTheme="majorHAnsi"/>
          <w:sz w:val="20"/>
          <w:szCs w:val="20"/>
          <w:bdr w:val="none" w:sz="0" w:space="0" w:color="auto"/>
          <w:lang w:val="pt-BR"/>
        </w:rPr>
        <w:t xml:space="preserve"> agente </w:t>
      </w:r>
      <w:r w:rsidR="002649F0" w:rsidRPr="006D1C74">
        <w:rPr>
          <w:rFonts w:asciiTheme="majorHAnsi" w:hAnsiTheme="majorHAnsi"/>
          <w:color w:val="000000"/>
          <w:sz w:val="20"/>
          <w:szCs w:val="20"/>
          <w:lang w:val="pt-BR"/>
        </w:rPr>
        <w:t>Joel de Lima Santa Ana, armado</w:t>
      </w:r>
      <w:r w:rsidR="00F673C7" w:rsidRPr="006D1C74">
        <w:rPr>
          <w:rFonts w:asciiTheme="majorHAnsi" w:hAnsiTheme="majorHAnsi"/>
          <w:color w:val="000000"/>
          <w:sz w:val="20"/>
          <w:szCs w:val="20"/>
          <w:lang w:val="pt-BR"/>
        </w:rPr>
        <w:t xml:space="preserve"> com </w:t>
      </w:r>
      <w:r w:rsidR="00030019" w:rsidRPr="006D1C74">
        <w:rPr>
          <w:rFonts w:asciiTheme="majorHAnsi" w:hAnsiTheme="majorHAnsi"/>
          <w:color w:val="000000"/>
          <w:sz w:val="20"/>
          <w:szCs w:val="20"/>
          <w:lang w:val="pt-BR"/>
        </w:rPr>
        <w:t xml:space="preserve">uma </w:t>
      </w:r>
      <w:r w:rsidR="002649F0" w:rsidRPr="006D1C74">
        <w:rPr>
          <w:rFonts w:asciiTheme="majorHAnsi" w:hAnsiTheme="majorHAnsi"/>
          <w:color w:val="000000"/>
          <w:sz w:val="20"/>
          <w:szCs w:val="20"/>
          <w:lang w:val="pt-BR"/>
        </w:rPr>
        <w:t>carabina de repeti</w:t>
      </w:r>
      <w:r w:rsidR="00CF037E" w:rsidRPr="006D1C74">
        <w:rPr>
          <w:rFonts w:asciiTheme="majorHAnsi" w:hAnsiTheme="majorHAnsi"/>
          <w:color w:val="000000"/>
          <w:sz w:val="20"/>
          <w:szCs w:val="20"/>
          <w:lang w:val="pt-BR"/>
        </w:rPr>
        <w:t>ção</w:t>
      </w:r>
      <w:r w:rsidR="002649F0" w:rsidRPr="006D1C74">
        <w:rPr>
          <w:rFonts w:asciiTheme="majorHAnsi" w:hAnsiTheme="majorHAnsi"/>
          <w:color w:val="000000"/>
          <w:sz w:val="20"/>
          <w:szCs w:val="20"/>
          <w:lang w:val="pt-BR"/>
        </w:rPr>
        <w:t xml:space="preserve"> marca Rossi, </w:t>
      </w:r>
      <w:r w:rsidR="006D1C74" w:rsidRPr="006D1C74">
        <w:rPr>
          <w:rFonts w:asciiTheme="majorHAnsi" w:hAnsiTheme="majorHAnsi"/>
          <w:color w:val="000000"/>
          <w:sz w:val="20"/>
          <w:szCs w:val="20"/>
          <w:lang w:val="pt-BR"/>
        </w:rPr>
        <w:t>calibre</w:t>
      </w:r>
      <w:r w:rsidR="002649F0" w:rsidRPr="006D1C74">
        <w:rPr>
          <w:rFonts w:asciiTheme="majorHAnsi" w:hAnsiTheme="majorHAnsi"/>
          <w:color w:val="000000"/>
          <w:sz w:val="20"/>
          <w:szCs w:val="20"/>
          <w:lang w:val="pt-BR"/>
        </w:rPr>
        <w:t xml:space="preserve"> nominal 38</w:t>
      </w:r>
      <w:r w:rsidR="00CF037E" w:rsidRPr="006D1C74">
        <w:rPr>
          <w:rFonts w:asciiTheme="majorHAnsi" w:hAnsiTheme="majorHAnsi"/>
          <w:color w:val="000000"/>
          <w:sz w:val="20"/>
          <w:szCs w:val="20"/>
          <w:lang w:val="pt-BR"/>
        </w:rPr>
        <w:t xml:space="preserve"> e </w:t>
      </w:r>
      <w:r w:rsidR="002649F0" w:rsidRPr="006D1C74">
        <w:rPr>
          <w:rFonts w:asciiTheme="majorHAnsi" w:hAnsiTheme="majorHAnsi"/>
          <w:color w:val="000000"/>
          <w:sz w:val="20"/>
          <w:szCs w:val="20"/>
          <w:lang w:val="pt-BR"/>
        </w:rPr>
        <w:t>357M, s</w:t>
      </w:r>
      <w:r w:rsidR="00FD1F0A" w:rsidRPr="006D1C74">
        <w:rPr>
          <w:rFonts w:asciiTheme="majorHAnsi" w:hAnsiTheme="majorHAnsi"/>
          <w:color w:val="000000"/>
          <w:sz w:val="20"/>
          <w:szCs w:val="20"/>
          <w:lang w:val="pt-BR"/>
        </w:rPr>
        <w:t>é</w:t>
      </w:r>
      <w:r w:rsidR="002649F0" w:rsidRPr="006D1C74">
        <w:rPr>
          <w:rFonts w:asciiTheme="majorHAnsi" w:hAnsiTheme="majorHAnsi"/>
          <w:color w:val="000000"/>
          <w:sz w:val="20"/>
          <w:szCs w:val="20"/>
          <w:lang w:val="pt-BR"/>
        </w:rPr>
        <w:t>rie K094074, ap</w:t>
      </w:r>
      <w:r w:rsidR="00FD1F0A" w:rsidRPr="006D1C74">
        <w:rPr>
          <w:rFonts w:asciiTheme="majorHAnsi" w:hAnsiTheme="majorHAnsi"/>
          <w:color w:val="000000"/>
          <w:sz w:val="20"/>
          <w:szCs w:val="20"/>
          <w:lang w:val="pt-BR"/>
        </w:rPr>
        <w:t>ontou a</w:t>
      </w:r>
      <w:r w:rsidR="00700267" w:rsidRPr="006D1C74">
        <w:rPr>
          <w:rFonts w:asciiTheme="majorHAnsi" w:hAnsiTheme="majorHAnsi"/>
          <w:color w:val="000000"/>
          <w:sz w:val="20"/>
          <w:szCs w:val="20"/>
          <w:lang w:val="pt-BR"/>
        </w:rPr>
        <w:t xml:space="preserve"> </w:t>
      </w:r>
      <w:r w:rsidR="002649F0" w:rsidRPr="006D1C74">
        <w:rPr>
          <w:rFonts w:asciiTheme="majorHAnsi" w:hAnsiTheme="majorHAnsi"/>
          <w:color w:val="000000"/>
          <w:sz w:val="20"/>
          <w:szCs w:val="20"/>
          <w:lang w:val="pt-BR"/>
        </w:rPr>
        <w:t>arma</w:t>
      </w:r>
      <w:r w:rsidR="00217759" w:rsidRPr="006D1C74">
        <w:rPr>
          <w:rFonts w:asciiTheme="majorHAnsi" w:hAnsiTheme="majorHAnsi"/>
          <w:color w:val="000000"/>
          <w:sz w:val="20"/>
          <w:szCs w:val="20"/>
          <w:lang w:val="pt-BR"/>
        </w:rPr>
        <w:t xml:space="preserve"> </w:t>
      </w:r>
      <w:r w:rsidR="00FD1F0A" w:rsidRPr="006D1C74">
        <w:rPr>
          <w:rFonts w:asciiTheme="majorHAnsi" w:hAnsiTheme="majorHAnsi"/>
          <w:color w:val="000000"/>
          <w:sz w:val="20"/>
          <w:szCs w:val="20"/>
          <w:lang w:val="pt-BR"/>
        </w:rPr>
        <w:t>par</w:t>
      </w:r>
      <w:r w:rsidR="00217759" w:rsidRPr="006D1C74">
        <w:rPr>
          <w:rFonts w:asciiTheme="majorHAnsi" w:hAnsiTheme="majorHAnsi"/>
          <w:color w:val="000000"/>
          <w:sz w:val="20"/>
          <w:szCs w:val="20"/>
          <w:lang w:val="pt-BR"/>
        </w:rPr>
        <w:t>a</w:t>
      </w:r>
      <w:r w:rsidR="00FD1F0A" w:rsidRPr="006D1C74">
        <w:rPr>
          <w:rFonts w:asciiTheme="majorHAnsi" w:hAnsiTheme="majorHAnsi"/>
          <w:color w:val="000000"/>
          <w:sz w:val="20"/>
          <w:szCs w:val="20"/>
          <w:lang w:val="pt-BR"/>
        </w:rPr>
        <w:t xml:space="preserve"> </w:t>
      </w:r>
      <w:r w:rsidR="00217759" w:rsidRPr="006D1C74">
        <w:rPr>
          <w:rFonts w:asciiTheme="majorHAnsi" w:hAnsiTheme="majorHAnsi"/>
          <w:color w:val="000000"/>
          <w:sz w:val="20"/>
          <w:szCs w:val="20"/>
          <w:lang w:val="pt-BR"/>
        </w:rPr>
        <w:t xml:space="preserve">o </w:t>
      </w:r>
      <w:r w:rsidR="002649F0" w:rsidRPr="006D1C74">
        <w:rPr>
          <w:rFonts w:asciiTheme="majorHAnsi" w:hAnsiTheme="majorHAnsi"/>
          <w:color w:val="000000"/>
          <w:sz w:val="20"/>
          <w:szCs w:val="20"/>
          <w:lang w:val="pt-BR"/>
        </w:rPr>
        <w:t>asfalto</w:t>
      </w:r>
      <w:r w:rsidR="00CF037E" w:rsidRPr="006D1C74">
        <w:rPr>
          <w:rFonts w:asciiTheme="majorHAnsi" w:hAnsiTheme="majorHAnsi"/>
          <w:color w:val="000000"/>
          <w:sz w:val="20"/>
          <w:szCs w:val="20"/>
          <w:lang w:val="pt-BR"/>
        </w:rPr>
        <w:t xml:space="preserve"> e </w:t>
      </w:r>
      <w:r w:rsidR="002649F0" w:rsidRPr="006D1C74">
        <w:rPr>
          <w:rFonts w:asciiTheme="majorHAnsi" w:hAnsiTheme="majorHAnsi"/>
          <w:color w:val="000000"/>
          <w:sz w:val="20"/>
          <w:szCs w:val="20"/>
          <w:lang w:val="pt-BR"/>
        </w:rPr>
        <w:t>efe</w:t>
      </w:r>
      <w:r w:rsidR="00FD1F0A" w:rsidRPr="006D1C74">
        <w:rPr>
          <w:rFonts w:asciiTheme="majorHAnsi" w:hAnsiTheme="majorHAnsi"/>
          <w:color w:val="000000"/>
          <w:sz w:val="20"/>
          <w:szCs w:val="20"/>
          <w:lang w:val="pt-BR"/>
        </w:rPr>
        <w:t>tuou</w:t>
      </w:r>
      <w:r w:rsidR="002649F0" w:rsidRPr="006D1C74">
        <w:rPr>
          <w:rFonts w:asciiTheme="majorHAnsi" w:hAnsiTheme="majorHAnsi"/>
          <w:color w:val="000000"/>
          <w:sz w:val="20"/>
          <w:szCs w:val="20"/>
          <w:lang w:val="pt-BR"/>
        </w:rPr>
        <w:t xml:space="preserve"> do</w:t>
      </w:r>
      <w:r w:rsidR="00FD1F0A" w:rsidRPr="006D1C74">
        <w:rPr>
          <w:rFonts w:asciiTheme="majorHAnsi" w:hAnsiTheme="majorHAnsi"/>
          <w:color w:val="000000"/>
          <w:sz w:val="20"/>
          <w:szCs w:val="20"/>
          <w:lang w:val="pt-BR"/>
        </w:rPr>
        <w:t>i</w:t>
      </w:r>
      <w:r w:rsidR="002649F0" w:rsidRPr="006D1C74">
        <w:rPr>
          <w:rFonts w:asciiTheme="majorHAnsi" w:hAnsiTheme="majorHAnsi"/>
          <w:color w:val="000000"/>
          <w:sz w:val="20"/>
          <w:szCs w:val="20"/>
          <w:lang w:val="pt-BR"/>
        </w:rPr>
        <w:t>s disparos. U</w:t>
      </w:r>
      <w:r w:rsidR="00EF57FC" w:rsidRPr="006D1C74">
        <w:rPr>
          <w:rFonts w:asciiTheme="majorHAnsi" w:hAnsiTheme="majorHAnsi"/>
          <w:color w:val="000000"/>
          <w:sz w:val="20"/>
          <w:szCs w:val="20"/>
          <w:lang w:val="pt-BR"/>
        </w:rPr>
        <w:t>m</w:t>
      </w:r>
      <w:r w:rsidR="00700267" w:rsidRPr="006D1C74">
        <w:rPr>
          <w:rFonts w:asciiTheme="majorHAnsi" w:hAnsiTheme="majorHAnsi"/>
          <w:color w:val="000000"/>
          <w:sz w:val="20"/>
          <w:szCs w:val="20"/>
          <w:lang w:val="pt-BR"/>
        </w:rPr>
        <w:t xml:space="preserve"> dos </w:t>
      </w:r>
      <w:r w:rsidR="002649F0" w:rsidRPr="006D1C74">
        <w:rPr>
          <w:rFonts w:asciiTheme="majorHAnsi" w:hAnsiTheme="majorHAnsi"/>
          <w:color w:val="000000"/>
          <w:sz w:val="20"/>
          <w:szCs w:val="20"/>
          <w:lang w:val="pt-BR"/>
        </w:rPr>
        <w:t>pro</w:t>
      </w:r>
      <w:r w:rsidR="001C5D60" w:rsidRPr="006D1C74">
        <w:rPr>
          <w:rFonts w:asciiTheme="majorHAnsi" w:hAnsiTheme="majorHAnsi"/>
          <w:color w:val="000000"/>
          <w:sz w:val="20"/>
          <w:szCs w:val="20"/>
          <w:lang w:val="pt-BR"/>
        </w:rPr>
        <w:t>jéteis</w:t>
      </w:r>
      <w:r w:rsidR="002649F0" w:rsidRPr="006D1C74">
        <w:rPr>
          <w:rFonts w:asciiTheme="majorHAnsi" w:hAnsiTheme="majorHAnsi"/>
          <w:color w:val="000000"/>
          <w:sz w:val="20"/>
          <w:szCs w:val="20"/>
          <w:lang w:val="pt-BR"/>
        </w:rPr>
        <w:t xml:space="preserve"> s</w:t>
      </w:r>
      <w:r w:rsidR="001C5D60" w:rsidRPr="006D1C74">
        <w:rPr>
          <w:rFonts w:asciiTheme="majorHAnsi" w:hAnsiTheme="majorHAnsi"/>
          <w:color w:val="000000"/>
          <w:sz w:val="20"/>
          <w:szCs w:val="20"/>
          <w:lang w:val="pt-BR"/>
        </w:rPr>
        <w:t>aiu da cápsula</w:t>
      </w:r>
      <w:r w:rsidR="00CF037E" w:rsidRPr="006D1C74">
        <w:rPr>
          <w:rFonts w:asciiTheme="majorHAnsi" w:hAnsiTheme="majorHAnsi"/>
          <w:color w:val="000000"/>
          <w:sz w:val="20"/>
          <w:szCs w:val="20"/>
          <w:lang w:val="pt-BR"/>
        </w:rPr>
        <w:t xml:space="preserve"> e </w:t>
      </w:r>
      <w:r w:rsidR="002649F0" w:rsidRPr="006D1C74">
        <w:rPr>
          <w:rFonts w:asciiTheme="majorHAnsi" w:hAnsiTheme="majorHAnsi"/>
          <w:color w:val="000000"/>
          <w:sz w:val="20"/>
          <w:szCs w:val="20"/>
          <w:lang w:val="pt-BR"/>
        </w:rPr>
        <w:t>a</w:t>
      </w:r>
      <w:r w:rsidR="001C5D60" w:rsidRPr="006D1C74">
        <w:rPr>
          <w:rFonts w:asciiTheme="majorHAnsi" w:hAnsiTheme="majorHAnsi"/>
          <w:color w:val="000000"/>
          <w:sz w:val="20"/>
          <w:szCs w:val="20"/>
          <w:lang w:val="pt-BR"/>
        </w:rPr>
        <w:t>tingiu</w:t>
      </w:r>
      <w:r w:rsidR="002649F0" w:rsidRPr="006D1C74">
        <w:rPr>
          <w:rFonts w:asciiTheme="majorHAnsi" w:hAnsiTheme="majorHAnsi"/>
          <w:color w:val="000000"/>
          <w:sz w:val="20"/>
          <w:szCs w:val="20"/>
          <w:lang w:val="pt-BR"/>
        </w:rPr>
        <w:t xml:space="preserve"> Antonio Tavares Pereira</w:t>
      </w:r>
      <w:r w:rsidR="00FC2F62" w:rsidRPr="006D1C74">
        <w:rPr>
          <w:rFonts w:asciiTheme="majorHAnsi" w:hAnsiTheme="majorHAnsi"/>
          <w:color w:val="000000"/>
          <w:sz w:val="20"/>
          <w:szCs w:val="20"/>
          <w:lang w:val="pt-BR"/>
        </w:rPr>
        <w:t xml:space="preserve"> no </w:t>
      </w:r>
      <w:r w:rsidR="002649F0" w:rsidRPr="006D1C74">
        <w:rPr>
          <w:rFonts w:asciiTheme="majorHAnsi" w:hAnsiTheme="majorHAnsi"/>
          <w:color w:val="000000"/>
          <w:sz w:val="20"/>
          <w:szCs w:val="20"/>
          <w:lang w:val="pt-BR"/>
        </w:rPr>
        <w:t>abdome</w:t>
      </w:r>
      <w:r w:rsidR="00EB1D51" w:rsidRPr="006D1C74">
        <w:rPr>
          <w:rStyle w:val="FootnoteReference"/>
          <w:rFonts w:asciiTheme="majorHAnsi" w:hAnsiTheme="majorHAnsi"/>
          <w:color w:val="000000"/>
          <w:sz w:val="20"/>
          <w:szCs w:val="20"/>
          <w:lang w:val="pt-BR"/>
        </w:rPr>
        <w:footnoteReference w:id="21"/>
      </w:r>
      <w:r w:rsidR="002649F0" w:rsidRPr="006D1C74">
        <w:rPr>
          <w:rFonts w:asciiTheme="majorHAnsi" w:hAnsiTheme="majorHAnsi"/>
          <w:color w:val="000000"/>
          <w:sz w:val="20"/>
          <w:szCs w:val="20"/>
          <w:lang w:val="pt-BR"/>
        </w:rPr>
        <w:t xml:space="preserve">. </w:t>
      </w:r>
      <w:r w:rsidR="00B42161" w:rsidRPr="006D1C74">
        <w:rPr>
          <w:rFonts w:asciiTheme="majorHAnsi" w:hAnsiTheme="majorHAnsi"/>
          <w:color w:val="000000"/>
          <w:sz w:val="20"/>
          <w:szCs w:val="20"/>
          <w:lang w:val="pt-BR"/>
        </w:rPr>
        <w:t>A</w:t>
      </w:r>
      <w:r w:rsidR="002649F0" w:rsidRPr="006D1C74">
        <w:rPr>
          <w:rFonts w:asciiTheme="majorHAnsi" w:hAnsiTheme="majorHAnsi"/>
          <w:color w:val="000000"/>
          <w:sz w:val="20"/>
          <w:szCs w:val="20"/>
          <w:lang w:val="pt-BR"/>
        </w:rPr>
        <w:t xml:space="preserve"> </w:t>
      </w:r>
      <w:r w:rsidR="00795010" w:rsidRPr="006D1C74">
        <w:rPr>
          <w:rFonts w:asciiTheme="majorHAnsi" w:hAnsiTheme="majorHAnsi"/>
          <w:color w:val="000000"/>
          <w:sz w:val="20"/>
          <w:szCs w:val="20"/>
          <w:lang w:val="pt-BR"/>
        </w:rPr>
        <w:t>vítima</w:t>
      </w:r>
      <w:r w:rsidR="00CA7940" w:rsidRPr="006D1C74">
        <w:rPr>
          <w:rFonts w:asciiTheme="majorHAnsi" w:hAnsiTheme="majorHAnsi"/>
          <w:color w:val="000000"/>
          <w:sz w:val="20"/>
          <w:szCs w:val="20"/>
          <w:lang w:val="pt-BR"/>
        </w:rPr>
        <w:t xml:space="preserve"> foi </w:t>
      </w:r>
      <w:r w:rsidR="002649F0" w:rsidRPr="006D1C74">
        <w:rPr>
          <w:rFonts w:asciiTheme="majorHAnsi" w:hAnsiTheme="majorHAnsi"/>
          <w:color w:val="000000"/>
          <w:sz w:val="20"/>
          <w:szCs w:val="20"/>
          <w:lang w:val="pt-BR"/>
        </w:rPr>
        <w:t>socorrida</w:t>
      </w:r>
      <w:r w:rsidR="00BD3AB3" w:rsidRPr="006D1C74">
        <w:rPr>
          <w:rFonts w:asciiTheme="majorHAnsi" w:hAnsiTheme="majorHAnsi"/>
          <w:color w:val="000000"/>
          <w:sz w:val="20"/>
          <w:szCs w:val="20"/>
          <w:lang w:val="pt-BR"/>
        </w:rPr>
        <w:t xml:space="preserve"> pelos </w:t>
      </w:r>
      <w:r w:rsidR="00700267" w:rsidRPr="006D1C74">
        <w:rPr>
          <w:rFonts w:asciiTheme="majorHAnsi" w:hAnsiTheme="majorHAnsi"/>
          <w:color w:val="000000"/>
          <w:sz w:val="20"/>
          <w:szCs w:val="20"/>
          <w:lang w:val="pt-BR"/>
        </w:rPr>
        <w:t>trabalh</w:t>
      </w:r>
      <w:r w:rsidR="002649F0" w:rsidRPr="006D1C74">
        <w:rPr>
          <w:rFonts w:asciiTheme="majorHAnsi" w:hAnsiTheme="majorHAnsi"/>
          <w:color w:val="000000"/>
          <w:sz w:val="20"/>
          <w:szCs w:val="20"/>
          <w:lang w:val="pt-BR"/>
        </w:rPr>
        <w:t>adores rur</w:t>
      </w:r>
      <w:r w:rsidR="00700267" w:rsidRPr="006D1C74">
        <w:rPr>
          <w:rFonts w:asciiTheme="majorHAnsi" w:hAnsiTheme="majorHAnsi"/>
          <w:color w:val="000000"/>
          <w:sz w:val="20"/>
          <w:szCs w:val="20"/>
          <w:lang w:val="pt-BR"/>
        </w:rPr>
        <w:t>ais</w:t>
      </w:r>
      <w:r w:rsidR="00CF037E" w:rsidRPr="006D1C74">
        <w:rPr>
          <w:rFonts w:asciiTheme="majorHAnsi" w:hAnsiTheme="majorHAnsi"/>
          <w:color w:val="000000"/>
          <w:sz w:val="20"/>
          <w:szCs w:val="20"/>
          <w:lang w:val="pt-BR"/>
        </w:rPr>
        <w:t xml:space="preserve"> e </w:t>
      </w:r>
      <w:r w:rsidR="002649F0" w:rsidRPr="006D1C74">
        <w:rPr>
          <w:rFonts w:asciiTheme="majorHAnsi" w:hAnsiTheme="majorHAnsi"/>
          <w:color w:val="000000"/>
          <w:sz w:val="20"/>
          <w:szCs w:val="20"/>
          <w:lang w:val="pt-BR"/>
        </w:rPr>
        <w:t>posteriormente falec</w:t>
      </w:r>
      <w:r w:rsidR="001C5D60" w:rsidRPr="006D1C74">
        <w:rPr>
          <w:rFonts w:asciiTheme="majorHAnsi" w:hAnsiTheme="majorHAnsi"/>
          <w:color w:val="000000"/>
          <w:sz w:val="20"/>
          <w:szCs w:val="20"/>
          <w:lang w:val="pt-BR"/>
        </w:rPr>
        <w:t>eu</w:t>
      </w:r>
      <w:r w:rsidR="00FC2F62" w:rsidRPr="006D1C74">
        <w:rPr>
          <w:rFonts w:asciiTheme="majorHAnsi" w:hAnsiTheme="majorHAnsi"/>
          <w:color w:val="000000"/>
          <w:sz w:val="20"/>
          <w:szCs w:val="20"/>
          <w:lang w:val="pt-BR"/>
        </w:rPr>
        <w:t xml:space="preserve"> no </w:t>
      </w:r>
      <w:r w:rsidR="002649F0" w:rsidRPr="006D1C74">
        <w:rPr>
          <w:rFonts w:asciiTheme="majorHAnsi" w:hAnsiTheme="majorHAnsi"/>
          <w:color w:val="000000"/>
          <w:sz w:val="20"/>
          <w:szCs w:val="20"/>
          <w:lang w:val="pt-BR"/>
        </w:rPr>
        <w:t>Hospital</w:t>
      </w:r>
      <w:r w:rsidR="00030019" w:rsidRPr="006D1C74">
        <w:rPr>
          <w:rFonts w:asciiTheme="majorHAnsi" w:hAnsiTheme="majorHAnsi"/>
          <w:color w:val="000000"/>
          <w:sz w:val="20"/>
          <w:szCs w:val="20"/>
          <w:lang w:val="pt-BR"/>
        </w:rPr>
        <w:t xml:space="preserve"> do </w:t>
      </w:r>
      <w:r w:rsidR="00700267" w:rsidRPr="006D1C74">
        <w:rPr>
          <w:rFonts w:asciiTheme="majorHAnsi" w:hAnsiTheme="majorHAnsi"/>
          <w:color w:val="000000"/>
          <w:sz w:val="20"/>
          <w:szCs w:val="20"/>
          <w:lang w:val="pt-BR"/>
        </w:rPr>
        <w:t>Trabalh</w:t>
      </w:r>
      <w:r w:rsidR="002649F0" w:rsidRPr="006D1C74">
        <w:rPr>
          <w:rFonts w:asciiTheme="majorHAnsi" w:hAnsiTheme="majorHAnsi"/>
          <w:color w:val="000000"/>
          <w:sz w:val="20"/>
          <w:szCs w:val="20"/>
          <w:lang w:val="pt-BR"/>
        </w:rPr>
        <w:t xml:space="preserve">ador </w:t>
      </w:r>
      <w:r w:rsidR="00585D35" w:rsidRPr="006D1C74">
        <w:rPr>
          <w:rFonts w:asciiTheme="majorHAnsi" w:hAnsiTheme="majorHAnsi"/>
          <w:color w:val="000000"/>
          <w:sz w:val="20"/>
          <w:szCs w:val="20"/>
          <w:lang w:val="pt-BR"/>
        </w:rPr>
        <w:t>dev</w:t>
      </w:r>
      <w:r w:rsidR="002649F0" w:rsidRPr="006D1C74">
        <w:rPr>
          <w:rFonts w:asciiTheme="majorHAnsi" w:hAnsiTheme="majorHAnsi"/>
          <w:color w:val="000000"/>
          <w:sz w:val="20"/>
          <w:szCs w:val="20"/>
          <w:lang w:val="pt-BR"/>
        </w:rPr>
        <w:t>ido a</w:t>
      </w:r>
      <w:r w:rsidR="00030019" w:rsidRPr="006D1C74">
        <w:rPr>
          <w:rFonts w:asciiTheme="majorHAnsi" w:hAnsiTheme="majorHAnsi"/>
          <w:color w:val="000000"/>
          <w:sz w:val="20"/>
          <w:szCs w:val="20"/>
          <w:lang w:val="pt-BR"/>
        </w:rPr>
        <w:t xml:space="preserve"> uma </w:t>
      </w:r>
      <w:r w:rsidR="002649F0" w:rsidRPr="006D1C74">
        <w:rPr>
          <w:rFonts w:asciiTheme="majorHAnsi" w:hAnsiTheme="majorHAnsi"/>
          <w:color w:val="000000"/>
          <w:sz w:val="20"/>
          <w:szCs w:val="20"/>
          <w:lang w:val="pt-BR"/>
        </w:rPr>
        <w:t>hemorragia aguda</w:t>
      </w:r>
      <w:r w:rsidR="00FC2F62" w:rsidRPr="006D1C74">
        <w:rPr>
          <w:rFonts w:asciiTheme="majorHAnsi" w:hAnsiTheme="majorHAnsi"/>
          <w:color w:val="000000"/>
          <w:sz w:val="20"/>
          <w:szCs w:val="20"/>
          <w:lang w:val="pt-BR"/>
        </w:rPr>
        <w:t xml:space="preserve"> no </w:t>
      </w:r>
      <w:r w:rsidR="002649F0" w:rsidRPr="006D1C74">
        <w:rPr>
          <w:rFonts w:asciiTheme="majorHAnsi" w:hAnsiTheme="majorHAnsi"/>
          <w:color w:val="000000"/>
          <w:sz w:val="20"/>
          <w:szCs w:val="20"/>
          <w:lang w:val="pt-BR"/>
        </w:rPr>
        <w:t>abdome</w:t>
      </w:r>
      <w:r w:rsidR="002649F0" w:rsidRPr="006D1C74">
        <w:rPr>
          <w:rFonts w:asciiTheme="majorHAnsi" w:hAnsiTheme="majorHAnsi"/>
          <w:color w:val="000000"/>
          <w:sz w:val="20"/>
          <w:szCs w:val="20"/>
          <w:vertAlign w:val="superscript"/>
          <w:lang w:val="pt-BR"/>
        </w:rPr>
        <w:footnoteReference w:id="22"/>
      </w:r>
      <w:r w:rsidR="002649F0" w:rsidRPr="006D1C74">
        <w:rPr>
          <w:rFonts w:asciiTheme="majorHAnsi" w:hAnsiTheme="majorHAnsi"/>
          <w:color w:val="000000"/>
          <w:sz w:val="20"/>
          <w:szCs w:val="20"/>
          <w:lang w:val="pt-BR"/>
        </w:rPr>
        <w:t xml:space="preserve">. </w:t>
      </w:r>
    </w:p>
    <w:p w14:paraId="08F335B1" w14:textId="77777777" w:rsidR="002649F0" w:rsidRPr="006D1C74" w:rsidRDefault="002649F0" w:rsidP="002649F0">
      <w:pPr>
        <w:ind w:left="720"/>
        <w:rPr>
          <w:rFonts w:asciiTheme="majorHAnsi" w:eastAsia="Cambria" w:hAnsiTheme="majorHAnsi" w:cs="Cambria"/>
          <w:color w:val="000000"/>
          <w:sz w:val="20"/>
          <w:szCs w:val="20"/>
          <w:u w:color="000000"/>
          <w:lang w:val="pt-BR" w:eastAsia="es-ES"/>
        </w:rPr>
      </w:pPr>
    </w:p>
    <w:p w14:paraId="755F8D5B"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6D1C74">
        <w:rPr>
          <w:rFonts w:asciiTheme="majorHAnsi" w:hAnsiTheme="majorHAnsi"/>
          <w:color w:val="000000"/>
          <w:sz w:val="20"/>
          <w:szCs w:val="20"/>
          <w:lang w:val="pt-BR"/>
        </w:rPr>
        <w:t>Este ato provoc</w:t>
      </w:r>
      <w:r w:rsidR="001C5D60" w:rsidRPr="006D1C74">
        <w:rPr>
          <w:rFonts w:asciiTheme="majorHAnsi" w:hAnsiTheme="majorHAnsi"/>
          <w:color w:val="000000"/>
          <w:sz w:val="20"/>
          <w:szCs w:val="20"/>
          <w:lang w:val="pt-BR"/>
        </w:rPr>
        <w:t>ou</w:t>
      </w:r>
      <w:r w:rsidR="00030019" w:rsidRPr="006D1C74">
        <w:rPr>
          <w:rFonts w:asciiTheme="majorHAnsi" w:hAnsiTheme="majorHAnsi"/>
          <w:color w:val="000000"/>
          <w:sz w:val="20"/>
          <w:szCs w:val="20"/>
          <w:lang w:val="pt-BR"/>
        </w:rPr>
        <w:t xml:space="preserve"> uma </w:t>
      </w:r>
      <w:r w:rsidRPr="006D1C74">
        <w:rPr>
          <w:rFonts w:asciiTheme="majorHAnsi" w:hAnsiTheme="majorHAnsi"/>
          <w:color w:val="000000"/>
          <w:sz w:val="20"/>
          <w:szCs w:val="20"/>
          <w:lang w:val="pt-BR"/>
        </w:rPr>
        <w:t>rev</w:t>
      </w:r>
      <w:r w:rsidR="001C5D60" w:rsidRPr="006D1C74">
        <w:rPr>
          <w:rFonts w:asciiTheme="majorHAnsi" w:hAnsiTheme="majorHAnsi"/>
          <w:color w:val="000000"/>
          <w:sz w:val="20"/>
          <w:szCs w:val="20"/>
          <w:lang w:val="pt-BR"/>
        </w:rPr>
        <w:t>o</w:t>
      </w:r>
      <w:r w:rsidRPr="006D1C74">
        <w:rPr>
          <w:rFonts w:asciiTheme="majorHAnsi" w:hAnsiTheme="majorHAnsi"/>
          <w:color w:val="000000"/>
          <w:sz w:val="20"/>
          <w:szCs w:val="20"/>
          <w:lang w:val="pt-BR"/>
        </w:rPr>
        <w:t>lta</w:t>
      </w:r>
      <w:r w:rsidR="00700267" w:rsidRPr="006D1C74">
        <w:rPr>
          <w:rFonts w:asciiTheme="majorHAnsi" w:hAnsiTheme="majorHAnsi"/>
          <w:color w:val="000000"/>
          <w:sz w:val="20"/>
          <w:szCs w:val="20"/>
          <w:lang w:val="pt-BR"/>
        </w:rPr>
        <w:t xml:space="preserve"> dos </w:t>
      </w:r>
      <w:r w:rsidRPr="006D1C74">
        <w:rPr>
          <w:rFonts w:asciiTheme="majorHAnsi" w:hAnsiTheme="majorHAnsi"/>
          <w:color w:val="000000"/>
          <w:sz w:val="20"/>
          <w:szCs w:val="20"/>
          <w:lang w:val="pt-BR"/>
        </w:rPr>
        <w:t>de</w:t>
      </w:r>
      <w:r w:rsidR="00D74A93" w:rsidRPr="006D1C74">
        <w:rPr>
          <w:rFonts w:asciiTheme="majorHAnsi" w:hAnsiTheme="majorHAnsi"/>
          <w:color w:val="000000"/>
          <w:sz w:val="20"/>
          <w:szCs w:val="20"/>
          <w:lang w:val="pt-BR"/>
        </w:rPr>
        <w:t>mais</w:t>
      </w:r>
      <w:r w:rsidRPr="006D1C74">
        <w:rPr>
          <w:rFonts w:asciiTheme="majorHAnsi" w:hAnsiTheme="majorHAnsi"/>
          <w:color w:val="000000"/>
          <w:sz w:val="20"/>
          <w:szCs w:val="20"/>
          <w:lang w:val="pt-BR"/>
        </w:rPr>
        <w:t xml:space="preserve"> </w:t>
      </w:r>
      <w:r w:rsidR="00700267" w:rsidRPr="006D1C74">
        <w:rPr>
          <w:rFonts w:asciiTheme="majorHAnsi" w:hAnsiTheme="majorHAnsi"/>
          <w:color w:val="000000"/>
          <w:sz w:val="20"/>
          <w:szCs w:val="20"/>
          <w:lang w:val="pt-BR"/>
        </w:rPr>
        <w:t>trabalh</w:t>
      </w:r>
      <w:r w:rsidRPr="006D1C74">
        <w:rPr>
          <w:rFonts w:asciiTheme="majorHAnsi" w:hAnsiTheme="majorHAnsi"/>
          <w:color w:val="000000"/>
          <w:sz w:val="20"/>
          <w:szCs w:val="20"/>
          <w:lang w:val="pt-BR"/>
        </w:rPr>
        <w:t>adores, que avan</w:t>
      </w:r>
      <w:r w:rsidR="001C5D60" w:rsidRPr="006D1C74">
        <w:rPr>
          <w:rFonts w:asciiTheme="majorHAnsi" w:hAnsiTheme="majorHAnsi"/>
          <w:color w:val="000000"/>
          <w:sz w:val="20"/>
          <w:szCs w:val="20"/>
          <w:lang w:val="pt-BR"/>
        </w:rPr>
        <w:t xml:space="preserve">çaram contra </w:t>
      </w:r>
      <w:r w:rsidR="00700267" w:rsidRPr="006D1C74">
        <w:rPr>
          <w:rFonts w:asciiTheme="majorHAnsi" w:hAnsiTheme="majorHAnsi"/>
          <w:color w:val="000000"/>
          <w:sz w:val="20"/>
          <w:szCs w:val="20"/>
          <w:lang w:val="pt-BR"/>
        </w:rPr>
        <w:t xml:space="preserve">os </w:t>
      </w:r>
      <w:r w:rsidRPr="006D1C74">
        <w:rPr>
          <w:rFonts w:asciiTheme="majorHAnsi" w:hAnsiTheme="majorHAnsi"/>
          <w:color w:val="000000"/>
          <w:sz w:val="20"/>
          <w:szCs w:val="20"/>
          <w:lang w:val="pt-BR"/>
        </w:rPr>
        <w:t xml:space="preserve">agentes de </w:t>
      </w:r>
      <w:r w:rsidR="00F37852" w:rsidRPr="006D1C74">
        <w:rPr>
          <w:rFonts w:asciiTheme="majorHAnsi" w:hAnsiTheme="majorHAnsi"/>
          <w:color w:val="000000"/>
          <w:sz w:val="20"/>
          <w:szCs w:val="20"/>
          <w:lang w:val="pt-BR"/>
        </w:rPr>
        <w:t>polícia</w:t>
      </w:r>
      <w:r w:rsidRPr="006D1C74">
        <w:rPr>
          <w:rFonts w:asciiTheme="majorHAnsi" w:hAnsiTheme="majorHAnsi"/>
          <w:color w:val="000000"/>
          <w:sz w:val="20"/>
          <w:szCs w:val="20"/>
          <w:lang w:val="pt-BR"/>
        </w:rPr>
        <w:t xml:space="preserve">, </w:t>
      </w:r>
      <w:r w:rsidR="001C5D60" w:rsidRPr="006D1C74">
        <w:rPr>
          <w:rFonts w:asciiTheme="majorHAnsi" w:hAnsiTheme="majorHAnsi"/>
          <w:color w:val="000000"/>
          <w:sz w:val="20"/>
          <w:szCs w:val="20"/>
          <w:lang w:val="pt-BR"/>
        </w:rPr>
        <w:t xml:space="preserve">os quais feriram </w:t>
      </w:r>
      <w:r w:rsidR="00CF037E" w:rsidRPr="006D1C74">
        <w:rPr>
          <w:rFonts w:asciiTheme="majorHAnsi" w:hAnsiTheme="majorHAnsi"/>
          <w:color w:val="000000"/>
          <w:sz w:val="20"/>
          <w:szCs w:val="20"/>
          <w:lang w:val="pt-BR"/>
        </w:rPr>
        <w:t>outr</w:t>
      </w:r>
      <w:r w:rsidRPr="006D1C74">
        <w:rPr>
          <w:rFonts w:asciiTheme="majorHAnsi" w:hAnsiTheme="majorHAnsi"/>
          <w:color w:val="000000"/>
          <w:sz w:val="20"/>
          <w:szCs w:val="20"/>
          <w:lang w:val="pt-BR"/>
        </w:rPr>
        <w:t xml:space="preserve">os </w:t>
      </w:r>
      <w:r w:rsidR="00700267" w:rsidRPr="006D1C74">
        <w:rPr>
          <w:rFonts w:asciiTheme="majorHAnsi" w:hAnsiTheme="majorHAnsi"/>
          <w:color w:val="000000"/>
          <w:sz w:val="20"/>
          <w:szCs w:val="20"/>
          <w:lang w:val="pt-BR"/>
        </w:rPr>
        <w:t>trabalh</w:t>
      </w:r>
      <w:r w:rsidRPr="006D1C74">
        <w:rPr>
          <w:rFonts w:asciiTheme="majorHAnsi" w:hAnsiTheme="majorHAnsi"/>
          <w:color w:val="000000"/>
          <w:sz w:val="20"/>
          <w:szCs w:val="20"/>
          <w:lang w:val="pt-BR"/>
        </w:rPr>
        <w:t>adores rur</w:t>
      </w:r>
      <w:r w:rsidR="00700267" w:rsidRPr="006D1C74">
        <w:rPr>
          <w:rFonts w:asciiTheme="majorHAnsi" w:hAnsiTheme="majorHAnsi"/>
          <w:color w:val="000000"/>
          <w:sz w:val="20"/>
          <w:szCs w:val="20"/>
          <w:lang w:val="pt-BR"/>
        </w:rPr>
        <w:t>ais</w:t>
      </w:r>
      <w:r w:rsidRPr="006D1C74">
        <w:rPr>
          <w:rFonts w:asciiTheme="majorHAnsi" w:hAnsiTheme="majorHAnsi"/>
          <w:color w:val="000000"/>
          <w:sz w:val="20"/>
          <w:szCs w:val="20"/>
          <w:vertAlign w:val="superscript"/>
          <w:lang w:val="pt-BR"/>
        </w:rPr>
        <w:footnoteReference w:id="23"/>
      </w:r>
      <w:r w:rsidRPr="006D1C74">
        <w:rPr>
          <w:rFonts w:asciiTheme="majorHAnsi" w:hAnsiTheme="majorHAnsi"/>
          <w:color w:val="000000"/>
          <w:sz w:val="20"/>
          <w:szCs w:val="20"/>
          <w:lang w:val="pt-BR"/>
        </w:rPr>
        <w:t xml:space="preserve">. </w:t>
      </w:r>
      <w:r w:rsidR="00623C35" w:rsidRPr="006D1C74">
        <w:rPr>
          <w:rFonts w:asciiTheme="majorHAnsi" w:hAnsiTheme="majorHAnsi"/>
          <w:sz w:val="20"/>
          <w:szCs w:val="20"/>
          <w:lang w:val="pt-BR"/>
        </w:rPr>
        <w:t>Em seguida</w:t>
      </w:r>
      <w:r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os </w:t>
      </w:r>
      <w:r w:rsidRPr="006D1C74">
        <w:rPr>
          <w:rFonts w:asciiTheme="majorHAnsi" w:hAnsiTheme="majorHAnsi"/>
          <w:sz w:val="20"/>
          <w:szCs w:val="20"/>
          <w:lang w:val="pt-BR"/>
        </w:rPr>
        <w:t xml:space="preserve">agentes de </w:t>
      </w:r>
      <w:r w:rsidR="00F37852" w:rsidRPr="006D1C74">
        <w:rPr>
          <w:rFonts w:asciiTheme="majorHAnsi" w:hAnsiTheme="majorHAnsi"/>
          <w:sz w:val="20"/>
          <w:szCs w:val="20"/>
          <w:lang w:val="pt-BR"/>
        </w:rPr>
        <w:t>polícia</w:t>
      </w:r>
      <w:r w:rsidRPr="006D1C74">
        <w:rPr>
          <w:rFonts w:asciiTheme="majorHAnsi" w:hAnsiTheme="majorHAnsi"/>
          <w:sz w:val="20"/>
          <w:szCs w:val="20"/>
          <w:lang w:val="pt-BR"/>
        </w:rPr>
        <w:t xml:space="preserve"> retroced</w:t>
      </w:r>
      <w:r w:rsidR="001C5D60" w:rsidRPr="006D1C74">
        <w:rPr>
          <w:rFonts w:asciiTheme="majorHAnsi" w:hAnsiTheme="majorHAnsi"/>
          <w:sz w:val="20"/>
          <w:szCs w:val="20"/>
          <w:lang w:val="pt-BR"/>
        </w:rPr>
        <w:t>eram</w:t>
      </w:r>
      <w:r w:rsidR="00F673C7" w:rsidRPr="006D1C74">
        <w:rPr>
          <w:rFonts w:asciiTheme="majorHAnsi" w:hAnsiTheme="majorHAnsi"/>
          <w:sz w:val="20"/>
          <w:szCs w:val="20"/>
          <w:lang w:val="pt-BR"/>
        </w:rPr>
        <w:t xml:space="preserve"> em </w:t>
      </w:r>
      <w:r w:rsidRPr="006D1C74">
        <w:rPr>
          <w:rFonts w:asciiTheme="majorHAnsi" w:hAnsiTheme="majorHAnsi"/>
          <w:sz w:val="20"/>
          <w:szCs w:val="20"/>
          <w:lang w:val="pt-BR"/>
        </w:rPr>
        <w:t>dire</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a </w:t>
      </w:r>
      <w:r w:rsidR="00CF037E" w:rsidRPr="006D1C74">
        <w:rPr>
          <w:rFonts w:asciiTheme="majorHAnsi" w:hAnsiTheme="majorHAnsi"/>
          <w:sz w:val="20"/>
          <w:szCs w:val="20"/>
          <w:lang w:val="pt-BR"/>
        </w:rPr>
        <w:t>outr</w:t>
      </w:r>
      <w:r w:rsidRPr="006D1C74">
        <w:rPr>
          <w:rFonts w:asciiTheme="majorHAnsi" w:hAnsiTheme="majorHAnsi"/>
          <w:sz w:val="20"/>
          <w:szCs w:val="20"/>
          <w:lang w:val="pt-BR"/>
        </w:rPr>
        <w:t>os veículos de ref</w:t>
      </w:r>
      <w:r w:rsidR="001C5D60" w:rsidRPr="006D1C74">
        <w:rPr>
          <w:rFonts w:asciiTheme="majorHAnsi" w:hAnsiTheme="majorHAnsi"/>
          <w:sz w:val="20"/>
          <w:szCs w:val="20"/>
          <w:lang w:val="pt-BR"/>
        </w:rPr>
        <w:t>orço</w:t>
      </w:r>
      <w:r w:rsidRPr="006D1C74">
        <w:rPr>
          <w:rFonts w:asciiTheme="majorHAnsi" w:hAnsiTheme="majorHAnsi"/>
          <w:sz w:val="20"/>
          <w:szCs w:val="20"/>
          <w:lang w:val="pt-BR"/>
        </w:rPr>
        <w:t xml:space="preserve"> que ha</w:t>
      </w:r>
      <w:r w:rsidR="001C5D60" w:rsidRPr="006D1C74">
        <w:rPr>
          <w:rFonts w:asciiTheme="majorHAnsi" w:hAnsiTheme="majorHAnsi"/>
          <w:sz w:val="20"/>
          <w:szCs w:val="20"/>
          <w:lang w:val="pt-BR"/>
        </w:rPr>
        <w:t>viam ch</w:t>
      </w:r>
      <w:r w:rsidRPr="006D1C74">
        <w:rPr>
          <w:rFonts w:asciiTheme="majorHAnsi" w:hAnsiTheme="majorHAnsi"/>
          <w:sz w:val="20"/>
          <w:szCs w:val="20"/>
          <w:lang w:val="pt-BR"/>
        </w:rPr>
        <w:t>amado</w:t>
      </w:r>
      <w:r w:rsidRPr="006D1C74">
        <w:rPr>
          <w:rFonts w:asciiTheme="majorHAnsi" w:hAnsiTheme="majorHAnsi"/>
          <w:color w:val="000000"/>
          <w:sz w:val="20"/>
          <w:szCs w:val="20"/>
          <w:vertAlign w:val="superscript"/>
          <w:lang w:val="pt-BR"/>
        </w:rPr>
        <w:footnoteReference w:id="24"/>
      </w:r>
      <w:r w:rsidRPr="006D1C74">
        <w:rPr>
          <w:rFonts w:asciiTheme="majorHAnsi" w:hAnsiTheme="majorHAnsi"/>
          <w:color w:val="000000"/>
          <w:sz w:val="20"/>
          <w:szCs w:val="20"/>
          <w:lang w:val="pt-BR"/>
        </w:rPr>
        <w:t xml:space="preserve">. </w:t>
      </w:r>
    </w:p>
    <w:p w14:paraId="6DBED5E4" w14:textId="77777777" w:rsidR="002649F0" w:rsidRPr="006D1C74" w:rsidRDefault="002649F0" w:rsidP="002649F0">
      <w:pPr>
        <w:ind w:left="720"/>
        <w:rPr>
          <w:rFonts w:asciiTheme="majorHAnsi" w:eastAsia="Batang" w:hAnsiTheme="majorHAnsi" w:cs="Cambria"/>
          <w:color w:val="000000"/>
          <w:sz w:val="20"/>
          <w:szCs w:val="20"/>
          <w:u w:color="000000"/>
          <w:bdr w:val="none" w:sz="0" w:space="0" w:color="auto"/>
          <w:lang w:val="pt-BR" w:eastAsia="es-ES"/>
        </w:rPr>
      </w:pPr>
    </w:p>
    <w:p w14:paraId="4D207327" w14:textId="77777777" w:rsidR="002649F0" w:rsidRPr="006D1C74" w:rsidRDefault="00135454"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6D1C74">
        <w:rPr>
          <w:rFonts w:asciiTheme="majorHAnsi" w:eastAsia="Batang" w:hAnsiTheme="majorHAnsi"/>
          <w:sz w:val="20"/>
          <w:szCs w:val="20"/>
          <w:bdr w:val="none" w:sz="0" w:space="0" w:color="auto"/>
          <w:lang w:val="pt-BR"/>
        </w:rPr>
        <w:lastRenderedPageBreak/>
        <w:t>N</w:t>
      </w:r>
      <w:r w:rsidR="002649F0" w:rsidRPr="006D1C74">
        <w:rPr>
          <w:rFonts w:asciiTheme="majorHAnsi" w:eastAsia="Batang" w:hAnsiTheme="majorHAnsi"/>
          <w:sz w:val="20"/>
          <w:szCs w:val="20"/>
          <w:bdr w:val="none" w:sz="0" w:space="0" w:color="auto"/>
          <w:lang w:val="pt-BR"/>
        </w:rPr>
        <w:t>o que se refere</w:t>
      </w:r>
      <w:r w:rsidRPr="006D1C74">
        <w:rPr>
          <w:rFonts w:asciiTheme="majorHAnsi" w:eastAsia="Batang" w:hAnsiTheme="majorHAnsi"/>
          <w:sz w:val="20"/>
          <w:szCs w:val="20"/>
          <w:bdr w:val="none" w:sz="0" w:space="0" w:color="auto"/>
          <w:lang w:val="pt-BR"/>
        </w:rPr>
        <w:t xml:space="preserve"> aos ferid</w:t>
      </w:r>
      <w:r w:rsidR="002649F0" w:rsidRPr="006D1C74">
        <w:rPr>
          <w:rFonts w:asciiTheme="majorHAnsi" w:eastAsia="Batang" w:hAnsiTheme="majorHAnsi"/>
          <w:sz w:val="20"/>
          <w:szCs w:val="20"/>
          <w:bdr w:val="none" w:sz="0" w:space="0" w:color="auto"/>
          <w:lang w:val="pt-BR"/>
        </w:rPr>
        <w:t>os,</w:t>
      </w:r>
      <w:r w:rsidR="00700267" w:rsidRPr="006D1C74">
        <w:rPr>
          <w:rFonts w:asciiTheme="majorHAnsi" w:eastAsia="Batang" w:hAnsiTheme="majorHAnsi"/>
          <w:sz w:val="20"/>
          <w:szCs w:val="20"/>
          <w:bdr w:val="none" w:sz="0" w:space="0" w:color="auto"/>
          <w:lang w:val="pt-BR"/>
        </w:rPr>
        <w:t xml:space="preserve"> </w:t>
      </w:r>
      <w:r w:rsidRPr="006D1C74">
        <w:rPr>
          <w:rFonts w:asciiTheme="majorHAnsi" w:eastAsia="Batang" w:hAnsiTheme="majorHAnsi"/>
          <w:sz w:val="20"/>
          <w:szCs w:val="20"/>
          <w:bdr w:val="none" w:sz="0" w:space="0" w:color="auto"/>
          <w:lang w:val="pt-BR"/>
        </w:rPr>
        <w:t>n</w:t>
      </w:r>
      <w:r w:rsidR="00700267" w:rsidRPr="006D1C74">
        <w:rPr>
          <w:rFonts w:asciiTheme="majorHAnsi" w:eastAsia="Batang" w:hAnsiTheme="majorHAnsi"/>
          <w:sz w:val="20"/>
          <w:szCs w:val="20"/>
          <w:bdr w:val="none" w:sz="0" w:space="0" w:color="auto"/>
          <w:lang w:val="pt-BR"/>
        </w:rPr>
        <w:t xml:space="preserve">o </w:t>
      </w:r>
      <w:r w:rsidR="002649F0" w:rsidRPr="006D1C74">
        <w:rPr>
          <w:rFonts w:asciiTheme="majorHAnsi" w:eastAsia="Batang" w:hAnsiTheme="majorHAnsi"/>
          <w:sz w:val="20"/>
          <w:szCs w:val="20"/>
          <w:bdr w:val="none" w:sz="0" w:space="0" w:color="auto"/>
          <w:lang w:val="pt-BR"/>
        </w:rPr>
        <w:t>d</w:t>
      </w:r>
      <w:r w:rsidR="00055622" w:rsidRPr="006D1C74">
        <w:rPr>
          <w:rFonts w:asciiTheme="majorHAnsi" w:eastAsia="Batang" w:hAnsiTheme="majorHAnsi"/>
          <w:sz w:val="20"/>
          <w:szCs w:val="20"/>
          <w:bdr w:val="none" w:sz="0" w:space="0" w:color="auto"/>
          <w:lang w:val="pt-BR"/>
        </w:rPr>
        <w:t>ia</w:t>
      </w:r>
      <w:r w:rsidR="00700267" w:rsidRPr="006D1C74">
        <w:rPr>
          <w:rFonts w:asciiTheme="majorHAnsi" w:eastAsia="Batang" w:hAnsiTheme="majorHAnsi"/>
          <w:sz w:val="20"/>
          <w:szCs w:val="20"/>
          <w:bdr w:val="none" w:sz="0" w:space="0" w:color="auto"/>
          <w:lang w:val="pt-BR"/>
        </w:rPr>
        <w:t xml:space="preserve"> dos </w:t>
      </w:r>
      <w:r w:rsidR="00F37852" w:rsidRPr="006D1C74">
        <w:rPr>
          <w:rFonts w:asciiTheme="majorHAnsi" w:eastAsia="Batang" w:hAnsiTheme="majorHAnsi"/>
          <w:sz w:val="20"/>
          <w:szCs w:val="20"/>
          <w:bdr w:val="none" w:sz="0" w:space="0" w:color="auto"/>
          <w:lang w:val="pt-BR"/>
        </w:rPr>
        <w:t>fato</w:t>
      </w:r>
      <w:r w:rsidR="002649F0" w:rsidRPr="006D1C74">
        <w:rPr>
          <w:rFonts w:asciiTheme="majorHAnsi" w:eastAsia="Batang" w:hAnsiTheme="majorHAnsi"/>
          <w:sz w:val="20"/>
          <w:szCs w:val="20"/>
          <w:bdr w:val="none" w:sz="0" w:space="0" w:color="auto"/>
          <w:lang w:val="pt-BR"/>
        </w:rPr>
        <w:t>s alguns integrantes</w:t>
      </w:r>
      <w:r w:rsidR="00030019" w:rsidRPr="006D1C74">
        <w:rPr>
          <w:rFonts w:asciiTheme="majorHAnsi" w:eastAsia="Batang" w:hAnsiTheme="majorHAnsi"/>
          <w:sz w:val="20"/>
          <w:szCs w:val="20"/>
          <w:bdr w:val="none" w:sz="0" w:space="0" w:color="auto"/>
          <w:lang w:val="pt-BR"/>
        </w:rPr>
        <w:t xml:space="preserve"> do </w:t>
      </w:r>
      <w:r w:rsidR="002649F0" w:rsidRPr="006D1C74">
        <w:rPr>
          <w:rFonts w:asciiTheme="majorHAnsi" w:eastAsia="Batang" w:hAnsiTheme="majorHAnsi"/>
          <w:sz w:val="20"/>
          <w:szCs w:val="20"/>
          <w:bdr w:val="none" w:sz="0" w:space="0" w:color="auto"/>
          <w:lang w:val="pt-BR"/>
        </w:rPr>
        <w:t>MST f</w:t>
      </w:r>
      <w:r w:rsidRPr="006D1C74">
        <w:rPr>
          <w:rFonts w:asciiTheme="majorHAnsi" w:eastAsia="Batang" w:hAnsiTheme="majorHAnsi"/>
          <w:sz w:val="20"/>
          <w:szCs w:val="20"/>
          <w:bdr w:val="none" w:sz="0" w:space="0" w:color="auto"/>
          <w:lang w:val="pt-BR"/>
        </w:rPr>
        <w:t>oram</w:t>
      </w:r>
      <w:r w:rsidR="002649F0" w:rsidRPr="006D1C74">
        <w:rPr>
          <w:rFonts w:asciiTheme="majorHAnsi" w:eastAsia="Batang" w:hAnsiTheme="majorHAnsi"/>
          <w:sz w:val="20"/>
          <w:szCs w:val="20"/>
          <w:bdr w:val="none" w:sz="0" w:space="0" w:color="auto"/>
          <w:lang w:val="pt-BR"/>
        </w:rPr>
        <w:t xml:space="preserve"> detidos</w:t>
      </w:r>
      <w:r w:rsidR="00BD3AB3" w:rsidRPr="006D1C74">
        <w:rPr>
          <w:rFonts w:asciiTheme="majorHAnsi" w:eastAsia="Batang" w:hAnsiTheme="majorHAnsi"/>
          <w:sz w:val="20"/>
          <w:szCs w:val="20"/>
          <w:bdr w:val="none" w:sz="0" w:space="0" w:color="auto"/>
          <w:lang w:val="pt-BR"/>
        </w:rPr>
        <w:t xml:space="preserve"> pelos </w:t>
      </w:r>
      <w:r w:rsidR="002649F0" w:rsidRPr="006D1C74">
        <w:rPr>
          <w:rFonts w:asciiTheme="majorHAnsi" w:eastAsia="Batang" w:hAnsiTheme="majorHAnsi"/>
          <w:sz w:val="20"/>
          <w:szCs w:val="20"/>
          <w:bdr w:val="none" w:sz="0" w:space="0" w:color="auto"/>
          <w:lang w:val="pt-BR"/>
        </w:rPr>
        <w:t>delitos de da</w:t>
      </w:r>
      <w:r w:rsidRPr="006D1C74">
        <w:rPr>
          <w:rFonts w:asciiTheme="majorHAnsi" w:eastAsia="Batang" w:hAnsiTheme="majorHAnsi"/>
          <w:sz w:val="20"/>
          <w:szCs w:val="20"/>
          <w:bdr w:val="none" w:sz="0" w:space="0" w:color="auto"/>
          <w:lang w:val="pt-BR"/>
        </w:rPr>
        <w:t>n</w:t>
      </w:r>
      <w:r w:rsidR="002649F0" w:rsidRPr="006D1C74">
        <w:rPr>
          <w:rFonts w:asciiTheme="majorHAnsi" w:eastAsia="Batang" w:hAnsiTheme="majorHAnsi"/>
          <w:sz w:val="20"/>
          <w:szCs w:val="20"/>
          <w:bdr w:val="none" w:sz="0" w:space="0" w:color="auto"/>
          <w:lang w:val="pt-BR"/>
        </w:rPr>
        <w:t>o, desacato</w:t>
      </w:r>
      <w:r w:rsidR="00CF037E" w:rsidRPr="006D1C74">
        <w:rPr>
          <w:rFonts w:asciiTheme="majorHAnsi" w:eastAsia="Batang" w:hAnsiTheme="majorHAnsi"/>
          <w:sz w:val="20"/>
          <w:szCs w:val="20"/>
          <w:bdr w:val="none" w:sz="0" w:space="0" w:color="auto"/>
          <w:lang w:val="pt-BR"/>
        </w:rPr>
        <w:t xml:space="preserve"> e </w:t>
      </w:r>
      <w:r w:rsidR="002649F0" w:rsidRPr="006D1C74">
        <w:rPr>
          <w:rFonts w:asciiTheme="majorHAnsi" w:eastAsia="Batang" w:hAnsiTheme="majorHAnsi"/>
          <w:sz w:val="20"/>
          <w:szCs w:val="20"/>
          <w:bdr w:val="none" w:sz="0" w:space="0" w:color="auto"/>
          <w:lang w:val="pt-BR"/>
        </w:rPr>
        <w:t>desobedi</w:t>
      </w:r>
      <w:r w:rsidRPr="006D1C74">
        <w:rPr>
          <w:rFonts w:asciiTheme="majorHAnsi" w:eastAsia="Batang" w:hAnsiTheme="majorHAnsi"/>
          <w:sz w:val="20"/>
          <w:szCs w:val="20"/>
          <w:bdr w:val="none" w:sz="0" w:space="0" w:color="auto"/>
          <w:lang w:val="pt-BR"/>
        </w:rPr>
        <w:t>ê</w:t>
      </w:r>
      <w:r w:rsidR="002649F0" w:rsidRPr="006D1C74">
        <w:rPr>
          <w:rFonts w:asciiTheme="majorHAnsi" w:eastAsia="Batang" w:hAnsiTheme="majorHAnsi"/>
          <w:sz w:val="20"/>
          <w:szCs w:val="20"/>
          <w:bdr w:val="none" w:sz="0" w:space="0" w:color="auto"/>
          <w:lang w:val="pt-BR"/>
        </w:rPr>
        <w:t>ncia, cometidos</w:t>
      </w:r>
      <w:r w:rsidR="00F673C7" w:rsidRPr="006D1C74">
        <w:rPr>
          <w:rFonts w:asciiTheme="majorHAnsi" w:eastAsia="Batang" w:hAnsiTheme="majorHAnsi"/>
          <w:sz w:val="20"/>
          <w:szCs w:val="20"/>
          <w:bdr w:val="none" w:sz="0" w:space="0" w:color="auto"/>
          <w:lang w:val="pt-BR"/>
        </w:rPr>
        <w:t xml:space="preserve"> em </w:t>
      </w:r>
      <w:r w:rsidR="002649F0" w:rsidRPr="006D1C74">
        <w:rPr>
          <w:rFonts w:asciiTheme="majorHAnsi" w:eastAsia="Batang" w:hAnsiTheme="majorHAnsi"/>
          <w:sz w:val="20"/>
          <w:szCs w:val="20"/>
          <w:bdr w:val="none" w:sz="0" w:space="0" w:color="auto"/>
          <w:lang w:val="pt-BR"/>
        </w:rPr>
        <w:t>flagran</w:t>
      </w:r>
      <w:r w:rsidRPr="006D1C74">
        <w:rPr>
          <w:rFonts w:asciiTheme="majorHAnsi" w:eastAsia="Batang" w:hAnsiTheme="majorHAnsi"/>
          <w:sz w:val="20"/>
          <w:szCs w:val="20"/>
          <w:bdr w:val="none" w:sz="0" w:space="0" w:color="auto"/>
          <w:lang w:val="pt-BR"/>
        </w:rPr>
        <w:t>te</w:t>
      </w:r>
      <w:r w:rsidR="002649F0" w:rsidRPr="006D1C74">
        <w:rPr>
          <w:rFonts w:asciiTheme="majorHAnsi" w:eastAsia="Batang" w:hAnsiTheme="majorHAnsi"/>
          <w:sz w:val="20"/>
          <w:szCs w:val="20"/>
          <w:bdr w:val="none" w:sz="0" w:space="0" w:color="auto"/>
          <w:lang w:val="pt-BR"/>
        </w:rPr>
        <w:t>. U</w:t>
      </w:r>
      <w:r w:rsidRPr="006D1C74">
        <w:rPr>
          <w:rFonts w:asciiTheme="majorHAnsi" w:eastAsia="Batang" w:hAnsiTheme="majorHAnsi"/>
          <w:sz w:val="20"/>
          <w:szCs w:val="20"/>
          <w:bdr w:val="none" w:sz="0" w:space="0" w:color="auto"/>
          <w:lang w:val="pt-BR"/>
        </w:rPr>
        <w:t>m deles</w:t>
      </w:r>
      <w:r w:rsidR="002649F0" w:rsidRPr="006D1C74">
        <w:rPr>
          <w:rFonts w:asciiTheme="majorHAnsi" w:eastAsia="Batang" w:hAnsiTheme="majorHAnsi"/>
          <w:sz w:val="20"/>
          <w:szCs w:val="20"/>
          <w:bdr w:val="none" w:sz="0" w:space="0" w:color="auto"/>
          <w:lang w:val="pt-BR"/>
        </w:rPr>
        <w:t xml:space="preserve"> t</w:t>
      </w:r>
      <w:r w:rsidRPr="006D1C74">
        <w:rPr>
          <w:rFonts w:asciiTheme="majorHAnsi" w:eastAsia="Batang" w:hAnsiTheme="majorHAnsi"/>
          <w:sz w:val="20"/>
          <w:szCs w:val="20"/>
          <w:bdr w:val="none" w:sz="0" w:space="0" w:color="auto"/>
          <w:lang w:val="pt-BR"/>
        </w:rPr>
        <w:t>inh</w:t>
      </w:r>
      <w:r w:rsidR="00055622" w:rsidRPr="006D1C74">
        <w:rPr>
          <w:rFonts w:asciiTheme="majorHAnsi" w:eastAsia="Batang" w:hAnsiTheme="majorHAnsi"/>
          <w:sz w:val="20"/>
          <w:szCs w:val="20"/>
          <w:bdr w:val="none" w:sz="0" w:space="0" w:color="auto"/>
          <w:lang w:val="pt-BR"/>
        </w:rPr>
        <w:t>a</w:t>
      </w:r>
      <w:r w:rsidR="002649F0" w:rsidRPr="006D1C74">
        <w:rPr>
          <w:rFonts w:asciiTheme="majorHAnsi" w:eastAsia="Batang" w:hAnsiTheme="majorHAnsi"/>
          <w:sz w:val="20"/>
          <w:szCs w:val="20"/>
          <w:bdr w:val="none" w:sz="0" w:space="0" w:color="auto"/>
          <w:lang w:val="pt-BR"/>
        </w:rPr>
        <w:t xml:space="preserve"> </w:t>
      </w:r>
      <w:r w:rsidRPr="006D1C74">
        <w:rPr>
          <w:rFonts w:asciiTheme="majorHAnsi" w:eastAsia="Batang" w:hAnsiTheme="majorHAnsi"/>
          <w:sz w:val="20"/>
          <w:szCs w:val="20"/>
          <w:bdr w:val="none" w:sz="0" w:space="0" w:color="auto"/>
          <w:lang w:val="pt-BR"/>
        </w:rPr>
        <w:t>feri</w:t>
      </w:r>
      <w:r w:rsidR="007C1EDA">
        <w:rPr>
          <w:rFonts w:asciiTheme="majorHAnsi" w:eastAsia="Batang" w:hAnsiTheme="majorHAnsi"/>
          <w:sz w:val="20"/>
          <w:szCs w:val="20"/>
          <w:bdr w:val="none" w:sz="0" w:space="0" w:color="auto"/>
          <w:lang w:val="pt-BR"/>
        </w:rPr>
        <w:t>mento</w:t>
      </w:r>
      <w:r w:rsidR="002649F0" w:rsidRPr="006D1C74">
        <w:rPr>
          <w:rFonts w:asciiTheme="majorHAnsi" w:eastAsia="Batang" w:hAnsiTheme="majorHAnsi"/>
          <w:sz w:val="20"/>
          <w:szCs w:val="20"/>
          <w:bdr w:val="none" w:sz="0" w:space="0" w:color="auto"/>
          <w:lang w:val="pt-BR"/>
        </w:rPr>
        <w:t>s leves</w:t>
      </w:r>
      <w:r w:rsidR="002649F0" w:rsidRPr="006D1C74">
        <w:rPr>
          <w:rFonts w:asciiTheme="majorHAnsi" w:eastAsia="Batang" w:hAnsiTheme="majorHAnsi"/>
          <w:sz w:val="20"/>
          <w:szCs w:val="20"/>
          <w:bdr w:val="none" w:sz="0" w:space="0" w:color="auto"/>
          <w:vertAlign w:val="superscript"/>
          <w:lang w:val="pt-BR"/>
        </w:rPr>
        <w:footnoteReference w:id="25"/>
      </w:r>
      <w:r w:rsidR="00CF037E" w:rsidRPr="006D1C74">
        <w:rPr>
          <w:rFonts w:asciiTheme="majorHAnsi" w:eastAsia="Batang" w:hAnsiTheme="majorHAnsi"/>
          <w:sz w:val="20"/>
          <w:szCs w:val="20"/>
          <w:bdr w:val="none" w:sz="0" w:space="0" w:color="auto"/>
          <w:lang w:val="pt-BR"/>
        </w:rPr>
        <w:t xml:space="preserve"> e</w:t>
      </w:r>
      <w:r w:rsidR="00CA7940" w:rsidRPr="006D1C74">
        <w:rPr>
          <w:rFonts w:asciiTheme="majorHAnsi" w:eastAsia="Batang" w:hAnsiTheme="majorHAnsi"/>
          <w:sz w:val="20"/>
          <w:szCs w:val="20"/>
          <w:bdr w:val="none" w:sz="0" w:space="0" w:color="auto"/>
          <w:lang w:val="pt-BR"/>
        </w:rPr>
        <w:t xml:space="preserve"> foi </w:t>
      </w:r>
      <w:r w:rsidR="002649F0" w:rsidRPr="006D1C74">
        <w:rPr>
          <w:rFonts w:asciiTheme="majorHAnsi" w:eastAsia="Batang" w:hAnsiTheme="majorHAnsi"/>
          <w:sz w:val="20"/>
          <w:szCs w:val="20"/>
          <w:bdr w:val="none" w:sz="0" w:space="0" w:color="auto"/>
          <w:lang w:val="pt-BR"/>
        </w:rPr>
        <w:t>enviado</w:t>
      </w:r>
      <w:r w:rsidR="00217759" w:rsidRPr="006D1C74">
        <w:rPr>
          <w:rFonts w:asciiTheme="majorHAnsi" w:eastAsia="Batang" w:hAnsiTheme="majorHAnsi"/>
          <w:sz w:val="20"/>
          <w:szCs w:val="20"/>
          <w:bdr w:val="none" w:sz="0" w:space="0" w:color="auto"/>
          <w:lang w:val="pt-BR"/>
        </w:rPr>
        <w:t xml:space="preserve"> ao </w:t>
      </w:r>
      <w:r w:rsidR="002649F0" w:rsidRPr="006D1C74">
        <w:rPr>
          <w:rFonts w:asciiTheme="majorHAnsi" w:eastAsia="Batang" w:hAnsiTheme="majorHAnsi"/>
          <w:sz w:val="20"/>
          <w:szCs w:val="20"/>
          <w:bdr w:val="none" w:sz="0" w:space="0" w:color="auto"/>
          <w:lang w:val="pt-BR"/>
        </w:rPr>
        <w:t>Instituto Médico Legal para que o examina</w:t>
      </w:r>
      <w:r w:rsidRPr="006D1C74">
        <w:rPr>
          <w:rFonts w:asciiTheme="majorHAnsi" w:eastAsia="Batang" w:hAnsiTheme="majorHAnsi"/>
          <w:sz w:val="20"/>
          <w:szCs w:val="20"/>
          <w:bdr w:val="none" w:sz="0" w:space="0" w:color="auto"/>
          <w:lang w:val="pt-BR"/>
        </w:rPr>
        <w:t>ssem</w:t>
      </w:r>
      <w:r w:rsidR="002649F0" w:rsidRPr="006D1C74">
        <w:rPr>
          <w:rFonts w:asciiTheme="majorHAnsi" w:eastAsia="Batang" w:hAnsiTheme="majorHAnsi"/>
          <w:sz w:val="20"/>
          <w:szCs w:val="20"/>
          <w:bdr w:val="none" w:sz="0" w:space="0" w:color="auto"/>
          <w:vertAlign w:val="superscript"/>
          <w:lang w:val="pt-BR"/>
        </w:rPr>
        <w:footnoteReference w:id="26"/>
      </w:r>
      <w:r w:rsidR="002649F0" w:rsidRPr="006D1C74">
        <w:rPr>
          <w:rFonts w:asciiTheme="majorHAnsi" w:eastAsia="Batang" w:hAnsiTheme="majorHAnsi"/>
          <w:sz w:val="20"/>
          <w:szCs w:val="20"/>
          <w:bdr w:val="none" w:sz="0" w:space="0" w:color="auto"/>
          <w:lang w:val="pt-BR"/>
        </w:rPr>
        <w:t xml:space="preserve">. </w:t>
      </w:r>
      <w:r w:rsidR="00CF037E" w:rsidRPr="006D1C74">
        <w:rPr>
          <w:rFonts w:asciiTheme="majorHAnsi" w:eastAsia="Batang" w:hAnsiTheme="majorHAnsi"/>
          <w:sz w:val="20"/>
          <w:szCs w:val="20"/>
          <w:bdr w:val="none" w:sz="0" w:space="0" w:color="auto"/>
          <w:lang w:val="pt-BR"/>
        </w:rPr>
        <w:t>Outr</w:t>
      </w:r>
      <w:r w:rsidR="002649F0" w:rsidRPr="006D1C74">
        <w:rPr>
          <w:rFonts w:asciiTheme="majorHAnsi" w:eastAsia="Batang" w:hAnsiTheme="majorHAnsi"/>
          <w:sz w:val="20"/>
          <w:szCs w:val="20"/>
          <w:bdr w:val="none" w:sz="0" w:space="0" w:color="auto"/>
          <w:lang w:val="pt-BR"/>
        </w:rPr>
        <w:t xml:space="preserve">os </w:t>
      </w:r>
      <w:r w:rsidRPr="006D1C74">
        <w:rPr>
          <w:rFonts w:asciiTheme="majorHAnsi" w:eastAsia="Batang" w:hAnsiTheme="majorHAnsi"/>
          <w:sz w:val="20"/>
          <w:szCs w:val="20"/>
          <w:bdr w:val="none" w:sz="0" w:space="0" w:color="auto"/>
          <w:lang w:val="pt-BR"/>
        </w:rPr>
        <w:t>q</w:t>
      </w:r>
      <w:r w:rsidR="002649F0" w:rsidRPr="006D1C74">
        <w:rPr>
          <w:rFonts w:asciiTheme="majorHAnsi" w:eastAsia="Batang" w:hAnsiTheme="majorHAnsi"/>
          <w:sz w:val="20"/>
          <w:szCs w:val="20"/>
          <w:bdr w:val="none" w:sz="0" w:space="0" w:color="auto"/>
          <w:lang w:val="pt-BR"/>
        </w:rPr>
        <w:t>uatro integrantes</w:t>
      </w:r>
      <w:r w:rsidR="00030019" w:rsidRPr="006D1C74">
        <w:rPr>
          <w:rFonts w:asciiTheme="majorHAnsi" w:eastAsia="Batang" w:hAnsiTheme="majorHAnsi"/>
          <w:sz w:val="20"/>
          <w:szCs w:val="20"/>
          <w:bdr w:val="none" w:sz="0" w:space="0" w:color="auto"/>
          <w:lang w:val="pt-BR"/>
        </w:rPr>
        <w:t xml:space="preserve"> do </w:t>
      </w:r>
      <w:r w:rsidR="002649F0" w:rsidRPr="006D1C74">
        <w:rPr>
          <w:rFonts w:asciiTheme="majorHAnsi" w:eastAsia="Batang" w:hAnsiTheme="majorHAnsi"/>
          <w:sz w:val="20"/>
          <w:szCs w:val="20"/>
          <w:bdr w:val="none" w:sz="0" w:space="0" w:color="auto"/>
          <w:lang w:val="pt-BR"/>
        </w:rPr>
        <w:t>MST f</w:t>
      </w:r>
      <w:r w:rsidRPr="006D1C74">
        <w:rPr>
          <w:rFonts w:asciiTheme="majorHAnsi" w:eastAsia="Batang" w:hAnsiTheme="majorHAnsi"/>
          <w:sz w:val="20"/>
          <w:szCs w:val="20"/>
          <w:bdr w:val="none" w:sz="0" w:space="0" w:color="auto"/>
          <w:lang w:val="pt-BR"/>
        </w:rPr>
        <w:t>oram</w:t>
      </w:r>
      <w:r w:rsidR="002649F0" w:rsidRPr="006D1C74">
        <w:rPr>
          <w:rFonts w:asciiTheme="majorHAnsi" w:eastAsia="Batang" w:hAnsiTheme="majorHAnsi"/>
          <w:sz w:val="20"/>
          <w:szCs w:val="20"/>
          <w:bdr w:val="none" w:sz="0" w:space="0" w:color="auto"/>
          <w:lang w:val="pt-BR"/>
        </w:rPr>
        <w:t xml:space="preserve"> atendidos</w:t>
      </w:r>
      <w:r w:rsidR="00FC2F62" w:rsidRPr="006D1C74">
        <w:rPr>
          <w:rFonts w:asciiTheme="majorHAnsi" w:eastAsia="Batang" w:hAnsiTheme="majorHAnsi"/>
          <w:sz w:val="20"/>
          <w:szCs w:val="20"/>
          <w:bdr w:val="none" w:sz="0" w:space="0" w:color="auto"/>
          <w:lang w:val="pt-BR"/>
        </w:rPr>
        <w:t xml:space="preserve"> no </w:t>
      </w:r>
      <w:r w:rsidR="002649F0" w:rsidRPr="006D1C74">
        <w:rPr>
          <w:rFonts w:asciiTheme="majorHAnsi" w:eastAsia="Batang" w:hAnsiTheme="majorHAnsi"/>
          <w:sz w:val="20"/>
          <w:szCs w:val="20"/>
          <w:bdr w:val="none" w:sz="0" w:space="0" w:color="auto"/>
          <w:lang w:val="pt-BR"/>
        </w:rPr>
        <w:t xml:space="preserve">Centro Médico de Campo Largo, onde </w:t>
      </w:r>
      <w:r w:rsidRPr="006D1C74">
        <w:rPr>
          <w:rFonts w:asciiTheme="majorHAnsi" w:eastAsia="Batang" w:hAnsiTheme="majorHAnsi"/>
          <w:sz w:val="20"/>
          <w:szCs w:val="20"/>
          <w:bdr w:val="none" w:sz="0" w:space="0" w:color="auto"/>
          <w:lang w:val="pt-BR"/>
        </w:rPr>
        <w:t>ch</w:t>
      </w:r>
      <w:r w:rsidR="002649F0" w:rsidRPr="006D1C74">
        <w:rPr>
          <w:rFonts w:asciiTheme="majorHAnsi" w:eastAsia="Batang" w:hAnsiTheme="majorHAnsi"/>
          <w:sz w:val="20"/>
          <w:szCs w:val="20"/>
          <w:bdr w:val="none" w:sz="0" w:space="0" w:color="auto"/>
          <w:lang w:val="pt-BR"/>
        </w:rPr>
        <w:t>egar</w:t>
      </w:r>
      <w:r w:rsidRPr="006D1C74">
        <w:rPr>
          <w:rFonts w:asciiTheme="majorHAnsi" w:eastAsia="Batang" w:hAnsiTheme="majorHAnsi"/>
          <w:sz w:val="20"/>
          <w:szCs w:val="20"/>
          <w:bdr w:val="none" w:sz="0" w:space="0" w:color="auto"/>
          <w:lang w:val="pt-BR"/>
        </w:rPr>
        <w:t>am</w:t>
      </w:r>
      <w:r w:rsidR="00F673C7" w:rsidRPr="006D1C74">
        <w:rPr>
          <w:rFonts w:asciiTheme="majorHAnsi" w:eastAsia="Batang" w:hAnsiTheme="majorHAnsi"/>
          <w:sz w:val="20"/>
          <w:szCs w:val="20"/>
          <w:bdr w:val="none" w:sz="0" w:space="0" w:color="auto"/>
          <w:lang w:val="pt-BR"/>
        </w:rPr>
        <w:t xml:space="preserve"> com </w:t>
      </w:r>
      <w:r w:rsidRPr="006D1C74">
        <w:rPr>
          <w:rFonts w:asciiTheme="majorHAnsi" w:eastAsia="Batang" w:hAnsiTheme="majorHAnsi"/>
          <w:sz w:val="20"/>
          <w:szCs w:val="20"/>
          <w:bdr w:val="none" w:sz="0" w:space="0" w:color="auto"/>
          <w:lang w:val="pt-BR"/>
        </w:rPr>
        <w:t>feri</w:t>
      </w:r>
      <w:r w:rsidR="007C1EDA">
        <w:rPr>
          <w:rFonts w:asciiTheme="majorHAnsi" w:eastAsia="Batang" w:hAnsiTheme="majorHAnsi"/>
          <w:sz w:val="20"/>
          <w:szCs w:val="20"/>
          <w:bdr w:val="none" w:sz="0" w:space="0" w:color="auto"/>
          <w:lang w:val="pt-BR"/>
        </w:rPr>
        <w:t>mento</w:t>
      </w:r>
      <w:r w:rsidR="002649F0" w:rsidRPr="006D1C74">
        <w:rPr>
          <w:rFonts w:asciiTheme="majorHAnsi" w:eastAsia="Batang" w:hAnsiTheme="majorHAnsi"/>
          <w:sz w:val="20"/>
          <w:szCs w:val="20"/>
          <w:bdr w:val="none" w:sz="0" w:space="0" w:color="auto"/>
          <w:lang w:val="pt-BR"/>
        </w:rPr>
        <w:t>s causad</w:t>
      </w:r>
      <w:r w:rsidR="007C1EDA">
        <w:rPr>
          <w:rFonts w:asciiTheme="majorHAnsi" w:eastAsia="Batang" w:hAnsiTheme="majorHAnsi"/>
          <w:sz w:val="20"/>
          <w:szCs w:val="20"/>
          <w:bdr w:val="none" w:sz="0" w:space="0" w:color="auto"/>
          <w:lang w:val="pt-BR"/>
        </w:rPr>
        <w:t>o</w:t>
      </w:r>
      <w:r w:rsidR="002649F0" w:rsidRPr="006D1C74">
        <w:rPr>
          <w:rFonts w:asciiTheme="majorHAnsi" w:eastAsia="Batang" w:hAnsiTheme="majorHAnsi"/>
          <w:sz w:val="20"/>
          <w:szCs w:val="20"/>
          <w:bdr w:val="none" w:sz="0" w:space="0" w:color="auto"/>
          <w:lang w:val="pt-BR"/>
        </w:rPr>
        <w:t xml:space="preserve">s por arma de </w:t>
      </w:r>
      <w:r w:rsidRPr="006D1C74">
        <w:rPr>
          <w:rFonts w:asciiTheme="majorHAnsi" w:eastAsia="Batang" w:hAnsiTheme="majorHAnsi"/>
          <w:sz w:val="20"/>
          <w:szCs w:val="20"/>
          <w:bdr w:val="none" w:sz="0" w:space="0" w:color="auto"/>
          <w:lang w:val="pt-BR"/>
        </w:rPr>
        <w:t>fog</w:t>
      </w:r>
      <w:r w:rsidR="002649F0" w:rsidRPr="006D1C74">
        <w:rPr>
          <w:rFonts w:asciiTheme="majorHAnsi" w:eastAsia="Batang" w:hAnsiTheme="majorHAnsi"/>
          <w:sz w:val="20"/>
          <w:szCs w:val="20"/>
          <w:bdr w:val="none" w:sz="0" w:space="0" w:color="auto"/>
          <w:lang w:val="pt-BR"/>
        </w:rPr>
        <w:t>o</w:t>
      </w:r>
      <w:r w:rsidR="002649F0" w:rsidRPr="006D1C74">
        <w:rPr>
          <w:rFonts w:asciiTheme="majorHAnsi" w:eastAsia="Batang" w:hAnsiTheme="majorHAnsi"/>
          <w:sz w:val="20"/>
          <w:szCs w:val="20"/>
          <w:bdr w:val="none" w:sz="0" w:space="0" w:color="auto"/>
          <w:vertAlign w:val="superscript"/>
          <w:lang w:val="pt-BR"/>
        </w:rPr>
        <w:footnoteReference w:id="27"/>
      </w:r>
      <w:r w:rsidR="002649F0" w:rsidRPr="006D1C74">
        <w:rPr>
          <w:rFonts w:asciiTheme="majorHAnsi" w:eastAsia="Batang" w:hAnsiTheme="majorHAnsi"/>
          <w:sz w:val="20"/>
          <w:szCs w:val="20"/>
          <w:bdr w:val="none" w:sz="0" w:space="0" w:color="auto"/>
          <w:lang w:val="pt-BR"/>
        </w:rPr>
        <w:t xml:space="preserve">. </w:t>
      </w:r>
      <w:r w:rsidR="00B65A5D" w:rsidRPr="006D1C74">
        <w:rPr>
          <w:rFonts w:asciiTheme="majorHAnsi" w:eastAsia="Batang" w:hAnsiTheme="majorHAnsi"/>
          <w:sz w:val="20"/>
          <w:szCs w:val="20"/>
          <w:bdr w:val="none" w:sz="0" w:space="0" w:color="auto"/>
          <w:lang w:val="pt-BR"/>
        </w:rPr>
        <w:t>Em</w:t>
      </w:r>
      <w:r w:rsidR="002649F0" w:rsidRPr="006D1C74">
        <w:rPr>
          <w:rFonts w:asciiTheme="majorHAnsi" w:eastAsia="Batang" w:hAnsiTheme="majorHAnsi"/>
          <w:sz w:val="20"/>
          <w:szCs w:val="20"/>
          <w:bdr w:val="none" w:sz="0" w:space="0" w:color="auto"/>
          <w:lang w:val="pt-BR"/>
        </w:rPr>
        <w:t xml:space="preserve"> 3 de </w:t>
      </w:r>
      <w:r w:rsidR="00C6461F" w:rsidRPr="006D1C74">
        <w:rPr>
          <w:rFonts w:asciiTheme="majorHAnsi" w:eastAsia="Batang" w:hAnsiTheme="majorHAnsi"/>
          <w:sz w:val="20"/>
          <w:szCs w:val="20"/>
          <w:bdr w:val="none" w:sz="0" w:space="0" w:color="auto"/>
          <w:lang w:val="pt-BR"/>
        </w:rPr>
        <w:t>maio</w:t>
      </w:r>
      <w:r w:rsidR="002649F0" w:rsidRPr="006D1C74">
        <w:rPr>
          <w:rFonts w:asciiTheme="majorHAnsi" w:eastAsia="Batang" w:hAnsiTheme="majorHAnsi"/>
          <w:sz w:val="20"/>
          <w:szCs w:val="20"/>
          <w:bdr w:val="none" w:sz="0" w:space="0" w:color="auto"/>
          <w:lang w:val="pt-BR"/>
        </w:rPr>
        <w:t xml:space="preserve"> de 2000, v</w:t>
      </w:r>
      <w:r w:rsidRPr="006D1C74">
        <w:rPr>
          <w:rFonts w:asciiTheme="majorHAnsi" w:eastAsia="Batang" w:hAnsiTheme="majorHAnsi"/>
          <w:sz w:val="20"/>
          <w:szCs w:val="20"/>
          <w:bdr w:val="none" w:sz="0" w:space="0" w:color="auto"/>
          <w:lang w:val="pt-BR"/>
        </w:rPr>
        <w:t>á</w:t>
      </w:r>
      <w:r w:rsidR="002649F0" w:rsidRPr="006D1C74">
        <w:rPr>
          <w:rFonts w:asciiTheme="majorHAnsi" w:eastAsia="Batang" w:hAnsiTheme="majorHAnsi"/>
          <w:sz w:val="20"/>
          <w:szCs w:val="20"/>
          <w:bdr w:val="none" w:sz="0" w:space="0" w:color="auto"/>
          <w:lang w:val="pt-BR"/>
        </w:rPr>
        <w:t>rios integrantes</w:t>
      </w:r>
      <w:r w:rsidR="00030019" w:rsidRPr="006D1C74">
        <w:rPr>
          <w:rFonts w:asciiTheme="majorHAnsi" w:eastAsia="Batang" w:hAnsiTheme="majorHAnsi"/>
          <w:sz w:val="20"/>
          <w:szCs w:val="20"/>
          <w:bdr w:val="none" w:sz="0" w:space="0" w:color="auto"/>
          <w:lang w:val="pt-BR"/>
        </w:rPr>
        <w:t xml:space="preserve"> do </w:t>
      </w:r>
      <w:r w:rsidR="002649F0" w:rsidRPr="006D1C74">
        <w:rPr>
          <w:rFonts w:asciiTheme="majorHAnsi" w:eastAsia="Batang" w:hAnsiTheme="majorHAnsi"/>
          <w:sz w:val="20"/>
          <w:szCs w:val="20"/>
          <w:bdr w:val="none" w:sz="0" w:space="0" w:color="auto"/>
          <w:lang w:val="pt-BR"/>
        </w:rPr>
        <w:t>MST, representados por a</w:t>
      </w:r>
      <w:r w:rsidRPr="006D1C74">
        <w:rPr>
          <w:rFonts w:asciiTheme="majorHAnsi" w:eastAsia="Batang" w:hAnsiTheme="majorHAnsi"/>
          <w:sz w:val="20"/>
          <w:szCs w:val="20"/>
          <w:bdr w:val="none" w:sz="0" w:space="0" w:color="auto"/>
          <w:lang w:val="pt-BR"/>
        </w:rPr>
        <w:t>dv</w:t>
      </w:r>
      <w:r w:rsidR="002649F0" w:rsidRPr="006D1C74">
        <w:rPr>
          <w:rFonts w:asciiTheme="majorHAnsi" w:eastAsia="Batang" w:hAnsiTheme="majorHAnsi"/>
          <w:sz w:val="20"/>
          <w:szCs w:val="20"/>
          <w:bdr w:val="none" w:sz="0" w:space="0" w:color="auto"/>
          <w:lang w:val="pt-BR"/>
        </w:rPr>
        <w:t>ogados, p</w:t>
      </w:r>
      <w:r w:rsidRPr="006D1C74">
        <w:rPr>
          <w:rFonts w:asciiTheme="majorHAnsi" w:eastAsia="Batang" w:hAnsiTheme="majorHAnsi"/>
          <w:sz w:val="20"/>
          <w:szCs w:val="20"/>
          <w:bdr w:val="none" w:sz="0" w:space="0" w:color="auto"/>
          <w:lang w:val="pt-BR"/>
        </w:rPr>
        <w:t>ediram</w:t>
      </w:r>
      <w:r w:rsidR="00217759" w:rsidRPr="006D1C74">
        <w:rPr>
          <w:rFonts w:asciiTheme="majorHAnsi" w:eastAsia="Batang" w:hAnsiTheme="majorHAnsi"/>
          <w:sz w:val="20"/>
          <w:szCs w:val="20"/>
          <w:bdr w:val="none" w:sz="0" w:space="0" w:color="auto"/>
          <w:lang w:val="pt-BR"/>
        </w:rPr>
        <w:t xml:space="preserve"> ao </w:t>
      </w:r>
      <w:r w:rsidRPr="006D1C74">
        <w:rPr>
          <w:rFonts w:asciiTheme="majorHAnsi" w:eastAsia="Batang" w:hAnsiTheme="majorHAnsi"/>
          <w:sz w:val="20"/>
          <w:szCs w:val="20"/>
          <w:bdr w:val="none" w:sz="0" w:space="0" w:color="auto"/>
          <w:lang w:val="pt-BR"/>
        </w:rPr>
        <w:t>chefe</w:t>
      </w:r>
      <w:r w:rsidR="002649F0" w:rsidRPr="006D1C74">
        <w:rPr>
          <w:rFonts w:asciiTheme="majorHAnsi" w:eastAsia="Batang" w:hAnsiTheme="majorHAnsi"/>
          <w:sz w:val="20"/>
          <w:szCs w:val="20"/>
          <w:bdr w:val="none" w:sz="0" w:space="0" w:color="auto"/>
          <w:lang w:val="pt-BR"/>
        </w:rPr>
        <w:t xml:space="preserve"> de </w:t>
      </w:r>
      <w:r w:rsidR="00F37852" w:rsidRPr="006D1C74">
        <w:rPr>
          <w:rFonts w:asciiTheme="majorHAnsi" w:eastAsia="Batang" w:hAnsiTheme="majorHAnsi"/>
          <w:sz w:val="20"/>
          <w:szCs w:val="20"/>
          <w:bdr w:val="none" w:sz="0" w:space="0" w:color="auto"/>
          <w:lang w:val="pt-BR"/>
        </w:rPr>
        <w:t>polícia</w:t>
      </w:r>
      <w:r w:rsidR="00795010" w:rsidRPr="006D1C74">
        <w:rPr>
          <w:rFonts w:asciiTheme="majorHAnsi" w:eastAsia="Batang" w:hAnsiTheme="majorHAnsi"/>
          <w:sz w:val="20"/>
          <w:szCs w:val="20"/>
          <w:bdr w:val="none" w:sz="0" w:space="0" w:color="auto"/>
          <w:lang w:val="pt-BR"/>
        </w:rPr>
        <w:t xml:space="preserve"> da </w:t>
      </w:r>
      <w:r w:rsidRPr="006D1C74">
        <w:rPr>
          <w:rFonts w:asciiTheme="majorHAnsi" w:eastAsia="Batang" w:hAnsiTheme="majorHAnsi"/>
          <w:sz w:val="20"/>
          <w:szCs w:val="20"/>
          <w:bdr w:val="none" w:sz="0" w:space="0" w:color="auto"/>
          <w:lang w:val="pt-BR"/>
        </w:rPr>
        <w:t>Delegac</w:t>
      </w:r>
      <w:r w:rsidR="00055622" w:rsidRPr="006D1C74">
        <w:rPr>
          <w:rFonts w:asciiTheme="majorHAnsi" w:eastAsia="Batang" w:hAnsiTheme="majorHAnsi"/>
          <w:sz w:val="20"/>
          <w:szCs w:val="20"/>
          <w:bdr w:val="none" w:sz="0" w:space="0" w:color="auto"/>
          <w:lang w:val="pt-BR"/>
        </w:rPr>
        <w:t>ia</w:t>
      </w:r>
      <w:r w:rsidR="002649F0" w:rsidRPr="006D1C74">
        <w:rPr>
          <w:rFonts w:asciiTheme="majorHAnsi" w:eastAsia="Batang" w:hAnsiTheme="majorHAnsi"/>
          <w:sz w:val="20"/>
          <w:szCs w:val="20"/>
          <w:bdr w:val="none" w:sz="0" w:space="0" w:color="auto"/>
          <w:lang w:val="pt-BR"/>
        </w:rPr>
        <w:t xml:space="preserve"> de Campo Largo/PR que inicia</w:t>
      </w:r>
      <w:r w:rsidRPr="006D1C74">
        <w:rPr>
          <w:rFonts w:asciiTheme="majorHAnsi" w:eastAsia="Batang" w:hAnsiTheme="majorHAnsi"/>
          <w:sz w:val="20"/>
          <w:szCs w:val="20"/>
          <w:bdr w:val="none" w:sz="0" w:space="0" w:color="auto"/>
          <w:lang w:val="pt-BR"/>
        </w:rPr>
        <w:t>sse</w:t>
      </w:r>
      <w:r w:rsidR="00030019" w:rsidRPr="006D1C74">
        <w:rPr>
          <w:rFonts w:asciiTheme="majorHAnsi" w:eastAsia="Batang" w:hAnsiTheme="majorHAnsi"/>
          <w:sz w:val="20"/>
          <w:szCs w:val="20"/>
          <w:bdr w:val="none" w:sz="0" w:space="0" w:color="auto"/>
          <w:lang w:val="pt-BR"/>
        </w:rPr>
        <w:t xml:space="preserve"> uma </w:t>
      </w:r>
      <w:r w:rsidR="002649F0" w:rsidRPr="006D1C74">
        <w:rPr>
          <w:rFonts w:asciiTheme="majorHAnsi" w:eastAsia="Batang" w:hAnsiTheme="majorHAnsi"/>
          <w:sz w:val="20"/>
          <w:szCs w:val="20"/>
          <w:bdr w:val="none" w:sz="0" w:space="0" w:color="auto"/>
          <w:lang w:val="pt-BR"/>
        </w:rPr>
        <w:t>investiga</w:t>
      </w:r>
      <w:r w:rsidR="00CF037E" w:rsidRPr="006D1C74">
        <w:rPr>
          <w:rFonts w:asciiTheme="majorHAnsi" w:eastAsia="Batang" w:hAnsiTheme="majorHAnsi"/>
          <w:sz w:val="20"/>
          <w:szCs w:val="20"/>
          <w:bdr w:val="none" w:sz="0" w:space="0" w:color="auto"/>
          <w:lang w:val="pt-BR"/>
        </w:rPr>
        <w:t>ção</w:t>
      </w:r>
      <w:r w:rsidR="002649F0" w:rsidRPr="006D1C74">
        <w:rPr>
          <w:rFonts w:asciiTheme="majorHAnsi" w:eastAsia="Batang" w:hAnsiTheme="majorHAnsi"/>
          <w:sz w:val="20"/>
          <w:szCs w:val="20"/>
          <w:bdr w:val="none" w:sz="0" w:space="0" w:color="auto"/>
          <w:lang w:val="pt-BR"/>
        </w:rPr>
        <w:t xml:space="preserve"> policial</w:t>
      </w:r>
      <w:r w:rsidR="00F37852" w:rsidRPr="006D1C74">
        <w:rPr>
          <w:rFonts w:asciiTheme="majorHAnsi" w:eastAsia="Batang" w:hAnsiTheme="majorHAnsi"/>
          <w:sz w:val="20"/>
          <w:szCs w:val="20"/>
          <w:bdr w:val="none" w:sz="0" w:space="0" w:color="auto"/>
          <w:lang w:val="pt-BR"/>
        </w:rPr>
        <w:t xml:space="preserve"> pelas </w:t>
      </w:r>
      <w:r w:rsidR="002649F0" w:rsidRPr="006D1C74">
        <w:rPr>
          <w:rFonts w:asciiTheme="majorHAnsi" w:eastAsia="Batang" w:hAnsiTheme="majorHAnsi"/>
          <w:sz w:val="20"/>
          <w:szCs w:val="20"/>
          <w:bdr w:val="none" w:sz="0" w:space="0" w:color="auto"/>
          <w:lang w:val="pt-BR"/>
        </w:rPr>
        <w:t>agres</w:t>
      </w:r>
      <w:r w:rsidRPr="006D1C74">
        <w:rPr>
          <w:rFonts w:asciiTheme="majorHAnsi" w:eastAsia="Batang" w:hAnsiTheme="majorHAnsi"/>
          <w:sz w:val="20"/>
          <w:szCs w:val="20"/>
          <w:bdr w:val="none" w:sz="0" w:space="0" w:color="auto"/>
          <w:lang w:val="pt-BR"/>
        </w:rPr>
        <w:t>sõ</w:t>
      </w:r>
      <w:r w:rsidR="002649F0" w:rsidRPr="006D1C74">
        <w:rPr>
          <w:rFonts w:asciiTheme="majorHAnsi" w:eastAsia="Batang" w:hAnsiTheme="majorHAnsi"/>
          <w:sz w:val="20"/>
          <w:szCs w:val="20"/>
          <w:bdr w:val="none" w:sz="0" w:space="0" w:color="auto"/>
          <w:lang w:val="pt-BR"/>
        </w:rPr>
        <w:t>es</w:t>
      </w:r>
      <w:r w:rsidR="00D74A93" w:rsidRPr="006D1C74">
        <w:rPr>
          <w:rFonts w:asciiTheme="majorHAnsi" w:eastAsia="Batang" w:hAnsiTheme="majorHAnsi"/>
          <w:sz w:val="20"/>
          <w:szCs w:val="20"/>
          <w:bdr w:val="none" w:sz="0" w:space="0" w:color="auto"/>
          <w:lang w:val="pt-BR"/>
        </w:rPr>
        <w:t xml:space="preserve"> d</w:t>
      </w:r>
      <w:r w:rsidRPr="006D1C74">
        <w:rPr>
          <w:rFonts w:asciiTheme="majorHAnsi" w:eastAsia="Batang" w:hAnsiTheme="majorHAnsi"/>
          <w:sz w:val="20"/>
          <w:szCs w:val="20"/>
          <w:bdr w:val="none" w:sz="0" w:space="0" w:color="auto"/>
          <w:lang w:val="pt-BR"/>
        </w:rPr>
        <w:t>e</w:t>
      </w:r>
      <w:r w:rsidR="00D74A93" w:rsidRPr="006D1C74">
        <w:rPr>
          <w:rFonts w:asciiTheme="majorHAnsi" w:eastAsia="Batang" w:hAnsiTheme="majorHAnsi"/>
          <w:sz w:val="20"/>
          <w:szCs w:val="20"/>
          <w:bdr w:val="none" w:sz="0" w:space="0" w:color="auto"/>
          <w:lang w:val="pt-BR"/>
        </w:rPr>
        <w:t xml:space="preserve"> </w:t>
      </w:r>
      <w:r w:rsidR="002649F0" w:rsidRPr="006D1C74">
        <w:rPr>
          <w:rFonts w:asciiTheme="majorHAnsi" w:eastAsia="Batang" w:hAnsiTheme="majorHAnsi"/>
          <w:sz w:val="20"/>
          <w:szCs w:val="20"/>
          <w:bdr w:val="none" w:sz="0" w:space="0" w:color="auto"/>
          <w:lang w:val="pt-BR"/>
        </w:rPr>
        <w:t>que ha</w:t>
      </w:r>
      <w:r w:rsidRPr="006D1C74">
        <w:rPr>
          <w:rFonts w:asciiTheme="majorHAnsi" w:eastAsia="Batang" w:hAnsiTheme="majorHAnsi"/>
          <w:sz w:val="20"/>
          <w:szCs w:val="20"/>
          <w:bdr w:val="none" w:sz="0" w:space="0" w:color="auto"/>
          <w:lang w:val="pt-BR"/>
        </w:rPr>
        <w:t>viam</w:t>
      </w:r>
      <w:r w:rsidR="002649F0" w:rsidRPr="006D1C74">
        <w:rPr>
          <w:rFonts w:asciiTheme="majorHAnsi" w:eastAsia="Batang" w:hAnsiTheme="majorHAnsi"/>
          <w:sz w:val="20"/>
          <w:szCs w:val="20"/>
          <w:bdr w:val="none" w:sz="0" w:space="0" w:color="auto"/>
          <w:lang w:val="pt-BR"/>
        </w:rPr>
        <w:t xml:space="preserve"> sido </w:t>
      </w:r>
      <w:r w:rsidR="00795010" w:rsidRPr="006D1C74">
        <w:rPr>
          <w:rFonts w:asciiTheme="majorHAnsi" w:eastAsia="Batang" w:hAnsiTheme="majorHAnsi"/>
          <w:sz w:val="20"/>
          <w:szCs w:val="20"/>
          <w:bdr w:val="none" w:sz="0" w:space="0" w:color="auto"/>
          <w:lang w:val="pt-BR"/>
        </w:rPr>
        <w:t>vítima</w:t>
      </w:r>
      <w:r w:rsidR="002649F0" w:rsidRPr="006D1C74">
        <w:rPr>
          <w:rFonts w:asciiTheme="majorHAnsi" w:eastAsia="Batang" w:hAnsiTheme="majorHAnsi"/>
          <w:sz w:val="20"/>
          <w:szCs w:val="20"/>
          <w:bdr w:val="none" w:sz="0" w:space="0" w:color="auto"/>
          <w:lang w:val="pt-BR"/>
        </w:rPr>
        <w:t>s</w:t>
      </w:r>
      <w:r w:rsidR="002649F0" w:rsidRPr="006D1C74">
        <w:rPr>
          <w:rFonts w:asciiTheme="majorHAnsi" w:eastAsia="Batang" w:hAnsiTheme="majorHAnsi"/>
          <w:sz w:val="20"/>
          <w:szCs w:val="20"/>
          <w:bdr w:val="none" w:sz="0" w:space="0" w:color="auto"/>
          <w:vertAlign w:val="superscript"/>
          <w:lang w:val="pt-BR"/>
        </w:rPr>
        <w:footnoteReference w:id="28"/>
      </w:r>
      <w:r w:rsidR="002649F0" w:rsidRPr="006D1C74">
        <w:rPr>
          <w:rFonts w:asciiTheme="majorHAnsi" w:eastAsia="Batang" w:hAnsiTheme="majorHAnsi"/>
          <w:sz w:val="20"/>
          <w:szCs w:val="20"/>
          <w:bdr w:val="none" w:sz="0" w:space="0" w:color="auto"/>
          <w:lang w:val="pt-BR"/>
        </w:rPr>
        <w:t xml:space="preserve">. </w:t>
      </w:r>
      <w:r w:rsidR="00B65A5D" w:rsidRPr="006D1C74">
        <w:rPr>
          <w:rFonts w:asciiTheme="majorHAnsi" w:eastAsia="Batang" w:hAnsiTheme="majorHAnsi"/>
          <w:sz w:val="20"/>
          <w:szCs w:val="20"/>
          <w:bdr w:val="none" w:sz="0" w:space="0" w:color="auto"/>
          <w:lang w:val="pt-BR"/>
        </w:rPr>
        <w:t>Em</w:t>
      </w:r>
      <w:r w:rsidR="002649F0" w:rsidRPr="006D1C74">
        <w:rPr>
          <w:rFonts w:asciiTheme="majorHAnsi" w:eastAsia="Batang" w:hAnsiTheme="majorHAnsi"/>
          <w:sz w:val="20"/>
          <w:szCs w:val="20"/>
          <w:bdr w:val="none" w:sz="0" w:space="0" w:color="auto"/>
          <w:lang w:val="pt-BR"/>
        </w:rPr>
        <w:t xml:space="preserve"> 8 de </w:t>
      </w:r>
      <w:r w:rsidR="00C6461F" w:rsidRPr="006D1C74">
        <w:rPr>
          <w:rFonts w:asciiTheme="majorHAnsi" w:eastAsia="Batang" w:hAnsiTheme="majorHAnsi"/>
          <w:sz w:val="20"/>
          <w:szCs w:val="20"/>
          <w:bdr w:val="none" w:sz="0" w:space="0" w:color="auto"/>
          <w:lang w:val="pt-BR"/>
        </w:rPr>
        <w:t>maio</w:t>
      </w:r>
      <w:r w:rsidR="00030019" w:rsidRPr="006D1C74">
        <w:rPr>
          <w:rFonts w:asciiTheme="majorHAnsi" w:eastAsia="Batang" w:hAnsiTheme="majorHAnsi"/>
          <w:sz w:val="20"/>
          <w:szCs w:val="20"/>
          <w:bdr w:val="none" w:sz="0" w:space="0" w:color="auto"/>
          <w:lang w:val="pt-BR"/>
        </w:rPr>
        <w:t xml:space="preserve"> do </w:t>
      </w:r>
      <w:r w:rsidR="002649F0" w:rsidRPr="006D1C74">
        <w:rPr>
          <w:rFonts w:asciiTheme="majorHAnsi" w:eastAsia="Batang" w:hAnsiTheme="majorHAnsi"/>
          <w:sz w:val="20"/>
          <w:szCs w:val="20"/>
          <w:bdr w:val="none" w:sz="0" w:space="0" w:color="auto"/>
          <w:lang w:val="pt-BR"/>
        </w:rPr>
        <w:t>m</w:t>
      </w:r>
      <w:r w:rsidRPr="006D1C74">
        <w:rPr>
          <w:rFonts w:asciiTheme="majorHAnsi" w:eastAsia="Batang" w:hAnsiTheme="majorHAnsi"/>
          <w:sz w:val="20"/>
          <w:szCs w:val="20"/>
          <w:bdr w:val="none" w:sz="0" w:space="0" w:color="auto"/>
          <w:lang w:val="pt-BR"/>
        </w:rPr>
        <w:t>e</w:t>
      </w:r>
      <w:r w:rsidR="002649F0" w:rsidRPr="006D1C74">
        <w:rPr>
          <w:rFonts w:asciiTheme="majorHAnsi" w:eastAsia="Batang" w:hAnsiTheme="majorHAnsi"/>
          <w:sz w:val="20"/>
          <w:szCs w:val="20"/>
          <w:bdr w:val="none" w:sz="0" w:space="0" w:color="auto"/>
          <w:lang w:val="pt-BR"/>
        </w:rPr>
        <w:t>smo a</w:t>
      </w:r>
      <w:r w:rsidRPr="006D1C74">
        <w:rPr>
          <w:rFonts w:asciiTheme="majorHAnsi" w:eastAsia="Batang" w:hAnsiTheme="majorHAnsi"/>
          <w:sz w:val="20"/>
          <w:szCs w:val="20"/>
          <w:bdr w:val="none" w:sz="0" w:space="0" w:color="auto"/>
          <w:lang w:val="pt-BR"/>
        </w:rPr>
        <w:t>n</w:t>
      </w:r>
      <w:r w:rsidR="002649F0" w:rsidRPr="006D1C74">
        <w:rPr>
          <w:rFonts w:asciiTheme="majorHAnsi" w:eastAsia="Batang" w:hAnsiTheme="majorHAnsi"/>
          <w:sz w:val="20"/>
          <w:szCs w:val="20"/>
          <w:bdr w:val="none" w:sz="0" w:space="0" w:color="auto"/>
          <w:lang w:val="pt-BR"/>
        </w:rPr>
        <w:t>o,</w:t>
      </w:r>
      <w:r w:rsidR="00700267" w:rsidRPr="006D1C74">
        <w:rPr>
          <w:rFonts w:asciiTheme="majorHAnsi" w:eastAsia="Batang" w:hAnsiTheme="majorHAnsi"/>
          <w:sz w:val="20"/>
          <w:szCs w:val="20"/>
          <w:bdr w:val="none" w:sz="0" w:space="0" w:color="auto"/>
          <w:lang w:val="pt-BR"/>
        </w:rPr>
        <w:t xml:space="preserve"> o </w:t>
      </w:r>
      <w:r w:rsidRPr="006D1C74">
        <w:rPr>
          <w:rFonts w:asciiTheme="majorHAnsi" w:eastAsia="Batang" w:hAnsiTheme="majorHAnsi"/>
          <w:sz w:val="20"/>
          <w:szCs w:val="20"/>
          <w:bdr w:val="none" w:sz="0" w:space="0" w:color="auto"/>
          <w:lang w:val="pt-BR"/>
        </w:rPr>
        <w:t>chefe</w:t>
      </w:r>
      <w:r w:rsidR="002649F0" w:rsidRPr="006D1C74">
        <w:rPr>
          <w:rFonts w:asciiTheme="majorHAnsi" w:eastAsia="Batang" w:hAnsiTheme="majorHAnsi"/>
          <w:sz w:val="20"/>
          <w:szCs w:val="20"/>
          <w:bdr w:val="none" w:sz="0" w:space="0" w:color="auto"/>
          <w:lang w:val="pt-BR"/>
        </w:rPr>
        <w:t xml:space="preserve"> de </w:t>
      </w:r>
      <w:r w:rsidR="00F37852" w:rsidRPr="006D1C74">
        <w:rPr>
          <w:rFonts w:asciiTheme="majorHAnsi" w:eastAsia="Batang" w:hAnsiTheme="majorHAnsi"/>
          <w:sz w:val="20"/>
          <w:szCs w:val="20"/>
          <w:bdr w:val="none" w:sz="0" w:space="0" w:color="auto"/>
          <w:lang w:val="pt-BR"/>
        </w:rPr>
        <w:t>polícia</w:t>
      </w:r>
      <w:r w:rsidR="00795010" w:rsidRPr="006D1C74">
        <w:rPr>
          <w:rFonts w:asciiTheme="majorHAnsi" w:eastAsia="Batang" w:hAnsiTheme="majorHAnsi"/>
          <w:sz w:val="20"/>
          <w:szCs w:val="20"/>
          <w:bdr w:val="none" w:sz="0" w:space="0" w:color="auto"/>
          <w:lang w:val="pt-BR"/>
        </w:rPr>
        <w:t xml:space="preserve"> da </w:t>
      </w:r>
      <w:r w:rsidRPr="006D1C74">
        <w:rPr>
          <w:rFonts w:asciiTheme="majorHAnsi" w:eastAsia="Batang" w:hAnsiTheme="majorHAnsi"/>
          <w:sz w:val="20"/>
          <w:szCs w:val="20"/>
          <w:bdr w:val="none" w:sz="0" w:space="0" w:color="auto"/>
          <w:lang w:val="pt-BR"/>
        </w:rPr>
        <w:t>Delegac</w:t>
      </w:r>
      <w:r w:rsidR="00055622" w:rsidRPr="006D1C74">
        <w:rPr>
          <w:rFonts w:asciiTheme="majorHAnsi" w:eastAsia="Batang" w:hAnsiTheme="majorHAnsi"/>
          <w:sz w:val="20"/>
          <w:szCs w:val="20"/>
          <w:bdr w:val="none" w:sz="0" w:space="0" w:color="auto"/>
          <w:lang w:val="pt-BR"/>
        </w:rPr>
        <w:t>ia</w:t>
      </w:r>
      <w:r w:rsidR="002649F0" w:rsidRPr="006D1C74">
        <w:rPr>
          <w:rFonts w:asciiTheme="majorHAnsi" w:eastAsia="Batang" w:hAnsiTheme="majorHAnsi"/>
          <w:sz w:val="20"/>
          <w:szCs w:val="20"/>
          <w:bdr w:val="none" w:sz="0" w:space="0" w:color="auto"/>
          <w:lang w:val="pt-BR"/>
        </w:rPr>
        <w:t xml:space="preserve"> de Campo Largo/PR envi</w:t>
      </w:r>
      <w:r w:rsidRPr="006D1C74">
        <w:rPr>
          <w:rFonts w:asciiTheme="majorHAnsi" w:eastAsia="Batang" w:hAnsiTheme="majorHAnsi"/>
          <w:sz w:val="20"/>
          <w:szCs w:val="20"/>
          <w:bdr w:val="none" w:sz="0" w:space="0" w:color="auto"/>
          <w:lang w:val="pt-BR"/>
        </w:rPr>
        <w:t>ou</w:t>
      </w:r>
      <w:r w:rsidR="00217759" w:rsidRPr="006D1C74">
        <w:rPr>
          <w:rFonts w:asciiTheme="majorHAnsi" w:eastAsia="Batang" w:hAnsiTheme="majorHAnsi"/>
          <w:sz w:val="20"/>
          <w:szCs w:val="20"/>
          <w:bdr w:val="none" w:sz="0" w:space="0" w:color="auto"/>
          <w:lang w:val="pt-BR"/>
        </w:rPr>
        <w:t xml:space="preserve"> ao </w:t>
      </w:r>
      <w:r w:rsidR="002649F0" w:rsidRPr="006D1C74">
        <w:rPr>
          <w:rFonts w:asciiTheme="majorHAnsi" w:eastAsia="Batang" w:hAnsiTheme="majorHAnsi"/>
          <w:sz w:val="20"/>
          <w:szCs w:val="20"/>
          <w:bdr w:val="none" w:sz="0" w:space="0" w:color="auto"/>
          <w:lang w:val="pt-BR"/>
        </w:rPr>
        <w:t>Instituto Médico Legal</w:t>
      </w:r>
      <w:r w:rsidR="00700267" w:rsidRPr="006D1C74">
        <w:rPr>
          <w:rFonts w:asciiTheme="majorHAnsi" w:eastAsia="Batang" w:hAnsiTheme="majorHAnsi"/>
          <w:sz w:val="20"/>
          <w:szCs w:val="20"/>
          <w:bdr w:val="none" w:sz="0" w:space="0" w:color="auto"/>
          <w:lang w:val="pt-BR"/>
        </w:rPr>
        <w:t xml:space="preserve"> a </w:t>
      </w:r>
      <w:r w:rsidR="002649F0" w:rsidRPr="006D1C74">
        <w:rPr>
          <w:rFonts w:asciiTheme="majorHAnsi" w:eastAsia="Batang" w:hAnsiTheme="majorHAnsi"/>
          <w:sz w:val="20"/>
          <w:szCs w:val="20"/>
          <w:bdr w:val="none" w:sz="0" w:space="0" w:color="auto"/>
          <w:lang w:val="pt-BR"/>
        </w:rPr>
        <w:t xml:space="preserve">lista de </w:t>
      </w:r>
      <w:r w:rsidR="00CA7940" w:rsidRPr="006D1C74">
        <w:rPr>
          <w:rFonts w:asciiTheme="majorHAnsi" w:eastAsia="Batang" w:hAnsiTheme="majorHAnsi"/>
          <w:sz w:val="20"/>
          <w:szCs w:val="20"/>
          <w:bdr w:val="none" w:sz="0" w:space="0" w:color="auto"/>
          <w:lang w:val="pt-BR"/>
        </w:rPr>
        <w:t>pessoa</w:t>
      </w:r>
      <w:r w:rsidR="002649F0" w:rsidRPr="006D1C74">
        <w:rPr>
          <w:rFonts w:asciiTheme="majorHAnsi" w:eastAsia="Batang" w:hAnsiTheme="majorHAnsi"/>
          <w:sz w:val="20"/>
          <w:szCs w:val="20"/>
          <w:bdr w:val="none" w:sz="0" w:space="0" w:color="auto"/>
          <w:lang w:val="pt-BR"/>
        </w:rPr>
        <w:t xml:space="preserve">s </w:t>
      </w:r>
      <w:r w:rsidRPr="006D1C74">
        <w:rPr>
          <w:rFonts w:asciiTheme="majorHAnsi" w:eastAsia="Batang" w:hAnsiTheme="majorHAnsi"/>
          <w:sz w:val="20"/>
          <w:szCs w:val="20"/>
          <w:bdr w:val="none" w:sz="0" w:space="0" w:color="auto"/>
          <w:lang w:val="pt-BR"/>
        </w:rPr>
        <w:t>e</w:t>
      </w:r>
      <w:r w:rsidR="002649F0" w:rsidRPr="006D1C74">
        <w:rPr>
          <w:rFonts w:asciiTheme="majorHAnsi" w:eastAsia="Batang" w:hAnsiTheme="majorHAnsi"/>
          <w:sz w:val="20"/>
          <w:szCs w:val="20"/>
          <w:bdr w:val="none" w:sz="0" w:space="0" w:color="auto"/>
          <w:lang w:val="pt-BR"/>
        </w:rPr>
        <w:t>nvol</w:t>
      </w:r>
      <w:r w:rsidRPr="006D1C74">
        <w:rPr>
          <w:rFonts w:asciiTheme="majorHAnsi" w:eastAsia="Batang" w:hAnsiTheme="majorHAnsi"/>
          <w:sz w:val="20"/>
          <w:szCs w:val="20"/>
          <w:bdr w:val="none" w:sz="0" w:space="0" w:color="auto"/>
          <w:lang w:val="pt-BR"/>
        </w:rPr>
        <w:t>vi</w:t>
      </w:r>
      <w:r w:rsidR="002649F0" w:rsidRPr="006D1C74">
        <w:rPr>
          <w:rFonts w:asciiTheme="majorHAnsi" w:eastAsia="Batang" w:hAnsiTheme="majorHAnsi"/>
          <w:sz w:val="20"/>
          <w:szCs w:val="20"/>
          <w:bdr w:val="none" w:sz="0" w:space="0" w:color="auto"/>
          <w:lang w:val="pt-BR"/>
        </w:rPr>
        <w:t>das</w:t>
      </w:r>
      <w:r w:rsidR="00FC2F62" w:rsidRPr="006D1C74">
        <w:rPr>
          <w:rFonts w:asciiTheme="majorHAnsi" w:eastAsia="Batang" w:hAnsiTheme="majorHAnsi"/>
          <w:sz w:val="20"/>
          <w:szCs w:val="20"/>
          <w:bdr w:val="none" w:sz="0" w:space="0" w:color="auto"/>
          <w:lang w:val="pt-BR"/>
        </w:rPr>
        <w:t xml:space="preserve"> no </w:t>
      </w:r>
      <w:r w:rsidRPr="006D1C74">
        <w:rPr>
          <w:rFonts w:asciiTheme="majorHAnsi" w:eastAsia="Batang" w:hAnsiTheme="majorHAnsi"/>
          <w:sz w:val="20"/>
          <w:szCs w:val="20"/>
          <w:bdr w:val="none" w:sz="0" w:space="0" w:color="auto"/>
          <w:lang w:val="pt-BR"/>
        </w:rPr>
        <w:t>confronto</w:t>
      </w:r>
      <w:r w:rsidR="002649F0" w:rsidRPr="006D1C74">
        <w:rPr>
          <w:rFonts w:asciiTheme="majorHAnsi" w:eastAsia="Batang" w:hAnsiTheme="majorHAnsi"/>
          <w:sz w:val="20"/>
          <w:szCs w:val="20"/>
          <w:bdr w:val="none" w:sz="0" w:space="0" w:color="auto"/>
          <w:lang w:val="pt-BR"/>
        </w:rPr>
        <w:t xml:space="preserve"> para que se </w:t>
      </w:r>
      <w:r w:rsidRPr="006D1C74">
        <w:rPr>
          <w:rFonts w:asciiTheme="majorHAnsi" w:eastAsia="Batang" w:hAnsiTheme="majorHAnsi"/>
          <w:sz w:val="20"/>
          <w:szCs w:val="20"/>
          <w:bdr w:val="none" w:sz="0" w:space="0" w:color="auto"/>
          <w:lang w:val="pt-BR"/>
        </w:rPr>
        <w:t>fizesse</w:t>
      </w:r>
      <w:r w:rsidR="00030019" w:rsidRPr="006D1C74">
        <w:rPr>
          <w:rFonts w:asciiTheme="majorHAnsi" w:eastAsia="Batang" w:hAnsiTheme="majorHAnsi"/>
          <w:sz w:val="20"/>
          <w:szCs w:val="20"/>
          <w:bdr w:val="none" w:sz="0" w:space="0" w:color="auto"/>
          <w:lang w:val="pt-BR"/>
        </w:rPr>
        <w:t xml:space="preserve"> um </w:t>
      </w:r>
      <w:r w:rsidR="002649F0" w:rsidRPr="006D1C74">
        <w:rPr>
          <w:rFonts w:asciiTheme="majorHAnsi" w:eastAsia="Batang" w:hAnsiTheme="majorHAnsi"/>
          <w:sz w:val="20"/>
          <w:szCs w:val="20"/>
          <w:bdr w:val="none" w:sz="0" w:space="0" w:color="auto"/>
          <w:lang w:val="pt-BR"/>
        </w:rPr>
        <w:t>exame</w:t>
      </w:r>
      <w:r w:rsidR="00D74A93" w:rsidRPr="006D1C74">
        <w:rPr>
          <w:rFonts w:asciiTheme="majorHAnsi" w:eastAsia="Batang" w:hAnsiTheme="majorHAnsi"/>
          <w:sz w:val="20"/>
          <w:szCs w:val="20"/>
          <w:bdr w:val="none" w:sz="0" w:space="0" w:color="auto"/>
          <w:lang w:val="pt-BR"/>
        </w:rPr>
        <w:t xml:space="preserve"> das lesões</w:t>
      </w:r>
      <w:r w:rsidR="002649F0" w:rsidRPr="006D1C74">
        <w:rPr>
          <w:rFonts w:asciiTheme="majorHAnsi" w:eastAsia="Batang" w:hAnsiTheme="majorHAnsi"/>
          <w:sz w:val="20"/>
          <w:szCs w:val="20"/>
          <w:bdr w:val="none" w:sz="0" w:space="0" w:color="auto"/>
          <w:lang w:val="pt-BR"/>
        </w:rPr>
        <w:t xml:space="preserve"> corpor</w:t>
      </w:r>
      <w:r w:rsidR="00700267" w:rsidRPr="006D1C74">
        <w:rPr>
          <w:rFonts w:asciiTheme="majorHAnsi" w:eastAsia="Batang" w:hAnsiTheme="majorHAnsi"/>
          <w:sz w:val="20"/>
          <w:szCs w:val="20"/>
          <w:bdr w:val="none" w:sz="0" w:space="0" w:color="auto"/>
          <w:lang w:val="pt-BR"/>
        </w:rPr>
        <w:t>ais</w:t>
      </w:r>
      <w:r w:rsidR="002649F0" w:rsidRPr="006D1C74">
        <w:rPr>
          <w:rFonts w:asciiTheme="majorHAnsi" w:eastAsia="Batang" w:hAnsiTheme="majorHAnsi"/>
          <w:sz w:val="20"/>
          <w:szCs w:val="20"/>
          <w:bdr w:val="none" w:sz="0" w:space="0" w:color="auto"/>
          <w:vertAlign w:val="superscript"/>
          <w:lang w:val="pt-BR"/>
        </w:rPr>
        <w:footnoteReference w:id="29"/>
      </w:r>
      <w:r w:rsidR="00273663" w:rsidRPr="006D1C74">
        <w:rPr>
          <w:rFonts w:asciiTheme="majorHAnsi" w:eastAsia="Batang" w:hAnsiTheme="majorHAnsi"/>
          <w:sz w:val="20"/>
          <w:szCs w:val="20"/>
          <w:bdr w:val="none" w:sz="0" w:space="0" w:color="auto"/>
          <w:lang w:val="pt-BR"/>
        </w:rPr>
        <w:t xml:space="preserve">. </w:t>
      </w:r>
      <w:r w:rsidR="00B42161" w:rsidRPr="006D1C74">
        <w:rPr>
          <w:rFonts w:asciiTheme="majorHAnsi" w:eastAsia="Batang" w:hAnsiTheme="majorHAnsi"/>
          <w:sz w:val="20"/>
          <w:szCs w:val="20"/>
          <w:bdr w:val="none" w:sz="0" w:space="0" w:color="auto"/>
          <w:lang w:val="pt-BR"/>
        </w:rPr>
        <w:t>A</w:t>
      </w:r>
      <w:r w:rsidR="002649F0" w:rsidRPr="006D1C74">
        <w:rPr>
          <w:rFonts w:asciiTheme="majorHAnsi" w:eastAsia="Batang" w:hAnsiTheme="majorHAnsi"/>
          <w:sz w:val="20"/>
          <w:szCs w:val="20"/>
          <w:bdr w:val="none" w:sz="0" w:space="0" w:color="auto"/>
          <w:lang w:val="pt-BR"/>
        </w:rPr>
        <w:t xml:space="preserve"> CIDH</w:t>
      </w:r>
      <w:r w:rsidR="00F673C7" w:rsidRPr="006D1C74">
        <w:rPr>
          <w:rFonts w:asciiTheme="majorHAnsi" w:eastAsia="Batang" w:hAnsiTheme="majorHAnsi"/>
          <w:sz w:val="20"/>
          <w:szCs w:val="20"/>
          <w:bdr w:val="none" w:sz="0" w:space="0" w:color="auto"/>
          <w:lang w:val="pt-BR"/>
        </w:rPr>
        <w:t xml:space="preserve"> não </w:t>
      </w:r>
      <w:r w:rsidR="002649F0" w:rsidRPr="006D1C74">
        <w:rPr>
          <w:rFonts w:asciiTheme="majorHAnsi" w:eastAsia="Batang" w:hAnsiTheme="majorHAnsi"/>
          <w:sz w:val="20"/>
          <w:szCs w:val="20"/>
          <w:bdr w:val="none" w:sz="0" w:space="0" w:color="auto"/>
          <w:lang w:val="pt-BR"/>
        </w:rPr>
        <w:t>t</w:t>
      </w:r>
      <w:r w:rsidRPr="006D1C74">
        <w:rPr>
          <w:rFonts w:asciiTheme="majorHAnsi" w:eastAsia="Batang" w:hAnsiTheme="majorHAnsi"/>
          <w:sz w:val="20"/>
          <w:szCs w:val="20"/>
          <w:bdr w:val="none" w:sz="0" w:space="0" w:color="auto"/>
          <w:lang w:val="pt-BR"/>
        </w:rPr>
        <w:t>em</w:t>
      </w:r>
      <w:r w:rsidR="002649F0" w:rsidRPr="006D1C74">
        <w:rPr>
          <w:rFonts w:asciiTheme="majorHAnsi" w:eastAsia="Batang" w:hAnsiTheme="majorHAnsi"/>
          <w:sz w:val="20"/>
          <w:szCs w:val="20"/>
          <w:bdr w:val="none" w:sz="0" w:space="0" w:color="auto"/>
          <w:lang w:val="pt-BR"/>
        </w:rPr>
        <w:t xml:space="preserve"> con</w:t>
      </w:r>
      <w:r w:rsidRPr="006D1C74">
        <w:rPr>
          <w:rFonts w:asciiTheme="majorHAnsi" w:eastAsia="Batang" w:hAnsiTheme="majorHAnsi"/>
          <w:sz w:val="20"/>
          <w:szCs w:val="20"/>
          <w:bdr w:val="none" w:sz="0" w:space="0" w:color="auto"/>
          <w:lang w:val="pt-BR"/>
        </w:rPr>
        <w:t>he</w:t>
      </w:r>
      <w:r w:rsidR="002649F0" w:rsidRPr="006D1C74">
        <w:rPr>
          <w:rFonts w:asciiTheme="majorHAnsi" w:eastAsia="Batang" w:hAnsiTheme="majorHAnsi"/>
          <w:sz w:val="20"/>
          <w:szCs w:val="20"/>
          <w:bdr w:val="none" w:sz="0" w:space="0" w:color="auto"/>
          <w:lang w:val="pt-BR"/>
        </w:rPr>
        <w:t>ci</w:t>
      </w:r>
      <w:r w:rsidR="00700267" w:rsidRPr="006D1C74">
        <w:rPr>
          <w:rFonts w:asciiTheme="majorHAnsi" w:eastAsia="Batang" w:hAnsiTheme="majorHAnsi"/>
          <w:sz w:val="20"/>
          <w:szCs w:val="20"/>
          <w:bdr w:val="none" w:sz="0" w:space="0" w:color="auto"/>
          <w:lang w:val="pt-BR"/>
        </w:rPr>
        <w:t>mento</w:t>
      </w:r>
      <w:r w:rsidR="00030019" w:rsidRPr="006D1C74">
        <w:rPr>
          <w:rFonts w:asciiTheme="majorHAnsi" w:eastAsia="Batang" w:hAnsiTheme="majorHAnsi"/>
          <w:sz w:val="20"/>
          <w:szCs w:val="20"/>
          <w:bdr w:val="none" w:sz="0" w:space="0" w:color="auto"/>
          <w:lang w:val="pt-BR"/>
        </w:rPr>
        <w:t xml:space="preserve"> do </w:t>
      </w:r>
      <w:r w:rsidR="002649F0" w:rsidRPr="006D1C74">
        <w:rPr>
          <w:rFonts w:asciiTheme="majorHAnsi" w:eastAsia="Batang" w:hAnsiTheme="majorHAnsi"/>
          <w:sz w:val="20"/>
          <w:szCs w:val="20"/>
          <w:bdr w:val="none" w:sz="0" w:space="0" w:color="auto"/>
          <w:lang w:val="pt-BR"/>
        </w:rPr>
        <w:t>resultado</w:t>
      </w:r>
      <w:r w:rsidR="00700267" w:rsidRPr="006D1C74">
        <w:rPr>
          <w:rFonts w:asciiTheme="majorHAnsi" w:eastAsia="Batang" w:hAnsiTheme="majorHAnsi"/>
          <w:sz w:val="20"/>
          <w:szCs w:val="20"/>
          <w:bdr w:val="none" w:sz="0" w:space="0" w:color="auto"/>
          <w:lang w:val="pt-BR"/>
        </w:rPr>
        <w:t xml:space="preserve"> dos </w:t>
      </w:r>
      <w:r w:rsidR="002649F0" w:rsidRPr="006D1C74">
        <w:rPr>
          <w:rFonts w:asciiTheme="majorHAnsi" w:eastAsia="Batang" w:hAnsiTheme="majorHAnsi"/>
          <w:sz w:val="20"/>
          <w:szCs w:val="20"/>
          <w:bdr w:val="none" w:sz="0" w:space="0" w:color="auto"/>
          <w:lang w:val="pt-BR"/>
        </w:rPr>
        <w:t>ex</w:t>
      </w:r>
      <w:r w:rsidRPr="006D1C74">
        <w:rPr>
          <w:rFonts w:asciiTheme="majorHAnsi" w:eastAsia="Batang" w:hAnsiTheme="majorHAnsi"/>
          <w:sz w:val="20"/>
          <w:szCs w:val="20"/>
          <w:bdr w:val="none" w:sz="0" w:space="0" w:color="auto"/>
          <w:lang w:val="pt-BR"/>
        </w:rPr>
        <w:t>a</w:t>
      </w:r>
      <w:r w:rsidR="002649F0" w:rsidRPr="006D1C74">
        <w:rPr>
          <w:rFonts w:asciiTheme="majorHAnsi" w:eastAsia="Batang" w:hAnsiTheme="majorHAnsi"/>
          <w:sz w:val="20"/>
          <w:szCs w:val="20"/>
          <w:bdr w:val="none" w:sz="0" w:space="0" w:color="auto"/>
          <w:lang w:val="pt-BR"/>
        </w:rPr>
        <w:t>mes n</w:t>
      </w:r>
      <w:r w:rsidRPr="006D1C74">
        <w:rPr>
          <w:rFonts w:asciiTheme="majorHAnsi" w:eastAsia="Batang" w:hAnsiTheme="majorHAnsi"/>
          <w:sz w:val="20"/>
          <w:szCs w:val="20"/>
          <w:bdr w:val="none" w:sz="0" w:space="0" w:color="auto"/>
          <w:lang w:val="pt-BR"/>
        </w:rPr>
        <w:t>em</w:t>
      </w:r>
      <w:r w:rsidR="00D74A93" w:rsidRPr="006D1C74">
        <w:rPr>
          <w:rFonts w:asciiTheme="majorHAnsi" w:eastAsia="Batang" w:hAnsiTheme="majorHAnsi"/>
          <w:sz w:val="20"/>
          <w:szCs w:val="20"/>
          <w:bdr w:val="none" w:sz="0" w:space="0" w:color="auto"/>
          <w:lang w:val="pt-BR"/>
        </w:rPr>
        <w:t xml:space="preserve"> das </w:t>
      </w:r>
      <w:r w:rsidR="002649F0" w:rsidRPr="006D1C74">
        <w:rPr>
          <w:rFonts w:asciiTheme="majorHAnsi" w:eastAsia="Batang" w:hAnsiTheme="majorHAnsi"/>
          <w:sz w:val="20"/>
          <w:szCs w:val="20"/>
          <w:bdr w:val="none" w:sz="0" w:space="0" w:color="auto"/>
          <w:lang w:val="pt-BR"/>
        </w:rPr>
        <w:t>investiga</w:t>
      </w:r>
      <w:r w:rsidR="00CF037E" w:rsidRPr="006D1C74">
        <w:rPr>
          <w:rFonts w:asciiTheme="majorHAnsi" w:eastAsia="Batang" w:hAnsiTheme="majorHAnsi"/>
          <w:sz w:val="20"/>
          <w:szCs w:val="20"/>
          <w:bdr w:val="none" w:sz="0" w:space="0" w:color="auto"/>
          <w:lang w:val="pt-BR"/>
        </w:rPr>
        <w:t>ções</w:t>
      </w:r>
      <w:r w:rsidR="002649F0" w:rsidRPr="006D1C74">
        <w:rPr>
          <w:rFonts w:asciiTheme="majorHAnsi" w:eastAsia="Batang" w:hAnsiTheme="majorHAnsi"/>
          <w:sz w:val="20"/>
          <w:szCs w:val="20"/>
          <w:bdr w:val="none" w:sz="0" w:space="0" w:color="auto"/>
          <w:lang w:val="pt-BR"/>
        </w:rPr>
        <w:t xml:space="preserve"> efetuadas</w:t>
      </w:r>
      <w:r w:rsidR="00F673C7" w:rsidRPr="006D1C74">
        <w:rPr>
          <w:rFonts w:asciiTheme="majorHAnsi" w:eastAsia="Batang" w:hAnsiTheme="majorHAnsi"/>
          <w:sz w:val="20"/>
          <w:szCs w:val="20"/>
          <w:bdr w:val="none" w:sz="0" w:space="0" w:color="auto"/>
          <w:lang w:val="pt-BR"/>
        </w:rPr>
        <w:t xml:space="preserve"> </w:t>
      </w:r>
      <w:r w:rsidRPr="006D1C74">
        <w:rPr>
          <w:rFonts w:asciiTheme="majorHAnsi" w:eastAsia="Batang" w:hAnsiTheme="majorHAnsi"/>
          <w:sz w:val="20"/>
          <w:szCs w:val="20"/>
          <w:bdr w:val="none" w:sz="0" w:space="0" w:color="auto"/>
          <w:lang w:val="pt-BR"/>
        </w:rPr>
        <w:t xml:space="preserve">sobre </w:t>
      </w:r>
      <w:r w:rsidR="002649F0" w:rsidRPr="006D1C74">
        <w:rPr>
          <w:rFonts w:asciiTheme="majorHAnsi" w:eastAsia="Batang" w:hAnsiTheme="majorHAnsi"/>
          <w:sz w:val="20"/>
          <w:szCs w:val="20"/>
          <w:bdr w:val="none" w:sz="0" w:space="0" w:color="auto"/>
          <w:lang w:val="pt-BR"/>
        </w:rPr>
        <w:t>es</w:t>
      </w:r>
      <w:r w:rsidRPr="006D1C74">
        <w:rPr>
          <w:rFonts w:asciiTheme="majorHAnsi" w:eastAsia="Batang" w:hAnsiTheme="majorHAnsi"/>
          <w:sz w:val="20"/>
          <w:szCs w:val="20"/>
          <w:bdr w:val="none" w:sz="0" w:space="0" w:color="auto"/>
          <w:lang w:val="pt-BR"/>
        </w:rPr>
        <w:t>se</w:t>
      </w:r>
      <w:r w:rsidR="002649F0" w:rsidRPr="006D1C74">
        <w:rPr>
          <w:rFonts w:asciiTheme="majorHAnsi" w:eastAsia="Batang" w:hAnsiTheme="majorHAnsi"/>
          <w:sz w:val="20"/>
          <w:szCs w:val="20"/>
          <w:bdr w:val="none" w:sz="0" w:space="0" w:color="auto"/>
          <w:lang w:val="pt-BR"/>
        </w:rPr>
        <w:t xml:space="preserve">s </w:t>
      </w:r>
      <w:r w:rsidRPr="006D1C74">
        <w:rPr>
          <w:rFonts w:asciiTheme="majorHAnsi" w:eastAsia="Batang" w:hAnsiTheme="majorHAnsi"/>
          <w:sz w:val="20"/>
          <w:szCs w:val="20"/>
          <w:bdr w:val="none" w:sz="0" w:space="0" w:color="auto"/>
          <w:lang w:val="pt-BR"/>
        </w:rPr>
        <w:t>q</w:t>
      </w:r>
      <w:r w:rsidR="002649F0" w:rsidRPr="006D1C74">
        <w:rPr>
          <w:rFonts w:asciiTheme="majorHAnsi" w:eastAsia="Batang" w:hAnsiTheme="majorHAnsi"/>
          <w:sz w:val="20"/>
          <w:szCs w:val="20"/>
          <w:bdr w:val="none" w:sz="0" w:space="0" w:color="auto"/>
          <w:lang w:val="pt-BR"/>
        </w:rPr>
        <w:t xml:space="preserve">uatro </w:t>
      </w:r>
      <w:r w:rsidR="00700267" w:rsidRPr="006D1C74">
        <w:rPr>
          <w:rFonts w:asciiTheme="majorHAnsi" w:eastAsia="Batang" w:hAnsiTheme="majorHAnsi"/>
          <w:sz w:val="20"/>
          <w:szCs w:val="20"/>
          <w:bdr w:val="none" w:sz="0" w:space="0" w:color="auto"/>
          <w:lang w:val="pt-BR"/>
        </w:rPr>
        <w:t>trabalh</w:t>
      </w:r>
      <w:r w:rsidR="002649F0" w:rsidRPr="006D1C74">
        <w:rPr>
          <w:rFonts w:asciiTheme="majorHAnsi" w:eastAsia="Batang" w:hAnsiTheme="majorHAnsi"/>
          <w:sz w:val="20"/>
          <w:szCs w:val="20"/>
          <w:bdr w:val="none" w:sz="0" w:space="0" w:color="auto"/>
          <w:lang w:val="pt-BR"/>
        </w:rPr>
        <w:t xml:space="preserve">adores </w:t>
      </w:r>
      <w:r w:rsidRPr="006D1C74">
        <w:rPr>
          <w:rFonts w:asciiTheme="majorHAnsi" w:eastAsia="Batang" w:hAnsiTheme="majorHAnsi"/>
          <w:sz w:val="20"/>
          <w:szCs w:val="20"/>
          <w:bdr w:val="none" w:sz="0" w:space="0" w:color="auto"/>
          <w:lang w:val="pt-BR"/>
        </w:rPr>
        <w:t>e</w:t>
      </w:r>
      <w:r w:rsidR="00700267" w:rsidRPr="006D1C74">
        <w:rPr>
          <w:rFonts w:asciiTheme="majorHAnsi" w:eastAsia="Batang" w:hAnsiTheme="majorHAnsi"/>
          <w:sz w:val="20"/>
          <w:szCs w:val="20"/>
          <w:bdr w:val="none" w:sz="0" w:space="0" w:color="auto"/>
          <w:lang w:val="pt-BR"/>
        </w:rPr>
        <w:t xml:space="preserve"> os </w:t>
      </w:r>
      <w:r w:rsidRPr="006D1C74">
        <w:rPr>
          <w:rFonts w:asciiTheme="majorHAnsi" w:eastAsia="Batang" w:hAnsiTheme="majorHAnsi"/>
          <w:sz w:val="20"/>
          <w:szCs w:val="20"/>
          <w:bdr w:val="none" w:sz="0" w:space="0" w:color="auto"/>
          <w:lang w:val="pt-BR"/>
        </w:rPr>
        <w:t xml:space="preserve">outros </w:t>
      </w:r>
      <w:r w:rsidR="002649F0" w:rsidRPr="006D1C74">
        <w:rPr>
          <w:rFonts w:asciiTheme="majorHAnsi" w:eastAsia="Batang" w:hAnsiTheme="majorHAnsi"/>
          <w:sz w:val="20"/>
          <w:szCs w:val="20"/>
          <w:bdr w:val="none" w:sz="0" w:space="0" w:color="auto"/>
          <w:lang w:val="pt-BR"/>
        </w:rPr>
        <w:t>181 que</w:t>
      </w:r>
      <w:r w:rsidR="00700267" w:rsidRPr="006D1C74">
        <w:rPr>
          <w:rFonts w:asciiTheme="majorHAnsi" w:eastAsia="Batang" w:hAnsiTheme="majorHAnsi"/>
          <w:sz w:val="20"/>
          <w:szCs w:val="20"/>
          <w:bdr w:val="none" w:sz="0" w:space="0" w:color="auto"/>
          <w:lang w:val="pt-BR"/>
        </w:rPr>
        <w:t xml:space="preserve"> a </w:t>
      </w:r>
      <w:r w:rsidR="002649F0" w:rsidRPr="006D1C74">
        <w:rPr>
          <w:rFonts w:asciiTheme="majorHAnsi" w:eastAsia="Batang" w:hAnsiTheme="majorHAnsi"/>
          <w:sz w:val="20"/>
          <w:szCs w:val="20"/>
          <w:bdr w:val="none" w:sz="0" w:space="0" w:color="auto"/>
          <w:lang w:val="pt-BR"/>
        </w:rPr>
        <w:t xml:space="preserve">parte </w:t>
      </w:r>
      <w:r w:rsidR="00795010" w:rsidRPr="006D1C74">
        <w:rPr>
          <w:rFonts w:asciiTheme="majorHAnsi" w:eastAsia="Batang" w:hAnsiTheme="majorHAnsi"/>
          <w:sz w:val="20"/>
          <w:szCs w:val="20"/>
          <w:bdr w:val="none" w:sz="0" w:space="0" w:color="auto"/>
          <w:lang w:val="pt-BR"/>
        </w:rPr>
        <w:t>peticionária</w:t>
      </w:r>
      <w:r w:rsidR="002649F0" w:rsidRPr="006D1C74">
        <w:rPr>
          <w:rFonts w:asciiTheme="majorHAnsi" w:eastAsia="Batang" w:hAnsiTheme="majorHAnsi"/>
          <w:sz w:val="20"/>
          <w:szCs w:val="20"/>
          <w:bdr w:val="none" w:sz="0" w:space="0" w:color="auto"/>
          <w:lang w:val="pt-BR"/>
        </w:rPr>
        <w:t xml:space="preserve"> afirma que </w:t>
      </w:r>
      <w:r w:rsidRPr="006D1C74">
        <w:rPr>
          <w:rFonts w:asciiTheme="majorHAnsi" w:eastAsia="Batang" w:hAnsiTheme="majorHAnsi"/>
          <w:sz w:val="20"/>
          <w:szCs w:val="20"/>
          <w:bdr w:val="none" w:sz="0" w:space="0" w:color="auto"/>
          <w:lang w:val="pt-BR"/>
        </w:rPr>
        <w:t>foram</w:t>
      </w:r>
      <w:r w:rsidR="002649F0" w:rsidRPr="006D1C74">
        <w:rPr>
          <w:rFonts w:asciiTheme="majorHAnsi" w:eastAsia="Batang" w:hAnsiTheme="majorHAnsi"/>
          <w:sz w:val="20"/>
          <w:szCs w:val="20"/>
          <w:bdr w:val="none" w:sz="0" w:space="0" w:color="auto"/>
          <w:lang w:val="pt-BR"/>
        </w:rPr>
        <w:t xml:space="preserve"> </w:t>
      </w:r>
      <w:r w:rsidRPr="006D1C74">
        <w:rPr>
          <w:rFonts w:asciiTheme="majorHAnsi" w:eastAsia="Batang" w:hAnsiTheme="majorHAnsi"/>
          <w:sz w:val="20"/>
          <w:szCs w:val="20"/>
          <w:bdr w:val="none" w:sz="0" w:space="0" w:color="auto"/>
          <w:lang w:val="pt-BR"/>
        </w:rPr>
        <w:t>ferid</w:t>
      </w:r>
      <w:r w:rsidR="002649F0" w:rsidRPr="006D1C74">
        <w:rPr>
          <w:rFonts w:asciiTheme="majorHAnsi" w:eastAsia="Batang" w:hAnsiTheme="majorHAnsi"/>
          <w:sz w:val="20"/>
          <w:szCs w:val="20"/>
          <w:bdr w:val="none" w:sz="0" w:space="0" w:color="auto"/>
          <w:lang w:val="pt-BR"/>
        </w:rPr>
        <w:t xml:space="preserve">os. </w:t>
      </w:r>
    </w:p>
    <w:p w14:paraId="70EE8B96" w14:textId="77777777" w:rsidR="002649F0" w:rsidRPr="006D1C74" w:rsidRDefault="002649F0" w:rsidP="002649F0">
      <w:pPr>
        <w:rPr>
          <w:rFonts w:asciiTheme="majorHAnsi" w:eastAsia="Batang" w:hAnsiTheme="majorHAnsi"/>
          <w:sz w:val="20"/>
          <w:szCs w:val="20"/>
          <w:bdr w:val="none" w:sz="0" w:space="0" w:color="auto"/>
          <w:lang w:val="pt-BR"/>
        </w:rPr>
      </w:pPr>
    </w:p>
    <w:p w14:paraId="0A6DF354" w14:textId="77777777" w:rsidR="002649F0" w:rsidRPr="006D1C74" w:rsidRDefault="002649F0" w:rsidP="00E46227">
      <w:pPr>
        <w:pStyle w:val="Heading2"/>
        <w:rPr>
          <w:lang w:val="pt-BR"/>
        </w:rPr>
      </w:pPr>
      <w:bookmarkStart w:id="17" w:name="_Toc7618506"/>
      <w:bookmarkStart w:id="18" w:name="_Toc43554272"/>
      <w:r w:rsidRPr="006D1C74">
        <w:rPr>
          <w:lang w:val="pt-BR"/>
        </w:rPr>
        <w:t>Investiga</w:t>
      </w:r>
      <w:r w:rsidR="00CF037E" w:rsidRPr="006D1C74">
        <w:rPr>
          <w:lang w:val="pt-BR"/>
        </w:rPr>
        <w:t>ção</w:t>
      </w:r>
      <w:r w:rsidR="00795010" w:rsidRPr="006D1C74">
        <w:rPr>
          <w:lang w:val="pt-BR"/>
        </w:rPr>
        <w:t xml:space="preserve"> da </w:t>
      </w:r>
      <w:bookmarkEnd w:id="17"/>
      <w:r w:rsidR="00F37852" w:rsidRPr="006D1C74">
        <w:rPr>
          <w:lang w:val="pt-BR"/>
        </w:rPr>
        <w:t>polícia</w:t>
      </w:r>
      <w:r w:rsidRPr="006D1C74">
        <w:rPr>
          <w:lang w:val="pt-BR"/>
        </w:rPr>
        <w:t xml:space="preserve"> militar</w:t>
      </w:r>
      <w:bookmarkEnd w:id="18"/>
    </w:p>
    <w:p w14:paraId="371C9E7B" w14:textId="77777777" w:rsidR="002649F0" w:rsidRPr="006D1C74" w:rsidRDefault="002649F0" w:rsidP="002649F0">
      <w:pPr>
        <w:keepNext/>
        <w:keepLines/>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Theme="majorHAnsi" w:eastAsia="Batang" w:hAnsiTheme="majorHAnsi"/>
          <w:sz w:val="20"/>
          <w:szCs w:val="20"/>
          <w:bdr w:val="none" w:sz="0" w:space="0" w:color="auto"/>
          <w:lang w:val="pt-BR"/>
        </w:rPr>
      </w:pPr>
    </w:p>
    <w:p w14:paraId="5FF89AAA" w14:textId="77777777" w:rsidR="002649F0" w:rsidRPr="006D1C74" w:rsidRDefault="00B65A5D" w:rsidP="003C51D1">
      <w:pPr>
        <w:keepNext/>
        <w:keepLines/>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6D1C74">
        <w:rPr>
          <w:rFonts w:asciiTheme="majorHAnsi" w:eastAsia="Batang" w:hAnsiTheme="majorHAnsi"/>
          <w:sz w:val="20"/>
          <w:szCs w:val="20"/>
          <w:bdr w:val="none" w:sz="0" w:space="0" w:color="auto"/>
          <w:lang w:val="pt-BR"/>
        </w:rPr>
        <w:t>Em</w:t>
      </w:r>
      <w:r w:rsidR="002649F0" w:rsidRPr="006D1C74">
        <w:rPr>
          <w:rFonts w:asciiTheme="majorHAnsi" w:eastAsia="Batang" w:hAnsiTheme="majorHAnsi"/>
          <w:sz w:val="20"/>
          <w:szCs w:val="20"/>
          <w:bdr w:val="none" w:sz="0" w:space="0" w:color="auto"/>
          <w:lang w:val="pt-BR"/>
        </w:rPr>
        <w:t xml:space="preserve"> 4 de </w:t>
      </w:r>
      <w:r w:rsidR="00C6461F" w:rsidRPr="006D1C74">
        <w:rPr>
          <w:rFonts w:asciiTheme="majorHAnsi" w:eastAsia="Batang" w:hAnsiTheme="majorHAnsi"/>
          <w:sz w:val="20"/>
          <w:szCs w:val="20"/>
          <w:bdr w:val="none" w:sz="0" w:space="0" w:color="auto"/>
          <w:lang w:val="pt-BR"/>
        </w:rPr>
        <w:t>maio</w:t>
      </w:r>
      <w:r w:rsidR="002649F0" w:rsidRPr="006D1C74">
        <w:rPr>
          <w:rFonts w:asciiTheme="majorHAnsi" w:eastAsia="Batang" w:hAnsiTheme="majorHAnsi"/>
          <w:sz w:val="20"/>
          <w:szCs w:val="20"/>
          <w:bdr w:val="none" w:sz="0" w:space="0" w:color="auto"/>
          <w:lang w:val="pt-BR"/>
        </w:rPr>
        <w:t xml:space="preserve"> de 2000 </w:t>
      </w:r>
      <w:r w:rsidR="00135454" w:rsidRPr="006D1C74">
        <w:rPr>
          <w:rFonts w:asciiTheme="majorHAnsi" w:eastAsia="Batang" w:hAnsiTheme="majorHAnsi"/>
          <w:sz w:val="20"/>
          <w:szCs w:val="20"/>
          <w:bdr w:val="none" w:sz="0" w:space="0" w:color="auto"/>
          <w:lang w:val="pt-BR"/>
        </w:rPr>
        <w:t>teve início</w:t>
      </w:r>
      <w:r w:rsidR="00700267" w:rsidRPr="006D1C74">
        <w:rPr>
          <w:rFonts w:asciiTheme="majorHAnsi" w:eastAsia="Batang" w:hAnsiTheme="majorHAnsi"/>
          <w:sz w:val="20"/>
          <w:szCs w:val="20"/>
          <w:bdr w:val="none" w:sz="0" w:space="0" w:color="auto"/>
          <w:lang w:val="pt-BR"/>
        </w:rPr>
        <w:t xml:space="preserve"> a </w:t>
      </w:r>
      <w:r w:rsidR="002649F0" w:rsidRPr="006D1C74">
        <w:rPr>
          <w:rFonts w:asciiTheme="majorHAnsi" w:eastAsia="Batang" w:hAnsiTheme="majorHAnsi"/>
          <w:sz w:val="20"/>
          <w:szCs w:val="20"/>
          <w:bdr w:val="none" w:sz="0" w:space="0" w:color="auto"/>
          <w:lang w:val="pt-BR"/>
        </w:rPr>
        <w:t>investiga</w:t>
      </w:r>
      <w:r w:rsidR="00CF037E" w:rsidRPr="006D1C74">
        <w:rPr>
          <w:rFonts w:asciiTheme="majorHAnsi" w:eastAsia="Batang" w:hAnsiTheme="majorHAnsi"/>
          <w:sz w:val="20"/>
          <w:szCs w:val="20"/>
          <w:bdr w:val="none" w:sz="0" w:space="0" w:color="auto"/>
          <w:lang w:val="pt-BR"/>
        </w:rPr>
        <w:t>ção</w:t>
      </w:r>
      <w:r w:rsidR="00795010" w:rsidRPr="006D1C74">
        <w:rPr>
          <w:rFonts w:asciiTheme="majorHAnsi" w:eastAsia="Batang" w:hAnsiTheme="majorHAnsi"/>
          <w:sz w:val="20"/>
          <w:szCs w:val="20"/>
          <w:bdr w:val="none" w:sz="0" w:space="0" w:color="auto"/>
          <w:lang w:val="pt-BR"/>
        </w:rPr>
        <w:t xml:space="preserve"> da </w:t>
      </w:r>
      <w:r w:rsidR="00F37852" w:rsidRPr="006D1C74">
        <w:rPr>
          <w:rFonts w:asciiTheme="majorHAnsi" w:eastAsia="Batang" w:hAnsiTheme="majorHAnsi"/>
          <w:sz w:val="20"/>
          <w:szCs w:val="20"/>
          <w:bdr w:val="none" w:sz="0" w:space="0" w:color="auto"/>
          <w:lang w:val="pt-BR"/>
        </w:rPr>
        <w:t>polícia</w:t>
      </w:r>
      <w:r w:rsidR="002649F0" w:rsidRPr="006D1C74">
        <w:rPr>
          <w:rFonts w:asciiTheme="majorHAnsi" w:eastAsia="Batang" w:hAnsiTheme="majorHAnsi"/>
          <w:sz w:val="20"/>
          <w:szCs w:val="20"/>
          <w:bdr w:val="none" w:sz="0" w:space="0" w:color="auto"/>
          <w:lang w:val="pt-BR"/>
        </w:rPr>
        <w:t xml:space="preserve"> militar No. 221/2000</w:t>
      </w:r>
      <w:r w:rsidR="00F673C7" w:rsidRPr="006D1C74">
        <w:rPr>
          <w:rFonts w:asciiTheme="majorHAnsi" w:eastAsia="Batang" w:hAnsiTheme="majorHAnsi"/>
          <w:sz w:val="20"/>
          <w:szCs w:val="20"/>
          <w:bdr w:val="none" w:sz="0" w:space="0" w:color="auto"/>
          <w:lang w:val="pt-BR"/>
        </w:rPr>
        <w:t xml:space="preserve"> </w:t>
      </w:r>
      <w:r w:rsidR="00135454" w:rsidRPr="006D1C74">
        <w:rPr>
          <w:rFonts w:asciiTheme="majorHAnsi" w:eastAsia="Batang" w:hAnsiTheme="majorHAnsi"/>
          <w:sz w:val="20"/>
          <w:szCs w:val="20"/>
          <w:bdr w:val="none" w:sz="0" w:space="0" w:color="auto"/>
          <w:lang w:val="pt-BR"/>
        </w:rPr>
        <w:t xml:space="preserve">sobre </w:t>
      </w:r>
      <w:r w:rsidR="00700267" w:rsidRPr="006D1C74">
        <w:rPr>
          <w:rFonts w:asciiTheme="majorHAnsi" w:eastAsia="Batang" w:hAnsiTheme="majorHAnsi"/>
          <w:sz w:val="20"/>
          <w:szCs w:val="20"/>
          <w:bdr w:val="none" w:sz="0" w:space="0" w:color="auto"/>
          <w:lang w:val="pt-BR"/>
        </w:rPr>
        <w:t xml:space="preserve">os </w:t>
      </w:r>
      <w:r w:rsidR="00F37852" w:rsidRPr="006D1C74">
        <w:rPr>
          <w:rFonts w:asciiTheme="majorHAnsi" w:eastAsia="Batang" w:hAnsiTheme="majorHAnsi"/>
          <w:sz w:val="20"/>
          <w:szCs w:val="20"/>
          <w:bdr w:val="none" w:sz="0" w:space="0" w:color="auto"/>
          <w:lang w:val="pt-BR"/>
        </w:rPr>
        <w:t>fato</w:t>
      </w:r>
      <w:r w:rsidR="002649F0" w:rsidRPr="006D1C74">
        <w:rPr>
          <w:rFonts w:asciiTheme="majorHAnsi" w:eastAsia="Batang" w:hAnsiTheme="majorHAnsi"/>
          <w:sz w:val="20"/>
          <w:szCs w:val="20"/>
          <w:bdr w:val="none" w:sz="0" w:space="0" w:color="auto"/>
          <w:lang w:val="pt-BR"/>
        </w:rPr>
        <w:t>s</w:t>
      </w:r>
      <w:r w:rsidR="002649F0" w:rsidRPr="006D1C74">
        <w:rPr>
          <w:rFonts w:asciiTheme="majorHAnsi" w:eastAsia="Batang" w:hAnsiTheme="majorHAnsi"/>
          <w:sz w:val="20"/>
          <w:szCs w:val="20"/>
          <w:bdr w:val="none" w:sz="0" w:space="0" w:color="auto"/>
          <w:vertAlign w:val="superscript"/>
          <w:lang w:val="pt-BR"/>
        </w:rPr>
        <w:footnoteReference w:id="30"/>
      </w:r>
      <w:r w:rsidR="002649F0" w:rsidRPr="006D1C74">
        <w:rPr>
          <w:rFonts w:asciiTheme="majorHAnsi" w:eastAsia="Batang" w:hAnsiTheme="majorHAnsi"/>
          <w:sz w:val="20"/>
          <w:szCs w:val="20"/>
          <w:bdr w:val="none" w:sz="0" w:space="0" w:color="auto"/>
          <w:lang w:val="pt-BR"/>
        </w:rPr>
        <w:t xml:space="preserve">. </w:t>
      </w:r>
      <w:r w:rsidR="00135454" w:rsidRPr="006D1C74">
        <w:rPr>
          <w:rFonts w:asciiTheme="majorHAnsi" w:eastAsia="Batang" w:hAnsiTheme="majorHAnsi"/>
          <w:sz w:val="20"/>
          <w:szCs w:val="20"/>
          <w:bdr w:val="none" w:sz="0" w:space="0" w:color="auto"/>
          <w:lang w:val="pt-BR"/>
        </w:rPr>
        <w:t xml:space="preserve">Foram anexados </w:t>
      </w:r>
      <w:r w:rsidR="00217759" w:rsidRPr="006D1C74">
        <w:rPr>
          <w:rFonts w:asciiTheme="majorHAnsi" w:eastAsia="Batang" w:hAnsiTheme="majorHAnsi"/>
          <w:sz w:val="20"/>
          <w:szCs w:val="20"/>
          <w:bdr w:val="none" w:sz="0" w:space="0" w:color="auto"/>
          <w:lang w:val="pt-BR"/>
        </w:rPr>
        <w:t xml:space="preserve">ao </w:t>
      </w:r>
      <w:r w:rsidR="00135454" w:rsidRPr="006D1C74">
        <w:rPr>
          <w:rFonts w:asciiTheme="majorHAnsi" w:eastAsia="Batang" w:hAnsiTheme="majorHAnsi"/>
          <w:sz w:val="20"/>
          <w:szCs w:val="20"/>
          <w:bdr w:val="none" w:sz="0" w:space="0" w:color="auto"/>
          <w:lang w:val="pt-BR"/>
        </w:rPr>
        <w:t>processo</w:t>
      </w:r>
      <w:r w:rsidR="00795010" w:rsidRPr="006D1C74">
        <w:rPr>
          <w:rFonts w:asciiTheme="majorHAnsi" w:eastAsia="Batang" w:hAnsiTheme="majorHAnsi"/>
          <w:sz w:val="20"/>
          <w:szCs w:val="20"/>
          <w:bdr w:val="none" w:sz="0" w:space="0" w:color="auto"/>
          <w:lang w:val="pt-BR"/>
        </w:rPr>
        <w:t xml:space="preserve"> da </w:t>
      </w:r>
      <w:r w:rsidR="002649F0" w:rsidRPr="006D1C74">
        <w:rPr>
          <w:rFonts w:asciiTheme="majorHAnsi" w:eastAsia="Batang" w:hAnsiTheme="majorHAnsi"/>
          <w:sz w:val="20"/>
          <w:szCs w:val="20"/>
          <w:bdr w:val="none" w:sz="0" w:space="0" w:color="auto"/>
          <w:lang w:val="pt-BR"/>
        </w:rPr>
        <w:t>investiga</w:t>
      </w:r>
      <w:r w:rsidR="00CF037E" w:rsidRPr="006D1C74">
        <w:rPr>
          <w:rFonts w:asciiTheme="majorHAnsi" w:eastAsia="Batang" w:hAnsiTheme="majorHAnsi"/>
          <w:sz w:val="20"/>
          <w:szCs w:val="20"/>
          <w:bdr w:val="none" w:sz="0" w:space="0" w:color="auto"/>
          <w:lang w:val="pt-BR"/>
        </w:rPr>
        <w:t>ção</w:t>
      </w:r>
      <w:r w:rsidR="00700267" w:rsidRPr="006D1C74">
        <w:rPr>
          <w:rFonts w:asciiTheme="majorHAnsi" w:eastAsia="Batang" w:hAnsiTheme="majorHAnsi"/>
          <w:sz w:val="20"/>
          <w:szCs w:val="20"/>
          <w:bdr w:val="none" w:sz="0" w:space="0" w:color="auto"/>
          <w:lang w:val="pt-BR"/>
        </w:rPr>
        <w:t xml:space="preserve"> o </w:t>
      </w:r>
      <w:r w:rsidR="002649F0" w:rsidRPr="006D1C74">
        <w:rPr>
          <w:rFonts w:asciiTheme="majorHAnsi" w:eastAsia="Batang" w:hAnsiTheme="majorHAnsi"/>
          <w:sz w:val="20"/>
          <w:szCs w:val="20"/>
          <w:bdr w:val="none" w:sz="0" w:space="0" w:color="auto"/>
          <w:lang w:val="pt-BR"/>
        </w:rPr>
        <w:t>auto de exibi</w:t>
      </w:r>
      <w:r w:rsidR="00CF037E" w:rsidRPr="006D1C74">
        <w:rPr>
          <w:rFonts w:asciiTheme="majorHAnsi" w:eastAsia="Batang" w:hAnsiTheme="majorHAnsi"/>
          <w:sz w:val="20"/>
          <w:szCs w:val="20"/>
          <w:bdr w:val="none" w:sz="0" w:space="0" w:color="auto"/>
          <w:lang w:val="pt-BR"/>
        </w:rPr>
        <w:t>ção</w:t>
      </w:r>
      <w:r w:rsidR="002649F0" w:rsidRPr="006D1C74">
        <w:rPr>
          <w:rFonts w:asciiTheme="majorHAnsi" w:eastAsia="Batang" w:hAnsiTheme="majorHAnsi"/>
          <w:sz w:val="20"/>
          <w:szCs w:val="20"/>
          <w:bdr w:val="none" w:sz="0" w:space="0" w:color="auto"/>
          <w:lang w:val="pt-BR"/>
        </w:rPr>
        <w:t xml:space="preserve"> e </w:t>
      </w:r>
      <w:r w:rsidR="00135454" w:rsidRPr="006D1C74">
        <w:rPr>
          <w:rFonts w:asciiTheme="majorHAnsi" w:eastAsia="Batang" w:hAnsiTheme="majorHAnsi"/>
          <w:sz w:val="20"/>
          <w:szCs w:val="20"/>
          <w:bdr w:val="none" w:sz="0" w:space="0" w:color="auto"/>
          <w:lang w:val="pt-BR"/>
        </w:rPr>
        <w:t>apreens</w:t>
      </w:r>
      <w:r w:rsidR="00CF037E" w:rsidRPr="006D1C74">
        <w:rPr>
          <w:rFonts w:asciiTheme="majorHAnsi" w:eastAsia="Batang" w:hAnsiTheme="majorHAnsi"/>
          <w:sz w:val="20"/>
          <w:szCs w:val="20"/>
          <w:bdr w:val="none" w:sz="0" w:space="0" w:color="auto"/>
          <w:lang w:val="pt-BR"/>
        </w:rPr>
        <w:t>ão</w:t>
      </w:r>
      <w:r w:rsidR="002649F0" w:rsidRPr="006D1C74">
        <w:rPr>
          <w:rFonts w:asciiTheme="majorHAnsi" w:eastAsia="Batang" w:hAnsiTheme="majorHAnsi"/>
          <w:sz w:val="20"/>
          <w:szCs w:val="20"/>
          <w:bdr w:val="none" w:sz="0" w:space="0" w:color="auto"/>
          <w:lang w:val="pt-BR"/>
        </w:rPr>
        <w:t xml:space="preserve"> de armas de f</w:t>
      </w:r>
      <w:r w:rsidR="00135454" w:rsidRPr="006D1C74">
        <w:rPr>
          <w:rFonts w:asciiTheme="majorHAnsi" w:eastAsia="Batang" w:hAnsiTheme="majorHAnsi"/>
          <w:sz w:val="20"/>
          <w:szCs w:val="20"/>
          <w:bdr w:val="none" w:sz="0" w:space="0" w:color="auto"/>
          <w:lang w:val="pt-BR"/>
        </w:rPr>
        <w:t>o</w:t>
      </w:r>
      <w:r w:rsidR="002649F0" w:rsidRPr="006D1C74">
        <w:rPr>
          <w:rFonts w:asciiTheme="majorHAnsi" w:eastAsia="Batang" w:hAnsiTheme="majorHAnsi"/>
          <w:sz w:val="20"/>
          <w:szCs w:val="20"/>
          <w:bdr w:val="none" w:sz="0" w:space="0" w:color="auto"/>
          <w:lang w:val="pt-BR"/>
        </w:rPr>
        <w:t>go</w:t>
      </w:r>
      <w:r w:rsidR="002649F0" w:rsidRPr="006D1C74">
        <w:rPr>
          <w:rFonts w:asciiTheme="majorHAnsi" w:eastAsia="Batang" w:hAnsiTheme="majorHAnsi"/>
          <w:sz w:val="20"/>
          <w:szCs w:val="20"/>
          <w:bdr w:val="none" w:sz="0" w:space="0" w:color="auto"/>
          <w:vertAlign w:val="superscript"/>
          <w:lang w:val="pt-BR"/>
        </w:rPr>
        <w:footnoteReference w:id="31"/>
      </w:r>
      <w:r w:rsidR="00CF037E" w:rsidRPr="006D1C74">
        <w:rPr>
          <w:rFonts w:asciiTheme="majorHAnsi" w:eastAsia="Batang" w:hAnsiTheme="majorHAnsi"/>
          <w:sz w:val="20"/>
          <w:szCs w:val="20"/>
          <w:bdr w:val="none" w:sz="0" w:space="0" w:color="auto"/>
          <w:lang w:val="pt-BR"/>
        </w:rPr>
        <w:t xml:space="preserve"> e</w:t>
      </w:r>
      <w:r w:rsidR="00700267" w:rsidRPr="006D1C74">
        <w:rPr>
          <w:rFonts w:asciiTheme="majorHAnsi" w:eastAsia="Batang" w:hAnsiTheme="majorHAnsi"/>
          <w:sz w:val="20"/>
          <w:szCs w:val="20"/>
          <w:bdr w:val="none" w:sz="0" w:space="0" w:color="auto"/>
          <w:lang w:val="pt-BR"/>
        </w:rPr>
        <w:t xml:space="preserve"> o </w:t>
      </w:r>
      <w:r w:rsidR="002649F0" w:rsidRPr="006D1C74">
        <w:rPr>
          <w:rFonts w:asciiTheme="majorHAnsi" w:eastAsia="Batang" w:hAnsiTheme="majorHAnsi"/>
          <w:sz w:val="20"/>
          <w:szCs w:val="20"/>
          <w:bdr w:val="none" w:sz="0" w:space="0" w:color="auto"/>
          <w:lang w:val="pt-BR"/>
        </w:rPr>
        <w:t>laudo d</w:t>
      </w:r>
      <w:r w:rsidR="00135454" w:rsidRPr="006D1C74">
        <w:rPr>
          <w:rFonts w:asciiTheme="majorHAnsi" w:eastAsia="Batang" w:hAnsiTheme="majorHAnsi"/>
          <w:sz w:val="20"/>
          <w:szCs w:val="20"/>
          <w:bdr w:val="none" w:sz="0" w:space="0" w:color="auto"/>
          <w:lang w:val="pt-BR"/>
        </w:rPr>
        <w:t>o</w:t>
      </w:r>
      <w:r w:rsidR="002649F0" w:rsidRPr="006D1C74">
        <w:rPr>
          <w:rFonts w:asciiTheme="majorHAnsi" w:eastAsia="Batang" w:hAnsiTheme="majorHAnsi"/>
          <w:sz w:val="20"/>
          <w:szCs w:val="20"/>
          <w:bdr w:val="none" w:sz="0" w:space="0" w:color="auto"/>
          <w:lang w:val="pt-BR"/>
        </w:rPr>
        <w:t xml:space="preserve"> exame de arma</w:t>
      </w:r>
      <w:r w:rsidR="00DE37D7">
        <w:rPr>
          <w:rFonts w:asciiTheme="majorHAnsi" w:eastAsia="Batang" w:hAnsiTheme="majorHAnsi"/>
          <w:sz w:val="20"/>
          <w:szCs w:val="20"/>
          <w:bdr w:val="none" w:sz="0" w:space="0" w:color="auto"/>
          <w:lang w:val="pt-BR"/>
        </w:rPr>
        <w:t>s</w:t>
      </w:r>
      <w:r w:rsidR="002649F0" w:rsidRPr="006D1C74">
        <w:rPr>
          <w:rFonts w:asciiTheme="majorHAnsi" w:eastAsia="Batang" w:hAnsiTheme="majorHAnsi"/>
          <w:sz w:val="20"/>
          <w:szCs w:val="20"/>
          <w:bdr w:val="none" w:sz="0" w:space="0" w:color="auto"/>
          <w:lang w:val="pt-BR"/>
        </w:rPr>
        <w:t xml:space="preserve"> de </w:t>
      </w:r>
      <w:r w:rsidR="00135454" w:rsidRPr="006D1C74">
        <w:rPr>
          <w:rFonts w:asciiTheme="majorHAnsi" w:eastAsia="Batang" w:hAnsiTheme="majorHAnsi"/>
          <w:sz w:val="20"/>
          <w:szCs w:val="20"/>
          <w:bdr w:val="none" w:sz="0" w:space="0" w:color="auto"/>
          <w:lang w:val="pt-BR"/>
        </w:rPr>
        <w:t>fog</w:t>
      </w:r>
      <w:r w:rsidR="002649F0" w:rsidRPr="006D1C74">
        <w:rPr>
          <w:rFonts w:asciiTheme="majorHAnsi" w:eastAsia="Batang" w:hAnsiTheme="majorHAnsi"/>
          <w:sz w:val="20"/>
          <w:szCs w:val="20"/>
          <w:bdr w:val="none" w:sz="0" w:space="0" w:color="auto"/>
          <w:lang w:val="pt-BR"/>
        </w:rPr>
        <w:t>o</w:t>
      </w:r>
      <w:r w:rsidR="00CF037E" w:rsidRPr="006D1C74">
        <w:rPr>
          <w:rFonts w:asciiTheme="majorHAnsi" w:eastAsia="Batang" w:hAnsiTheme="majorHAnsi"/>
          <w:sz w:val="20"/>
          <w:szCs w:val="20"/>
          <w:bdr w:val="none" w:sz="0" w:space="0" w:color="auto"/>
          <w:lang w:val="pt-BR"/>
        </w:rPr>
        <w:t xml:space="preserve"> e </w:t>
      </w:r>
      <w:r w:rsidR="002649F0" w:rsidRPr="006D1C74">
        <w:rPr>
          <w:rFonts w:asciiTheme="majorHAnsi" w:eastAsia="Batang" w:hAnsiTheme="majorHAnsi"/>
          <w:sz w:val="20"/>
          <w:szCs w:val="20"/>
          <w:bdr w:val="none" w:sz="0" w:space="0" w:color="auto"/>
          <w:lang w:val="pt-BR"/>
        </w:rPr>
        <w:t>muni</w:t>
      </w:r>
      <w:r w:rsidR="00CF037E" w:rsidRPr="006D1C74">
        <w:rPr>
          <w:rFonts w:asciiTheme="majorHAnsi" w:eastAsia="Batang" w:hAnsiTheme="majorHAnsi"/>
          <w:sz w:val="20"/>
          <w:szCs w:val="20"/>
          <w:bdr w:val="none" w:sz="0" w:space="0" w:color="auto"/>
          <w:lang w:val="pt-BR"/>
        </w:rPr>
        <w:t>ções</w:t>
      </w:r>
      <w:r w:rsidR="00030019" w:rsidRPr="006D1C74">
        <w:rPr>
          <w:rFonts w:asciiTheme="majorHAnsi" w:eastAsia="Batang" w:hAnsiTheme="majorHAnsi"/>
          <w:sz w:val="20"/>
          <w:szCs w:val="20"/>
          <w:bdr w:val="none" w:sz="0" w:space="0" w:color="auto"/>
          <w:lang w:val="pt-BR"/>
        </w:rPr>
        <w:t xml:space="preserve"> do </w:t>
      </w:r>
      <w:r w:rsidR="002649F0" w:rsidRPr="006D1C74">
        <w:rPr>
          <w:rFonts w:asciiTheme="majorHAnsi" w:eastAsia="Batang" w:hAnsiTheme="majorHAnsi"/>
          <w:sz w:val="20"/>
          <w:szCs w:val="20"/>
          <w:bdr w:val="none" w:sz="0" w:space="0" w:color="auto"/>
          <w:lang w:val="pt-BR"/>
        </w:rPr>
        <w:t xml:space="preserve">Instituto de Criminalística </w:t>
      </w:r>
      <w:r w:rsidR="000D2A81" w:rsidRPr="006D1C74">
        <w:rPr>
          <w:rFonts w:asciiTheme="majorHAnsi" w:eastAsia="Batang" w:hAnsiTheme="majorHAnsi"/>
          <w:sz w:val="20"/>
          <w:szCs w:val="20"/>
          <w:bdr w:val="none" w:sz="0" w:space="0" w:color="auto"/>
          <w:lang w:val="pt-BR"/>
        </w:rPr>
        <w:t>do Paraná</w:t>
      </w:r>
      <w:r w:rsidR="002649F0" w:rsidRPr="006D1C74">
        <w:rPr>
          <w:rFonts w:asciiTheme="majorHAnsi" w:eastAsia="Batang" w:hAnsiTheme="majorHAnsi"/>
          <w:sz w:val="20"/>
          <w:szCs w:val="20"/>
          <w:bdr w:val="none" w:sz="0" w:space="0" w:color="auto"/>
          <w:vertAlign w:val="superscript"/>
          <w:lang w:val="pt-BR"/>
        </w:rPr>
        <w:footnoteReference w:id="32"/>
      </w:r>
      <w:r w:rsidR="002649F0" w:rsidRPr="006D1C74">
        <w:rPr>
          <w:rFonts w:asciiTheme="majorHAnsi" w:eastAsia="Batang" w:hAnsiTheme="majorHAnsi"/>
          <w:sz w:val="20"/>
          <w:szCs w:val="20"/>
          <w:bdr w:val="none" w:sz="0" w:space="0" w:color="auto"/>
          <w:lang w:val="pt-BR"/>
        </w:rPr>
        <w:t xml:space="preserve">, </w:t>
      </w:r>
      <w:r w:rsidR="00135454" w:rsidRPr="006D1C74">
        <w:rPr>
          <w:rFonts w:asciiTheme="majorHAnsi" w:eastAsia="Batang" w:hAnsiTheme="majorHAnsi"/>
          <w:sz w:val="20"/>
          <w:szCs w:val="20"/>
          <w:bdr w:val="none" w:sz="0" w:space="0" w:color="auto"/>
          <w:lang w:val="pt-BR"/>
        </w:rPr>
        <w:t>os quais</w:t>
      </w:r>
      <w:r w:rsidR="002649F0" w:rsidRPr="006D1C74">
        <w:rPr>
          <w:rFonts w:asciiTheme="majorHAnsi" w:eastAsia="Batang" w:hAnsiTheme="majorHAnsi"/>
          <w:sz w:val="20"/>
          <w:szCs w:val="20"/>
          <w:bdr w:val="none" w:sz="0" w:space="0" w:color="auto"/>
          <w:lang w:val="pt-BR"/>
        </w:rPr>
        <w:t xml:space="preserve"> confirma</w:t>
      </w:r>
      <w:r w:rsidR="00135454" w:rsidRPr="006D1C74">
        <w:rPr>
          <w:rFonts w:asciiTheme="majorHAnsi" w:eastAsia="Batang" w:hAnsiTheme="majorHAnsi"/>
          <w:sz w:val="20"/>
          <w:szCs w:val="20"/>
          <w:bdr w:val="none" w:sz="0" w:space="0" w:color="auto"/>
          <w:lang w:val="pt-BR"/>
        </w:rPr>
        <w:t>ram</w:t>
      </w:r>
      <w:r w:rsidR="002649F0" w:rsidRPr="006D1C74">
        <w:rPr>
          <w:rFonts w:asciiTheme="majorHAnsi" w:eastAsia="Batang" w:hAnsiTheme="majorHAnsi"/>
          <w:sz w:val="20"/>
          <w:szCs w:val="20"/>
          <w:bdr w:val="none" w:sz="0" w:space="0" w:color="auto"/>
          <w:lang w:val="pt-BR"/>
        </w:rPr>
        <w:t xml:space="preserve"> que</w:t>
      </w:r>
      <w:r w:rsidR="00700267" w:rsidRPr="006D1C74">
        <w:rPr>
          <w:rFonts w:asciiTheme="majorHAnsi" w:eastAsia="Batang" w:hAnsiTheme="majorHAnsi"/>
          <w:sz w:val="20"/>
          <w:szCs w:val="20"/>
          <w:bdr w:val="none" w:sz="0" w:space="0" w:color="auto"/>
          <w:lang w:val="pt-BR"/>
        </w:rPr>
        <w:t xml:space="preserve"> o </w:t>
      </w:r>
      <w:r w:rsidR="002649F0" w:rsidRPr="006D1C74">
        <w:rPr>
          <w:rFonts w:asciiTheme="majorHAnsi" w:eastAsia="Batang" w:hAnsiTheme="majorHAnsi"/>
          <w:sz w:val="20"/>
          <w:szCs w:val="20"/>
          <w:bdr w:val="none" w:sz="0" w:space="0" w:color="auto"/>
          <w:lang w:val="pt-BR"/>
        </w:rPr>
        <w:t>fragmento de pro</w:t>
      </w:r>
      <w:r w:rsidR="00135454" w:rsidRPr="006D1C74">
        <w:rPr>
          <w:rFonts w:asciiTheme="majorHAnsi" w:eastAsia="Batang" w:hAnsiTheme="majorHAnsi"/>
          <w:sz w:val="20"/>
          <w:szCs w:val="20"/>
          <w:bdr w:val="none" w:sz="0" w:space="0" w:color="auto"/>
          <w:lang w:val="pt-BR"/>
        </w:rPr>
        <w:t>jé</w:t>
      </w:r>
      <w:r w:rsidR="002649F0" w:rsidRPr="006D1C74">
        <w:rPr>
          <w:rFonts w:asciiTheme="majorHAnsi" w:eastAsia="Batang" w:hAnsiTheme="majorHAnsi"/>
          <w:sz w:val="20"/>
          <w:szCs w:val="20"/>
          <w:bdr w:val="none" w:sz="0" w:space="0" w:color="auto"/>
          <w:lang w:val="pt-BR"/>
        </w:rPr>
        <w:t xml:space="preserve">til que </w:t>
      </w:r>
      <w:r w:rsidR="00135454" w:rsidRPr="006D1C74">
        <w:rPr>
          <w:rFonts w:asciiTheme="majorHAnsi" w:eastAsia="Batang" w:hAnsiTheme="majorHAnsi"/>
          <w:sz w:val="20"/>
          <w:szCs w:val="20"/>
          <w:bdr w:val="none" w:sz="0" w:space="0" w:color="auto"/>
          <w:lang w:val="pt-BR"/>
        </w:rPr>
        <w:t>feriu</w:t>
      </w:r>
      <w:r w:rsidR="00CF037E" w:rsidRPr="006D1C74">
        <w:rPr>
          <w:rFonts w:asciiTheme="majorHAnsi" w:eastAsia="Batang" w:hAnsiTheme="majorHAnsi"/>
          <w:sz w:val="20"/>
          <w:szCs w:val="20"/>
          <w:bdr w:val="none" w:sz="0" w:space="0" w:color="auto"/>
          <w:lang w:val="pt-BR"/>
        </w:rPr>
        <w:t xml:space="preserve"> e </w:t>
      </w:r>
      <w:r w:rsidR="002649F0" w:rsidRPr="006D1C74">
        <w:rPr>
          <w:rFonts w:asciiTheme="majorHAnsi" w:eastAsia="Batang" w:hAnsiTheme="majorHAnsi"/>
          <w:sz w:val="20"/>
          <w:szCs w:val="20"/>
          <w:bdr w:val="none" w:sz="0" w:space="0" w:color="auto"/>
          <w:lang w:val="pt-BR"/>
        </w:rPr>
        <w:t>mat</w:t>
      </w:r>
      <w:r w:rsidR="00135454" w:rsidRPr="006D1C74">
        <w:rPr>
          <w:rFonts w:asciiTheme="majorHAnsi" w:eastAsia="Batang" w:hAnsiTheme="majorHAnsi"/>
          <w:sz w:val="20"/>
          <w:szCs w:val="20"/>
          <w:bdr w:val="none" w:sz="0" w:space="0" w:color="auto"/>
          <w:lang w:val="pt-BR"/>
        </w:rPr>
        <w:t>ou</w:t>
      </w:r>
      <w:r w:rsidR="002649F0" w:rsidRPr="006D1C74">
        <w:rPr>
          <w:rFonts w:asciiTheme="majorHAnsi" w:eastAsia="Batang" w:hAnsiTheme="majorHAnsi"/>
          <w:sz w:val="20"/>
          <w:szCs w:val="20"/>
          <w:bdr w:val="none" w:sz="0" w:space="0" w:color="auto"/>
          <w:lang w:val="pt-BR"/>
        </w:rPr>
        <w:t xml:space="preserve"> Antonio Tavares Pereira prove</w:t>
      </w:r>
      <w:r w:rsidR="00135454" w:rsidRPr="006D1C74">
        <w:rPr>
          <w:rFonts w:asciiTheme="majorHAnsi" w:eastAsia="Batang" w:hAnsiTheme="majorHAnsi"/>
          <w:sz w:val="20"/>
          <w:szCs w:val="20"/>
          <w:bdr w:val="none" w:sz="0" w:space="0" w:color="auto"/>
          <w:lang w:val="pt-BR"/>
        </w:rPr>
        <w:t>io</w:t>
      </w:r>
      <w:r w:rsidR="00030019" w:rsidRPr="006D1C74">
        <w:rPr>
          <w:rFonts w:asciiTheme="majorHAnsi" w:eastAsia="Batang" w:hAnsiTheme="majorHAnsi"/>
          <w:sz w:val="20"/>
          <w:szCs w:val="20"/>
          <w:bdr w:val="none" w:sz="0" w:space="0" w:color="auto"/>
          <w:lang w:val="pt-BR"/>
        </w:rPr>
        <w:t xml:space="preserve"> d</w:t>
      </w:r>
      <w:r w:rsidR="00135454" w:rsidRPr="006D1C74">
        <w:rPr>
          <w:rFonts w:asciiTheme="majorHAnsi" w:eastAsia="Batang" w:hAnsiTheme="majorHAnsi"/>
          <w:sz w:val="20"/>
          <w:szCs w:val="20"/>
          <w:bdr w:val="none" w:sz="0" w:space="0" w:color="auto"/>
          <w:lang w:val="pt-BR"/>
        </w:rPr>
        <w:t>a</w:t>
      </w:r>
      <w:r w:rsidR="00030019" w:rsidRPr="006D1C74">
        <w:rPr>
          <w:rFonts w:asciiTheme="majorHAnsi" w:eastAsia="Batang" w:hAnsiTheme="majorHAnsi"/>
          <w:sz w:val="20"/>
          <w:szCs w:val="20"/>
          <w:bdr w:val="none" w:sz="0" w:space="0" w:color="auto"/>
          <w:lang w:val="pt-BR"/>
        </w:rPr>
        <w:t xml:space="preserve"> </w:t>
      </w:r>
      <w:r w:rsidR="002649F0" w:rsidRPr="006D1C74">
        <w:rPr>
          <w:rFonts w:asciiTheme="majorHAnsi" w:eastAsia="Batang" w:hAnsiTheme="majorHAnsi"/>
          <w:sz w:val="20"/>
          <w:szCs w:val="20"/>
          <w:bdr w:val="none" w:sz="0" w:space="0" w:color="auto"/>
          <w:lang w:val="pt-BR"/>
        </w:rPr>
        <w:t xml:space="preserve">arma </w:t>
      </w:r>
      <w:r w:rsidR="002649F0" w:rsidRPr="006D1C74">
        <w:rPr>
          <w:rFonts w:asciiTheme="majorHAnsi" w:hAnsiTheme="majorHAnsi"/>
          <w:sz w:val="20"/>
          <w:szCs w:val="20"/>
          <w:lang w:val="pt-BR"/>
        </w:rPr>
        <w:t xml:space="preserve">marca Rossi, </w:t>
      </w:r>
      <w:r w:rsidR="006D1C74" w:rsidRPr="006D1C74">
        <w:rPr>
          <w:rFonts w:asciiTheme="majorHAnsi" w:hAnsiTheme="majorHAnsi"/>
          <w:sz w:val="20"/>
          <w:szCs w:val="20"/>
          <w:lang w:val="pt-BR"/>
        </w:rPr>
        <w:t>calibre</w:t>
      </w:r>
      <w:r w:rsidR="002649F0" w:rsidRPr="006D1C74">
        <w:rPr>
          <w:rFonts w:asciiTheme="majorHAnsi" w:hAnsiTheme="majorHAnsi"/>
          <w:sz w:val="20"/>
          <w:szCs w:val="20"/>
          <w:lang w:val="pt-BR"/>
        </w:rPr>
        <w:t xml:space="preserve"> nominal 38</w:t>
      </w:r>
      <w:r w:rsidR="00CF037E" w:rsidRPr="006D1C74">
        <w:rPr>
          <w:rFonts w:asciiTheme="majorHAnsi" w:hAnsiTheme="majorHAnsi"/>
          <w:sz w:val="20"/>
          <w:szCs w:val="20"/>
          <w:lang w:val="pt-BR"/>
        </w:rPr>
        <w:t xml:space="preserve"> e </w:t>
      </w:r>
      <w:r w:rsidR="002649F0" w:rsidRPr="006D1C74">
        <w:rPr>
          <w:rFonts w:asciiTheme="majorHAnsi" w:hAnsiTheme="majorHAnsi"/>
          <w:sz w:val="20"/>
          <w:szCs w:val="20"/>
          <w:lang w:val="pt-BR"/>
        </w:rPr>
        <w:t>357M, s</w:t>
      </w:r>
      <w:r w:rsidR="00135454" w:rsidRPr="006D1C74">
        <w:rPr>
          <w:rFonts w:asciiTheme="majorHAnsi" w:hAnsiTheme="majorHAnsi"/>
          <w:sz w:val="20"/>
          <w:szCs w:val="20"/>
          <w:lang w:val="pt-BR"/>
        </w:rPr>
        <w:t>é</w:t>
      </w:r>
      <w:r w:rsidR="002649F0" w:rsidRPr="006D1C74">
        <w:rPr>
          <w:rFonts w:asciiTheme="majorHAnsi" w:hAnsiTheme="majorHAnsi"/>
          <w:sz w:val="20"/>
          <w:szCs w:val="20"/>
          <w:lang w:val="pt-BR"/>
        </w:rPr>
        <w:t>rie K094074, utilizada</w:t>
      </w:r>
      <w:r w:rsidR="00700267" w:rsidRPr="006D1C74">
        <w:rPr>
          <w:rFonts w:asciiTheme="majorHAnsi" w:hAnsiTheme="majorHAnsi"/>
          <w:sz w:val="20"/>
          <w:szCs w:val="20"/>
          <w:lang w:val="pt-BR"/>
        </w:rPr>
        <w:t xml:space="preserve"> pelo </w:t>
      </w:r>
      <w:r w:rsidR="002649F0" w:rsidRPr="006D1C74">
        <w:rPr>
          <w:rFonts w:asciiTheme="majorHAnsi" w:hAnsiTheme="majorHAnsi"/>
          <w:sz w:val="20"/>
          <w:szCs w:val="20"/>
          <w:lang w:val="pt-BR"/>
        </w:rPr>
        <w:t>soldado Joel de Lima Santa Ana</w:t>
      </w:r>
      <w:r w:rsidR="00700267" w:rsidRPr="006D1C74">
        <w:rPr>
          <w:rFonts w:asciiTheme="majorHAnsi" w:hAnsiTheme="majorHAnsi"/>
          <w:sz w:val="20"/>
          <w:szCs w:val="20"/>
          <w:lang w:val="pt-BR"/>
        </w:rPr>
        <w:t xml:space="preserve"> </w:t>
      </w:r>
      <w:r w:rsidR="00135454" w:rsidRPr="006D1C74">
        <w:rPr>
          <w:rFonts w:asciiTheme="majorHAnsi" w:hAnsiTheme="majorHAnsi"/>
          <w:sz w:val="20"/>
          <w:szCs w:val="20"/>
          <w:lang w:val="pt-BR"/>
        </w:rPr>
        <w:t>n</w:t>
      </w:r>
      <w:r w:rsidR="00700267" w:rsidRPr="006D1C74">
        <w:rPr>
          <w:rFonts w:asciiTheme="majorHAnsi" w:hAnsiTheme="majorHAnsi"/>
          <w:sz w:val="20"/>
          <w:szCs w:val="20"/>
          <w:lang w:val="pt-BR"/>
        </w:rPr>
        <w:t xml:space="preserve">o </w:t>
      </w:r>
      <w:r w:rsidR="002649F0" w:rsidRPr="006D1C74">
        <w:rPr>
          <w:rFonts w:asciiTheme="majorHAnsi" w:hAnsiTheme="majorHAnsi"/>
          <w:sz w:val="20"/>
          <w:szCs w:val="20"/>
          <w:lang w:val="pt-BR"/>
        </w:rPr>
        <w:t>d</w:t>
      </w:r>
      <w:r w:rsidR="00055622" w:rsidRPr="006D1C74">
        <w:rPr>
          <w:rFonts w:asciiTheme="majorHAnsi" w:hAnsiTheme="majorHAnsi"/>
          <w:sz w:val="20"/>
          <w:szCs w:val="20"/>
          <w:lang w:val="pt-BR"/>
        </w:rPr>
        <w:t>ia</w:t>
      </w:r>
      <w:r w:rsidR="00700267" w:rsidRPr="006D1C74">
        <w:rPr>
          <w:rFonts w:asciiTheme="majorHAnsi" w:hAnsiTheme="majorHAnsi"/>
          <w:sz w:val="20"/>
          <w:szCs w:val="20"/>
          <w:lang w:val="pt-BR"/>
        </w:rPr>
        <w:t xml:space="preserve"> dos </w:t>
      </w:r>
      <w:r w:rsidR="00F37852" w:rsidRPr="006D1C74">
        <w:rPr>
          <w:rFonts w:asciiTheme="majorHAnsi" w:hAnsiTheme="majorHAnsi"/>
          <w:sz w:val="20"/>
          <w:szCs w:val="20"/>
          <w:lang w:val="pt-BR"/>
        </w:rPr>
        <w:t>fato</w:t>
      </w:r>
      <w:r w:rsidR="002649F0" w:rsidRPr="006D1C74">
        <w:rPr>
          <w:rFonts w:asciiTheme="majorHAnsi" w:hAnsiTheme="majorHAnsi"/>
          <w:sz w:val="20"/>
          <w:szCs w:val="20"/>
          <w:lang w:val="pt-BR"/>
        </w:rPr>
        <w:t>s.</w:t>
      </w:r>
    </w:p>
    <w:p w14:paraId="5F525E9F" w14:textId="77777777" w:rsidR="002649F0" w:rsidRPr="006D1C74" w:rsidRDefault="002649F0" w:rsidP="002649F0">
      <w:pPr>
        <w:ind w:left="720"/>
        <w:rPr>
          <w:rFonts w:asciiTheme="majorHAnsi" w:eastAsia="Batang" w:hAnsiTheme="majorHAnsi" w:cs="Cambria"/>
          <w:sz w:val="20"/>
          <w:szCs w:val="20"/>
          <w:u w:color="000000"/>
          <w:bdr w:val="none" w:sz="0" w:space="0" w:color="auto"/>
          <w:lang w:val="pt-BR" w:eastAsia="es-ES"/>
        </w:rPr>
      </w:pPr>
    </w:p>
    <w:p w14:paraId="7604E50E" w14:textId="77777777" w:rsidR="002649F0" w:rsidRPr="006D1C74" w:rsidRDefault="00B65A5D"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6D1C74">
        <w:rPr>
          <w:rFonts w:asciiTheme="majorHAnsi" w:hAnsiTheme="majorHAnsi"/>
          <w:sz w:val="20"/>
          <w:szCs w:val="20"/>
          <w:lang w:val="pt-BR"/>
        </w:rPr>
        <w:t>Em</w:t>
      </w:r>
      <w:r w:rsidR="002649F0" w:rsidRPr="006D1C74">
        <w:rPr>
          <w:rFonts w:asciiTheme="majorHAnsi" w:hAnsiTheme="majorHAnsi"/>
          <w:sz w:val="20"/>
          <w:szCs w:val="20"/>
          <w:lang w:val="pt-BR"/>
        </w:rPr>
        <w:t xml:space="preserve"> 22 de </w:t>
      </w:r>
      <w:r w:rsidR="00C6461F" w:rsidRPr="006D1C74">
        <w:rPr>
          <w:rFonts w:asciiTheme="majorHAnsi" w:hAnsiTheme="majorHAnsi"/>
          <w:sz w:val="20"/>
          <w:szCs w:val="20"/>
          <w:lang w:val="pt-BR"/>
        </w:rPr>
        <w:t>maio</w:t>
      </w:r>
      <w:r w:rsidR="002649F0" w:rsidRPr="006D1C74">
        <w:rPr>
          <w:rFonts w:asciiTheme="majorHAnsi" w:hAnsiTheme="majorHAnsi"/>
          <w:sz w:val="20"/>
          <w:szCs w:val="20"/>
          <w:lang w:val="pt-BR"/>
        </w:rPr>
        <w:t xml:space="preserve"> de 2000, Joel de Lima Santa Ana prest</w:t>
      </w:r>
      <w:r w:rsidR="00D63EE2" w:rsidRPr="006D1C74">
        <w:rPr>
          <w:rFonts w:asciiTheme="majorHAnsi" w:hAnsiTheme="majorHAnsi"/>
          <w:sz w:val="20"/>
          <w:szCs w:val="20"/>
          <w:lang w:val="pt-BR"/>
        </w:rPr>
        <w:t>ou</w:t>
      </w:r>
      <w:r w:rsidR="002649F0" w:rsidRPr="006D1C74">
        <w:rPr>
          <w:rFonts w:asciiTheme="majorHAnsi" w:hAnsiTheme="majorHAnsi"/>
          <w:sz w:val="20"/>
          <w:szCs w:val="20"/>
          <w:lang w:val="pt-BR"/>
        </w:rPr>
        <w:t xml:space="preserve"> declara</w:t>
      </w:r>
      <w:r w:rsidR="00CF037E" w:rsidRPr="006D1C74">
        <w:rPr>
          <w:rFonts w:asciiTheme="majorHAnsi" w:hAnsiTheme="majorHAnsi"/>
          <w:sz w:val="20"/>
          <w:szCs w:val="20"/>
          <w:lang w:val="pt-BR"/>
        </w:rPr>
        <w:t xml:space="preserve">ção e </w:t>
      </w:r>
      <w:r w:rsidR="00D63EE2" w:rsidRPr="006D1C74">
        <w:rPr>
          <w:rFonts w:asciiTheme="majorHAnsi" w:hAnsiTheme="majorHAnsi"/>
          <w:sz w:val="20"/>
          <w:szCs w:val="20"/>
          <w:lang w:val="pt-BR"/>
        </w:rPr>
        <w:t>a</w:t>
      </w:r>
      <w:r w:rsidR="002649F0" w:rsidRPr="006D1C74">
        <w:rPr>
          <w:rFonts w:asciiTheme="majorHAnsi" w:hAnsiTheme="majorHAnsi"/>
          <w:sz w:val="20"/>
          <w:szCs w:val="20"/>
          <w:lang w:val="pt-BR"/>
        </w:rPr>
        <w:t>present</w:t>
      </w:r>
      <w:r w:rsidR="00D63EE2" w:rsidRPr="006D1C74">
        <w:rPr>
          <w:rFonts w:asciiTheme="majorHAnsi" w:hAnsiTheme="majorHAnsi"/>
          <w:sz w:val="20"/>
          <w:szCs w:val="20"/>
          <w:lang w:val="pt-BR"/>
        </w:rPr>
        <w:t>ou</w:t>
      </w:r>
      <w:r w:rsidR="002649F0" w:rsidRPr="006D1C74">
        <w:rPr>
          <w:rFonts w:asciiTheme="majorHAnsi" w:hAnsiTheme="majorHAnsi"/>
          <w:sz w:val="20"/>
          <w:szCs w:val="20"/>
          <w:lang w:val="pt-BR"/>
        </w:rPr>
        <w:t xml:space="preserve"> su</w:t>
      </w:r>
      <w:r w:rsidR="00D63EE2" w:rsidRPr="006D1C74">
        <w:rPr>
          <w:rFonts w:asciiTheme="majorHAnsi" w:hAnsiTheme="majorHAnsi"/>
          <w:sz w:val="20"/>
          <w:szCs w:val="20"/>
          <w:lang w:val="pt-BR"/>
        </w:rPr>
        <w:t>a</w:t>
      </w:r>
      <w:r w:rsidR="002649F0" w:rsidRPr="006D1C74">
        <w:rPr>
          <w:rFonts w:asciiTheme="majorHAnsi" w:hAnsiTheme="majorHAnsi"/>
          <w:sz w:val="20"/>
          <w:szCs w:val="20"/>
          <w:lang w:val="pt-BR"/>
        </w:rPr>
        <w:t xml:space="preserve"> ver</w:t>
      </w:r>
      <w:r w:rsidR="0094446B" w:rsidRPr="006D1C74">
        <w:rPr>
          <w:rFonts w:asciiTheme="majorHAnsi" w:hAnsiTheme="majorHAnsi"/>
          <w:sz w:val="20"/>
          <w:szCs w:val="20"/>
          <w:lang w:val="pt-BR"/>
        </w:rPr>
        <w:t>são</w:t>
      </w:r>
      <w:r w:rsidR="00700267" w:rsidRPr="006D1C74">
        <w:rPr>
          <w:rFonts w:asciiTheme="majorHAnsi" w:hAnsiTheme="majorHAnsi"/>
          <w:sz w:val="20"/>
          <w:szCs w:val="20"/>
          <w:lang w:val="pt-BR"/>
        </w:rPr>
        <w:t xml:space="preserve"> dos </w:t>
      </w:r>
      <w:r w:rsidR="00F37852" w:rsidRPr="006D1C74">
        <w:rPr>
          <w:rFonts w:asciiTheme="majorHAnsi" w:hAnsiTheme="majorHAnsi"/>
          <w:color w:val="000000"/>
          <w:sz w:val="20"/>
          <w:szCs w:val="20"/>
          <w:lang w:val="pt-BR"/>
        </w:rPr>
        <w:t>fato</w:t>
      </w:r>
      <w:r w:rsidR="002649F0" w:rsidRPr="006D1C74">
        <w:rPr>
          <w:rFonts w:asciiTheme="majorHAnsi" w:hAnsiTheme="majorHAnsi"/>
          <w:color w:val="000000"/>
          <w:sz w:val="20"/>
          <w:szCs w:val="20"/>
          <w:lang w:val="pt-BR"/>
        </w:rPr>
        <w:t>s, que</w:t>
      </w:r>
      <w:r w:rsidR="00CA7940" w:rsidRPr="006D1C74">
        <w:rPr>
          <w:rFonts w:asciiTheme="majorHAnsi" w:hAnsiTheme="majorHAnsi"/>
          <w:color w:val="000000"/>
          <w:sz w:val="20"/>
          <w:szCs w:val="20"/>
          <w:lang w:val="pt-BR"/>
        </w:rPr>
        <w:t xml:space="preserve"> foi </w:t>
      </w:r>
      <w:r w:rsidR="002649F0" w:rsidRPr="006D1C74">
        <w:rPr>
          <w:rFonts w:asciiTheme="majorHAnsi" w:hAnsiTheme="majorHAnsi"/>
          <w:color w:val="000000"/>
          <w:sz w:val="20"/>
          <w:szCs w:val="20"/>
          <w:lang w:val="pt-BR"/>
        </w:rPr>
        <w:t>corroborada</w:t>
      </w:r>
      <w:r w:rsidR="00F37852" w:rsidRPr="006D1C74">
        <w:rPr>
          <w:rFonts w:asciiTheme="majorHAnsi" w:hAnsiTheme="majorHAnsi"/>
          <w:color w:val="000000"/>
          <w:sz w:val="20"/>
          <w:szCs w:val="20"/>
          <w:lang w:val="pt-BR"/>
        </w:rPr>
        <w:t xml:space="preserve"> pelas </w:t>
      </w:r>
      <w:r w:rsidR="002649F0" w:rsidRPr="006D1C74">
        <w:rPr>
          <w:rFonts w:asciiTheme="majorHAnsi" w:hAnsiTheme="majorHAnsi"/>
          <w:color w:val="000000"/>
          <w:sz w:val="20"/>
          <w:szCs w:val="20"/>
          <w:lang w:val="pt-BR"/>
        </w:rPr>
        <w:t>declara</w:t>
      </w:r>
      <w:r w:rsidR="00CF037E" w:rsidRPr="006D1C74">
        <w:rPr>
          <w:rFonts w:asciiTheme="majorHAnsi" w:hAnsiTheme="majorHAnsi"/>
          <w:color w:val="000000"/>
          <w:sz w:val="20"/>
          <w:szCs w:val="20"/>
          <w:lang w:val="pt-BR"/>
        </w:rPr>
        <w:t>ções</w:t>
      </w:r>
      <w:r w:rsidR="00700267" w:rsidRPr="006D1C74">
        <w:rPr>
          <w:rFonts w:asciiTheme="majorHAnsi" w:hAnsiTheme="majorHAnsi"/>
          <w:color w:val="000000"/>
          <w:sz w:val="20"/>
          <w:szCs w:val="20"/>
          <w:lang w:val="pt-BR"/>
        </w:rPr>
        <w:t xml:space="preserve"> dos </w:t>
      </w:r>
      <w:r w:rsidR="002649F0" w:rsidRPr="006D1C74">
        <w:rPr>
          <w:rFonts w:asciiTheme="majorHAnsi" w:hAnsiTheme="majorHAnsi"/>
          <w:color w:val="000000"/>
          <w:sz w:val="20"/>
          <w:szCs w:val="20"/>
          <w:lang w:val="pt-BR"/>
        </w:rPr>
        <w:t>soldados</w:t>
      </w:r>
      <w:r w:rsidR="00030019" w:rsidRPr="006D1C74">
        <w:rPr>
          <w:rFonts w:asciiTheme="majorHAnsi" w:hAnsiTheme="majorHAnsi"/>
          <w:color w:val="000000"/>
          <w:sz w:val="20"/>
          <w:szCs w:val="20"/>
          <w:lang w:val="pt-BR"/>
        </w:rPr>
        <w:t xml:space="preserve"> do </w:t>
      </w:r>
      <w:r w:rsidR="002649F0" w:rsidRPr="006D1C74">
        <w:rPr>
          <w:rFonts w:asciiTheme="majorHAnsi" w:hAnsiTheme="majorHAnsi"/>
          <w:color w:val="000000"/>
          <w:sz w:val="20"/>
          <w:szCs w:val="20"/>
          <w:lang w:val="pt-BR"/>
        </w:rPr>
        <w:t>m</w:t>
      </w:r>
      <w:r w:rsidR="00D63EE2" w:rsidRPr="006D1C74">
        <w:rPr>
          <w:rFonts w:asciiTheme="majorHAnsi" w:hAnsiTheme="majorHAnsi"/>
          <w:color w:val="000000"/>
          <w:sz w:val="20"/>
          <w:szCs w:val="20"/>
          <w:lang w:val="pt-BR"/>
        </w:rPr>
        <w:t>e</w:t>
      </w:r>
      <w:r w:rsidR="002649F0" w:rsidRPr="006D1C74">
        <w:rPr>
          <w:rFonts w:asciiTheme="majorHAnsi" w:hAnsiTheme="majorHAnsi"/>
          <w:color w:val="000000"/>
          <w:sz w:val="20"/>
          <w:szCs w:val="20"/>
          <w:lang w:val="pt-BR"/>
        </w:rPr>
        <w:t xml:space="preserve">smo </w:t>
      </w:r>
      <w:r w:rsidR="00D63EE2" w:rsidRPr="006D1C74">
        <w:rPr>
          <w:rFonts w:asciiTheme="majorHAnsi" w:hAnsiTheme="majorHAnsi"/>
          <w:color w:val="000000"/>
          <w:sz w:val="20"/>
          <w:szCs w:val="20"/>
          <w:lang w:val="pt-BR"/>
        </w:rPr>
        <w:t>gru</w:t>
      </w:r>
      <w:r w:rsidR="002649F0" w:rsidRPr="006D1C74">
        <w:rPr>
          <w:rFonts w:asciiTheme="majorHAnsi" w:hAnsiTheme="majorHAnsi"/>
          <w:color w:val="000000"/>
          <w:sz w:val="20"/>
          <w:szCs w:val="20"/>
          <w:lang w:val="pt-BR"/>
        </w:rPr>
        <w:t>po,</w:t>
      </w:r>
      <w:r w:rsidR="00FC2F62" w:rsidRPr="006D1C74">
        <w:rPr>
          <w:rFonts w:asciiTheme="majorHAnsi" w:hAnsiTheme="majorHAnsi"/>
          <w:color w:val="000000"/>
          <w:sz w:val="20"/>
          <w:szCs w:val="20"/>
          <w:lang w:val="pt-BR"/>
        </w:rPr>
        <w:t xml:space="preserve"> no </w:t>
      </w:r>
      <w:r w:rsidR="002649F0" w:rsidRPr="006D1C74">
        <w:rPr>
          <w:rFonts w:asciiTheme="majorHAnsi" w:hAnsiTheme="majorHAnsi"/>
          <w:color w:val="000000"/>
          <w:sz w:val="20"/>
          <w:szCs w:val="20"/>
          <w:lang w:val="pt-BR"/>
        </w:rPr>
        <w:t>sentido de que</w:t>
      </w:r>
      <w:r w:rsidR="00700267" w:rsidRPr="006D1C74">
        <w:rPr>
          <w:rFonts w:asciiTheme="majorHAnsi" w:hAnsiTheme="majorHAnsi"/>
          <w:color w:val="000000"/>
          <w:sz w:val="20"/>
          <w:szCs w:val="20"/>
          <w:lang w:val="pt-BR"/>
        </w:rPr>
        <w:t xml:space="preserve"> os </w:t>
      </w:r>
      <w:r w:rsidR="002649F0" w:rsidRPr="006D1C74">
        <w:rPr>
          <w:rFonts w:asciiTheme="majorHAnsi" w:hAnsiTheme="majorHAnsi"/>
          <w:color w:val="000000"/>
          <w:sz w:val="20"/>
          <w:szCs w:val="20"/>
          <w:lang w:val="pt-BR"/>
        </w:rPr>
        <w:t xml:space="preserve">manifestantes </w:t>
      </w:r>
      <w:r w:rsidR="00D63EE2" w:rsidRPr="006D1C74">
        <w:rPr>
          <w:rFonts w:asciiTheme="majorHAnsi" w:hAnsiTheme="majorHAnsi"/>
          <w:color w:val="000000"/>
          <w:sz w:val="20"/>
          <w:szCs w:val="20"/>
          <w:lang w:val="pt-BR"/>
        </w:rPr>
        <w:t>en</w:t>
      </w:r>
      <w:r w:rsidR="002649F0" w:rsidRPr="006D1C74">
        <w:rPr>
          <w:rFonts w:asciiTheme="majorHAnsi" w:hAnsiTheme="majorHAnsi"/>
          <w:color w:val="000000"/>
          <w:sz w:val="20"/>
          <w:szCs w:val="20"/>
          <w:lang w:val="pt-BR"/>
        </w:rPr>
        <w:t>c</w:t>
      </w:r>
      <w:r w:rsidR="00D63EE2" w:rsidRPr="006D1C74">
        <w:rPr>
          <w:rFonts w:asciiTheme="majorHAnsi" w:hAnsiTheme="majorHAnsi"/>
          <w:color w:val="000000"/>
          <w:sz w:val="20"/>
          <w:szCs w:val="20"/>
          <w:lang w:val="pt-BR"/>
        </w:rPr>
        <w:t>u</w:t>
      </w:r>
      <w:r w:rsidR="002649F0" w:rsidRPr="006D1C74">
        <w:rPr>
          <w:rFonts w:asciiTheme="majorHAnsi" w:hAnsiTheme="majorHAnsi"/>
          <w:color w:val="000000"/>
          <w:sz w:val="20"/>
          <w:szCs w:val="20"/>
          <w:lang w:val="pt-BR"/>
        </w:rPr>
        <w:t>rralar</w:t>
      </w:r>
      <w:r w:rsidR="00D63EE2" w:rsidRPr="006D1C74">
        <w:rPr>
          <w:rFonts w:asciiTheme="majorHAnsi" w:hAnsiTheme="majorHAnsi"/>
          <w:color w:val="000000"/>
          <w:sz w:val="20"/>
          <w:szCs w:val="20"/>
          <w:lang w:val="pt-BR"/>
        </w:rPr>
        <w:t xml:space="preserve">am </w:t>
      </w:r>
      <w:r w:rsidR="00135454" w:rsidRPr="006D1C74">
        <w:rPr>
          <w:rFonts w:asciiTheme="majorHAnsi" w:hAnsiTheme="majorHAnsi"/>
          <w:color w:val="000000"/>
          <w:sz w:val="20"/>
          <w:szCs w:val="20"/>
          <w:lang w:val="pt-BR"/>
        </w:rPr>
        <w:t xml:space="preserve">os </w:t>
      </w:r>
      <w:r w:rsidR="002649F0" w:rsidRPr="006D1C74">
        <w:rPr>
          <w:rFonts w:asciiTheme="majorHAnsi" w:hAnsiTheme="majorHAnsi"/>
          <w:color w:val="000000"/>
          <w:sz w:val="20"/>
          <w:szCs w:val="20"/>
          <w:lang w:val="pt-BR"/>
        </w:rPr>
        <w:t xml:space="preserve">agentes de </w:t>
      </w:r>
      <w:r w:rsidR="00F37852" w:rsidRPr="006D1C74">
        <w:rPr>
          <w:rFonts w:asciiTheme="majorHAnsi" w:hAnsiTheme="majorHAnsi"/>
          <w:color w:val="000000"/>
          <w:sz w:val="20"/>
          <w:szCs w:val="20"/>
          <w:lang w:val="pt-BR"/>
        </w:rPr>
        <w:t>polícia</w:t>
      </w:r>
      <w:r w:rsidR="00CF037E" w:rsidRPr="006D1C74">
        <w:rPr>
          <w:rFonts w:asciiTheme="majorHAnsi" w:hAnsiTheme="majorHAnsi"/>
          <w:color w:val="000000"/>
          <w:sz w:val="20"/>
          <w:szCs w:val="20"/>
          <w:lang w:val="pt-BR"/>
        </w:rPr>
        <w:t xml:space="preserve"> e </w:t>
      </w:r>
      <w:r w:rsidR="002649F0" w:rsidRPr="006D1C74">
        <w:rPr>
          <w:rFonts w:asciiTheme="majorHAnsi" w:hAnsiTheme="majorHAnsi"/>
          <w:color w:val="000000"/>
          <w:sz w:val="20"/>
          <w:szCs w:val="20"/>
          <w:lang w:val="pt-BR"/>
        </w:rPr>
        <w:t>come</w:t>
      </w:r>
      <w:r w:rsidR="00D63EE2" w:rsidRPr="006D1C74">
        <w:rPr>
          <w:rFonts w:asciiTheme="majorHAnsi" w:hAnsiTheme="majorHAnsi"/>
          <w:color w:val="000000"/>
          <w:sz w:val="20"/>
          <w:szCs w:val="20"/>
          <w:lang w:val="pt-BR"/>
        </w:rPr>
        <w:t>çaram</w:t>
      </w:r>
      <w:r w:rsidR="002649F0" w:rsidRPr="006D1C74">
        <w:rPr>
          <w:rFonts w:asciiTheme="majorHAnsi" w:hAnsiTheme="majorHAnsi"/>
          <w:color w:val="000000"/>
          <w:sz w:val="20"/>
          <w:szCs w:val="20"/>
          <w:lang w:val="pt-BR"/>
        </w:rPr>
        <w:t xml:space="preserve"> a agredi</w:t>
      </w:r>
      <w:r w:rsidR="00D63EE2" w:rsidRPr="006D1C74">
        <w:rPr>
          <w:rFonts w:asciiTheme="majorHAnsi" w:hAnsiTheme="majorHAnsi"/>
          <w:color w:val="000000"/>
          <w:sz w:val="20"/>
          <w:szCs w:val="20"/>
          <w:lang w:val="pt-BR"/>
        </w:rPr>
        <w:t>-</w:t>
      </w:r>
      <w:r w:rsidR="002649F0" w:rsidRPr="006D1C74">
        <w:rPr>
          <w:rFonts w:asciiTheme="majorHAnsi" w:hAnsiTheme="majorHAnsi"/>
          <w:color w:val="000000"/>
          <w:sz w:val="20"/>
          <w:szCs w:val="20"/>
          <w:lang w:val="pt-BR"/>
        </w:rPr>
        <w:t>los</w:t>
      </w:r>
      <w:r w:rsidR="00CF037E" w:rsidRPr="006D1C74">
        <w:rPr>
          <w:rFonts w:asciiTheme="majorHAnsi" w:hAnsiTheme="majorHAnsi"/>
          <w:color w:val="000000"/>
          <w:sz w:val="20"/>
          <w:szCs w:val="20"/>
          <w:lang w:val="pt-BR"/>
        </w:rPr>
        <w:t xml:space="preserve"> e </w:t>
      </w:r>
      <w:r w:rsidR="002649F0" w:rsidRPr="006D1C74">
        <w:rPr>
          <w:rFonts w:asciiTheme="majorHAnsi" w:hAnsiTheme="majorHAnsi"/>
          <w:color w:val="000000"/>
          <w:sz w:val="20"/>
          <w:szCs w:val="20"/>
          <w:lang w:val="pt-BR"/>
        </w:rPr>
        <w:t>que</w:t>
      </w:r>
      <w:r w:rsidR="00700267" w:rsidRPr="006D1C74">
        <w:rPr>
          <w:rFonts w:asciiTheme="majorHAnsi" w:hAnsiTheme="majorHAnsi"/>
          <w:color w:val="000000"/>
          <w:sz w:val="20"/>
          <w:szCs w:val="20"/>
          <w:lang w:val="pt-BR"/>
        </w:rPr>
        <w:t xml:space="preserve"> os </w:t>
      </w:r>
      <w:r w:rsidR="002649F0" w:rsidRPr="006D1C74">
        <w:rPr>
          <w:rFonts w:asciiTheme="majorHAnsi" w:hAnsiTheme="majorHAnsi"/>
          <w:color w:val="000000"/>
          <w:sz w:val="20"/>
          <w:szCs w:val="20"/>
          <w:lang w:val="pt-BR"/>
        </w:rPr>
        <w:t>disparos f</w:t>
      </w:r>
      <w:r w:rsidR="00D63EE2" w:rsidRPr="006D1C74">
        <w:rPr>
          <w:rFonts w:asciiTheme="majorHAnsi" w:hAnsiTheme="majorHAnsi"/>
          <w:color w:val="000000"/>
          <w:sz w:val="20"/>
          <w:szCs w:val="20"/>
          <w:lang w:val="pt-BR"/>
        </w:rPr>
        <w:t>oram</w:t>
      </w:r>
      <w:r w:rsidR="002649F0" w:rsidRPr="006D1C74">
        <w:rPr>
          <w:rFonts w:asciiTheme="majorHAnsi" w:hAnsiTheme="majorHAnsi"/>
          <w:color w:val="000000"/>
          <w:sz w:val="20"/>
          <w:szCs w:val="20"/>
          <w:lang w:val="pt-BR"/>
        </w:rPr>
        <w:t xml:space="preserve"> efetuados porque</w:t>
      </w:r>
      <w:r w:rsidR="00700267" w:rsidRPr="006D1C74">
        <w:rPr>
          <w:rFonts w:asciiTheme="majorHAnsi" w:hAnsiTheme="majorHAnsi"/>
          <w:color w:val="000000"/>
          <w:sz w:val="20"/>
          <w:szCs w:val="20"/>
          <w:lang w:val="pt-BR"/>
        </w:rPr>
        <w:t xml:space="preserve"> os </w:t>
      </w:r>
      <w:r w:rsidR="002649F0" w:rsidRPr="006D1C74">
        <w:rPr>
          <w:rFonts w:asciiTheme="majorHAnsi" w:hAnsiTheme="majorHAnsi"/>
          <w:color w:val="000000"/>
          <w:sz w:val="20"/>
          <w:szCs w:val="20"/>
          <w:lang w:val="pt-BR"/>
        </w:rPr>
        <w:t>manifestantes agarrar</w:t>
      </w:r>
      <w:r w:rsidR="00D63EE2" w:rsidRPr="006D1C74">
        <w:rPr>
          <w:rFonts w:asciiTheme="majorHAnsi" w:hAnsiTheme="majorHAnsi"/>
          <w:color w:val="000000"/>
          <w:sz w:val="20"/>
          <w:szCs w:val="20"/>
          <w:lang w:val="pt-BR"/>
        </w:rPr>
        <w:t xml:space="preserve">am </w:t>
      </w:r>
      <w:r w:rsidR="00217759" w:rsidRPr="006D1C74">
        <w:rPr>
          <w:rFonts w:asciiTheme="majorHAnsi" w:hAnsiTheme="majorHAnsi"/>
          <w:color w:val="000000"/>
          <w:sz w:val="20"/>
          <w:szCs w:val="20"/>
          <w:lang w:val="pt-BR"/>
        </w:rPr>
        <w:t xml:space="preserve">o </w:t>
      </w:r>
      <w:r w:rsidR="002649F0" w:rsidRPr="006D1C74">
        <w:rPr>
          <w:rFonts w:asciiTheme="majorHAnsi" w:hAnsiTheme="majorHAnsi"/>
          <w:color w:val="000000"/>
          <w:sz w:val="20"/>
          <w:szCs w:val="20"/>
          <w:lang w:val="pt-BR"/>
        </w:rPr>
        <w:t xml:space="preserve">cabo Galvão, o </w:t>
      </w:r>
      <w:r w:rsidR="00623C35" w:rsidRPr="006D1C74">
        <w:rPr>
          <w:rFonts w:asciiTheme="majorHAnsi" w:hAnsiTheme="majorHAnsi"/>
          <w:color w:val="000000"/>
          <w:sz w:val="20"/>
          <w:szCs w:val="20"/>
          <w:lang w:val="pt-BR"/>
        </w:rPr>
        <w:t>dominaram</w:t>
      </w:r>
      <w:r w:rsidR="00CF037E" w:rsidRPr="006D1C74">
        <w:rPr>
          <w:rFonts w:asciiTheme="majorHAnsi" w:hAnsiTheme="majorHAnsi"/>
          <w:color w:val="000000"/>
          <w:sz w:val="20"/>
          <w:szCs w:val="20"/>
          <w:lang w:val="pt-BR"/>
        </w:rPr>
        <w:t xml:space="preserve"> e </w:t>
      </w:r>
      <w:r w:rsidR="002649F0" w:rsidRPr="006D1C74">
        <w:rPr>
          <w:rFonts w:asciiTheme="majorHAnsi" w:hAnsiTheme="majorHAnsi"/>
          <w:color w:val="000000"/>
          <w:sz w:val="20"/>
          <w:szCs w:val="20"/>
          <w:lang w:val="pt-BR"/>
        </w:rPr>
        <w:t>ame</w:t>
      </w:r>
      <w:r w:rsidR="00D63EE2" w:rsidRPr="006D1C74">
        <w:rPr>
          <w:rFonts w:asciiTheme="majorHAnsi" w:hAnsiTheme="majorHAnsi"/>
          <w:color w:val="000000"/>
          <w:sz w:val="20"/>
          <w:szCs w:val="20"/>
          <w:lang w:val="pt-BR"/>
        </w:rPr>
        <w:t xml:space="preserve">açavam pegar sua </w:t>
      </w:r>
      <w:r w:rsidR="002649F0" w:rsidRPr="006D1C74">
        <w:rPr>
          <w:rFonts w:asciiTheme="majorHAnsi" w:hAnsiTheme="majorHAnsi"/>
          <w:color w:val="000000"/>
          <w:sz w:val="20"/>
          <w:szCs w:val="20"/>
          <w:lang w:val="pt-BR"/>
        </w:rPr>
        <w:t>arma</w:t>
      </w:r>
      <w:r w:rsidR="002649F0" w:rsidRPr="006D1C74">
        <w:rPr>
          <w:rFonts w:asciiTheme="majorHAnsi" w:hAnsiTheme="majorHAnsi"/>
          <w:color w:val="000000"/>
          <w:sz w:val="20"/>
          <w:szCs w:val="20"/>
          <w:vertAlign w:val="superscript"/>
          <w:lang w:val="pt-BR"/>
        </w:rPr>
        <w:footnoteReference w:id="33"/>
      </w:r>
      <w:r w:rsidR="002649F0" w:rsidRPr="006D1C74">
        <w:rPr>
          <w:rFonts w:asciiTheme="majorHAnsi" w:hAnsiTheme="majorHAnsi"/>
          <w:color w:val="000000"/>
          <w:sz w:val="20"/>
          <w:szCs w:val="20"/>
          <w:lang w:val="pt-BR"/>
        </w:rPr>
        <w:t>.</w:t>
      </w:r>
    </w:p>
    <w:p w14:paraId="34D44E7C" w14:textId="77777777" w:rsidR="00AE0DB8" w:rsidRPr="006D1C74" w:rsidRDefault="00AE0DB8" w:rsidP="00B87F4A">
      <w:pPr>
        <w:rPr>
          <w:rFonts w:asciiTheme="majorHAnsi" w:eastAsia="Batang" w:hAnsiTheme="majorHAnsi" w:cs="Cambria"/>
          <w:color w:val="000000"/>
          <w:sz w:val="20"/>
          <w:szCs w:val="20"/>
          <w:u w:color="000000"/>
          <w:bdr w:val="none" w:sz="0" w:space="0" w:color="auto"/>
          <w:lang w:val="pt-BR" w:eastAsia="es-ES"/>
        </w:rPr>
      </w:pPr>
    </w:p>
    <w:p w14:paraId="4FD3C363" w14:textId="77777777" w:rsidR="002649F0" w:rsidRPr="006D1C74" w:rsidRDefault="00D63EE2"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6D1C74">
        <w:rPr>
          <w:rFonts w:asciiTheme="majorHAnsi" w:eastAsia="Batang" w:hAnsiTheme="majorHAnsi"/>
          <w:sz w:val="20"/>
          <w:szCs w:val="20"/>
          <w:bdr w:val="none" w:sz="0" w:space="0" w:color="auto"/>
          <w:lang w:val="pt-BR"/>
        </w:rPr>
        <w:t>O</w:t>
      </w:r>
      <w:r w:rsidR="00700267" w:rsidRPr="006D1C74">
        <w:rPr>
          <w:rFonts w:asciiTheme="majorHAnsi" w:eastAsia="Batang" w:hAnsiTheme="majorHAnsi"/>
          <w:sz w:val="20"/>
          <w:szCs w:val="20"/>
          <w:bdr w:val="none" w:sz="0" w:space="0" w:color="auto"/>
          <w:lang w:val="pt-BR"/>
        </w:rPr>
        <w:t xml:space="preserve"> </w:t>
      </w:r>
      <w:r w:rsidR="00927E16" w:rsidRPr="006D1C74">
        <w:rPr>
          <w:rFonts w:asciiTheme="majorHAnsi" w:eastAsia="Batang" w:hAnsiTheme="majorHAnsi"/>
          <w:sz w:val="20"/>
          <w:szCs w:val="20"/>
          <w:bdr w:val="none" w:sz="0" w:space="0" w:color="auto"/>
          <w:lang w:val="pt-BR"/>
        </w:rPr>
        <w:t>relatório</w:t>
      </w:r>
      <w:r w:rsidR="002649F0" w:rsidRPr="006D1C74">
        <w:rPr>
          <w:rFonts w:asciiTheme="majorHAnsi" w:eastAsia="Batang" w:hAnsiTheme="majorHAnsi"/>
          <w:sz w:val="20"/>
          <w:szCs w:val="20"/>
          <w:bdr w:val="none" w:sz="0" w:space="0" w:color="auto"/>
          <w:lang w:val="pt-BR"/>
        </w:rPr>
        <w:t xml:space="preserve"> final</w:t>
      </w:r>
      <w:r w:rsidR="00795010" w:rsidRPr="006D1C74">
        <w:rPr>
          <w:rFonts w:asciiTheme="majorHAnsi" w:eastAsia="Batang" w:hAnsiTheme="majorHAnsi"/>
          <w:sz w:val="20"/>
          <w:szCs w:val="20"/>
          <w:bdr w:val="none" w:sz="0" w:space="0" w:color="auto"/>
          <w:lang w:val="pt-BR"/>
        </w:rPr>
        <w:t xml:space="preserve"> da </w:t>
      </w:r>
      <w:r w:rsidR="002649F0" w:rsidRPr="006D1C74">
        <w:rPr>
          <w:rFonts w:asciiTheme="majorHAnsi" w:eastAsia="Batang" w:hAnsiTheme="majorHAnsi"/>
          <w:sz w:val="20"/>
          <w:szCs w:val="20"/>
          <w:bdr w:val="none" w:sz="0" w:space="0" w:color="auto"/>
          <w:lang w:val="pt-BR"/>
        </w:rPr>
        <w:t>investiga</w:t>
      </w:r>
      <w:r w:rsidR="00CF037E" w:rsidRPr="006D1C74">
        <w:rPr>
          <w:rFonts w:asciiTheme="majorHAnsi" w:eastAsia="Batang" w:hAnsiTheme="majorHAnsi"/>
          <w:sz w:val="20"/>
          <w:szCs w:val="20"/>
          <w:bdr w:val="none" w:sz="0" w:space="0" w:color="auto"/>
          <w:lang w:val="pt-BR"/>
        </w:rPr>
        <w:t>ção</w:t>
      </w:r>
      <w:r w:rsidR="00795010" w:rsidRPr="006D1C74">
        <w:rPr>
          <w:rFonts w:asciiTheme="majorHAnsi" w:eastAsia="Batang" w:hAnsiTheme="majorHAnsi"/>
          <w:sz w:val="20"/>
          <w:szCs w:val="20"/>
          <w:bdr w:val="none" w:sz="0" w:space="0" w:color="auto"/>
          <w:lang w:val="pt-BR"/>
        </w:rPr>
        <w:t xml:space="preserve"> da </w:t>
      </w:r>
      <w:r w:rsidR="00F37852" w:rsidRPr="006D1C74">
        <w:rPr>
          <w:rFonts w:asciiTheme="majorHAnsi" w:eastAsia="Batang" w:hAnsiTheme="majorHAnsi"/>
          <w:sz w:val="20"/>
          <w:szCs w:val="20"/>
          <w:bdr w:val="none" w:sz="0" w:space="0" w:color="auto"/>
          <w:lang w:val="pt-BR"/>
        </w:rPr>
        <w:t>polícia</w:t>
      </w:r>
      <w:r w:rsidR="002649F0" w:rsidRPr="006D1C74">
        <w:rPr>
          <w:rFonts w:asciiTheme="majorHAnsi" w:eastAsia="Batang" w:hAnsiTheme="majorHAnsi"/>
          <w:sz w:val="20"/>
          <w:szCs w:val="20"/>
          <w:bdr w:val="none" w:sz="0" w:space="0" w:color="auto"/>
          <w:lang w:val="pt-BR"/>
        </w:rPr>
        <w:t xml:space="preserve"> militar No. 221/2000, de 13 de jul</w:t>
      </w:r>
      <w:r w:rsidRPr="006D1C74">
        <w:rPr>
          <w:rFonts w:asciiTheme="majorHAnsi" w:eastAsia="Batang" w:hAnsiTheme="majorHAnsi"/>
          <w:sz w:val="20"/>
          <w:szCs w:val="20"/>
          <w:bdr w:val="none" w:sz="0" w:space="0" w:color="auto"/>
          <w:lang w:val="pt-BR"/>
        </w:rPr>
        <w:t>h</w:t>
      </w:r>
      <w:r w:rsidR="002649F0" w:rsidRPr="006D1C74">
        <w:rPr>
          <w:rFonts w:asciiTheme="majorHAnsi" w:eastAsia="Batang" w:hAnsiTheme="majorHAnsi"/>
          <w:sz w:val="20"/>
          <w:szCs w:val="20"/>
          <w:bdr w:val="none" w:sz="0" w:space="0" w:color="auto"/>
          <w:lang w:val="pt-BR"/>
        </w:rPr>
        <w:t xml:space="preserve">o de 2000, </w:t>
      </w:r>
      <w:r w:rsidRPr="006D1C74">
        <w:rPr>
          <w:rFonts w:asciiTheme="majorHAnsi" w:eastAsia="Batang" w:hAnsiTheme="majorHAnsi"/>
          <w:sz w:val="20"/>
          <w:szCs w:val="20"/>
          <w:bdr w:val="none" w:sz="0" w:space="0" w:color="auto"/>
          <w:lang w:val="pt-BR"/>
        </w:rPr>
        <w:t>a</w:t>
      </w:r>
      <w:r w:rsidR="002649F0" w:rsidRPr="006D1C74">
        <w:rPr>
          <w:rFonts w:asciiTheme="majorHAnsi" w:eastAsia="Batang" w:hAnsiTheme="majorHAnsi"/>
          <w:sz w:val="20"/>
          <w:szCs w:val="20"/>
          <w:bdr w:val="none" w:sz="0" w:space="0" w:color="auto"/>
          <w:lang w:val="pt-BR"/>
        </w:rPr>
        <w:t>ss</w:t>
      </w:r>
      <w:r w:rsidRPr="006D1C74">
        <w:rPr>
          <w:rFonts w:asciiTheme="majorHAnsi" w:eastAsia="Batang" w:hAnsiTheme="majorHAnsi"/>
          <w:sz w:val="20"/>
          <w:szCs w:val="20"/>
          <w:bdr w:val="none" w:sz="0" w:space="0" w:color="auto"/>
          <w:lang w:val="pt-BR"/>
        </w:rPr>
        <w:t>in</w:t>
      </w:r>
      <w:r w:rsidR="002649F0" w:rsidRPr="006D1C74">
        <w:rPr>
          <w:rFonts w:asciiTheme="majorHAnsi" w:eastAsia="Batang" w:hAnsiTheme="majorHAnsi"/>
          <w:sz w:val="20"/>
          <w:szCs w:val="20"/>
          <w:bdr w:val="none" w:sz="0" w:space="0" w:color="auto"/>
          <w:lang w:val="pt-BR"/>
        </w:rPr>
        <w:t>ala que ha</w:t>
      </w:r>
      <w:r w:rsidRPr="006D1C74">
        <w:rPr>
          <w:rFonts w:asciiTheme="majorHAnsi" w:eastAsia="Batang" w:hAnsiTheme="majorHAnsi"/>
          <w:sz w:val="20"/>
          <w:szCs w:val="20"/>
          <w:bdr w:val="none" w:sz="0" w:space="0" w:color="auto"/>
          <w:lang w:val="pt-BR"/>
        </w:rPr>
        <w:t>v</w:t>
      </w:r>
      <w:r w:rsidR="00055622" w:rsidRPr="006D1C74">
        <w:rPr>
          <w:rFonts w:asciiTheme="majorHAnsi" w:eastAsia="Batang" w:hAnsiTheme="majorHAnsi"/>
          <w:sz w:val="20"/>
          <w:szCs w:val="20"/>
          <w:bdr w:val="none" w:sz="0" w:space="0" w:color="auto"/>
          <w:lang w:val="pt-BR"/>
        </w:rPr>
        <w:t>ia</w:t>
      </w:r>
      <w:r w:rsidR="002649F0" w:rsidRPr="006D1C74">
        <w:rPr>
          <w:rFonts w:asciiTheme="majorHAnsi" w:eastAsia="Batang" w:hAnsiTheme="majorHAnsi"/>
          <w:sz w:val="20"/>
          <w:szCs w:val="20"/>
          <w:bdr w:val="none" w:sz="0" w:space="0" w:color="auto"/>
          <w:lang w:val="pt-BR"/>
        </w:rPr>
        <w:t xml:space="preserve"> ind</w:t>
      </w:r>
      <w:r w:rsidRPr="006D1C74">
        <w:rPr>
          <w:rFonts w:asciiTheme="majorHAnsi" w:eastAsia="Batang" w:hAnsiTheme="majorHAnsi"/>
          <w:sz w:val="20"/>
          <w:szCs w:val="20"/>
          <w:bdr w:val="none" w:sz="0" w:space="0" w:color="auto"/>
          <w:lang w:val="pt-BR"/>
        </w:rPr>
        <w:t>í</w:t>
      </w:r>
      <w:r w:rsidR="002649F0" w:rsidRPr="006D1C74">
        <w:rPr>
          <w:rFonts w:asciiTheme="majorHAnsi" w:eastAsia="Batang" w:hAnsiTheme="majorHAnsi"/>
          <w:sz w:val="20"/>
          <w:szCs w:val="20"/>
          <w:bdr w:val="none" w:sz="0" w:space="0" w:color="auto"/>
          <w:lang w:val="pt-BR"/>
        </w:rPr>
        <w:t>cios de</w:t>
      </w:r>
      <w:r w:rsidR="00030019" w:rsidRPr="006D1C74">
        <w:rPr>
          <w:rFonts w:asciiTheme="majorHAnsi" w:eastAsia="Batang" w:hAnsiTheme="majorHAnsi"/>
          <w:sz w:val="20"/>
          <w:szCs w:val="20"/>
          <w:bdr w:val="none" w:sz="0" w:space="0" w:color="auto"/>
          <w:lang w:val="pt-BR"/>
        </w:rPr>
        <w:t xml:space="preserve"> um </w:t>
      </w:r>
      <w:r w:rsidR="002649F0" w:rsidRPr="006D1C74">
        <w:rPr>
          <w:rFonts w:asciiTheme="majorHAnsi" w:eastAsia="Batang" w:hAnsiTheme="majorHAnsi"/>
          <w:sz w:val="20"/>
          <w:szCs w:val="20"/>
          <w:bdr w:val="none" w:sz="0" w:space="0" w:color="auto"/>
          <w:lang w:val="pt-BR"/>
        </w:rPr>
        <w:t>delito militar imput</w:t>
      </w:r>
      <w:r w:rsidRPr="006D1C74">
        <w:rPr>
          <w:rFonts w:asciiTheme="majorHAnsi" w:eastAsia="Batang" w:hAnsiTheme="majorHAnsi"/>
          <w:sz w:val="20"/>
          <w:szCs w:val="20"/>
          <w:bdr w:val="none" w:sz="0" w:space="0" w:color="auto"/>
          <w:lang w:val="pt-BR"/>
        </w:rPr>
        <w:t>ável</w:t>
      </w:r>
      <w:r w:rsidR="00217759" w:rsidRPr="006D1C74">
        <w:rPr>
          <w:rFonts w:asciiTheme="majorHAnsi" w:eastAsia="Batang" w:hAnsiTheme="majorHAnsi"/>
          <w:sz w:val="20"/>
          <w:szCs w:val="20"/>
          <w:bdr w:val="none" w:sz="0" w:space="0" w:color="auto"/>
          <w:lang w:val="pt-BR"/>
        </w:rPr>
        <w:t xml:space="preserve"> ao </w:t>
      </w:r>
      <w:r w:rsidR="002649F0" w:rsidRPr="006D1C74">
        <w:rPr>
          <w:rFonts w:asciiTheme="majorHAnsi" w:eastAsia="Batang" w:hAnsiTheme="majorHAnsi"/>
          <w:sz w:val="20"/>
          <w:szCs w:val="20"/>
          <w:bdr w:val="none" w:sz="0" w:space="0" w:color="auto"/>
          <w:lang w:val="pt-BR"/>
        </w:rPr>
        <w:t xml:space="preserve">agente </w:t>
      </w:r>
      <w:r w:rsidR="002649F0" w:rsidRPr="006D1C74">
        <w:rPr>
          <w:rFonts w:asciiTheme="majorHAnsi" w:hAnsiTheme="majorHAnsi"/>
          <w:color w:val="000000"/>
          <w:sz w:val="20"/>
          <w:szCs w:val="20"/>
          <w:lang w:val="pt-BR"/>
        </w:rPr>
        <w:t>Joel de Lima Santa Ana</w:t>
      </w:r>
      <w:r w:rsidR="001A08C5" w:rsidRPr="006D1C74">
        <w:rPr>
          <w:rFonts w:asciiTheme="majorHAnsi" w:hAnsiTheme="majorHAnsi"/>
          <w:color w:val="000000"/>
          <w:sz w:val="20"/>
          <w:szCs w:val="20"/>
          <w:lang w:val="pt-BR"/>
        </w:rPr>
        <w:t xml:space="preserve"> “p</w:t>
      </w:r>
      <w:r w:rsidRPr="006D1C74">
        <w:rPr>
          <w:rFonts w:asciiTheme="majorHAnsi" w:hAnsiTheme="majorHAnsi"/>
          <w:color w:val="000000"/>
          <w:sz w:val="20"/>
          <w:szCs w:val="20"/>
          <w:lang w:val="pt-BR"/>
        </w:rPr>
        <w:t>el</w:t>
      </w:r>
      <w:r w:rsidR="00700267" w:rsidRPr="006D1C74">
        <w:rPr>
          <w:rFonts w:asciiTheme="majorHAnsi" w:hAnsiTheme="majorHAnsi"/>
          <w:color w:val="000000"/>
          <w:sz w:val="20"/>
          <w:szCs w:val="20"/>
          <w:lang w:val="pt-BR"/>
        </w:rPr>
        <w:t xml:space="preserve">a </w:t>
      </w:r>
      <w:r w:rsidR="00FC2F62" w:rsidRPr="006D1C74">
        <w:rPr>
          <w:rFonts w:asciiTheme="majorHAnsi" w:hAnsiTheme="majorHAnsi"/>
          <w:color w:val="000000"/>
          <w:sz w:val="20"/>
          <w:szCs w:val="20"/>
          <w:lang w:val="pt-BR"/>
        </w:rPr>
        <w:t>morte</w:t>
      </w:r>
      <w:r w:rsidR="00795010" w:rsidRPr="006D1C74">
        <w:rPr>
          <w:rFonts w:asciiTheme="majorHAnsi" w:hAnsiTheme="majorHAnsi"/>
          <w:color w:val="000000"/>
          <w:sz w:val="20"/>
          <w:szCs w:val="20"/>
          <w:lang w:val="pt-BR"/>
        </w:rPr>
        <w:t xml:space="preserve"> da vítima</w:t>
      </w:r>
      <w:r w:rsidR="001A08C5" w:rsidRPr="006D1C74">
        <w:rPr>
          <w:rFonts w:asciiTheme="majorHAnsi" w:hAnsiTheme="majorHAnsi"/>
          <w:color w:val="000000"/>
          <w:sz w:val="20"/>
          <w:szCs w:val="20"/>
          <w:lang w:val="pt-BR"/>
        </w:rPr>
        <w:t xml:space="preserve"> Antonio Tavares Pereira, </w:t>
      </w:r>
      <w:r w:rsidRPr="006D1C74">
        <w:rPr>
          <w:rFonts w:asciiTheme="majorHAnsi" w:hAnsiTheme="majorHAnsi"/>
          <w:color w:val="000000"/>
          <w:sz w:val="20"/>
          <w:szCs w:val="20"/>
          <w:lang w:val="pt-BR"/>
        </w:rPr>
        <w:t>embora</w:t>
      </w:r>
      <w:r w:rsidR="00F673C7" w:rsidRPr="006D1C74">
        <w:rPr>
          <w:rFonts w:asciiTheme="majorHAnsi" w:hAnsiTheme="majorHAnsi"/>
          <w:color w:val="000000"/>
          <w:sz w:val="20"/>
          <w:szCs w:val="20"/>
          <w:lang w:val="pt-BR"/>
        </w:rPr>
        <w:t xml:space="preserve"> em </w:t>
      </w:r>
      <w:r w:rsidR="001A08C5" w:rsidRPr="006D1C74">
        <w:rPr>
          <w:rFonts w:asciiTheme="majorHAnsi" w:hAnsiTheme="majorHAnsi"/>
          <w:color w:val="000000"/>
          <w:sz w:val="20"/>
          <w:szCs w:val="20"/>
          <w:lang w:val="pt-BR"/>
        </w:rPr>
        <w:t>circunst</w:t>
      </w:r>
      <w:r w:rsidRPr="006D1C74">
        <w:rPr>
          <w:rFonts w:asciiTheme="majorHAnsi" w:hAnsiTheme="majorHAnsi"/>
          <w:color w:val="000000"/>
          <w:sz w:val="20"/>
          <w:szCs w:val="20"/>
          <w:lang w:val="pt-BR"/>
        </w:rPr>
        <w:t>â</w:t>
      </w:r>
      <w:r w:rsidR="001A08C5" w:rsidRPr="006D1C74">
        <w:rPr>
          <w:rFonts w:asciiTheme="majorHAnsi" w:hAnsiTheme="majorHAnsi"/>
          <w:color w:val="000000"/>
          <w:sz w:val="20"/>
          <w:szCs w:val="20"/>
          <w:lang w:val="pt-BR"/>
        </w:rPr>
        <w:t>ncias cu</w:t>
      </w:r>
      <w:r w:rsidRPr="006D1C74">
        <w:rPr>
          <w:rFonts w:asciiTheme="majorHAnsi" w:hAnsiTheme="majorHAnsi"/>
          <w:color w:val="000000"/>
          <w:sz w:val="20"/>
          <w:szCs w:val="20"/>
          <w:lang w:val="pt-BR"/>
        </w:rPr>
        <w:t>j</w:t>
      </w:r>
      <w:r w:rsidR="001A08C5" w:rsidRPr="006D1C74">
        <w:rPr>
          <w:rFonts w:asciiTheme="majorHAnsi" w:hAnsiTheme="majorHAnsi"/>
          <w:color w:val="000000"/>
          <w:sz w:val="20"/>
          <w:szCs w:val="20"/>
          <w:lang w:val="pt-BR"/>
        </w:rPr>
        <w:t>a exclu</w:t>
      </w:r>
      <w:r w:rsidRPr="006D1C74">
        <w:rPr>
          <w:rFonts w:asciiTheme="majorHAnsi" w:hAnsiTheme="majorHAnsi"/>
          <w:color w:val="000000"/>
          <w:sz w:val="20"/>
          <w:szCs w:val="20"/>
          <w:lang w:val="pt-BR"/>
        </w:rPr>
        <w:t>d</w:t>
      </w:r>
      <w:r w:rsidR="001A08C5" w:rsidRPr="006D1C74">
        <w:rPr>
          <w:rFonts w:asciiTheme="majorHAnsi" w:hAnsiTheme="majorHAnsi"/>
          <w:color w:val="000000"/>
          <w:sz w:val="20"/>
          <w:szCs w:val="20"/>
          <w:lang w:val="pt-BR"/>
        </w:rPr>
        <w:t>ente se</w:t>
      </w:r>
      <w:r w:rsidRPr="006D1C74">
        <w:rPr>
          <w:rFonts w:asciiTheme="majorHAnsi" w:hAnsiTheme="majorHAnsi"/>
          <w:color w:val="000000"/>
          <w:sz w:val="20"/>
          <w:szCs w:val="20"/>
          <w:lang w:val="pt-BR"/>
        </w:rPr>
        <w:t>j</w:t>
      </w:r>
      <w:r w:rsidR="001A08C5" w:rsidRPr="006D1C74">
        <w:rPr>
          <w:rFonts w:asciiTheme="majorHAnsi" w:hAnsiTheme="majorHAnsi"/>
          <w:color w:val="000000"/>
          <w:sz w:val="20"/>
          <w:szCs w:val="20"/>
          <w:lang w:val="pt-BR"/>
        </w:rPr>
        <w:t>a razo</w:t>
      </w:r>
      <w:r w:rsidRPr="006D1C74">
        <w:rPr>
          <w:rFonts w:asciiTheme="majorHAnsi" w:hAnsiTheme="majorHAnsi"/>
          <w:color w:val="000000"/>
          <w:sz w:val="20"/>
          <w:szCs w:val="20"/>
          <w:lang w:val="pt-BR"/>
        </w:rPr>
        <w:t xml:space="preserve">ável </w:t>
      </w:r>
      <w:r w:rsidR="00AE0DB8" w:rsidRPr="006D1C74">
        <w:rPr>
          <w:rFonts w:asciiTheme="majorHAnsi" w:hAnsiTheme="majorHAnsi"/>
          <w:color w:val="000000"/>
          <w:sz w:val="20"/>
          <w:szCs w:val="20"/>
          <w:lang w:val="pt-BR"/>
        </w:rPr>
        <w:t>que</w:t>
      </w:r>
      <w:r w:rsidR="00700267" w:rsidRPr="006D1C74">
        <w:rPr>
          <w:rFonts w:asciiTheme="majorHAnsi" w:hAnsiTheme="majorHAnsi"/>
          <w:color w:val="000000"/>
          <w:sz w:val="20"/>
          <w:szCs w:val="20"/>
          <w:lang w:val="pt-BR"/>
        </w:rPr>
        <w:t xml:space="preserve"> a </w:t>
      </w:r>
      <w:r w:rsidR="00795010" w:rsidRPr="006D1C74">
        <w:rPr>
          <w:rFonts w:asciiTheme="majorHAnsi" w:hAnsiTheme="majorHAnsi"/>
          <w:color w:val="000000"/>
          <w:sz w:val="20"/>
          <w:szCs w:val="20"/>
          <w:lang w:val="pt-BR"/>
        </w:rPr>
        <w:t>justiça</w:t>
      </w:r>
      <w:r w:rsidR="001A08C5" w:rsidRPr="006D1C74">
        <w:rPr>
          <w:rFonts w:asciiTheme="majorHAnsi" w:hAnsiTheme="majorHAnsi"/>
          <w:color w:val="000000"/>
          <w:sz w:val="20"/>
          <w:szCs w:val="20"/>
          <w:lang w:val="pt-BR"/>
        </w:rPr>
        <w:t xml:space="preserve"> verifi</w:t>
      </w:r>
      <w:r w:rsidR="00AE0DB8" w:rsidRPr="006D1C74">
        <w:rPr>
          <w:rFonts w:asciiTheme="majorHAnsi" w:hAnsiTheme="majorHAnsi"/>
          <w:color w:val="000000"/>
          <w:sz w:val="20"/>
          <w:szCs w:val="20"/>
          <w:lang w:val="pt-BR"/>
        </w:rPr>
        <w:t>que</w:t>
      </w:r>
      <w:r w:rsidR="001A08C5" w:rsidRPr="006D1C74">
        <w:rPr>
          <w:rFonts w:asciiTheme="majorHAnsi" w:hAnsiTheme="majorHAnsi"/>
          <w:color w:val="000000"/>
          <w:sz w:val="20"/>
          <w:szCs w:val="20"/>
          <w:lang w:val="pt-BR"/>
        </w:rPr>
        <w:t>”</w:t>
      </w:r>
      <w:r w:rsidR="002649F0" w:rsidRPr="006D1C74">
        <w:rPr>
          <w:rFonts w:asciiTheme="majorHAnsi" w:hAnsiTheme="majorHAnsi"/>
          <w:color w:val="000000"/>
          <w:sz w:val="20"/>
          <w:szCs w:val="20"/>
          <w:vertAlign w:val="superscript"/>
          <w:lang w:val="pt-BR"/>
        </w:rPr>
        <w:footnoteReference w:id="34"/>
      </w:r>
      <w:r w:rsidR="002649F0" w:rsidRPr="006D1C74">
        <w:rPr>
          <w:rFonts w:asciiTheme="majorHAnsi" w:hAnsiTheme="majorHAnsi"/>
          <w:color w:val="000000"/>
          <w:sz w:val="20"/>
          <w:szCs w:val="20"/>
          <w:lang w:val="pt-BR"/>
        </w:rPr>
        <w:t xml:space="preserve">. </w:t>
      </w:r>
    </w:p>
    <w:p w14:paraId="09FB8CBA"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sz w:val="20"/>
          <w:szCs w:val="20"/>
          <w:bdr w:val="none" w:sz="0" w:space="0" w:color="auto"/>
          <w:lang w:val="pt-BR"/>
        </w:rPr>
      </w:pPr>
    </w:p>
    <w:p w14:paraId="1252744B" w14:textId="77777777" w:rsidR="002649F0" w:rsidRPr="006D1C74" w:rsidRDefault="00B65A5D"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6D1C74">
        <w:rPr>
          <w:rFonts w:asciiTheme="majorHAnsi" w:eastAsia="Batang" w:hAnsiTheme="majorHAnsi"/>
          <w:sz w:val="20"/>
          <w:szCs w:val="20"/>
          <w:bdr w:val="none" w:sz="0" w:space="0" w:color="auto"/>
          <w:lang w:val="pt-BR"/>
        </w:rPr>
        <w:t>Em</w:t>
      </w:r>
      <w:r w:rsidR="002649F0" w:rsidRPr="006D1C74">
        <w:rPr>
          <w:rFonts w:asciiTheme="majorHAnsi" w:eastAsia="Batang" w:hAnsiTheme="majorHAnsi"/>
          <w:sz w:val="20"/>
          <w:szCs w:val="20"/>
          <w:bdr w:val="none" w:sz="0" w:space="0" w:color="auto"/>
          <w:lang w:val="pt-BR"/>
        </w:rPr>
        <w:t xml:space="preserve"> 9 de </w:t>
      </w:r>
      <w:r w:rsidR="00055622" w:rsidRPr="006D1C74">
        <w:rPr>
          <w:rFonts w:asciiTheme="majorHAnsi" w:eastAsia="Batang" w:hAnsiTheme="majorHAnsi"/>
          <w:sz w:val="20"/>
          <w:szCs w:val="20"/>
          <w:bdr w:val="none" w:sz="0" w:space="0" w:color="auto"/>
          <w:lang w:val="pt-BR"/>
        </w:rPr>
        <w:t>outubro</w:t>
      </w:r>
      <w:r w:rsidR="002649F0" w:rsidRPr="006D1C74">
        <w:rPr>
          <w:rFonts w:asciiTheme="majorHAnsi" w:eastAsia="Batang" w:hAnsiTheme="majorHAnsi"/>
          <w:sz w:val="20"/>
          <w:szCs w:val="20"/>
          <w:bdr w:val="none" w:sz="0" w:space="0" w:color="auto"/>
          <w:lang w:val="pt-BR"/>
        </w:rPr>
        <w:t xml:space="preserve"> de 2000, </w:t>
      </w:r>
      <w:r w:rsidR="00616640" w:rsidRPr="006D1C74">
        <w:rPr>
          <w:rFonts w:asciiTheme="majorHAnsi" w:eastAsia="Batang" w:hAnsiTheme="majorHAnsi"/>
          <w:sz w:val="20"/>
          <w:szCs w:val="20"/>
          <w:bdr w:val="none" w:sz="0" w:space="0" w:color="auto"/>
          <w:lang w:val="pt-BR"/>
        </w:rPr>
        <w:t xml:space="preserve">com </w:t>
      </w:r>
      <w:r w:rsidR="002649F0" w:rsidRPr="006D1C74">
        <w:rPr>
          <w:rFonts w:asciiTheme="majorHAnsi" w:eastAsia="Batang" w:hAnsiTheme="majorHAnsi"/>
          <w:sz w:val="20"/>
          <w:szCs w:val="20"/>
          <w:bdr w:val="none" w:sz="0" w:space="0" w:color="auto"/>
          <w:lang w:val="pt-BR"/>
        </w:rPr>
        <w:t>base</w:t>
      </w:r>
      <w:r w:rsidR="00030019" w:rsidRPr="006D1C74">
        <w:rPr>
          <w:rFonts w:asciiTheme="majorHAnsi" w:eastAsia="Batang" w:hAnsiTheme="majorHAnsi"/>
          <w:sz w:val="20"/>
          <w:szCs w:val="20"/>
          <w:bdr w:val="none" w:sz="0" w:space="0" w:color="auto"/>
          <w:lang w:val="pt-BR"/>
        </w:rPr>
        <w:t xml:space="preserve"> </w:t>
      </w:r>
      <w:r w:rsidR="00616640" w:rsidRPr="006D1C74">
        <w:rPr>
          <w:rFonts w:asciiTheme="majorHAnsi" w:eastAsia="Batang" w:hAnsiTheme="majorHAnsi"/>
          <w:sz w:val="20"/>
          <w:szCs w:val="20"/>
          <w:bdr w:val="none" w:sz="0" w:space="0" w:color="auto"/>
          <w:lang w:val="pt-BR"/>
        </w:rPr>
        <w:t xml:space="preserve">na </w:t>
      </w:r>
      <w:r w:rsidR="002649F0" w:rsidRPr="006D1C74">
        <w:rPr>
          <w:rFonts w:asciiTheme="majorHAnsi" w:eastAsia="Batang" w:hAnsiTheme="majorHAnsi"/>
          <w:sz w:val="20"/>
          <w:szCs w:val="20"/>
          <w:bdr w:val="none" w:sz="0" w:space="0" w:color="auto"/>
          <w:lang w:val="pt-BR"/>
        </w:rPr>
        <w:t>alega</w:t>
      </w:r>
      <w:r w:rsidR="00616640" w:rsidRPr="006D1C74">
        <w:rPr>
          <w:rFonts w:asciiTheme="majorHAnsi" w:eastAsia="Batang" w:hAnsiTheme="majorHAnsi"/>
          <w:sz w:val="20"/>
          <w:szCs w:val="20"/>
          <w:bdr w:val="none" w:sz="0" w:space="0" w:color="auto"/>
          <w:lang w:val="pt-BR"/>
        </w:rPr>
        <w:t>çã</w:t>
      </w:r>
      <w:r w:rsidR="002649F0" w:rsidRPr="006D1C74">
        <w:rPr>
          <w:rFonts w:asciiTheme="majorHAnsi" w:eastAsia="Batang" w:hAnsiTheme="majorHAnsi"/>
          <w:sz w:val="20"/>
          <w:szCs w:val="20"/>
          <w:bdr w:val="none" w:sz="0" w:space="0" w:color="auto"/>
          <w:lang w:val="pt-BR"/>
        </w:rPr>
        <w:t xml:space="preserve">o de que </w:t>
      </w:r>
      <w:r w:rsidR="002649F0" w:rsidRPr="006D1C74">
        <w:rPr>
          <w:rFonts w:asciiTheme="majorHAnsi" w:hAnsiTheme="majorHAnsi"/>
          <w:color w:val="000000"/>
          <w:sz w:val="20"/>
          <w:szCs w:val="20"/>
          <w:lang w:val="pt-BR"/>
        </w:rPr>
        <w:t>Joel de Lima Santa Ana</w:t>
      </w:r>
      <w:r w:rsidR="002649F0" w:rsidRPr="006D1C74">
        <w:rPr>
          <w:rFonts w:asciiTheme="majorHAnsi" w:eastAsia="Batang" w:hAnsiTheme="majorHAnsi"/>
          <w:sz w:val="20"/>
          <w:szCs w:val="20"/>
          <w:bdr w:val="none" w:sz="0" w:space="0" w:color="auto"/>
          <w:lang w:val="pt-BR"/>
        </w:rPr>
        <w:t xml:space="preserve"> </w:t>
      </w:r>
      <w:r w:rsidR="00616640" w:rsidRPr="006D1C74">
        <w:rPr>
          <w:rFonts w:asciiTheme="majorHAnsi" w:eastAsia="Batang" w:hAnsiTheme="majorHAnsi"/>
          <w:sz w:val="20"/>
          <w:szCs w:val="20"/>
          <w:bdr w:val="none" w:sz="0" w:space="0" w:color="auto"/>
          <w:lang w:val="pt-BR"/>
        </w:rPr>
        <w:t>te</w:t>
      </w:r>
      <w:r w:rsidR="002649F0" w:rsidRPr="006D1C74">
        <w:rPr>
          <w:rFonts w:asciiTheme="majorHAnsi" w:eastAsia="Batang" w:hAnsiTheme="majorHAnsi"/>
          <w:sz w:val="20"/>
          <w:szCs w:val="20"/>
          <w:bdr w:val="none" w:sz="0" w:space="0" w:color="auto"/>
          <w:lang w:val="pt-BR"/>
        </w:rPr>
        <w:t>r</w:t>
      </w:r>
      <w:r w:rsidR="00055622" w:rsidRPr="006D1C74">
        <w:rPr>
          <w:rFonts w:asciiTheme="majorHAnsi" w:eastAsia="Batang" w:hAnsiTheme="majorHAnsi"/>
          <w:sz w:val="20"/>
          <w:szCs w:val="20"/>
          <w:bdr w:val="none" w:sz="0" w:space="0" w:color="auto"/>
          <w:lang w:val="pt-BR"/>
        </w:rPr>
        <w:t>ia</w:t>
      </w:r>
      <w:r w:rsidR="002649F0" w:rsidRPr="006D1C74">
        <w:rPr>
          <w:rFonts w:asciiTheme="majorHAnsi" w:eastAsia="Batang" w:hAnsiTheme="majorHAnsi"/>
          <w:sz w:val="20"/>
          <w:szCs w:val="20"/>
          <w:bdr w:val="none" w:sz="0" w:space="0" w:color="auto"/>
          <w:lang w:val="pt-BR"/>
        </w:rPr>
        <w:t xml:space="preserve"> atuado</w:t>
      </w:r>
      <w:r w:rsidR="00F673C7" w:rsidRPr="006D1C74">
        <w:rPr>
          <w:rFonts w:asciiTheme="majorHAnsi" w:eastAsia="Batang" w:hAnsiTheme="majorHAnsi"/>
          <w:sz w:val="20"/>
          <w:szCs w:val="20"/>
          <w:bdr w:val="none" w:sz="0" w:space="0" w:color="auto"/>
          <w:lang w:val="pt-BR"/>
        </w:rPr>
        <w:t xml:space="preserve"> em </w:t>
      </w:r>
      <w:r w:rsidR="002649F0" w:rsidRPr="006D1C74">
        <w:rPr>
          <w:rFonts w:asciiTheme="majorHAnsi" w:eastAsia="Batang" w:hAnsiTheme="majorHAnsi"/>
          <w:sz w:val="20"/>
          <w:szCs w:val="20"/>
          <w:bdr w:val="none" w:sz="0" w:space="0" w:color="auto"/>
          <w:lang w:val="pt-BR"/>
        </w:rPr>
        <w:t>estrito cump</w:t>
      </w:r>
      <w:r w:rsidR="00616640" w:rsidRPr="006D1C74">
        <w:rPr>
          <w:rFonts w:asciiTheme="majorHAnsi" w:eastAsia="Batang" w:hAnsiTheme="majorHAnsi"/>
          <w:sz w:val="20"/>
          <w:szCs w:val="20"/>
          <w:bdr w:val="none" w:sz="0" w:space="0" w:color="auto"/>
          <w:lang w:val="pt-BR"/>
        </w:rPr>
        <w:t>r</w:t>
      </w:r>
      <w:r w:rsidR="002649F0" w:rsidRPr="006D1C74">
        <w:rPr>
          <w:rFonts w:asciiTheme="majorHAnsi" w:eastAsia="Batang" w:hAnsiTheme="majorHAnsi"/>
          <w:sz w:val="20"/>
          <w:szCs w:val="20"/>
          <w:bdr w:val="none" w:sz="0" w:space="0" w:color="auto"/>
          <w:lang w:val="pt-BR"/>
        </w:rPr>
        <w:t>i</w:t>
      </w:r>
      <w:r w:rsidR="00700267" w:rsidRPr="006D1C74">
        <w:rPr>
          <w:rFonts w:asciiTheme="majorHAnsi" w:eastAsia="Batang" w:hAnsiTheme="majorHAnsi"/>
          <w:sz w:val="20"/>
          <w:szCs w:val="20"/>
          <w:bdr w:val="none" w:sz="0" w:space="0" w:color="auto"/>
          <w:lang w:val="pt-BR"/>
        </w:rPr>
        <w:t>mento</w:t>
      </w:r>
      <w:r w:rsidR="00030019" w:rsidRPr="006D1C74">
        <w:rPr>
          <w:rFonts w:asciiTheme="majorHAnsi" w:eastAsia="Batang" w:hAnsiTheme="majorHAnsi"/>
          <w:sz w:val="20"/>
          <w:szCs w:val="20"/>
          <w:bdr w:val="none" w:sz="0" w:space="0" w:color="auto"/>
          <w:lang w:val="pt-BR"/>
        </w:rPr>
        <w:t xml:space="preserve"> do </w:t>
      </w:r>
      <w:r w:rsidR="00585D35" w:rsidRPr="006D1C74">
        <w:rPr>
          <w:rFonts w:asciiTheme="majorHAnsi" w:eastAsia="Batang" w:hAnsiTheme="majorHAnsi"/>
          <w:sz w:val="20"/>
          <w:szCs w:val="20"/>
          <w:bdr w:val="none" w:sz="0" w:space="0" w:color="auto"/>
          <w:lang w:val="pt-BR"/>
        </w:rPr>
        <w:t>dev</w:t>
      </w:r>
      <w:r w:rsidR="002649F0" w:rsidRPr="006D1C74">
        <w:rPr>
          <w:rFonts w:asciiTheme="majorHAnsi" w:eastAsia="Batang" w:hAnsiTheme="majorHAnsi"/>
          <w:sz w:val="20"/>
          <w:szCs w:val="20"/>
          <w:bdr w:val="none" w:sz="0" w:space="0" w:color="auto"/>
          <w:lang w:val="pt-BR"/>
        </w:rPr>
        <w:t>er legal,</w:t>
      </w:r>
      <w:r w:rsidR="00F673C7" w:rsidRPr="006D1C74">
        <w:rPr>
          <w:rFonts w:asciiTheme="majorHAnsi" w:eastAsia="Batang" w:hAnsiTheme="majorHAnsi"/>
          <w:sz w:val="20"/>
          <w:szCs w:val="20"/>
          <w:bdr w:val="none" w:sz="0" w:space="0" w:color="auto"/>
          <w:lang w:val="pt-BR"/>
        </w:rPr>
        <w:t xml:space="preserve"> em </w:t>
      </w:r>
      <w:r w:rsidR="002649F0" w:rsidRPr="006D1C74">
        <w:rPr>
          <w:rFonts w:asciiTheme="majorHAnsi" w:eastAsia="Batang" w:hAnsiTheme="majorHAnsi"/>
          <w:sz w:val="20"/>
          <w:szCs w:val="20"/>
          <w:bdr w:val="none" w:sz="0" w:space="0" w:color="auto"/>
          <w:lang w:val="pt-BR"/>
        </w:rPr>
        <w:t>legítima defesa</w:t>
      </w:r>
      <w:r w:rsidR="00CF037E" w:rsidRPr="006D1C74">
        <w:rPr>
          <w:rFonts w:asciiTheme="majorHAnsi" w:eastAsia="Batang" w:hAnsiTheme="majorHAnsi"/>
          <w:sz w:val="20"/>
          <w:szCs w:val="20"/>
          <w:bdr w:val="none" w:sz="0" w:space="0" w:color="auto"/>
          <w:lang w:val="pt-BR"/>
        </w:rPr>
        <w:t xml:space="preserve"> e</w:t>
      </w:r>
      <w:r w:rsidR="00F673C7" w:rsidRPr="006D1C74">
        <w:rPr>
          <w:rFonts w:asciiTheme="majorHAnsi" w:eastAsia="Batang" w:hAnsiTheme="majorHAnsi"/>
          <w:sz w:val="20"/>
          <w:szCs w:val="20"/>
          <w:bdr w:val="none" w:sz="0" w:space="0" w:color="auto"/>
          <w:lang w:val="pt-BR"/>
        </w:rPr>
        <w:t xml:space="preserve"> </w:t>
      </w:r>
      <w:r w:rsidR="00616640" w:rsidRPr="006D1C74">
        <w:rPr>
          <w:rFonts w:asciiTheme="majorHAnsi" w:eastAsia="Batang" w:hAnsiTheme="majorHAnsi"/>
          <w:sz w:val="20"/>
          <w:szCs w:val="20"/>
          <w:bdr w:val="none" w:sz="0" w:space="0" w:color="auto"/>
          <w:lang w:val="pt-BR"/>
        </w:rPr>
        <w:t>n</w:t>
      </w:r>
      <w:r w:rsidR="00030019" w:rsidRPr="006D1C74">
        <w:rPr>
          <w:rFonts w:asciiTheme="majorHAnsi" w:eastAsia="Batang" w:hAnsiTheme="majorHAnsi"/>
          <w:sz w:val="20"/>
          <w:szCs w:val="20"/>
          <w:bdr w:val="none" w:sz="0" w:space="0" w:color="auto"/>
          <w:lang w:val="pt-BR"/>
        </w:rPr>
        <w:t xml:space="preserve">um </w:t>
      </w:r>
      <w:r w:rsidR="002649F0" w:rsidRPr="006D1C74">
        <w:rPr>
          <w:rFonts w:asciiTheme="majorHAnsi" w:eastAsia="Batang" w:hAnsiTheme="majorHAnsi"/>
          <w:sz w:val="20"/>
          <w:szCs w:val="20"/>
          <w:bdr w:val="none" w:sz="0" w:space="0" w:color="auto"/>
          <w:lang w:val="pt-BR"/>
        </w:rPr>
        <w:t>momento de nece</w:t>
      </w:r>
      <w:r w:rsidR="00616640" w:rsidRPr="006D1C74">
        <w:rPr>
          <w:rFonts w:asciiTheme="majorHAnsi" w:eastAsia="Batang" w:hAnsiTheme="majorHAnsi"/>
          <w:sz w:val="20"/>
          <w:szCs w:val="20"/>
          <w:bdr w:val="none" w:sz="0" w:space="0" w:color="auto"/>
          <w:lang w:val="pt-BR"/>
        </w:rPr>
        <w:t>s</w:t>
      </w:r>
      <w:r w:rsidR="002649F0" w:rsidRPr="006D1C74">
        <w:rPr>
          <w:rFonts w:asciiTheme="majorHAnsi" w:eastAsia="Batang" w:hAnsiTheme="majorHAnsi"/>
          <w:sz w:val="20"/>
          <w:szCs w:val="20"/>
          <w:bdr w:val="none" w:sz="0" w:space="0" w:color="auto"/>
          <w:lang w:val="pt-BR"/>
        </w:rPr>
        <w:t>sidad</w:t>
      </w:r>
      <w:r w:rsidR="00616640" w:rsidRPr="006D1C74">
        <w:rPr>
          <w:rFonts w:asciiTheme="majorHAnsi" w:eastAsia="Batang" w:hAnsiTheme="majorHAnsi"/>
          <w:sz w:val="20"/>
          <w:szCs w:val="20"/>
          <w:bdr w:val="none" w:sz="0" w:space="0" w:color="auto"/>
          <w:lang w:val="pt-BR"/>
        </w:rPr>
        <w:t>e</w:t>
      </w:r>
      <w:r w:rsidR="002649F0" w:rsidRPr="006D1C74">
        <w:rPr>
          <w:rFonts w:asciiTheme="majorHAnsi" w:eastAsia="Batang" w:hAnsiTheme="majorHAnsi"/>
          <w:sz w:val="20"/>
          <w:szCs w:val="20"/>
          <w:bdr w:val="none" w:sz="0" w:space="0" w:color="auto"/>
          <w:lang w:val="pt-BR"/>
        </w:rPr>
        <w:t>,</w:t>
      </w:r>
      <w:r w:rsidR="00700267" w:rsidRPr="006D1C74">
        <w:rPr>
          <w:rFonts w:asciiTheme="majorHAnsi" w:eastAsia="Batang" w:hAnsiTheme="majorHAnsi"/>
          <w:sz w:val="20"/>
          <w:szCs w:val="20"/>
          <w:bdr w:val="none" w:sz="0" w:space="0" w:color="auto"/>
          <w:lang w:val="pt-BR"/>
        </w:rPr>
        <w:t xml:space="preserve"> o </w:t>
      </w:r>
      <w:r w:rsidR="002649F0" w:rsidRPr="006D1C74">
        <w:rPr>
          <w:rFonts w:asciiTheme="majorHAnsi" w:eastAsia="Batang" w:hAnsiTheme="majorHAnsi"/>
          <w:sz w:val="20"/>
          <w:szCs w:val="20"/>
          <w:bdr w:val="none" w:sz="0" w:space="0" w:color="auto"/>
          <w:lang w:val="pt-BR"/>
        </w:rPr>
        <w:t>representante</w:t>
      </w:r>
      <w:r w:rsidR="00030019" w:rsidRPr="006D1C74">
        <w:rPr>
          <w:rFonts w:asciiTheme="majorHAnsi" w:eastAsia="Batang" w:hAnsiTheme="majorHAnsi"/>
          <w:sz w:val="20"/>
          <w:szCs w:val="20"/>
          <w:bdr w:val="none" w:sz="0" w:space="0" w:color="auto"/>
          <w:lang w:val="pt-BR"/>
        </w:rPr>
        <w:t xml:space="preserve"> do </w:t>
      </w:r>
      <w:r w:rsidR="001E7651" w:rsidRPr="006D1C74">
        <w:rPr>
          <w:rFonts w:asciiTheme="majorHAnsi" w:eastAsia="Batang" w:hAnsiTheme="majorHAnsi"/>
          <w:sz w:val="20"/>
          <w:szCs w:val="20"/>
          <w:bdr w:val="none" w:sz="0" w:space="0" w:color="auto"/>
          <w:lang w:val="pt-BR"/>
        </w:rPr>
        <w:t>Ministério</w:t>
      </w:r>
      <w:r w:rsidR="002649F0" w:rsidRPr="006D1C74">
        <w:rPr>
          <w:rFonts w:asciiTheme="majorHAnsi" w:eastAsia="Batang" w:hAnsiTheme="majorHAnsi"/>
          <w:sz w:val="20"/>
          <w:szCs w:val="20"/>
          <w:bdr w:val="none" w:sz="0" w:space="0" w:color="auto"/>
          <w:lang w:val="pt-BR"/>
        </w:rPr>
        <w:t xml:space="preserve"> Público Militar p</w:t>
      </w:r>
      <w:r w:rsidR="00616640" w:rsidRPr="006D1C74">
        <w:rPr>
          <w:rFonts w:asciiTheme="majorHAnsi" w:eastAsia="Batang" w:hAnsiTheme="majorHAnsi"/>
          <w:sz w:val="20"/>
          <w:szCs w:val="20"/>
          <w:bdr w:val="none" w:sz="0" w:space="0" w:color="auto"/>
          <w:lang w:val="pt-BR"/>
        </w:rPr>
        <w:t xml:space="preserve">ediu </w:t>
      </w:r>
      <w:r w:rsidR="002649F0" w:rsidRPr="006D1C74">
        <w:rPr>
          <w:rFonts w:asciiTheme="majorHAnsi" w:eastAsia="Batang" w:hAnsiTheme="majorHAnsi"/>
          <w:sz w:val="20"/>
          <w:szCs w:val="20"/>
          <w:bdr w:val="none" w:sz="0" w:space="0" w:color="auto"/>
          <w:lang w:val="pt-BR"/>
        </w:rPr>
        <w:t>que se ar</w:t>
      </w:r>
      <w:r w:rsidR="00616640" w:rsidRPr="006D1C74">
        <w:rPr>
          <w:rFonts w:asciiTheme="majorHAnsi" w:eastAsia="Batang" w:hAnsiTheme="majorHAnsi"/>
          <w:sz w:val="20"/>
          <w:szCs w:val="20"/>
          <w:bdr w:val="none" w:sz="0" w:space="0" w:color="auto"/>
          <w:lang w:val="pt-BR"/>
        </w:rPr>
        <w:t>quivasse</w:t>
      </w:r>
      <w:r w:rsidR="00700267" w:rsidRPr="006D1C74">
        <w:rPr>
          <w:rFonts w:asciiTheme="majorHAnsi" w:eastAsia="Batang" w:hAnsiTheme="majorHAnsi"/>
          <w:sz w:val="20"/>
          <w:szCs w:val="20"/>
          <w:bdr w:val="none" w:sz="0" w:space="0" w:color="auto"/>
          <w:lang w:val="pt-BR"/>
        </w:rPr>
        <w:t xml:space="preserve"> a </w:t>
      </w:r>
      <w:r w:rsidR="002649F0" w:rsidRPr="006D1C74">
        <w:rPr>
          <w:rFonts w:asciiTheme="majorHAnsi" w:eastAsia="Batang" w:hAnsiTheme="majorHAnsi"/>
          <w:sz w:val="20"/>
          <w:szCs w:val="20"/>
          <w:bdr w:val="none" w:sz="0" w:space="0" w:color="auto"/>
          <w:lang w:val="pt-BR"/>
        </w:rPr>
        <w:t>investiga</w:t>
      </w:r>
      <w:r w:rsidR="00CF037E" w:rsidRPr="006D1C74">
        <w:rPr>
          <w:rFonts w:asciiTheme="majorHAnsi" w:eastAsia="Batang" w:hAnsiTheme="majorHAnsi"/>
          <w:sz w:val="20"/>
          <w:szCs w:val="20"/>
          <w:bdr w:val="none" w:sz="0" w:space="0" w:color="auto"/>
          <w:lang w:val="pt-BR"/>
        </w:rPr>
        <w:t>ção</w:t>
      </w:r>
      <w:r w:rsidR="00795010" w:rsidRPr="006D1C74">
        <w:rPr>
          <w:rFonts w:asciiTheme="majorHAnsi" w:eastAsia="Batang" w:hAnsiTheme="majorHAnsi"/>
          <w:sz w:val="20"/>
          <w:szCs w:val="20"/>
          <w:bdr w:val="none" w:sz="0" w:space="0" w:color="auto"/>
          <w:lang w:val="pt-BR"/>
        </w:rPr>
        <w:t xml:space="preserve"> da </w:t>
      </w:r>
      <w:r w:rsidR="00F37852" w:rsidRPr="006D1C74">
        <w:rPr>
          <w:rFonts w:asciiTheme="majorHAnsi" w:eastAsia="Batang" w:hAnsiTheme="majorHAnsi"/>
          <w:sz w:val="20"/>
          <w:szCs w:val="20"/>
          <w:bdr w:val="none" w:sz="0" w:space="0" w:color="auto"/>
          <w:lang w:val="pt-BR"/>
        </w:rPr>
        <w:t>polícia</w:t>
      </w:r>
      <w:r w:rsidR="002649F0" w:rsidRPr="006D1C74">
        <w:rPr>
          <w:rFonts w:asciiTheme="majorHAnsi" w:eastAsia="Batang" w:hAnsiTheme="majorHAnsi"/>
          <w:sz w:val="20"/>
          <w:szCs w:val="20"/>
          <w:bdr w:val="none" w:sz="0" w:space="0" w:color="auto"/>
          <w:lang w:val="pt-BR"/>
        </w:rPr>
        <w:t xml:space="preserve"> militar No. 221/2000</w:t>
      </w:r>
      <w:r w:rsidR="002649F0" w:rsidRPr="006D1C74">
        <w:rPr>
          <w:rFonts w:asciiTheme="majorHAnsi" w:eastAsia="Batang" w:hAnsiTheme="majorHAnsi"/>
          <w:sz w:val="20"/>
          <w:szCs w:val="20"/>
          <w:bdr w:val="none" w:sz="0" w:space="0" w:color="auto"/>
          <w:vertAlign w:val="superscript"/>
          <w:lang w:val="pt-BR"/>
        </w:rPr>
        <w:footnoteReference w:id="35"/>
      </w:r>
      <w:r w:rsidR="002649F0" w:rsidRPr="006D1C74">
        <w:rPr>
          <w:rFonts w:asciiTheme="majorHAnsi" w:eastAsia="Batang" w:hAnsiTheme="majorHAnsi"/>
          <w:sz w:val="20"/>
          <w:szCs w:val="20"/>
          <w:bdr w:val="none" w:sz="0" w:space="0" w:color="auto"/>
          <w:lang w:val="pt-BR"/>
        </w:rPr>
        <w:t>.</w:t>
      </w:r>
    </w:p>
    <w:p w14:paraId="004427FC" w14:textId="77777777" w:rsidR="002649F0" w:rsidRPr="006D1C74" w:rsidRDefault="002649F0" w:rsidP="002649F0">
      <w:pPr>
        <w:ind w:left="720"/>
        <w:rPr>
          <w:rFonts w:asciiTheme="majorHAnsi" w:eastAsia="Batang" w:hAnsiTheme="majorHAnsi" w:cs="Cambria"/>
          <w:color w:val="000000"/>
          <w:sz w:val="20"/>
          <w:szCs w:val="20"/>
          <w:u w:color="000000"/>
          <w:bdr w:val="none" w:sz="0" w:space="0" w:color="auto"/>
          <w:lang w:val="pt-BR" w:eastAsia="es-ES"/>
        </w:rPr>
      </w:pPr>
    </w:p>
    <w:p w14:paraId="51BE8DA4" w14:textId="77777777" w:rsidR="002649F0" w:rsidRPr="006D1C74" w:rsidRDefault="00337DD7"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6D1C74">
        <w:rPr>
          <w:rFonts w:asciiTheme="majorHAnsi" w:eastAsia="Batang" w:hAnsiTheme="majorHAnsi"/>
          <w:sz w:val="20"/>
          <w:szCs w:val="20"/>
          <w:bdr w:val="none" w:sz="0" w:space="0" w:color="auto"/>
          <w:lang w:val="pt-BR"/>
        </w:rPr>
        <w:t>No</w:t>
      </w:r>
      <w:r w:rsidR="002649F0" w:rsidRPr="006D1C74">
        <w:rPr>
          <w:rFonts w:asciiTheme="majorHAnsi" w:eastAsia="Batang" w:hAnsiTheme="majorHAnsi"/>
          <w:sz w:val="20"/>
          <w:szCs w:val="20"/>
          <w:bdr w:val="none" w:sz="0" w:space="0" w:color="auto"/>
          <w:lang w:val="pt-BR"/>
        </w:rPr>
        <w:t xml:space="preserve"> d</w:t>
      </w:r>
      <w:r w:rsidR="00055622" w:rsidRPr="006D1C74">
        <w:rPr>
          <w:rFonts w:asciiTheme="majorHAnsi" w:eastAsia="Batang" w:hAnsiTheme="majorHAnsi"/>
          <w:sz w:val="20"/>
          <w:szCs w:val="20"/>
          <w:bdr w:val="none" w:sz="0" w:space="0" w:color="auto"/>
          <w:lang w:val="pt-BR"/>
        </w:rPr>
        <w:t>ia</w:t>
      </w:r>
      <w:r w:rsidR="002649F0" w:rsidRPr="006D1C74">
        <w:rPr>
          <w:rFonts w:asciiTheme="majorHAnsi" w:eastAsia="Batang" w:hAnsiTheme="majorHAnsi"/>
          <w:sz w:val="20"/>
          <w:szCs w:val="20"/>
          <w:bdr w:val="none" w:sz="0" w:space="0" w:color="auto"/>
          <w:lang w:val="pt-BR"/>
        </w:rPr>
        <w:t xml:space="preserve"> </w:t>
      </w:r>
      <w:r w:rsidR="00154D0D" w:rsidRPr="006D1C74">
        <w:rPr>
          <w:rFonts w:asciiTheme="majorHAnsi" w:eastAsia="Batang" w:hAnsiTheme="majorHAnsi"/>
          <w:sz w:val="20"/>
          <w:szCs w:val="20"/>
          <w:bdr w:val="none" w:sz="0" w:space="0" w:color="auto"/>
          <w:lang w:val="pt-BR"/>
        </w:rPr>
        <w:t>seguinte</w:t>
      </w:r>
      <w:r w:rsidR="002649F0" w:rsidRPr="006D1C74">
        <w:rPr>
          <w:rFonts w:asciiTheme="majorHAnsi" w:eastAsia="Batang" w:hAnsiTheme="majorHAnsi"/>
          <w:sz w:val="20"/>
          <w:szCs w:val="20"/>
          <w:bdr w:val="none" w:sz="0" w:space="0" w:color="auto"/>
          <w:lang w:val="pt-BR"/>
        </w:rPr>
        <w:t>,</w:t>
      </w:r>
      <w:r w:rsidR="00700267" w:rsidRPr="006D1C74">
        <w:rPr>
          <w:rFonts w:asciiTheme="majorHAnsi" w:eastAsia="Batang" w:hAnsiTheme="majorHAnsi"/>
          <w:sz w:val="20"/>
          <w:szCs w:val="20"/>
          <w:bdr w:val="none" w:sz="0" w:space="0" w:color="auto"/>
          <w:lang w:val="pt-BR"/>
        </w:rPr>
        <w:t xml:space="preserve"> </w:t>
      </w:r>
      <w:r w:rsidR="002649F0" w:rsidRPr="006D1C74">
        <w:rPr>
          <w:rFonts w:asciiTheme="majorHAnsi" w:eastAsia="Batang" w:hAnsiTheme="majorHAnsi"/>
          <w:sz w:val="20"/>
          <w:szCs w:val="20"/>
          <w:bdr w:val="none" w:sz="0" w:space="0" w:color="auto"/>
          <w:lang w:val="pt-BR"/>
        </w:rPr>
        <w:t xml:space="preserve">10 de </w:t>
      </w:r>
      <w:r w:rsidR="00055622" w:rsidRPr="006D1C74">
        <w:rPr>
          <w:rFonts w:asciiTheme="majorHAnsi" w:eastAsia="Batang" w:hAnsiTheme="majorHAnsi"/>
          <w:sz w:val="20"/>
          <w:szCs w:val="20"/>
          <w:bdr w:val="none" w:sz="0" w:space="0" w:color="auto"/>
          <w:lang w:val="pt-BR"/>
        </w:rPr>
        <w:t>outubro</w:t>
      </w:r>
      <w:r w:rsidR="002649F0" w:rsidRPr="006D1C74">
        <w:rPr>
          <w:rFonts w:asciiTheme="majorHAnsi" w:eastAsia="Batang" w:hAnsiTheme="majorHAnsi"/>
          <w:sz w:val="20"/>
          <w:szCs w:val="20"/>
          <w:bdr w:val="none" w:sz="0" w:space="0" w:color="auto"/>
          <w:lang w:val="pt-BR"/>
        </w:rPr>
        <w:t xml:space="preserve"> de 2000,</w:t>
      </w:r>
      <w:r w:rsidR="00700267" w:rsidRPr="006D1C74">
        <w:rPr>
          <w:rFonts w:asciiTheme="majorHAnsi" w:eastAsia="Batang" w:hAnsiTheme="majorHAnsi"/>
          <w:sz w:val="20"/>
          <w:szCs w:val="20"/>
          <w:bdr w:val="none" w:sz="0" w:space="0" w:color="auto"/>
          <w:lang w:val="pt-BR"/>
        </w:rPr>
        <w:t xml:space="preserve"> o </w:t>
      </w:r>
      <w:r w:rsidR="008617AD" w:rsidRPr="006D1C74">
        <w:rPr>
          <w:rFonts w:asciiTheme="majorHAnsi" w:eastAsia="Batang" w:hAnsiTheme="majorHAnsi"/>
          <w:sz w:val="20"/>
          <w:szCs w:val="20"/>
          <w:bdr w:val="none" w:sz="0" w:space="0" w:color="auto"/>
          <w:lang w:val="pt-BR"/>
        </w:rPr>
        <w:t>juiz</w:t>
      </w:r>
      <w:r w:rsidR="002649F0" w:rsidRPr="006D1C74">
        <w:rPr>
          <w:rFonts w:asciiTheme="majorHAnsi" w:eastAsia="Batang" w:hAnsiTheme="majorHAnsi"/>
          <w:sz w:val="20"/>
          <w:szCs w:val="20"/>
          <w:bdr w:val="none" w:sz="0" w:space="0" w:color="auto"/>
          <w:lang w:val="pt-BR"/>
        </w:rPr>
        <w:t xml:space="preserve"> auditor ace</w:t>
      </w:r>
      <w:r w:rsidR="007D1FAA" w:rsidRPr="006D1C74">
        <w:rPr>
          <w:rFonts w:asciiTheme="majorHAnsi" w:eastAsia="Batang" w:hAnsiTheme="majorHAnsi"/>
          <w:sz w:val="20"/>
          <w:szCs w:val="20"/>
          <w:bdr w:val="none" w:sz="0" w:space="0" w:color="auto"/>
          <w:lang w:val="pt-BR"/>
        </w:rPr>
        <w:t>itou</w:t>
      </w:r>
      <w:r w:rsidR="00700267" w:rsidRPr="006D1C74">
        <w:rPr>
          <w:rFonts w:asciiTheme="majorHAnsi" w:eastAsia="Batang" w:hAnsiTheme="majorHAnsi"/>
          <w:sz w:val="20"/>
          <w:szCs w:val="20"/>
          <w:bdr w:val="none" w:sz="0" w:space="0" w:color="auto"/>
          <w:lang w:val="pt-BR"/>
        </w:rPr>
        <w:t xml:space="preserve"> o </w:t>
      </w:r>
      <w:r w:rsidR="002649F0" w:rsidRPr="006D1C74">
        <w:rPr>
          <w:rFonts w:asciiTheme="majorHAnsi" w:eastAsia="Batang" w:hAnsiTheme="majorHAnsi"/>
          <w:sz w:val="20"/>
          <w:szCs w:val="20"/>
          <w:bdr w:val="none" w:sz="0" w:space="0" w:color="auto"/>
          <w:lang w:val="pt-BR"/>
        </w:rPr>
        <w:t xml:space="preserve">pedido de </w:t>
      </w:r>
      <w:r w:rsidR="00616640" w:rsidRPr="006D1C74">
        <w:rPr>
          <w:rFonts w:asciiTheme="majorHAnsi" w:eastAsia="Batang" w:hAnsiTheme="majorHAnsi"/>
          <w:sz w:val="20"/>
          <w:szCs w:val="20"/>
          <w:bdr w:val="none" w:sz="0" w:space="0" w:color="auto"/>
          <w:lang w:val="pt-BR"/>
        </w:rPr>
        <w:t>arquivamento</w:t>
      </w:r>
      <w:r w:rsidR="002649F0" w:rsidRPr="006D1C74">
        <w:rPr>
          <w:rFonts w:asciiTheme="majorHAnsi" w:eastAsia="Batang" w:hAnsiTheme="majorHAnsi"/>
          <w:sz w:val="20"/>
          <w:szCs w:val="20"/>
          <w:bdr w:val="none" w:sz="0" w:space="0" w:color="auto"/>
          <w:lang w:val="pt-BR"/>
        </w:rPr>
        <w:t xml:space="preserve">, </w:t>
      </w:r>
      <w:r w:rsidR="007D1FAA" w:rsidRPr="006D1C74">
        <w:rPr>
          <w:rFonts w:asciiTheme="majorHAnsi" w:eastAsia="Batang" w:hAnsiTheme="majorHAnsi"/>
          <w:sz w:val="20"/>
          <w:szCs w:val="20"/>
          <w:bdr w:val="none" w:sz="0" w:space="0" w:color="auto"/>
          <w:lang w:val="pt-BR"/>
        </w:rPr>
        <w:t>indic</w:t>
      </w:r>
      <w:r w:rsidR="002649F0" w:rsidRPr="006D1C74">
        <w:rPr>
          <w:rFonts w:asciiTheme="majorHAnsi" w:eastAsia="Batang" w:hAnsiTheme="majorHAnsi"/>
          <w:sz w:val="20"/>
          <w:szCs w:val="20"/>
          <w:bdr w:val="none" w:sz="0" w:space="0" w:color="auto"/>
          <w:lang w:val="pt-BR"/>
        </w:rPr>
        <w:t>ando que a</w:t>
      </w:r>
      <w:r w:rsidR="00BE496A" w:rsidRPr="006D1C74">
        <w:rPr>
          <w:rFonts w:asciiTheme="majorHAnsi" w:eastAsia="Batang" w:hAnsiTheme="majorHAnsi"/>
          <w:sz w:val="20"/>
          <w:szCs w:val="20"/>
          <w:bdr w:val="none" w:sz="0" w:space="0" w:color="auto"/>
          <w:lang w:val="pt-BR"/>
        </w:rPr>
        <w:t>s</w:t>
      </w:r>
      <w:r w:rsidR="002649F0" w:rsidRPr="006D1C74">
        <w:rPr>
          <w:rFonts w:asciiTheme="majorHAnsi" w:eastAsia="Batang" w:hAnsiTheme="majorHAnsi"/>
          <w:sz w:val="20"/>
          <w:szCs w:val="20"/>
          <w:bdr w:val="none" w:sz="0" w:space="0" w:color="auto"/>
          <w:lang w:val="pt-BR"/>
        </w:rPr>
        <w:t>sist</w:t>
      </w:r>
      <w:r w:rsidR="00055622" w:rsidRPr="006D1C74">
        <w:rPr>
          <w:rFonts w:asciiTheme="majorHAnsi" w:eastAsia="Batang" w:hAnsiTheme="majorHAnsi"/>
          <w:sz w:val="20"/>
          <w:szCs w:val="20"/>
          <w:bdr w:val="none" w:sz="0" w:space="0" w:color="auto"/>
          <w:lang w:val="pt-BR"/>
        </w:rPr>
        <w:t>ia</w:t>
      </w:r>
      <w:r w:rsidR="002649F0" w:rsidRPr="006D1C74">
        <w:rPr>
          <w:rFonts w:asciiTheme="majorHAnsi" w:eastAsia="Batang" w:hAnsiTheme="majorHAnsi"/>
          <w:sz w:val="20"/>
          <w:szCs w:val="20"/>
          <w:bdr w:val="none" w:sz="0" w:space="0" w:color="auto"/>
          <w:lang w:val="pt-BR"/>
        </w:rPr>
        <w:t xml:space="preserve"> raz</w:t>
      </w:r>
      <w:r w:rsidR="007D1FAA" w:rsidRPr="006D1C74">
        <w:rPr>
          <w:rFonts w:asciiTheme="majorHAnsi" w:eastAsia="Batang" w:hAnsiTheme="majorHAnsi"/>
          <w:sz w:val="20"/>
          <w:szCs w:val="20"/>
          <w:bdr w:val="none" w:sz="0" w:space="0" w:color="auto"/>
          <w:lang w:val="pt-BR"/>
        </w:rPr>
        <w:t>ão</w:t>
      </w:r>
      <w:r w:rsidR="00217759" w:rsidRPr="006D1C74">
        <w:rPr>
          <w:rFonts w:asciiTheme="majorHAnsi" w:eastAsia="Batang" w:hAnsiTheme="majorHAnsi"/>
          <w:sz w:val="20"/>
          <w:szCs w:val="20"/>
          <w:bdr w:val="none" w:sz="0" w:space="0" w:color="auto"/>
          <w:lang w:val="pt-BR"/>
        </w:rPr>
        <w:t xml:space="preserve"> ao </w:t>
      </w:r>
      <w:r w:rsidR="002649F0" w:rsidRPr="006D1C74">
        <w:rPr>
          <w:rFonts w:asciiTheme="majorHAnsi" w:eastAsia="Batang" w:hAnsiTheme="majorHAnsi"/>
          <w:sz w:val="20"/>
          <w:szCs w:val="20"/>
          <w:bdr w:val="none" w:sz="0" w:space="0" w:color="auto"/>
          <w:lang w:val="pt-BR"/>
        </w:rPr>
        <w:t>representante</w:t>
      </w:r>
      <w:r w:rsidR="00030019" w:rsidRPr="006D1C74">
        <w:rPr>
          <w:rFonts w:asciiTheme="majorHAnsi" w:eastAsia="Batang" w:hAnsiTheme="majorHAnsi"/>
          <w:sz w:val="20"/>
          <w:szCs w:val="20"/>
          <w:bdr w:val="none" w:sz="0" w:space="0" w:color="auto"/>
          <w:lang w:val="pt-BR"/>
        </w:rPr>
        <w:t xml:space="preserve"> do </w:t>
      </w:r>
      <w:r w:rsidR="001E7651" w:rsidRPr="006D1C74">
        <w:rPr>
          <w:rFonts w:asciiTheme="majorHAnsi" w:eastAsia="Batang" w:hAnsiTheme="majorHAnsi"/>
          <w:sz w:val="20"/>
          <w:szCs w:val="20"/>
          <w:bdr w:val="none" w:sz="0" w:space="0" w:color="auto"/>
          <w:lang w:val="pt-BR"/>
        </w:rPr>
        <w:t>Ministério</w:t>
      </w:r>
      <w:r w:rsidR="002649F0" w:rsidRPr="006D1C74">
        <w:rPr>
          <w:rFonts w:asciiTheme="majorHAnsi" w:eastAsia="Batang" w:hAnsiTheme="majorHAnsi"/>
          <w:sz w:val="20"/>
          <w:szCs w:val="20"/>
          <w:bdr w:val="none" w:sz="0" w:space="0" w:color="auto"/>
          <w:lang w:val="pt-BR"/>
        </w:rPr>
        <w:t xml:space="preserve"> Público</w:t>
      </w:r>
      <w:r w:rsidR="00CF037E" w:rsidRPr="006D1C74">
        <w:rPr>
          <w:rFonts w:asciiTheme="majorHAnsi" w:eastAsia="Batang" w:hAnsiTheme="majorHAnsi"/>
          <w:sz w:val="20"/>
          <w:szCs w:val="20"/>
          <w:bdr w:val="none" w:sz="0" w:space="0" w:color="auto"/>
          <w:lang w:val="pt-BR"/>
        </w:rPr>
        <w:t xml:space="preserve"> e </w:t>
      </w:r>
      <w:r w:rsidR="002649F0" w:rsidRPr="006D1C74">
        <w:rPr>
          <w:rFonts w:asciiTheme="majorHAnsi" w:eastAsia="Batang" w:hAnsiTheme="majorHAnsi"/>
          <w:sz w:val="20"/>
          <w:szCs w:val="20"/>
          <w:bdr w:val="none" w:sz="0" w:space="0" w:color="auto"/>
          <w:lang w:val="pt-BR"/>
        </w:rPr>
        <w:t>que esta</w:t>
      </w:r>
      <w:r w:rsidR="007D1FAA" w:rsidRPr="006D1C74">
        <w:rPr>
          <w:rFonts w:asciiTheme="majorHAnsi" w:eastAsia="Batang" w:hAnsiTheme="majorHAnsi"/>
          <w:sz w:val="20"/>
          <w:szCs w:val="20"/>
          <w:bdr w:val="none" w:sz="0" w:space="0" w:color="auto"/>
          <w:lang w:val="pt-BR"/>
        </w:rPr>
        <w:t>v</w:t>
      </w:r>
      <w:r w:rsidR="002649F0" w:rsidRPr="006D1C74">
        <w:rPr>
          <w:rFonts w:asciiTheme="majorHAnsi" w:eastAsia="Batang" w:hAnsiTheme="majorHAnsi"/>
          <w:sz w:val="20"/>
          <w:szCs w:val="20"/>
          <w:bdr w:val="none" w:sz="0" w:space="0" w:color="auto"/>
          <w:lang w:val="pt-BR"/>
        </w:rPr>
        <w:t>a claro</w:t>
      </w:r>
      <w:r w:rsidR="00FC2F62" w:rsidRPr="006D1C74">
        <w:rPr>
          <w:rFonts w:asciiTheme="majorHAnsi" w:eastAsia="Batang" w:hAnsiTheme="majorHAnsi"/>
          <w:sz w:val="20"/>
          <w:szCs w:val="20"/>
          <w:bdr w:val="none" w:sz="0" w:space="0" w:color="auto"/>
          <w:lang w:val="pt-BR"/>
        </w:rPr>
        <w:t xml:space="preserve"> no </w:t>
      </w:r>
      <w:bookmarkStart w:id="19" w:name="_Hlk6301371"/>
      <w:r w:rsidR="007D1FAA" w:rsidRPr="006D1C74">
        <w:rPr>
          <w:rFonts w:asciiTheme="majorHAnsi" w:eastAsia="Batang" w:hAnsiTheme="majorHAnsi"/>
          <w:sz w:val="20"/>
          <w:szCs w:val="20"/>
          <w:bdr w:val="none" w:sz="0" w:space="0" w:color="auto"/>
          <w:lang w:val="pt-BR"/>
        </w:rPr>
        <w:t>processo</w:t>
      </w:r>
      <w:r w:rsidR="002649F0" w:rsidRPr="006D1C74">
        <w:rPr>
          <w:rFonts w:asciiTheme="majorHAnsi" w:eastAsia="Batang" w:hAnsiTheme="majorHAnsi"/>
          <w:sz w:val="20"/>
          <w:szCs w:val="20"/>
          <w:bdr w:val="none" w:sz="0" w:space="0" w:color="auto"/>
          <w:lang w:val="pt-BR"/>
        </w:rPr>
        <w:t xml:space="preserve"> que</w:t>
      </w:r>
      <w:r w:rsidR="00F673C7" w:rsidRPr="006D1C74">
        <w:rPr>
          <w:rFonts w:asciiTheme="majorHAnsi" w:eastAsia="Batang" w:hAnsiTheme="majorHAnsi"/>
          <w:sz w:val="20"/>
          <w:szCs w:val="20"/>
          <w:bdr w:val="none" w:sz="0" w:space="0" w:color="auto"/>
          <w:lang w:val="pt-BR"/>
        </w:rPr>
        <w:t xml:space="preserve"> não </w:t>
      </w:r>
      <w:r w:rsidR="002649F0" w:rsidRPr="006D1C74">
        <w:rPr>
          <w:rFonts w:asciiTheme="majorHAnsi" w:eastAsia="Batang" w:hAnsiTheme="majorHAnsi"/>
          <w:sz w:val="20"/>
          <w:szCs w:val="20"/>
          <w:bdr w:val="none" w:sz="0" w:space="0" w:color="auto"/>
          <w:lang w:val="pt-BR"/>
        </w:rPr>
        <w:t>ha</w:t>
      </w:r>
      <w:r w:rsidR="007D1FAA" w:rsidRPr="006D1C74">
        <w:rPr>
          <w:rFonts w:asciiTheme="majorHAnsi" w:eastAsia="Batang" w:hAnsiTheme="majorHAnsi"/>
          <w:sz w:val="20"/>
          <w:szCs w:val="20"/>
          <w:bdr w:val="none" w:sz="0" w:space="0" w:color="auto"/>
          <w:lang w:val="pt-BR"/>
        </w:rPr>
        <w:t>v</w:t>
      </w:r>
      <w:r w:rsidR="00055622" w:rsidRPr="006D1C74">
        <w:rPr>
          <w:rFonts w:asciiTheme="majorHAnsi" w:eastAsia="Batang" w:hAnsiTheme="majorHAnsi"/>
          <w:sz w:val="20"/>
          <w:szCs w:val="20"/>
          <w:bdr w:val="none" w:sz="0" w:space="0" w:color="auto"/>
          <w:lang w:val="pt-BR"/>
        </w:rPr>
        <w:t>ia</w:t>
      </w:r>
      <w:r w:rsidR="002649F0" w:rsidRPr="006D1C74">
        <w:rPr>
          <w:rFonts w:asciiTheme="majorHAnsi" w:eastAsia="Batang" w:hAnsiTheme="majorHAnsi"/>
          <w:sz w:val="20"/>
          <w:szCs w:val="20"/>
          <w:bdr w:val="none" w:sz="0" w:space="0" w:color="auto"/>
          <w:lang w:val="pt-BR"/>
        </w:rPr>
        <w:t xml:space="preserve"> base para</w:t>
      </w:r>
      <w:r w:rsidR="00030019" w:rsidRPr="006D1C74">
        <w:rPr>
          <w:rFonts w:asciiTheme="majorHAnsi" w:eastAsia="Batang" w:hAnsiTheme="majorHAnsi"/>
          <w:sz w:val="20"/>
          <w:szCs w:val="20"/>
          <w:bdr w:val="none" w:sz="0" w:space="0" w:color="auto"/>
          <w:lang w:val="pt-BR"/>
        </w:rPr>
        <w:t xml:space="preserve"> </w:t>
      </w:r>
      <w:r w:rsidR="00030019" w:rsidRPr="006D1C74">
        <w:rPr>
          <w:rFonts w:asciiTheme="majorHAnsi" w:eastAsia="Batang" w:hAnsiTheme="majorHAnsi"/>
          <w:sz w:val="20"/>
          <w:szCs w:val="20"/>
          <w:bdr w:val="none" w:sz="0" w:space="0" w:color="auto"/>
          <w:lang w:val="pt-BR"/>
        </w:rPr>
        <w:lastRenderedPageBreak/>
        <w:t xml:space="preserve">uma </w:t>
      </w:r>
      <w:r w:rsidR="002649F0" w:rsidRPr="006D1C74">
        <w:rPr>
          <w:rFonts w:asciiTheme="majorHAnsi" w:eastAsia="Batang" w:hAnsiTheme="majorHAnsi"/>
          <w:sz w:val="20"/>
          <w:szCs w:val="20"/>
          <w:bdr w:val="none" w:sz="0" w:space="0" w:color="auto"/>
          <w:lang w:val="pt-BR"/>
        </w:rPr>
        <w:t>den</w:t>
      </w:r>
      <w:r w:rsidR="007D1FAA" w:rsidRPr="006D1C74">
        <w:rPr>
          <w:rFonts w:asciiTheme="majorHAnsi" w:eastAsia="Batang" w:hAnsiTheme="majorHAnsi"/>
          <w:sz w:val="20"/>
          <w:szCs w:val="20"/>
          <w:bdr w:val="none" w:sz="0" w:space="0" w:color="auto"/>
          <w:lang w:val="pt-BR"/>
        </w:rPr>
        <w:t>ú</w:t>
      </w:r>
      <w:r w:rsidR="002649F0" w:rsidRPr="006D1C74">
        <w:rPr>
          <w:rFonts w:asciiTheme="majorHAnsi" w:eastAsia="Batang" w:hAnsiTheme="majorHAnsi"/>
          <w:sz w:val="20"/>
          <w:szCs w:val="20"/>
          <w:bdr w:val="none" w:sz="0" w:space="0" w:color="auto"/>
          <w:lang w:val="pt-BR"/>
        </w:rPr>
        <w:t>ncia contra</w:t>
      </w:r>
      <w:r w:rsidR="00700267" w:rsidRPr="006D1C74">
        <w:rPr>
          <w:rFonts w:asciiTheme="majorHAnsi" w:eastAsia="Batang" w:hAnsiTheme="majorHAnsi"/>
          <w:sz w:val="20"/>
          <w:szCs w:val="20"/>
          <w:bdr w:val="none" w:sz="0" w:space="0" w:color="auto"/>
          <w:lang w:val="pt-BR"/>
        </w:rPr>
        <w:t xml:space="preserve"> o </w:t>
      </w:r>
      <w:r w:rsidR="007D1FAA" w:rsidRPr="006D1C74">
        <w:rPr>
          <w:rFonts w:asciiTheme="majorHAnsi" w:eastAsia="Batang" w:hAnsiTheme="majorHAnsi"/>
          <w:sz w:val="20"/>
          <w:szCs w:val="20"/>
          <w:bdr w:val="none" w:sz="0" w:space="0" w:color="auto"/>
          <w:lang w:val="pt-BR"/>
        </w:rPr>
        <w:t>réu, já</w:t>
      </w:r>
      <w:r w:rsidR="002649F0" w:rsidRPr="006D1C74">
        <w:rPr>
          <w:rFonts w:asciiTheme="majorHAnsi" w:eastAsia="Batang" w:hAnsiTheme="majorHAnsi"/>
          <w:sz w:val="20"/>
          <w:szCs w:val="20"/>
          <w:bdr w:val="none" w:sz="0" w:space="0" w:color="auto"/>
          <w:lang w:val="pt-BR"/>
        </w:rPr>
        <w:t xml:space="preserve"> que</w:t>
      </w:r>
      <w:r w:rsidR="00F673C7" w:rsidRPr="006D1C74">
        <w:rPr>
          <w:rFonts w:asciiTheme="majorHAnsi" w:eastAsia="Batang" w:hAnsiTheme="majorHAnsi"/>
          <w:sz w:val="20"/>
          <w:szCs w:val="20"/>
          <w:bdr w:val="none" w:sz="0" w:space="0" w:color="auto"/>
          <w:lang w:val="pt-BR"/>
        </w:rPr>
        <w:t xml:space="preserve"> não </w:t>
      </w:r>
      <w:r w:rsidR="002649F0" w:rsidRPr="006D1C74">
        <w:rPr>
          <w:rFonts w:asciiTheme="majorHAnsi" w:eastAsia="Batang" w:hAnsiTheme="majorHAnsi"/>
          <w:sz w:val="20"/>
          <w:szCs w:val="20"/>
          <w:bdr w:val="none" w:sz="0" w:space="0" w:color="auto"/>
          <w:lang w:val="pt-BR"/>
        </w:rPr>
        <w:t>ha</w:t>
      </w:r>
      <w:r w:rsidR="007D1FAA" w:rsidRPr="006D1C74">
        <w:rPr>
          <w:rFonts w:asciiTheme="majorHAnsi" w:eastAsia="Batang" w:hAnsiTheme="majorHAnsi"/>
          <w:sz w:val="20"/>
          <w:szCs w:val="20"/>
          <w:bdr w:val="none" w:sz="0" w:space="0" w:color="auto"/>
          <w:lang w:val="pt-BR"/>
        </w:rPr>
        <w:t>v</w:t>
      </w:r>
      <w:r w:rsidR="00055622" w:rsidRPr="006D1C74">
        <w:rPr>
          <w:rFonts w:asciiTheme="majorHAnsi" w:eastAsia="Batang" w:hAnsiTheme="majorHAnsi"/>
          <w:sz w:val="20"/>
          <w:szCs w:val="20"/>
          <w:bdr w:val="none" w:sz="0" w:space="0" w:color="auto"/>
          <w:lang w:val="pt-BR"/>
        </w:rPr>
        <w:t>ia</w:t>
      </w:r>
      <w:r w:rsidR="002649F0" w:rsidRPr="006D1C74">
        <w:rPr>
          <w:rFonts w:asciiTheme="majorHAnsi" w:eastAsia="Batang" w:hAnsiTheme="majorHAnsi"/>
          <w:sz w:val="20"/>
          <w:szCs w:val="20"/>
          <w:bdr w:val="none" w:sz="0" w:space="0" w:color="auto"/>
          <w:lang w:val="pt-BR"/>
        </w:rPr>
        <w:t xml:space="preserve"> </w:t>
      </w:r>
      <w:r w:rsidR="007D1FAA" w:rsidRPr="006D1C74">
        <w:rPr>
          <w:rFonts w:asciiTheme="majorHAnsi" w:eastAsia="Batang" w:hAnsiTheme="majorHAnsi"/>
          <w:sz w:val="20"/>
          <w:szCs w:val="20"/>
          <w:bdr w:val="none" w:sz="0" w:space="0" w:color="auto"/>
          <w:lang w:val="pt-BR"/>
        </w:rPr>
        <w:t xml:space="preserve">sido </w:t>
      </w:r>
      <w:r w:rsidR="002649F0" w:rsidRPr="006D1C74">
        <w:rPr>
          <w:rFonts w:asciiTheme="majorHAnsi" w:eastAsia="Batang" w:hAnsiTheme="majorHAnsi"/>
          <w:sz w:val="20"/>
          <w:szCs w:val="20"/>
          <w:bdr w:val="none" w:sz="0" w:space="0" w:color="auto"/>
          <w:lang w:val="pt-BR"/>
        </w:rPr>
        <w:t>cometido</w:t>
      </w:r>
      <w:r w:rsidR="00030019" w:rsidRPr="006D1C74">
        <w:rPr>
          <w:rFonts w:asciiTheme="majorHAnsi" w:eastAsia="Batang" w:hAnsiTheme="majorHAnsi"/>
          <w:sz w:val="20"/>
          <w:szCs w:val="20"/>
          <w:bdr w:val="none" w:sz="0" w:space="0" w:color="auto"/>
          <w:lang w:val="pt-BR"/>
        </w:rPr>
        <w:t xml:space="preserve"> um </w:t>
      </w:r>
      <w:r w:rsidR="002649F0" w:rsidRPr="006D1C74">
        <w:rPr>
          <w:rFonts w:asciiTheme="majorHAnsi" w:eastAsia="Batang" w:hAnsiTheme="majorHAnsi"/>
          <w:sz w:val="20"/>
          <w:szCs w:val="20"/>
          <w:bdr w:val="none" w:sz="0" w:space="0" w:color="auto"/>
          <w:lang w:val="pt-BR"/>
        </w:rPr>
        <w:t>delito militar pa</w:t>
      </w:r>
      <w:r w:rsidR="007D1FAA" w:rsidRPr="006D1C74">
        <w:rPr>
          <w:rFonts w:asciiTheme="majorHAnsi" w:eastAsia="Batang" w:hAnsiTheme="majorHAnsi"/>
          <w:sz w:val="20"/>
          <w:szCs w:val="20"/>
          <w:bdr w:val="none" w:sz="0" w:space="0" w:color="auto"/>
          <w:lang w:val="pt-BR"/>
        </w:rPr>
        <w:t>s</w:t>
      </w:r>
      <w:r w:rsidR="002649F0" w:rsidRPr="006D1C74">
        <w:rPr>
          <w:rFonts w:asciiTheme="majorHAnsi" w:eastAsia="Batang" w:hAnsiTheme="majorHAnsi"/>
          <w:sz w:val="20"/>
          <w:szCs w:val="20"/>
          <w:bdr w:val="none" w:sz="0" w:space="0" w:color="auto"/>
          <w:lang w:val="pt-BR"/>
        </w:rPr>
        <w:t>s</w:t>
      </w:r>
      <w:r w:rsidR="007D1FAA" w:rsidRPr="006D1C74">
        <w:rPr>
          <w:rFonts w:asciiTheme="majorHAnsi" w:eastAsia="Batang" w:hAnsiTheme="majorHAnsi"/>
          <w:sz w:val="20"/>
          <w:szCs w:val="20"/>
          <w:bdr w:val="none" w:sz="0" w:space="0" w:color="auto"/>
          <w:lang w:val="pt-BR"/>
        </w:rPr>
        <w:t>ível</w:t>
      </w:r>
      <w:r w:rsidR="002649F0" w:rsidRPr="006D1C74">
        <w:rPr>
          <w:rFonts w:asciiTheme="majorHAnsi" w:eastAsia="Batang" w:hAnsiTheme="majorHAnsi"/>
          <w:sz w:val="20"/>
          <w:szCs w:val="20"/>
          <w:bdr w:val="none" w:sz="0" w:space="0" w:color="auto"/>
          <w:lang w:val="pt-BR"/>
        </w:rPr>
        <w:t xml:space="preserve"> de </w:t>
      </w:r>
      <w:r w:rsidR="007D1FAA" w:rsidRPr="006D1C74">
        <w:rPr>
          <w:rFonts w:asciiTheme="majorHAnsi" w:eastAsia="Batang" w:hAnsiTheme="majorHAnsi"/>
          <w:sz w:val="20"/>
          <w:szCs w:val="20"/>
          <w:bdr w:val="none" w:sz="0" w:space="0" w:color="auto"/>
          <w:lang w:val="pt-BR"/>
        </w:rPr>
        <w:t>puni</w:t>
      </w:r>
      <w:r w:rsidR="00CF037E" w:rsidRPr="006D1C74">
        <w:rPr>
          <w:rFonts w:asciiTheme="majorHAnsi" w:eastAsia="Batang" w:hAnsiTheme="majorHAnsi"/>
          <w:sz w:val="20"/>
          <w:szCs w:val="20"/>
          <w:bdr w:val="none" w:sz="0" w:space="0" w:color="auto"/>
          <w:lang w:val="pt-BR"/>
        </w:rPr>
        <w:t>ção</w:t>
      </w:r>
      <w:r w:rsidR="002649F0" w:rsidRPr="006D1C74">
        <w:rPr>
          <w:rFonts w:asciiTheme="majorHAnsi" w:eastAsia="Batang" w:hAnsiTheme="majorHAnsi"/>
          <w:sz w:val="20"/>
          <w:szCs w:val="20"/>
          <w:bdr w:val="none" w:sz="0" w:space="0" w:color="auto"/>
          <w:lang w:val="pt-BR"/>
        </w:rPr>
        <w:t>,</w:t>
      </w:r>
      <w:r w:rsidR="00F673C7" w:rsidRPr="006D1C74">
        <w:rPr>
          <w:rFonts w:asciiTheme="majorHAnsi" w:eastAsia="Batang" w:hAnsiTheme="majorHAnsi"/>
          <w:sz w:val="20"/>
          <w:szCs w:val="20"/>
          <w:bdr w:val="none" w:sz="0" w:space="0" w:color="auto"/>
          <w:lang w:val="pt-BR"/>
        </w:rPr>
        <w:t xml:space="preserve"> com </w:t>
      </w:r>
      <w:r w:rsidR="002649F0" w:rsidRPr="006D1C74">
        <w:rPr>
          <w:rFonts w:asciiTheme="majorHAnsi" w:eastAsia="Batang" w:hAnsiTheme="majorHAnsi"/>
          <w:sz w:val="20"/>
          <w:szCs w:val="20"/>
          <w:bdr w:val="none" w:sz="0" w:space="0" w:color="auto"/>
          <w:lang w:val="pt-BR"/>
        </w:rPr>
        <w:t xml:space="preserve">o </w:t>
      </w:r>
      <w:r w:rsidR="007D1FAA" w:rsidRPr="006D1C74">
        <w:rPr>
          <w:rFonts w:asciiTheme="majorHAnsi" w:eastAsia="Batang" w:hAnsiTheme="majorHAnsi"/>
          <w:sz w:val="20"/>
          <w:szCs w:val="20"/>
          <w:bdr w:val="none" w:sz="0" w:space="0" w:color="auto"/>
          <w:lang w:val="pt-BR"/>
        </w:rPr>
        <w:t>que</w:t>
      </w:r>
      <w:r w:rsidR="002649F0" w:rsidRPr="006D1C74">
        <w:rPr>
          <w:rFonts w:asciiTheme="majorHAnsi" w:eastAsia="Batang" w:hAnsiTheme="majorHAnsi"/>
          <w:sz w:val="20"/>
          <w:szCs w:val="20"/>
          <w:bdr w:val="none" w:sz="0" w:space="0" w:color="auto"/>
          <w:lang w:val="pt-BR"/>
        </w:rPr>
        <w:t xml:space="preserve"> </w:t>
      </w:r>
      <w:r w:rsidR="00585D35" w:rsidRPr="006D1C74">
        <w:rPr>
          <w:rFonts w:asciiTheme="majorHAnsi" w:eastAsia="Batang" w:hAnsiTheme="majorHAnsi"/>
          <w:sz w:val="20"/>
          <w:szCs w:val="20"/>
          <w:bdr w:val="none" w:sz="0" w:space="0" w:color="auto"/>
          <w:lang w:val="pt-BR"/>
        </w:rPr>
        <w:t>orde</w:t>
      </w:r>
      <w:r w:rsidR="007D1FAA" w:rsidRPr="006D1C74">
        <w:rPr>
          <w:rFonts w:asciiTheme="majorHAnsi" w:eastAsia="Batang" w:hAnsiTheme="majorHAnsi"/>
          <w:sz w:val="20"/>
          <w:szCs w:val="20"/>
          <w:bdr w:val="none" w:sz="0" w:space="0" w:color="auto"/>
          <w:lang w:val="pt-BR"/>
        </w:rPr>
        <w:t>nou</w:t>
      </w:r>
      <w:r w:rsidR="00700267" w:rsidRPr="006D1C74">
        <w:rPr>
          <w:rFonts w:asciiTheme="majorHAnsi" w:eastAsia="Batang" w:hAnsiTheme="majorHAnsi"/>
          <w:sz w:val="20"/>
          <w:szCs w:val="20"/>
          <w:bdr w:val="none" w:sz="0" w:space="0" w:color="auto"/>
          <w:lang w:val="pt-BR"/>
        </w:rPr>
        <w:t xml:space="preserve"> o </w:t>
      </w:r>
      <w:r w:rsidR="00616640" w:rsidRPr="006D1C74">
        <w:rPr>
          <w:rFonts w:asciiTheme="majorHAnsi" w:eastAsia="Batang" w:hAnsiTheme="majorHAnsi"/>
          <w:sz w:val="20"/>
          <w:szCs w:val="20"/>
          <w:bdr w:val="none" w:sz="0" w:space="0" w:color="auto"/>
          <w:lang w:val="pt-BR"/>
        </w:rPr>
        <w:t>arquivamento</w:t>
      </w:r>
      <w:r w:rsidR="00795010" w:rsidRPr="006D1C74">
        <w:rPr>
          <w:rFonts w:asciiTheme="majorHAnsi" w:eastAsia="Batang" w:hAnsiTheme="majorHAnsi"/>
          <w:sz w:val="20"/>
          <w:szCs w:val="20"/>
          <w:bdr w:val="none" w:sz="0" w:space="0" w:color="auto"/>
          <w:lang w:val="pt-BR"/>
        </w:rPr>
        <w:t xml:space="preserve"> da </w:t>
      </w:r>
      <w:r w:rsidR="002649F0" w:rsidRPr="006D1C74">
        <w:rPr>
          <w:rFonts w:asciiTheme="majorHAnsi" w:eastAsia="Batang" w:hAnsiTheme="majorHAnsi"/>
          <w:sz w:val="20"/>
          <w:szCs w:val="20"/>
          <w:bdr w:val="none" w:sz="0" w:space="0" w:color="auto"/>
          <w:lang w:val="pt-BR"/>
        </w:rPr>
        <w:t>causa</w:t>
      </w:r>
      <w:r w:rsidR="002649F0" w:rsidRPr="006D1C74">
        <w:rPr>
          <w:rFonts w:asciiTheme="majorHAnsi" w:eastAsia="Batang" w:hAnsiTheme="majorHAnsi"/>
          <w:sz w:val="20"/>
          <w:szCs w:val="20"/>
          <w:bdr w:val="none" w:sz="0" w:space="0" w:color="auto"/>
          <w:vertAlign w:val="superscript"/>
          <w:lang w:val="pt-BR"/>
        </w:rPr>
        <w:footnoteReference w:id="36"/>
      </w:r>
      <w:r w:rsidR="002649F0" w:rsidRPr="006D1C74">
        <w:rPr>
          <w:rFonts w:asciiTheme="majorHAnsi" w:eastAsia="Batang" w:hAnsiTheme="majorHAnsi"/>
          <w:sz w:val="20"/>
          <w:szCs w:val="20"/>
          <w:bdr w:val="none" w:sz="0" w:space="0" w:color="auto"/>
          <w:lang w:val="pt-BR"/>
        </w:rPr>
        <w:t>.</w:t>
      </w:r>
    </w:p>
    <w:p w14:paraId="164CB508" w14:textId="77777777" w:rsidR="002649F0" w:rsidRPr="006D1C74" w:rsidRDefault="002649F0" w:rsidP="002649F0">
      <w:pPr>
        <w:ind w:left="720"/>
        <w:rPr>
          <w:rFonts w:asciiTheme="majorHAnsi" w:eastAsia="Batang" w:hAnsiTheme="majorHAnsi" w:cs="Cambria"/>
          <w:color w:val="000000"/>
          <w:sz w:val="20"/>
          <w:szCs w:val="20"/>
          <w:u w:color="000000"/>
          <w:bdr w:val="none" w:sz="0" w:space="0" w:color="auto"/>
          <w:lang w:val="pt-BR" w:eastAsia="es-ES"/>
        </w:rPr>
      </w:pPr>
    </w:p>
    <w:p w14:paraId="17C9BDB7" w14:textId="77777777" w:rsidR="002649F0" w:rsidRPr="006D1C74" w:rsidRDefault="002649F0" w:rsidP="00E46227">
      <w:pPr>
        <w:pStyle w:val="Heading2"/>
        <w:rPr>
          <w:lang w:val="pt-BR"/>
        </w:rPr>
      </w:pPr>
      <w:bookmarkStart w:id="20" w:name="_Toc7618508"/>
      <w:bookmarkStart w:id="21" w:name="_Toc43554273"/>
      <w:r w:rsidRPr="006D1C74">
        <w:rPr>
          <w:lang w:val="pt-BR"/>
        </w:rPr>
        <w:t>Investiga</w:t>
      </w:r>
      <w:r w:rsidR="00CF037E" w:rsidRPr="006D1C74">
        <w:rPr>
          <w:lang w:val="pt-BR"/>
        </w:rPr>
        <w:t>ção</w:t>
      </w:r>
      <w:r w:rsidRPr="006D1C74">
        <w:rPr>
          <w:lang w:val="pt-BR"/>
        </w:rPr>
        <w:t xml:space="preserve"> policial</w:t>
      </w:r>
      <w:r w:rsidR="00CF037E" w:rsidRPr="006D1C74">
        <w:rPr>
          <w:lang w:val="pt-BR"/>
        </w:rPr>
        <w:t xml:space="preserve"> e </w:t>
      </w:r>
      <w:r w:rsidR="00AB7F30" w:rsidRPr="006D1C74">
        <w:rPr>
          <w:lang w:val="pt-BR"/>
        </w:rPr>
        <w:t>processo</w:t>
      </w:r>
      <w:r w:rsidRPr="006D1C74">
        <w:rPr>
          <w:lang w:val="pt-BR"/>
        </w:rPr>
        <w:t xml:space="preserve"> penal</w:t>
      </w:r>
      <w:bookmarkEnd w:id="20"/>
      <w:r w:rsidR="00F673C7" w:rsidRPr="006D1C74">
        <w:rPr>
          <w:lang w:val="pt-BR"/>
        </w:rPr>
        <w:t xml:space="preserve"> na </w:t>
      </w:r>
      <w:r w:rsidR="00795010" w:rsidRPr="006D1C74">
        <w:rPr>
          <w:lang w:val="pt-BR"/>
        </w:rPr>
        <w:t>justiça</w:t>
      </w:r>
      <w:r w:rsidRPr="006D1C74">
        <w:rPr>
          <w:lang w:val="pt-BR"/>
        </w:rPr>
        <w:t xml:space="preserve"> </w:t>
      </w:r>
      <w:r w:rsidR="00BE496A" w:rsidRPr="006D1C74">
        <w:rPr>
          <w:lang w:val="pt-BR"/>
        </w:rPr>
        <w:t>comum</w:t>
      </w:r>
      <w:bookmarkEnd w:id="21"/>
    </w:p>
    <w:p w14:paraId="317FC5BC"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180"/>
        <w:jc w:val="both"/>
        <w:rPr>
          <w:rFonts w:asciiTheme="majorHAnsi" w:eastAsia="Batang" w:hAnsiTheme="majorHAnsi"/>
          <w:sz w:val="20"/>
          <w:szCs w:val="20"/>
          <w:bdr w:val="none" w:sz="0" w:space="0" w:color="auto"/>
          <w:lang w:val="pt-BR"/>
        </w:rPr>
      </w:pPr>
    </w:p>
    <w:p w14:paraId="3C7D6CF0" w14:textId="6260DF57" w:rsidR="00F26998" w:rsidRPr="00BD5C64" w:rsidRDefault="00F26998" w:rsidP="00F269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BD5C64">
        <w:rPr>
          <w:rFonts w:asciiTheme="majorHAnsi" w:eastAsia="Batang" w:hAnsiTheme="majorHAnsi"/>
          <w:sz w:val="20"/>
          <w:szCs w:val="20"/>
          <w:bdr w:val="none" w:sz="0" w:space="0" w:color="auto"/>
          <w:lang w:val="pt-BR"/>
        </w:rPr>
        <w:t>Paralelamente ao Inquérito Policial Militar (IPM) 221/2000, em 3 de maio de 2000 instaurou-se o Inquérito Policial (IPL) 268/2000</w:t>
      </w:r>
      <w:r w:rsidRPr="00BD5C64">
        <w:rPr>
          <w:rStyle w:val="FootnoteReference"/>
          <w:rFonts w:asciiTheme="majorHAnsi" w:eastAsia="Batang" w:hAnsiTheme="majorHAnsi"/>
          <w:sz w:val="20"/>
          <w:szCs w:val="20"/>
          <w:bdr w:val="none" w:sz="0" w:space="0" w:color="auto"/>
          <w:lang w:val="pt-BR"/>
        </w:rPr>
        <w:footnoteReference w:id="37"/>
      </w:r>
      <w:r w:rsidRPr="00BD5C64">
        <w:rPr>
          <w:rFonts w:asciiTheme="majorHAnsi" w:eastAsia="Batang" w:hAnsiTheme="majorHAnsi"/>
          <w:sz w:val="20"/>
          <w:szCs w:val="20"/>
          <w:bdr w:val="none" w:sz="0" w:space="0" w:color="auto"/>
          <w:lang w:val="pt-BR"/>
        </w:rPr>
        <w:t xml:space="preserve"> para apuração do assassinato de Antônio Tavares Pereira. </w:t>
      </w:r>
    </w:p>
    <w:p w14:paraId="32C917AB" w14:textId="77777777" w:rsidR="002649F0" w:rsidRPr="00BD5C64" w:rsidRDefault="002649F0" w:rsidP="002649F0">
      <w:pPr>
        <w:ind w:left="720"/>
        <w:rPr>
          <w:rFonts w:asciiTheme="majorHAnsi" w:eastAsia="Batang" w:hAnsiTheme="majorHAnsi" w:cs="Cambria"/>
          <w:color w:val="000000"/>
          <w:sz w:val="20"/>
          <w:szCs w:val="20"/>
          <w:u w:color="000000"/>
          <w:bdr w:val="none" w:sz="0" w:space="0" w:color="auto"/>
          <w:lang w:val="pt-BR" w:eastAsia="es-ES"/>
        </w:rPr>
      </w:pPr>
    </w:p>
    <w:p w14:paraId="679DC4D9" w14:textId="77777777" w:rsidR="00F26998" w:rsidRPr="00BD5C64" w:rsidRDefault="00F26998" w:rsidP="00F269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BD5C64">
        <w:rPr>
          <w:rFonts w:asciiTheme="majorHAnsi" w:eastAsia="Batang" w:hAnsiTheme="majorHAnsi"/>
          <w:sz w:val="20"/>
          <w:szCs w:val="20"/>
          <w:bdr w:val="none" w:sz="0" w:space="0" w:color="auto"/>
          <w:lang w:val="pt-BR"/>
        </w:rPr>
        <w:t xml:space="preserve">No relatório final do IPL 268/2000 consta que as testemunhas Sergio Adelmo Turco e Laureci Coradace Leal afirmam que o policial Joel de Lima Santa Ana disparou um tiro em direção à </w:t>
      </w:r>
      <w:r w:rsidR="00623C35" w:rsidRPr="00BD5C64">
        <w:rPr>
          <w:rFonts w:asciiTheme="majorHAnsi" w:eastAsia="Batang" w:hAnsiTheme="majorHAnsi"/>
          <w:sz w:val="20"/>
          <w:szCs w:val="20"/>
          <w:bdr w:val="none" w:sz="0" w:space="0" w:color="auto"/>
          <w:lang w:val="pt-BR"/>
        </w:rPr>
        <w:t>vítima</w:t>
      </w:r>
      <w:r w:rsidRPr="00BD5C64">
        <w:rPr>
          <w:rFonts w:asciiTheme="majorHAnsi" w:eastAsia="Batang" w:hAnsiTheme="majorHAnsi"/>
          <w:sz w:val="20"/>
          <w:szCs w:val="20"/>
          <w:bdr w:val="none" w:sz="0" w:space="0" w:color="auto"/>
          <w:lang w:val="pt-BR"/>
        </w:rPr>
        <w:t xml:space="preserve"> Antonio Tavares Pereira</w:t>
      </w:r>
      <w:r w:rsidRPr="00BD5C64">
        <w:rPr>
          <w:rStyle w:val="FootnoteReference"/>
          <w:rFonts w:asciiTheme="majorHAnsi" w:eastAsia="Batang" w:hAnsiTheme="majorHAnsi"/>
          <w:sz w:val="20"/>
          <w:szCs w:val="20"/>
          <w:bdr w:val="none" w:sz="0" w:space="0" w:color="auto"/>
          <w:lang w:val="pt-BR"/>
        </w:rPr>
        <w:footnoteReference w:id="38"/>
      </w:r>
      <w:r w:rsidRPr="00BD5C64">
        <w:rPr>
          <w:rFonts w:asciiTheme="majorHAnsi" w:eastAsia="Batang" w:hAnsiTheme="majorHAnsi"/>
          <w:sz w:val="20"/>
          <w:szCs w:val="20"/>
          <w:bdr w:val="none" w:sz="0" w:space="0" w:color="auto"/>
          <w:lang w:val="pt-BR"/>
        </w:rPr>
        <w:t>.</w:t>
      </w:r>
    </w:p>
    <w:p w14:paraId="2A95AED9" w14:textId="77777777" w:rsidR="00F26998" w:rsidRPr="00BD5C64" w:rsidRDefault="00F26998" w:rsidP="00F26998">
      <w:pPr>
        <w:rPr>
          <w:rFonts w:asciiTheme="majorHAnsi" w:eastAsia="Batang" w:hAnsiTheme="majorHAnsi" w:cs="Cambria"/>
          <w:color w:val="000000"/>
          <w:sz w:val="20"/>
          <w:szCs w:val="20"/>
          <w:u w:color="000000"/>
          <w:bdr w:val="none" w:sz="0" w:space="0" w:color="auto"/>
          <w:lang w:val="pt-BR" w:eastAsia="es-ES"/>
        </w:rPr>
      </w:pPr>
    </w:p>
    <w:p w14:paraId="4B617188" w14:textId="77777777" w:rsidR="00F26998" w:rsidRPr="00BD5C64" w:rsidRDefault="00F26998" w:rsidP="00F269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BD5C64">
        <w:rPr>
          <w:rFonts w:asciiTheme="majorHAnsi" w:eastAsia="Batang" w:hAnsiTheme="majorHAnsi"/>
          <w:sz w:val="20"/>
          <w:szCs w:val="20"/>
          <w:bdr w:val="none" w:sz="0" w:space="0" w:color="auto"/>
          <w:lang w:val="pt-BR"/>
        </w:rPr>
        <w:t>A representante do Ministério Público do Estado do Paraná,</w:t>
      </w:r>
      <w:r w:rsidR="00F673C7" w:rsidRPr="00BD5C64">
        <w:rPr>
          <w:rFonts w:asciiTheme="majorHAnsi" w:eastAsia="Batang" w:hAnsiTheme="majorHAnsi"/>
          <w:sz w:val="20"/>
          <w:szCs w:val="20"/>
          <w:bdr w:val="none" w:sz="0" w:space="0" w:color="auto"/>
          <w:lang w:val="pt-BR"/>
        </w:rPr>
        <w:t xml:space="preserve"> no </w:t>
      </w:r>
      <w:r w:rsidRPr="00BD5C64">
        <w:rPr>
          <w:rFonts w:asciiTheme="majorHAnsi" w:eastAsia="Batang" w:hAnsiTheme="majorHAnsi"/>
          <w:sz w:val="20"/>
          <w:szCs w:val="20"/>
          <w:bdr w:val="none" w:sz="0" w:space="0" w:color="auto"/>
          <w:lang w:val="pt-BR"/>
        </w:rPr>
        <w:t>âmbito da justiça criminal comum, apresentou Denúncia contra o policial militar Joel de Lima Santa Ana, em 29 de abril de 2002, por homicídio doloso, por entender que o policial assumiu o risco de ceifar uma vida ao di</w:t>
      </w:r>
      <w:r w:rsidR="00154D0D" w:rsidRPr="00BD5C64">
        <w:rPr>
          <w:rFonts w:asciiTheme="majorHAnsi" w:eastAsia="Batang" w:hAnsiTheme="majorHAnsi"/>
          <w:sz w:val="20"/>
          <w:szCs w:val="20"/>
          <w:bdr w:val="none" w:sz="0" w:space="0" w:color="auto"/>
          <w:lang w:val="pt-BR"/>
        </w:rPr>
        <w:t>s</w:t>
      </w:r>
      <w:r w:rsidRPr="00BD5C64">
        <w:rPr>
          <w:rFonts w:asciiTheme="majorHAnsi" w:eastAsia="Batang" w:hAnsiTheme="majorHAnsi"/>
          <w:sz w:val="20"/>
          <w:szCs w:val="20"/>
          <w:bdr w:val="none" w:sz="0" w:space="0" w:color="auto"/>
          <w:lang w:val="pt-BR"/>
        </w:rPr>
        <w:t xml:space="preserve">parar a arma de grosso </w:t>
      </w:r>
      <w:r w:rsidR="006D1C74" w:rsidRPr="00BD5C64">
        <w:rPr>
          <w:rFonts w:asciiTheme="majorHAnsi" w:eastAsia="Batang" w:hAnsiTheme="majorHAnsi"/>
          <w:sz w:val="20"/>
          <w:szCs w:val="20"/>
          <w:bdr w:val="none" w:sz="0" w:space="0" w:color="auto"/>
          <w:lang w:val="pt-BR"/>
        </w:rPr>
        <w:t>calibre</w:t>
      </w:r>
      <w:r w:rsidRPr="00BD5C64">
        <w:rPr>
          <w:rFonts w:asciiTheme="majorHAnsi" w:eastAsia="Batang" w:hAnsiTheme="majorHAnsi"/>
          <w:sz w:val="20"/>
          <w:szCs w:val="20"/>
          <w:bdr w:val="none" w:sz="0" w:space="0" w:color="auto"/>
          <w:lang w:val="pt-BR"/>
        </w:rPr>
        <w:t xml:space="preserve"> em direção à manta asfáltica</w:t>
      </w:r>
      <w:r w:rsidR="00F673C7" w:rsidRPr="00BD5C64">
        <w:rPr>
          <w:rFonts w:asciiTheme="majorHAnsi" w:eastAsia="Batang" w:hAnsiTheme="majorHAnsi"/>
          <w:sz w:val="20"/>
          <w:szCs w:val="20"/>
          <w:bdr w:val="none" w:sz="0" w:space="0" w:color="auto"/>
          <w:lang w:val="pt-BR"/>
        </w:rPr>
        <w:t xml:space="preserve"> no </w:t>
      </w:r>
      <w:r w:rsidRPr="00BD5C64">
        <w:rPr>
          <w:rFonts w:asciiTheme="majorHAnsi" w:eastAsia="Batang" w:hAnsiTheme="majorHAnsi"/>
          <w:sz w:val="20"/>
          <w:szCs w:val="20"/>
          <w:bdr w:val="none" w:sz="0" w:space="0" w:color="auto"/>
          <w:lang w:val="pt-BR"/>
        </w:rPr>
        <w:t xml:space="preserve">meio de diversas pessoas </w:t>
      </w:r>
      <w:r w:rsidRPr="00BD5C64">
        <w:rPr>
          <w:rStyle w:val="FootnoteReference"/>
          <w:rFonts w:asciiTheme="majorHAnsi" w:eastAsia="Batang" w:hAnsiTheme="majorHAnsi"/>
          <w:sz w:val="20"/>
          <w:szCs w:val="20"/>
          <w:bdr w:val="none" w:sz="0" w:space="0" w:color="auto"/>
          <w:lang w:val="pt-BR"/>
        </w:rPr>
        <w:footnoteReference w:id="39"/>
      </w:r>
      <w:r w:rsidRPr="00BD5C64">
        <w:rPr>
          <w:rFonts w:asciiTheme="majorHAnsi" w:eastAsia="Batang" w:hAnsiTheme="majorHAnsi"/>
          <w:sz w:val="20"/>
          <w:szCs w:val="20"/>
          <w:bdr w:val="none" w:sz="0" w:space="0" w:color="auto"/>
          <w:lang w:val="pt-BR"/>
        </w:rPr>
        <w:t>.</w:t>
      </w:r>
    </w:p>
    <w:p w14:paraId="744D38CF" w14:textId="77777777" w:rsidR="00F26998" w:rsidRPr="00BD5C64" w:rsidRDefault="00F26998" w:rsidP="00F26998">
      <w:pPr>
        <w:rPr>
          <w:rFonts w:asciiTheme="majorHAnsi" w:eastAsia="Batang" w:hAnsiTheme="majorHAnsi"/>
          <w:sz w:val="20"/>
          <w:szCs w:val="20"/>
          <w:bdr w:val="none" w:sz="0" w:space="0" w:color="auto"/>
          <w:lang w:val="pt-BR"/>
        </w:rPr>
      </w:pPr>
    </w:p>
    <w:p w14:paraId="51894533" w14:textId="77777777" w:rsidR="00F26998" w:rsidRPr="00BD5C64" w:rsidRDefault="00F26998" w:rsidP="00F269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BD5C64">
        <w:rPr>
          <w:rFonts w:asciiTheme="majorHAnsi" w:eastAsia="Batang" w:hAnsiTheme="majorHAnsi"/>
          <w:sz w:val="20"/>
          <w:szCs w:val="20"/>
          <w:bdr w:val="none" w:sz="0" w:space="0" w:color="auto"/>
          <w:lang w:val="pt-BR"/>
        </w:rPr>
        <w:t xml:space="preserve">A denúncia foi recebida pelo Juiz da Comarca de Campo Largo em 30 de abril de 2002. Em 21 de outubro de 2002, os advogados do réu Joel de Lima Santa Ana impetraram </w:t>
      </w:r>
      <w:r w:rsidRPr="00BD5C64">
        <w:rPr>
          <w:rFonts w:asciiTheme="majorHAnsi" w:eastAsia="Batang" w:hAnsiTheme="majorHAnsi"/>
          <w:i/>
          <w:sz w:val="20"/>
          <w:szCs w:val="20"/>
          <w:bdr w:val="none" w:sz="0" w:space="0" w:color="auto"/>
          <w:lang w:val="pt-BR"/>
        </w:rPr>
        <w:t>habeas corpus</w:t>
      </w:r>
      <w:r w:rsidRPr="00BD5C64">
        <w:rPr>
          <w:rFonts w:asciiTheme="majorHAnsi" w:eastAsia="Batang" w:hAnsiTheme="majorHAnsi"/>
          <w:sz w:val="20"/>
          <w:szCs w:val="20"/>
          <w:bdr w:val="none" w:sz="0" w:space="0" w:color="auto"/>
          <w:lang w:val="pt-BR"/>
        </w:rPr>
        <w:t xml:space="preserve"> objetivando o trancamento da ação penal, uma vez que a morte de Antônio Tavares Pereira já havia sido objeto de decisão pela jurisdição militar</w:t>
      </w:r>
      <w:r w:rsidRPr="00BD5C64">
        <w:rPr>
          <w:rStyle w:val="FootnoteReference"/>
          <w:rFonts w:asciiTheme="majorHAnsi" w:eastAsia="Batang" w:hAnsiTheme="majorHAnsi"/>
          <w:sz w:val="20"/>
          <w:szCs w:val="20"/>
          <w:bdr w:val="none" w:sz="0" w:space="0" w:color="auto"/>
          <w:lang w:val="pt-BR"/>
        </w:rPr>
        <w:footnoteReference w:id="40"/>
      </w:r>
      <w:r w:rsidRPr="00BD5C64">
        <w:rPr>
          <w:rFonts w:asciiTheme="majorHAnsi" w:eastAsia="Batang" w:hAnsiTheme="majorHAnsi"/>
          <w:sz w:val="20"/>
          <w:szCs w:val="20"/>
          <w:bdr w:val="none" w:sz="0" w:space="0" w:color="auto"/>
          <w:lang w:val="pt-BR"/>
        </w:rPr>
        <w:t>.</w:t>
      </w:r>
    </w:p>
    <w:p w14:paraId="1A3093DD" w14:textId="77777777" w:rsidR="002649F0" w:rsidRPr="00BD5C64" w:rsidRDefault="002649F0" w:rsidP="00F26998">
      <w:pPr>
        <w:rPr>
          <w:rFonts w:asciiTheme="majorHAnsi" w:eastAsia="Batang" w:hAnsiTheme="majorHAnsi" w:cs="Cambria"/>
          <w:color w:val="000000"/>
          <w:sz w:val="20"/>
          <w:szCs w:val="20"/>
          <w:u w:color="000000"/>
          <w:bdr w:val="none" w:sz="0" w:space="0" w:color="auto"/>
          <w:lang w:val="pt-BR" w:eastAsia="es-ES"/>
        </w:rPr>
      </w:pPr>
    </w:p>
    <w:p w14:paraId="54A5530F" w14:textId="77777777" w:rsidR="00F26998" w:rsidRPr="00BD5C64" w:rsidRDefault="00F26998" w:rsidP="00F269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sz w:val="20"/>
          <w:szCs w:val="20"/>
          <w:bdr w:val="none" w:sz="0" w:space="0" w:color="auto"/>
          <w:lang w:val="pt-BR"/>
        </w:rPr>
      </w:pPr>
      <w:r w:rsidRPr="00BD5C64">
        <w:rPr>
          <w:rFonts w:asciiTheme="majorHAnsi" w:eastAsia="Batang" w:hAnsiTheme="majorHAnsi"/>
          <w:sz w:val="20"/>
          <w:szCs w:val="20"/>
          <w:bdr w:val="none" w:sz="0" w:space="0" w:color="auto"/>
          <w:lang w:val="pt-BR"/>
        </w:rPr>
        <w:t>A Segunda Câmara do Tribunal de Justiça do Paraná determinou o trancamento da ação penal, mediante decisão emitida em 17 de abril de 2003</w:t>
      </w:r>
      <w:r w:rsidRPr="00BD5C64">
        <w:rPr>
          <w:rStyle w:val="FootnoteReference"/>
          <w:rFonts w:asciiTheme="majorHAnsi" w:eastAsia="Batang" w:hAnsiTheme="majorHAnsi"/>
          <w:sz w:val="20"/>
          <w:szCs w:val="20"/>
          <w:bdr w:val="none" w:sz="0" w:space="0" w:color="auto"/>
          <w:lang w:val="pt-BR"/>
        </w:rPr>
        <w:footnoteReference w:id="41"/>
      </w:r>
      <w:r w:rsidRPr="00BD5C64">
        <w:rPr>
          <w:rFonts w:asciiTheme="majorHAnsi" w:eastAsia="Batang" w:hAnsiTheme="majorHAnsi"/>
          <w:sz w:val="20"/>
          <w:szCs w:val="20"/>
          <w:bdr w:val="none" w:sz="0" w:space="0" w:color="auto"/>
          <w:lang w:val="pt-BR"/>
        </w:rPr>
        <w:t>, justificando já haver decisão da Justiça Militar sob</w:t>
      </w:r>
      <w:r w:rsidR="00154D0D" w:rsidRPr="00BD5C64">
        <w:rPr>
          <w:rFonts w:asciiTheme="majorHAnsi" w:eastAsia="Batang" w:hAnsiTheme="majorHAnsi"/>
          <w:sz w:val="20"/>
          <w:szCs w:val="20"/>
          <w:bdr w:val="none" w:sz="0" w:space="0" w:color="auto"/>
          <w:lang w:val="pt-BR"/>
        </w:rPr>
        <w:t>re</w:t>
      </w:r>
      <w:r w:rsidRPr="00BD5C64">
        <w:rPr>
          <w:rFonts w:asciiTheme="majorHAnsi" w:eastAsia="Batang" w:hAnsiTheme="majorHAnsi"/>
          <w:sz w:val="20"/>
          <w:szCs w:val="20"/>
          <w:bdr w:val="none" w:sz="0" w:space="0" w:color="auto"/>
          <w:lang w:val="pt-BR"/>
        </w:rPr>
        <w:t xml:space="preserve"> o mesmo fato. O Ministério Público do Estado do Paraná não recorreu de</w:t>
      </w:r>
      <w:r w:rsidR="00154D0D" w:rsidRPr="00BD5C64">
        <w:rPr>
          <w:rFonts w:asciiTheme="majorHAnsi" w:eastAsia="Batang" w:hAnsiTheme="majorHAnsi"/>
          <w:sz w:val="20"/>
          <w:szCs w:val="20"/>
          <w:bdr w:val="none" w:sz="0" w:space="0" w:color="auto"/>
          <w:lang w:val="pt-BR"/>
        </w:rPr>
        <w:t>ss</w:t>
      </w:r>
      <w:r w:rsidRPr="00BD5C64">
        <w:rPr>
          <w:rFonts w:asciiTheme="majorHAnsi" w:eastAsia="Batang" w:hAnsiTheme="majorHAnsi"/>
          <w:sz w:val="20"/>
          <w:szCs w:val="20"/>
          <w:bdr w:val="none" w:sz="0" w:space="0" w:color="auto"/>
          <w:lang w:val="pt-BR"/>
        </w:rPr>
        <w:t>a decisão, que transitou em julgado</w:t>
      </w:r>
      <w:r w:rsidRPr="00BD5C64">
        <w:rPr>
          <w:rStyle w:val="FootnoteReference"/>
          <w:rFonts w:asciiTheme="majorHAnsi" w:eastAsia="Batang" w:hAnsiTheme="majorHAnsi"/>
          <w:sz w:val="20"/>
          <w:szCs w:val="20"/>
          <w:bdr w:val="none" w:sz="0" w:space="0" w:color="auto"/>
          <w:lang w:val="pt-BR"/>
        </w:rPr>
        <w:footnoteReference w:id="42"/>
      </w:r>
      <w:r w:rsidRPr="00BD5C64">
        <w:rPr>
          <w:rFonts w:asciiTheme="majorHAnsi" w:eastAsia="Batang" w:hAnsiTheme="majorHAnsi"/>
          <w:sz w:val="20"/>
          <w:szCs w:val="20"/>
          <w:bdr w:val="none" w:sz="0" w:space="0" w:color="auto"/>
          <w:lang w:val="pt-BR"/>
        </w:rPr>
        <w:t xml:space="preserve">. </w:t>
      </w:r>
    </w:p>
    <w:p w14:paraId="6570551E" w14:textId="77777777" w:rsidR="002649F0" w:rsidRPr="006D1C74" w:rsidRDefault="002649F0" w:rsidP="002649F0">
      <w:pPr>
        <w:rPr>
          <w:rFonts w:asciiTheme="majorHAnsi" w:eastAsia="Batang" w:hAnsiTheme="majorHAnsi"/>
          <w:sz w:val="20"/>
          <w:szCs w:val="20"/>
          <w:bdr w:val="none" w:sz="0" w:space="0" w:color="auto"/>
          <w:lang w:val="pt-BR"/>
        </w:rPr>
      </w:pPr>
    </w:p>
    <w:p w14:paraId="217E449B" w14:textId="77777777" w:rsidR="002649F0" w:rsidRPr="006D1C74" w:rsidRDefault="002649F0" w:rsidP="00E46227">
      <w:pPr>
        <w:pStyle w:val="Heading2"/>
        <w:rPr>
          <w:lang w:val="pt-BR"/>
        </w:rPr>
      </w:pPr>
      <w:bookmarkStart w:id="22" w:name="_Toc43554274"/>
      <w:bookmarkStart w:id="23" w:name="_Toc7618509"/>
      <w:r w:rsidRPr="006D1C74">
        <w:rPr>
          <w:lang w:val="pt-BR"/>
        </w:rPr>
        <w:t>Repara</w:t>
      </w:r>
      <w:r w:rsidR="00CF037E" w:rsidRPr="006D1C74">
        <w:rPr>
          <w:lang w:val="pt-BR"/>
        </w:rPr>
        <w:t>ção</w:t>
      </w:r>
      <w:r w:rsidRPr="006D1C74">
        <w:rPr>
          <w:lang w:val="pt-BR"/>
        </w:rPr>
        <w:t xml:space="preserve"> civil</w:t>
      </w:r>
      <w:bookmarkEnd w:id="22"/>
      <w:r w:rsidRPr="006D1C74">
        <w:rPr>
          <w:lang w:val="pt-BR"/>
        </w:rPr>
        <w:t xml:space="preserve">  </w:t>
      </w:r>
    </w:p>
    <w:bookmarkEnd w:id="23"/>
    <w:p w14:paraId="041AA695"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540"/>
        </w:tabs>
        <w:jc w:val="both"/>
        <w:rPr>
          <w:rFonts w:asciiTheme="majorHAnsi" w:eastAsia="Batang" w:hAnsiTheme="majorHAnsi"/>
          <w:sz w:val="20"/>
          <w:szCs w:val="20"/>
          <w:bdr w:val="none" w:sz="0" w:space="0" w:color="auto"/>
          <w:lang w:val="pt-BR"/>
        </w:rPr>
      </w:pPr>
    </w:p>
    <w:p w14:paraId="0D75656B" w14:textId="77777777" w:rsidR="00DF1C77"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pt-BR"/>
        </w:rPr>
      </w:pPr>
      <w:r w:rsidRPr="006D1C74">
        <w:rPr>
          <w:rFonts w:asciiTheme="majorHAnsi" w:hAnsiTheme="majorHAnsi"/>
          <w:sz w:val="20"/>
          <w:szCs w:val="20"/>
          <w:lang w:val="pt-BR"/>
        </w:rPr>
        <w:t>E</w:t>
      </w:r>
      <w:r w:rsidR="001E2392" w:rsidRPr="006D1C74">
        <w:rPr>
          <w:rFonts w:asciiTheme="majorHAnsi" w:hAnsiTheme="majorHAnsi"/>
          <w:sz w:val="20"/>
          <w:szCs w:val="20"/>
          <w:lang w:val="pt-BR"/>
        </w:rPr>
        <w:t>m</w:t>
      </w:r>
      <w:r w:rsidRPr="006D1C74">
        <w:rPr>
          <w:rFonts w:asciiTheme="majorHAnsi" w:hAnsiTheme="majorHAnsi"/>
          <w:sz w:val="20"/>
          <w:szCs w:val="20"/>
          <w:lang w:val="pt-BR"/>
        </w:rPr>
        <w:t xml:space="preserve"> d</w:t>
      </w:r>
      <w:r w:rsidR="001E2392" w:rsidRPr="006D1C74">
        <w:rPr>
          <w:rFonts w:asciiTheme="majorHAnsi" w:hAnsiTheme="majorHAnsi"/>
          <w:sz w:val="20"/>
          <w:szCs w:val="20"/>
          <w:lang w:val="pt-BR"/>
        </w:rPr>
        <w:t>ez</w:t>
      </w:r>
      <w:r w:rsidRPr="006D1C74">
        <w:rPr>
          <w:rFonts w:asciiTheme="majorHAnsi" w:hAnsiTheme="majorHAnsi"/>
          <w:sz w:val="20"/>
          <w:szCs w:val="20"/>
          <w:lang w:val="pt-BR"/>
        </w:rPr>
        <w:t>embr</w:t>
      </w:r>
      <w:r w:rsidR="001E2392" w:rsidRPr="006D1C74">
        <w:rPr>
          <w:rFonts w:asciiTheme="majorHAnsi" w:hAnsiTheme="majorHAnsi"/>
          <w:sz w:val="20"/>
          <w:szCs w:val="20"/>
          <w:lang w:val="pt-BR"/>
        </w:rPr>
        <w:t>o</w:t>
      </w:r>
      <w:r w:rsidRPr="006D1C74">
        <w:rPr>
          <w:rFonts w:asciiTheme="majorHAnsi" w:hAnsiTheme="majorHAnsi"/>
          <w:sz w:val="20"/>
          <w:szCs w:val="20"/>
          <w:lang w:val="pt-BR"/>
        </w:rPr>
        <w:t xml:space="preserve"> de 2002,</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vi</w:t>
      </w:r>
      <w:r w:rsidR="001E2392" w:rsidRPr="006D1C74">
        <w:rPr>
          <w:rFonts w:asciiTheme="majorHAnsi" w:hAnsiTheme="majorHAnsi"/>
          <w:sz w:val="20"/>
          <w:szCs w:val="20"/>
          <w:lang w:val="pt-BR"/>
        </w:rPr>
        <w:t>úv</w:t>
      </w:r>
      <w:r w:rsidRPr="006D1C74">
        <w:rPr>
          <w:rFonts w:asciiTheme="majorHAnsi" w:hAnsiTheme="majorHAnsi"/>
          <w:sz w:val="20"/>
          <w:szCs w:val="20"/>
          <w:lang w:val="pt-BR"/>
        </w:rPr>
        <w:t>a de Antonio Tavares Pereira, Maria Sebastiana Barbosa Pereira,</w:t>
      </w:r>
      <w:r w:rsidR="00CF037E" w:rsidRPr="006D1C74">
        <w:rPr>
          <w:rFonts w:asciiTheme="majorHAnsi" w:hAnsiTheme="majorHAnsi"/>
          <w:sz w:val="20"/>
          <w:szCs w:val="20"/>
          <w:lang w:val="pt-BR"/>
        </w:rPr>
        <w:t xml:space="preserve"> e</w:t>
      </w:r>
      <w:r w:rsidR="00700267" w:rsidRPr="006D1C74">
        <w:rPr>
          <w:rFonts w:asciiTheme="majorHAnsi" w:hAnsiTheme="majorHAnsi"/>
          <w:sz w:val="20"/>
          <w:szCs w:val="20"/>
          <w:lang w:val="pt-BR"/>
        </w:rPr>
        <w:t xml:space="preserve"> os </w:t>
      </w:r>
      <w:r w:rsidR="001E2392" w:rsidRPr="006D1C74">
        <w:rPr>
          <w:rFonts w:asciiTheme="majorHAnsi" w:hAnsiTheme="majorHAnsi"/>
          <w:sz w:val="20"/>
          <w:szCs w:val="20"/>
          <w:lang w:val="pt-BR"/>
        </w:rPr>
        <w:t>f</w:t>
      </w:r>
      <w:r w:rsidRPr="006D1C74">
        <w:rPr>
          <w:rFonts w:asciiTheme="majorHAnsi" w:hAnsiTheme="majorHAnsi"/>
          <w:sz w:val="20"/>
          <w:szCs w:val="20"/>
          <w:lang w:val="pt-BR"/>
        </w:rPr>
        <w:t>i</w:t>
      </w:r>
      <w:r w:rsidR="001E2392" w:rsidRPr="006D1C74">
        <w:rPr>
          <w:rFonts w:asciiTheme="majorHAnsi" w:hAnsiTheme="majorHAnsi"/>
          <w:sz w:val="20"/>
          <w:szCs w:val="20"/>
          <w:lang w:val="pt-BR"/>
        </w:rPr>
        <w:t>lh</w:t>
      </w:r>
      <w:r w:rsidRPr="006D1C74">
        <w:rPr>
          <w:rFonts w:asciiTheme="majorHAnsi" w:hAnsiTheme="majorHAnsi"/>
          <w:sz w:val="20"/>
          <w:szCs w:val="20"/>
          <w:lang w:val="pt-BR"/>
        </w:rPr>
        <w:t>os de ambos, Ana Lúcia Barbosa Pereira, Ana Cláudia Barbosa Pereira, Samuel Paulo Barbosa Pereira</w:t>
      </w:r>
      <w:r w:rsidR="00CF037E" w:rsidRPr="006D1C74">
        <w:rPr>
          <w:rFonts w:asciiTheme="majorHAnsi" w:hAnsiTheme="majorHAnsi"/>
          <w:sz w:val="20"/>
          <w:szCs w:val="20"/>
          <w:lang w:val="pt-BR"/>
        </w:rPr>
        <w:t xml:space="preserve"> e </w:t>
      </w:r>
      <w:r w:rsidRPr="006D1C74">
        <w:rPr>
          <w:rFonts w:asciiTheme="majorHAnsi" w:hAnsiTheme="majorHAnsi"/>
          <w:sz w:val="20"/>
          <w:szCs w:val="20"/>
          <w:lang w:val="pt-BR"/>
        </w:rPr>
        <w:t xml:space="preserve">Ana Ruth Barbosa Pereira, </w:t>
      </w:r>
      <w:r w:rsidR="004B4493" w:rsidRPr="006D1C74">
        <w:rPr>
          <w:rFonts w:asciiTheme="majorHAnsi" w:hAnsiTheme="majorHAnsi"/>
          <w:sz w:val="20"/>
          <w:szCs w:val="20"/>
          <w:lang w:val="pt-BR"/>
        </w:rPr>
        <w:t>propu</w:t>
      </w:r>
      <w:r w:rsidRPr="006D1C74">
        <w:rPr>
          <w:rFonts w:asciiTheme="majorHAnsi" w:hAnsiTheme="majorHAnsi"/>
          <w:sz w:val="20"/>
          <w:szCs w:val="20"/>
          <w:lang w:val="pt-BR"/>
        </w:rPr>
        <w:t>s</w:t>
      </w:r>
      <w:r w:rsidR="001E2392" w:rsidRPr="006D1C74">
        <w:rPr>
          <w:rFonts w:asciiTheme="majorHAnsi" w:hAnsiTheme="majorHAnsi"/>
          <w:sz w:val="20"/>
          <w:szCs w:val="20"/>
          <w:lang w:val="pt-BR"/>
        </w:rPr>
        <w:t>eram</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indenizat</w:t>
      </w:r>
      <w:r w:rsidR="001E2392" w:rsidRPr="006D1C74">
        <w:rPr>
          <w:rFonts w:asciiTheme="majorHAnsi" w:hAnsiTheme="majorHAnsi"/>
          <w:sz w:val="20"/>
          <w:szCs w:val="20"/>
          <w:lang w:val="pt-BR"/>
        </w:rPr>
        <w:t>ó</w:t>
      </w:r>
      <w:r w:rsidRPr="006D1C74">
        <w:rPr>
          <w:rFonts w:asciiTheme="majorHAnsi" w:hAnsiTheme="majorHAnsi"/>
          <w:sz w:val="20"/>
          <w:szCs w:val="20"/>
          <w:lang w:val="pt-BR"/>
        </w:rPr>
        <w:t>ria No. 1859/2002 contra</w:t>
      </w:r>
      <w:r w:rsidR="00700267" w:rsidRPr="006D1C74">
        <w:rPr>
          <w:rFonts w:asciiTheme="majorHAnsi" w:hAnsiTheme="majorHAnsi"/>
          <w:sz w:val="20"/>
          <w:szCs w:val="20"/>
          <w:lang w:val="pt-BR"/>
        </w:rPr>
        <w:t xml:space="preserve"> o </w:t>
      </w:r>
      <w:r w:rsidRPr="006D1C74">
        <w:rPr>
          <w:rFonts w:asciiTheme="majorHAnsi" w:hAnsiTheme="majorHAnsi"/>
          <w:sz w:val="20"/>
          <w:szCs w:val="20"/>
          <w:lang w:val="pt-BR"/>
        </w:rPr>
        <w:t xml:space="preserve">estado </w:t>
      </w:r>
      <w:r w:rsidR="000D2A81" w:rsidRPr="006D1C74">
        <w:rPr>
          <w:rFonts w:asciiTheme="majorHAnsi" w:hAnsiTheme="majorHAnsi"/>
          <w:sz w:val="20"/>
          <w:szCs w:val="20"/>
          <w:lang w:val="pt-BR"/>
        </w:rPr>
        <w:t>do Paraná</w:t>
      </w:r>
      <w:r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com </w:t>
      </w:r>
      <w:r w:rsidR="00700267" w:rsidRPr="006D1C74">
        <w:rPr>
          <w:rFonts w:asciiTheme="majorHAnsi" w:hAnsiTheme="majorHAnsi"/>
          <w:sz w:val="20"/>
          <w:szCs w:val="20"/>
          <w:lang w:val="pt-BR"/>
        </w:rPr>
        <w:t>o</w:t>
      </w:r>
      <w:r w:rsidR="00F673C7" w:rsidRPr="006D1C74">
        <w:rPr>
          <w:rFonts w:asciiTheme="majorHAnsi" w:hAnsiTheme="majorHAnsi"/>
          <w:sz w:val="20"/>
          <w:szCs w:val="20"/>
          <w:lang w:val="pt-BR"/>
        </w:rPr>
        <w:t xml:space="preserve"> fim </w:t>
      </w:r>
      <w:r w:rsidRPr="006D1C74">
        <w:rPr>
          <w:rFonts w:asciiTheme="majorHAnsi" w:hAnsiTheme="majorHAnsi"/>
          <w:sz w:val="20"/>
          <w:szCs w:val="20"/>
          <w:lang w:val="pt-BR"/>
        </w:rPr>
        <w:t>de obter repara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moral</w:t>
      </w:r>
      <w:r w:rsidR="00CF037E" w:rsidRPr="006D1C74">
        <w:rPr>
          <w:rFonts w:asciiTheme="majorHAnsi" w:hAnsiTheme="majorHAnsi"/>
          <w:sz w:val="20"/>
          <w:szCs w:val="20"/>
          <w:lang w:val="pt-BR"/>
        </w:rPr>
        <w:t xml:space="preserve"> e </w:t>
      </w:r>
      <w:r w:rsidRPr="006D1C74">
        <w:rPr>
          <w:rFonts w:asciiTheme="majorHAnsi" w:hAnsiTheme="majorHAnsi"/>
          <w:sz w:val="20"/>
          <w:szCs w:val="20"/>
          <w:lang w:val="pt-BR"/>
        </w:rPr>
        <w:t>material</w:t>
      </w:r>
      <w:r w:rsidRPr="006D1C74">
        <w:rPr>
          <w:rFonts w:asciiTheme="majorHAnsi" w:hAnsiTheme="majorHAnsi"/>
          <w:sz w:val="20"/>
          <w:szCs w:val="20"/>
          <w:vertAlign w:val="superscript"/>
          <w:lang w:val="pt-BR"/>
        </w:rPr>
        <w:footnoteReference w:id="43"/>
      </w:r>
      <w:r w:rsidRPr="006D1C74">
        <w:rPr>
          <w:rFonts w:asciiTheme="majorHAnsi" w:hAnsiTheme="majorHAnsi"/>
          <w:sz w:val="20"/>
          <w:szCs w:val="20"/>
          <w:lang w:val="pt-BR"/>
        </w:rPr>
        <w:t>.</w:t>
      </w:r>
      <w:bookmarkStart w:id="24" w:name="_Toc7618510"/>
      <w:bookmarkEnd w:id="19"/>
    </w:p>
    <w:p w14:paraId="6BC071B1" w14:textId="77777777" w:rsidR="00DF1C77" w:rsidRPr="006D1C74" w:rsidRDefault="00DF1C77" w:rsidP="00DF1C7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p>
    <w:p w14:paraId="50D67981" w14:textId="0BA854F6" w:rsidR="002649F0" w:rsidRPr="006D1C74" w:rsidRDefault="00B4216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pt-BR"/>
        </w:rPr>
      </w:pPr>
      <w:r w:rsidRPr="006D1C74">
        <w:rPr>
          <w:rFonts w:asciiTheme="majorHAnsi" w:eastAsia="Batang" w:hAnsiTheme="majorHAnsi" w:cstheme="majorBidi"/>
          <w:bCs/>
          <w:sz w:val="20"/>
          <w:szCs w:val="20"/>
          <w:bdr w:val="none" w:sz="0" w:space="0" w:color="auto"/>
          <w:lang w:val="pt-BR" w:eastAsia="es-ES"/>
        </w:rPr>
        <w:t>A</w:t>
      </w:r>
      <w:r w:rsidR="002649F0" w:rsidRPr="006D1C74">
        <w:rPr>
          <w:rFonts w:asciiTheme="majorHAnsi" w:eastAsia="Batang" w:hAnsiTheme="majorHAnsi" w:cstheme="majorBidi"/>
          <w:bCs/>
          <w:sz w:val="20"/>
          <w:szCs w:val="20"/>
          <w:bdr w:val="none" w:sz="0" w:space="0" w:color="auto"/>
          <w:lang w:val="pt-BR" w:eastAsia="es-ES"/>
        </w:rPr>
        <w:t xml:space="preserve"> a</w:t>
      </w:r>
      <w:r w:rsidR="00CF037E" w:rsidRPr="006D1C74">
        <w:rPr>
          <w:rFonts w:asciiTheme="majorHAnsi" w:eastAsia="Batang" w:hAnsiTheme="majorHAnsi" w:cstheme="majorBidi"/>
          <w:bCs/>
          <w:sz w:val="20"/>
          <w:szCs w:val="20"/>
          <w:bdr w:val="none" w:sz="0" w:space="0" w:color="auto"/>
          <w:lang w:val="pt-BR" w:eastAsia="es-ES"/>
        </w:rPr>
        <w:t>ção</w:t>
      </w:r>
      <w:r w:rsidR="00CA7940" w:rsidRPr="006D1C74">
        <w:rPr>
          <w:rFonts w:asciiTheme="majorHAnsi" w:eastAsia="Batang" w:hAnsiTheme="majorHAnsi" w:cstheme="majorBidi"/>
          <w:bCs/>
          <w:sz w:val="20"/>
          <w:szCs w:val="20"/>
          <w:bdr w:val="none" w:sz="0" w:space="0" w:color="auto"/>
          <w:lang w:val="pt-BR" w:eastAsia="es-ES"/>
        </w:rPr>
        <w:t xml:space="preserve"> foi </w:t>
      </w:r>
      <w:r w:rsidR="002649F0" w:rsidRPr="006D1C74">
        <w:rPr>
          <w:rFonts w:asciiTheme="majorHAnsi" w:eastAsia="Batang" w:hAnsiTheme="majorHAnsi" w:cstheme="majorBidi"/>
          <w:bCs/>
          <w:sz w:val="20"/>
          <w:szCs w:val="20"/>
          <w:bdr w:val="none" w:sz="0" w:space="0" w:color="auto"/>
          <w:lang w:val="pt-BR" w:eastAsia="es-ES"/>
        </w:rPr>
        <w:t>declarada procedente</w:t>
      </w:r>
      <w:r w:rsidR="00F673C7" w:rsidRPr="006D1C74">
        <w:rPr>
          <w:rFonts w:asciiTheme="majorHAnsi" w:eastAsia="Batang" w:hAnsiTheme="majorHAnsi" w:cstheme="majorBidi"/>
          <w:bCs/>
          <w:sz w:val="20"/>
          <w:szCs w:val="20"/>
          <w:bdr w:val="none" w:sz="0" w:space="0" w:color="auto"/>
          <w:lang w:val="pt-BR" w:eastAsia="es-ES"/>
        </w:rPr>
        <w:t xml:space="preserve"> em </w:t>
      </w:r>
      <w:r w:rsidR="00623C35" w:rsidRPr="006D1C74">
        <w:rPr>
          <w:rFonts w:asciiTheme="majorHAnsi" w:eastAsia="Batang" w:hAnsiTheme="majorHAnsi" w:cstheme="majorBidi"/>
          <w:bCs/>
          <w:sz w:val="20"/>
          <w:szCs w:val="20"/>
          <w:bdr w:val="none" w:sz="0" w:space="0" w:color="auto"/>
          <w:lang w:val="pt-BR" w:eastAsia="es-ES"/>
        </w:rPr>
        <w:t>primeira</w:t>
      </w:r>
      <w:r w:rsidR="002649F0" w:rsidRPr="006D1C74">
        <w:rPr>
          <w:rFonts w:asciiTheme="majorHAnsi" w:eastAsia="Batang" w:hAnsiTheme="majorHAnsi" w:cstheme="majorBidi"/>
          <w:bCs/>
          <w:sz w:val="20"/>
          <w:szCs w:val="20"/>
          <w:bdr w:val="none" w:sz="0" w:space="0" w:color="auto"/>
          <w:lang w:val="pt-BR" w:eastAsia="es-ES"/>
        </w:rPr>
        <w:t xml:space="preserve"> inst</w:t>
      </w:r>
      <w:r w:rsidR="001E2392" w:rsidRPr="006D1C74">
        <w:rPr>
          <w:rFonts w:asciiTheme="majorHAnsi" w:eastAsia="Batang" w:hAnsiTheme="majorHAnsi" w:cstheme="majorBidi"/>
          <w:bCs/>
          <w:sz w:val="20"/>
          <w:szCs w:val="20"/>
          <w:bdr w:val="none" w:sz="0" w:space="0" w:color="auto"/>
          <w:lang w:val="pt-BR" w:eastAsia="es-ES"/>
        </w:rPr>
        <w:t>â</w:t>
      </w:r>
      <w:r w:rsidR="002649F0" w:rsidRPr="006D1C74">
        <w:rPr>
          <w:rFonts w:asciiTheme="majorHAnsi" w:eastAsia="Batang" w:hAnsiTheme="majorHAnsi" w:cstheme="majorBidi"/>
          <w:bCs/>
          <w:sz w:val="20"/>
          <w:szCs w:val="20"/>
          <w:bdr w:val="none" w:sz="0" w:space="0" w:color="auto"/>
          <w:lang w:val="pt-BR" w:eastAsia="es-ES"/>
        </w:rPr>
        <w:t>ncia</w:t>
      </w:r>
      <w:r w:rsidR="00F673C7" w:rsidRPr="006D1C74">
        <w:rPr>
          <w:rFonts w:asciiTheme="majorHAnsi" w:eastAsia="Batang" w:hAnsiTheme="majorHAnsi" w:cstheme="majorBidi"/>
          <w:bCs/>
          <w:sz w:val="20"/>
          <w:szCs w:val="20"/>
          <w:bdr w:val="none" w:sz="0" w:space="0" w:color="auto"/>
          <w:lang w:val="pt-BR" w:eastAsia="es-ES"/>
        </w:rPr>
        <w:t xml:space="preserve"> em </w:t>
      </w:r>
      <w:r w:rsidR="002649F0" w:rsidRPr="006D1C74">
        <w:rPr>
          <w:rFonts w:asciiTheme="majorHAnsi" w:eastAsia="Batang" w:hAnsiTheme="majorHAnsi" w:cstheme="majorBidi"/>
          <w:bCs/>
          <w:sz w:val="20"/>
          <w:szCs w:val="20"/>
          <w:bdr w:val="none" w:sz="0" w:space="0" w:color="auto"/>
          <w:lang w:val="pt-BR" w:eastAsia="es-ES"/>
        </w:rPr>
        <w:t>novembr</w:t>
      </w:r>
      <w:r w:rsidR="001E2392" w:rsidRPr="006D1C74">
        <w:rPr>
          <w:rFonts w:asciiTheme="majorHAnsi" w:eastAsia="Batang" w:hAnsiTheme="majorHAnsi" w:cstheme="majorBidi"/>
          <w:bCs/>
          <w:sz w:val="20"/>
          <w:szCs w:val="20"/>
          <w:bdr w:val="none" w:sz="0" w:space="0" w:color="auto"/>
          <w:lang w:val="pt-BR" w:eastAsia="es-ES"/>
        </w:rPr>
        <w:t>o</w:t>
      </w:r>
      <w:r w:rsidR="002649F0" w:rsidRPr="006D1C74">
        <w:rPr>
          <w:rFonts w:asciiTheme="majorHAnsi" w:eastAsia="Batang" w:hAnsiTheme="majorHAnsi" w:cstheme="majorBidi"/>
          <w:bCs/>
          <w:sz w:val="20"/>
          <w:szCs w:val="20"/>
          <w:bdr w:val="none" w:sz="0" w:space="0" w:color="auto"/>
          <w:lang w:val="pt-BR" w:eastAsia="es-ES"/>
        </w:rPr>
        <w:t xml:space="preserve"> de 2010,</w:t>
      </w:r>
      <w:r w:rsidR="00CF037E" w:rsidRPr="006D1C74">
        <w:rPr>
          <w:rFonts w:asciiTheme="majorHAnsi" w:eastAsia="Batang" w:hAnsiTheme="majorHAnsi" w:cstheme="majorBidi"/>
          <w:bCs/>
          <w:sz w:val="20"/>
          <w:szCs w:val="20"/>
          <w:bdr w:val="none" w:sz="0" w:space="0" w:color="auto"/>
          <w:lang w:val="pt-BR" w:eastAsia="es-ES"/>
        </w:rPr>
        <w:t xml:space="preserve"> e</w:t>
      </w:r>
      <w:r w:rsidR="00700267" w:rsidRPr="006D1C74">
        <w:rPr>
          <w:rFonts w:asciiTheme="majorHAnsi" w:eastAsia="Batang" w:hAnsiTheme="majorHAnsi" w:cstheme="majorBidi"/>
          <w:bCs/>
          <w:sz w:val="20"/>
          <w:szCs w:val="20"/>
          <w:bdr w:val="none" w:sz="0" w:space="0" w:color="auto"/>
          <w:lang w:val="pt-BR" w:eastAsia="es-ES"/>
        </w:rPr>
        <w:t xml:space="preserve"> o </w:t>
      </w:r>
      <w:r w:rsidR="002649F0" w:rsidRPr="006D1C74">
        <w:rPr>
          <w:rFonts w:asciiTheme="majorHAnsi" w:eastAsia="Batang" w:hAnsiTheme="majorHAnsi" w:cstheme="majorBidi"/>
          <w:bCs/>
          <w:sz w:val="20"/>
          <w:szCs w:val="20"/>
          <w:bdr w:val="none" w:sz="0" w:space="0" w:color="auto"/>
          <w:lang w:val="pt-BR" w:eastAsia="es-ES"/>
        </w:rPr>
        <w:t xml:space="preserve">estado </w:t>
      </w:r>
      <w:r w:rsidR="000D2A81" w:rsidRPr="006D1C74">
        <w:rPr>
          <w:rFonts w:asciiTheme="majorHAnsi" w:eastAsia="Batang" w:hAnsiTheme="majorHAnsi" w:cstheme="majorBidi"/>
          <w:bCs/>
          <w:sz w:val="20"/>
          <w:szCs w:val="20"/>
          <w:bdr w:val="none" w:sz="0" w:space="0" w:color="auto"/>
          <w:lang w:val="pt-BR" w:eastAsia="es-ES"/>
        </w:rPr>
        <w:t>do Paraná</w:t>
      </w:r>
      <w:r w:rsidR="00CA7940" w:rsidRPr="006D1C74">
        <w:rPr>
          <w:rFonts w:asciiTheme="majorHAnsi" w:eastAsia="Batang" w:hAnsiTheme="majorHAnsi" w:cstheme="majorBidi"/>
          <w:bCs/>
          <w:sz w:val="20"/>
          <w:szCs w:val="20"/>
          <w:bdr w:val="none" w:sz="0" w:space="0" w:color="auto"/>
          <w:lang w:val="pt-BR" w:eastAsia="es-ES"/>
        </w:rPr>
        <w:t xml:space="preserve"> foi </w:t>
      </w:r>
      <w:r w:rsidR="002649F0" w:rsidRPr="006D1C74">
        <w:rPr>
          <w:rFonts w:asciiTheme="majorHAnsi" w:eastAsia="Batang" w:hAnsiTheme="majorHAnsi" w:cstheme="majorBidi"/>
          <w:bCs/>
          <w:sz w:val="20"/>
          <w:szCs w:val="20"/>
          <w:bdr w:val="none" w:sz="0" w:space="0" w:color="auto"/>
          <w:lang w:val="pt-BR" w:eastAsia="es-ES"/>
        </w:rPr>
        <w:t>condenado</w:t>
      </w:r>
      <w:r w:rsidR="00217759" w:rsidRPr="006D1C74">
        <w:rPr>
          <w:rFonts w:asciiTheme="majorHAnsi" w:eastAsia="Batang" w:hAnsiTheme="majorHAnsi" w:cstheme="majorBidi"/>
          <w:bCs/>
          <w:sz w:val="20"/>
          <w:szCs w:val="20"/>
          <w:bdr w:val="none" w:sz="0" w:space="0" w:color="auto"/>
          <w:lang w:val="pt-BR" w:eastAsia="es-ES"/>
        </w:rPr>
        <w:t xml:space="preserve"> ao </w:t>
      </w:r>
      <w:r w:rsidR="002649F0" w:rsidRPr="006D1C74">
        <w:rPr>
          <w:rFonts w:asciiTheme="majorHAnsi" w:eastAsia="Batang" w:hAnsiTheme="majorHAnsi" w:cstheme="majorBidi"/>
          <w:bCs/>
          <w:sz w:val="20"/>
          <w:szCs w:val="20"/>
          <w:bdr w:val="none" w:sz="0" w:space="0" w:color="auto"/>
          <w:lang w:val="pt-BR" w:eastAsia="es-ES"/>
        </w:rPr>
        <w:t>pag</w:t>
      </w:r>
      <w:r w:rsidR="001E2392" w:rsidRPr="006D1C74">
        <w:rPr>
          <w:rFonts w:asciiTheme="majorHAnsi" w:eastAsia="Batang" w:hAnsiTheme="majorHAnsi" w:cstheme="majorBidi"/>
          <w:bCs/>
          <w:sz w:val="20"/>
          <w:szCs w:val="20"/>
          <w:bdr w:val="none" w:sz="0" w:space="0" w:color="auto"/>
          <w:lang w:val="pt-BR" w:eastAsia="es-ES"/>
        </w:rPr>
        <w:t>ament</w:t>
      </w:r>
      <w:r w:rsidR="002649F0" w:rsidRPr="006D1C74">
        <w:rPr>
          <w:rFonts w:asciiTheme="majorHAnsi" w:eastAsia="Batang" w:hAnsiTheme="majorHAnsi" w:cstheme="majorBidi"/>
          <w:bCs/>
          <w:sz w:val="20"/>
          <w:szCs w:val="20"/>
          <w:bdr w:val="none" w:sz="0" w:space="0" w:color="auto"/>
          <w:lang w:val="pt-BR" w:eastAsia="es-ES"/>
        </w:rPr>
        <w:t>o de</w:t>
      </w:r>
      <w:r w:rsidR="00030019" w:rsidRPr="006D1C74">
        <w:rPr>
          <w:rFonts w:asciiTheme="majorHAnsi" w:eastAsia="Batang" w:hAnsiTheme="majorHAnsi" w:cstheme="majorBidi"/>
          <w:bCs/>
          <w:sz w:val="20"/>
          <w:szCs w:val="20"/>
          <w:bdr w:val="none" w:sz="0" w:space="0" w:color="auto"/>
          <w:lang w:val="pt-BR" w:eastAsia="es-ES"/>
        </w:rPr>
        <w:t xml:space="preserve"> uma </w:t>
      </w:r>
      <w:r w:rsidR="002649F0" w:rsidRPr="006D1C74">
        <w:rPr>
          <w:rFonts w:asciiTheme="majorHAnsi" w:eastAsia="Batang" w:hAnsiTheme="majorHAnsi" w:cstheme="majorBidi"/>
          <w:bCs/>
          <w:sz w:val="20"/>
          <w:szCs w:val="20"/>
          <w:bdr w:val="none" w:sz="0" w:space="0" w:color="auto"/>
          <w:lang w:val="pt-BR" w:eastAsia="es-ES"/>
        </w:rPr>
        <w:t>indeniza</w:t>
      </w:r>
      <w:r w:rsidR="00CF037E" w:rsidRPr="006D1C74">
        <w:rPr>
          <w:rFonts w:asciiTheme="majorHAnsi" w:eastAsia="Batang" w:hAnsiTheme="majorHAnsi" w:cstheme="majorBidi"/>
          <w:bCs/>
          <w:sz w:val="20"/>
          <w:szCs w:val="20"/>
          <w:bdr w:val="none" w:sz="0" w:space="0" w:color="auto"/>
          <w:lang w:val="pt-BR" w:eastAsia="es-ES"/>
        </w:rPr>
        <w:t>ção</w:t>
      </w:r>
      <w:r w:rsidR="002649F0" w:rsidRPr="006D1C74">
        <w:rPr>
          <w:rFonts w:asciiTheme="majorHAnsi" w:eastAsia="Batang" w:hAnsiTheme="majorHAnsi" w:cstheme="majorBidi"/>
          <w:bCs/>
          <w:sz w:val="20"/>
          <w:szCs w:val="20"/>
          <w:bdr w:val="none" w:sz="0" w:space="0" w:color="auto"/>
          <w:lang w:val="pt-BR" w:eastAsia="es-ES"/>
        </w:rPr>
        <w:t xml:space="preserve"> por da</w:t>
      </w:r>
      <w:r w:rsidR="001E2392" w:rsidRPr="006D1C74">
        <w:rPr>
          <w:rFonts w:asciiTheme="majorHAnsi" w:eastAsia="Batang" w:hAnsiTheme="majorHAnsi" w:cstheme="majorBidi"/>
          <w:bCs/>
          <w:sz w:val="20"/>
          <w:szCs w:val="20"/>
          <w:bdr w:val="none" w:sz="0" w:space="0" w:color="auto"/>
          <w:lang w:val="pt-BR" w:eastAsia="es-ES"/>
        </w:rPr>
        <w:t>n</w:t>
      </w:r>
      <w:r w:rsidR="002649F0" w:rsidRPr="006D1C74">
        <w:rPr>
          <w:rFonts w:asciiTheme="majorHAnsi" w:eastAsia="Batang" w:hAnsiTheme="majorHAnsi" w:cstheme="majorBidi"/>
          <w:bCs/>
          <w:sz w:val="20"/>
          <w:szCs w:val="20"/>
          <w:bdr w:val="none" w:sz="0" w:space="0" w:color="auto"/>
          <w:lang w:val="pt-BR" w:eastAsia="es-ES"/>
        </w:rPr>
        <w:t>os mor</w:t>
      </w:r>
      <w:r w:rsidR="00700267" w:rsidRPr="006D1C74">
        <w:rPr>
          <w:rFonts w:asciiTheme="majorHAnsi" w:eastAsia="Batang" w:hAnsiTheme="majorHAnsi" w:cstheme="majorBidi"/>
          <w:bCs/>
          <w:sz w:val="20"/>
          <w:szCs w:val="20"/>
          <w:bdr w:val="none" w:sz="0" w:space="0" w:color="auto"/>
          <w:lang w:val="pt-BR" w:eastAsia="es-ES"/>
        </w:rPr>
        <w:t>ais</w:t>
      </w:r>
      <w:r w:rsidR="002649F0" w:rsidRPr="006D1C74">
        <w:rPr>
          <w:rFonts w:asciiTheme="majorHAnsi" w:eastAsia="Batang" w:hAnsiTheme="majorHAnsi" w:cstheme="majorBidi"/>
          <w:bCs/>
          <w:sz w:val="20"/>
          <w:szCs w:val="20"/>
          <w:bdr w:val="none" w:sz="0" w:space="0" w:color="auto"/>
          <w:lang w:val="pt-BR" w:eastAsia="es-ES"/>
        </w:rPr>
        <w:t xml:space="preserve"> a cada u</w:t>
      </w:r>
      <w:r w:rsidR="001E2392" w:rsidRPr="006D1C74">
        <w:rPr>
          <w:rFonts w:asciiTheme="majorHAnsi" w:eastAsia="Batang" w:hAnsiTheme="majorHAnsi" w:cstheme="majorBidi"/>
          <w:bCs/>
          <w:sz w:val="20"/>
          <w:szCs w:val="20"/>
          <w:bdr w:val="none" w:sz="0" w:space="0" w:color="auto"/>
          <w:lang w:val="pt-BR" w:eastAsia="es-ES"/>
        </w:rPr>
        <w:t>m</w:t>
      </w:r>
      <w:r w:rsidR="00700267" w:rsidRPr="006D1C74">
        <w:rPr>
          <w:rFonts w:asciiTheme="majorHAnsi" w:eastAsia="Batang" w:hAnsiTheme="majorHAnsi" w:cstheme="majorBidi"/>
          <w:bCs/>
          <w:sz w:val="20"/>
          <w:szCs w:val="20"/>
          <w:bdr w:val="none" w:sz="0" w:space="0" w:color="auto"/>
          <w:lang w:val="pt-BR" w:eastAsia="es-ES"/>
        </w:rPr>
        <w:t xml:space="preserve"> dos </w:t>
      </w:r>
      <w:r w:rsidR="002649F0" w:rsidRPr="006D1C74">
        <w:rPr>
          <w:rFonts w:asciiTheme="majorHAnsi" w:eastAsia="Batang" w:hAnsiTheme="majorHAnsi" w:cstheme="majorBidi"/>
          <w:bCs/>
          <w:sz w:val="20"/>
          <w:szCs w:val="20"/>
          <w:bdr w:val="none" w:sz="0" w:space="0" w:color="auto"/>
          <w:lang w:val="pt-BR" w:eastAsia="es-ES"/>
        </w:rPr>
        <w:t>peticion</w:t>
      </w:r>
      <w:r w:rsidR="001E2392" w:rsidRPr="006D1C74">
        <w:rPr>
          <w:rFonts w:asciiTheme="majorHAnsi" w:eastAsia="Batang" w:hAnsiTheme="majorHAnsi" w:cstheme="majorBidi"/>
          <w:bCs/>
          <w:sz w:val="20"/>
          <w:szCs w:val="20"/>
          <w:bdr w:val="none" w:sz="0" w:space="0" w:color="auto"/>
          <w:lang w:val="pt-BR" w:eastAsia="es-ES"/>
        </w:rPr>
        <w:t>á</w:t>
      </w:r>
      <w:r w:rsidR="002649F0" w:rsidRPr="006D1C74">
        <w:rPr>
          <w:rFonts w:asciiTheme="majorHAnsi" w:eastAsia="Batang" w:hAnsiTheme="majorHAnsi" w:cstheme="majorBidi"/>
          <w:bCs/>
          <w:sz w:val="20"/>
          <w:szCs w:val="20"/>
          <w:bdr w:val="none" w:sz="0" w:space="0" w:color="auto"/>
          <w:lang w:val="pt-BR" w:eastAsia="es-ES"/>
        </w:rPr>
        <w:t>rios</w:t>
      </w:r>
      <w:r w:rsidR="00795010" w:rsidRPr="006D1C74">
        <w:rPr>
          <w:rFonts w:asciiTheme="majorHAnsi" w:eastAsia="Batang" w:hAnsiTheme="majorHAnsi" w:cstheme="majorBidi"/>
          <w:bCs/>
          <w:sz w:val="20"/>
          <w:szCs w:val="20"/>
          <w:bdr w:val="none" w:sz="0" w:space="0" w:color="auto"/>
          <w:lang w:val="pt-BR" w:eastAsia="es-ES"/>
        </w:rPr>
        <w:t xml:space="preserve"> da </w:t>
      </w:r>
      <w:r w:rsidR="002649F0" w:rsidRPr="006D1C74">
        <w:rPr>
          <w:rFonts w:asciiTheme="majorHAnsi" w:eastAsia="Batang" w:hAnsiTheme="majorHAnsi" w:cstheme="majorBidi"/>
          <w:bCs/>
          <w:sz w:val="20"/>
          <w:szCs w:val="20"/>
          <w:bdr w:val="none" w:sz="0" w:space="0" w:color="auto"/>
          <w:lang w:val="pt-BR" w:eastAsia="es-ES"/>
        </w:rPr>
        <w:t>a</w:t>
      </w:r>
      <w:r w:rsidR="00CF037E" w:rsidRPr="006D1C74">
        <w:rPr>
          <w:rFonts w:asciiTheme="majorHAnsi" w:eastAsia="Batang" w:hAnsiTheme="majorHAnsi" w:cstheme="majorBidi"/>
          <w:bCs/>
          <w:sz w:val="20"/>
          <w:szCs w:val="20"/>
          <w:bdr w:val="none" w:sz="0" w:space="0" w:color="auto"/>
          <w:lang w:val="pt-BR" w:eastAsia="es-ES"/>
        </w:rPr>
        <w:t>ção</w:t>
      </w:r>
      <w:r w:rsidR="002649F0" w:rsidRPr="006D1C74">
        <w:rPr>
          <w:rFonts w:asciiTheme="majorHAnsi" w:eastAsia="Batang" w:hAnsiTheme="majorHAnsi" w:cstheme="majorBidi"/>
          <w:bCs/>
          <w:sz w:val="20"/>
          <w:szCs w:val="20"/>
          <w:bdr w:val="none" w:sz="0" w:space="0" w:color="auto"/>
          <w:lang w:val="pt-BR" w:eastAsia="es-ES"/>
        </w:rPr>
        <w:t xml:space="preserve"> civil, a ser paga</w:t>
      </w:r>
      <w:r w:rsidR="00F673C7" w:rsidRPr="006D1C74">
        <w:rPr>
          <w:rFonts w:asciiTheme="majorHAnsi" w:eastAsia="Batang" w:hAnsiTheme="majorHAnsi" w:cstheme="majorBidi"/>
          <w:bCs/>
          <w:sz w:val="20"/>
          <w:szCs w:val="20"/>
          <w:bdr w:val="none" w:sz="0" w:space="0" w:color="auto"/>
          <w:lang w:val="pt-BR" w:eastAsia="es-ES"/>
        </w:rPr>
        <w:t xml:space="preserve"> em </w:t>
      </w:r>
      <w:r w:rsidR="002649F0" w:rsidRPr="006D1C74">
        <w:rPr>
          <w:rFonts w:asciiTheme="majorHAnsi" w:eastAsia="Batang" w:hAnsiTheme="majorHAnsi" w:cstheme="majorBidi"/>
          <w:bCs/>
          <w:sz w:val="20"/>
          <w:szCs w:val="20"/>
          <w:bdr w:val="none" w:sz="0" w:space="0" w:color="auto"/>
          <w:lang w:val="pt-BR" w:eastAsia="es-ES"/>
        </w:rPr>
        <w:t>su</w:t>
      </w:r>
      <w:r w:rsidR="001E2392" w:rsidRPr="006D1C74">
        <w:rPr>
          <w:rFonts w:asciiTheme="majorHAnsi" w:eastAsia="Batang" w:hAnsiTheme="majorHAnsi" w:cstheme="majorBidi"/>
          <w:bCs/>
          <w:sz w:val="20"/>
          <w:szCs w:val="20"/>
          <w:bdr w:val="none" w:sz="0" w:space="0" w:color="auto"/>
          <w:lang w:val="pt-BR" w:eastAsia="es-ES"/>
        </w:rPr>
        <w:t>a</w:t>
      </w:r>
      <w:r w:rsidR="002649F0" w:rsidRPr="006D1C74">
        <w:rPr>
          <w:rFonts w:asciiTheme="majorHAnsi" w:eastAsia="Batang" w:hAnsiTheme="majorHAnsi" w:cstheme="majorBidi"/>
          <w:bCs/>
          <w:sz w:val="20"/>
          <w:szCs w:val="20"/>
          <w:bdr w:val="none" w:sz="0" w:space="0" w:color="auto"/>
          <w:lang w:val="pt-BR" w:eastAsia="es-ES"/>
        </w:rPr>
        <w:t xml:space="preserve"> totali</w:t>
      </w:r>
      <w:r w:rsidR="00F673C7" w:rsidRPr="006D1C74">
        <w:rPr>
          <w:rFonts w:asciiTheme="majorHAnsi" w:eastAsia="Batang" w:hAnsiTheme="majorHAnsi" w:cstheme="majorBidi"/>
          <w:bCs/>
          <w:sz w:val="20"/>
          <w:szCs w:val="20"/>
          <w:bdr w:val="none" w:sz="0" w:space="0" w:color="auto"/>
          <w:lang w:val="pt-BR" w:eastAsia="es-ES"/>
        </w:rPr>
        <w:t xml:space="preserve">dade </w:t>
      </w:r>
      <w:r w:rsidR="002649F0" w:rsidRPr="006D1C74">
        <w:rPr>
          <w:rFonts w:asciiTheme="majorHAnsi" w:eastAsia="Batang" w:hAnsiTheme="majorHAnsi" w:cstheme="majorBidi"/>
          <w:bCs/>
          <w:sz w:val="20"/>
          <w:szCs w:val="20"/>
          <w:bdr w:val="none" w:sz="0" w:space="0" w:color="auto"/>
          <w:lang w:val="pt-BR" w:eastAsia="es-ES"/>
        </w:rPr>
        <w:t>de</w:t>
      </w:r>
      <w:r w:rsidR="00030019" w:rsidRPr="006D1C74">
        <w:rPr>
          <w:rFonts w:asciiTheme="majorHAnsi" w:eastAsia="Batang" w:hAnsiTheme="majorHAnsi" w:cstheme="majorBidi"/>
          <w:bCs/>
          <w:sz w:val="20"/>
          <w:szCs w:val="20"/>
          <w:bdr w:val="none" w:sz="0" w:space="0" w:color="auto"/>
          <w:lang w:val="pt-BR" w:eastAsia="es-ES"/>
        </w:rPr>
        <w:t xml:space="preserve"> uma </w:t>
      </w:r>
      <w:r w:rsidR="002649F0" w:rsidRPr="006D1C74">
        <w:rPr>
          <w:rFonts w:asciiTheme="majorHAnsi" w:eastAsia="Batang" w:hAnsiTheme="majorHAnsi" w:cstheme="majorBidi"/>
          <w:bCs/>
          <w:sz w:val="20"/>
          <w:szCs w:val="20"/>
          <w:bdr w:val="none" w:sz="0" w:space="0" w:color="auto"/>
          <w:lang w:val="pt-BR" w:eastAsia="es-ES"/>
        </w:rPr>
        <w:t>vez,</w:t>
      </w:r>
      <w:r w:rsidR="00CF037E" w:rsidRPr="006D1C74">
        <w:rPr>
          <w:rFonts w:asciiTheme="majorHAnsi" w:eastAsia="Batang" w:hAnsiTheme="majorHAnsi" w:cstheme="majorBidi"/>
          <w:bCs/>
          <w:sz w:val="20"/>
          <w:szCs w:val="20"/>
          <w:bdr w:val="none" w:sz="0" w:space="0" w:color="auto"/>
          <w:lang w:val="pt-BR" w:eastAsia="es-ES"/>
        </w:rPr>
        <w:t xml:space="preserve"> e</w:t>
      </w:r>
      <w:r w:rsidR="00217759" w:rsidRPr="006D1C74">
        <w:rPr>
          <w:rFonts w:asciiTheme="majorHAnsi" w:eastAsia="Batang" w:hAnsiTheme="majorHAnsi" w:cstheme="majorBidi"/>
          <w:bCs/>
          <w:sz w:val="20"/>
          <w:szCs w:val="20"/>
          <w:bdr w:val="none" w:sz="0" w:space="0" w:color="auto"/>
          <w:lang w:val="pt-BR" w:eastAsia="es-ES"/>
        </w:rPr>
        <w:t xml:space="preserve"> ao </w:t>
      </w:r>
      <w:r w:rsidR="002649F0" w:rsidRPr="006D1C74">
        <w:rPr>
          <w:rFonts w:asciiTheme="majorHAnsi" w:eastAsia="Batang" w:hAnsiTheme="majorHAnsi" w:cstheme="majorBidi"/>
          <w:bCs/>
          <w:sz w:val="20"/>
          <w:szCs w:val="20"/>
          <w:bdr w:val="none" w:sz="0" w:space="0" w:color="auto"/>
          <w:lang w:val="pt-BR" w:eastAsia="es-ES"/>
        </w:rPr>
        <w:t>pag</w:t>
      </w:r>
      <w:r w:rsidR="001E2392" w:rsidRPr="006D1C74">
        <w:rPr>
          <w:rFonts w:asciiTheme="majorHAnsi" w:eastAsia="Batang" w:hAnsiTheme="majorHAnsi" w:cstheme="majorBidi"/>
          <w:bCs/>
          <w:sz w:val="20"/>
          <w:szCs w:val="20"/>
          <w:bdr w:val="none" w:sz="0" w:space="0" w:color="auto"/>
          <w:lang w:val="pt-BR" w:eastAsia="es-ES"/>
        </w:rPr>
        <w:t>ament</w:t>
      </w:r>
      <w:r w:rsidR="002649F0" w:rsidRPr="006D1C74">
        <w:rPr>
          <w:rFonts w:asciiTheme="majorHAnsi" w:eastAsia="Batang" w:hAnsiTheme="majorHAnsi" w:cstheme="majorBidi"/>
          <w:bCs/>
          <w:sz w:val="20"/>
          <w:szCs w:val="20"/>
          <w:bdr w:val="none" w:sz="0" w:space="0" w:color="auto"/>
          <w:lang w:val="pt-BR" w:eastAsia="es-ES"/>
        </w:rPr>
        <w:t>o de pens</w:t>
      </w:r>
      <w:r w:rsidR="001E2392" w:rsidRPr="006D1C74">
        <w:rPr>
          <w:rFonts w:asciiTheme="majorHAnsi" w:eastAsia="Batang" w:hAnsiTheme="majorHAnsi" w:cstheme="majorBidi"/>
          <w:bCs/>
          <w:sz w:val="20"/>
          <w:szCs w:val="20"/>
          <w:bdr w:val="none" w:sz="0" w:space="0" w:color="auto"/>
          <w:lang w:val="pt-BR" w:eastAsia="es-ES"/>
        </w:rPr>
        <w:t>õ</w:t>
      </w:r>
      <w:r w:rsidR="002649F0" w:rsidRPr="006D1C74">
        <w:rPr>
          <w:rFonts w:asciiTheme="majorHAnsi" w:eastAsia="Batang" w:hAnsiTheme="majorHAnsi" w:cstheme="majorBidi"/>
          <w:bCs/>
          <w:sz w:val="20"/>
          <w:szCs w:val="20"/>
          <w:bdr w:val="none" w:sz="0" w:space="0" w:color="auto"/>
          <w:lang w:val="pt-BR" w:eastAsia="es-ES"/>
        </w:rPr>
        <w:t>es mens</w:t>
      </w:r>
      <w:r w:rsidR="00700267" w:rsidRPr="006D1C74">
        <w:rPr>
          <w:rFonts w:asciiTheme="majorHAnsi" w:eastAsia="Batang" w:hAnsiTheme="majorHAnsi" w:cstheme="majorBidi"/>
          <w:bCs/>
          <w:sz w:val="20"/>
          <w:szCs w:val="20"/>
          <w:bdr w:val="none" w:sz="0" w:space="0" w:color="auto"/>
          <w:lang w:val="pt-BR" w:eastAsia="es-ES"/>
        </w:rPr>
        <w:t>ais</w:t>
      </w:r>
      <w:r w:rsidR="00135454" w:rsidRPr="006D1C74">
        <w:rPr>
          <w:rFonts w:asciiTheme="majorHAnsi" w:eastAsia="Batang" w:hAnsiTheme="majorHAnsi" w:cstheme="majorBidi"/>
          <w:bCs/>
          <w:sz w:val="20"/>
          <w:szCs w:val="20"/>
          <w:bdr w:val="none" w:sz="0" w:space="0" w:color="auto"/>
          <w:lang w:val="pt-BR" w:eastAsia="es-ES"/>
        </w:rPr>
        <w:t xml:space="preserve"> aos </w:t>
      </w:r>
      <w:r w:rsidR="001E2392" w:rsidRPr="006D1C74">
        <w:rPr>
          <w:rFonts w:asciiTheme="majorHAnsi" w:eastAsia="Batang" w:hAnsiTheme="majorHAnsi" w:cstheme="majorBidi"/>
          <w:bCs/>
          <w:sz w:val="20"/>
          <w:szCs w:val="20"/>
          <w:bdr w:val="none" w:sz="0" w:space="0" w:color="auto"/>
          <w:lang w:val="pt-BR" w:eastAsia="es-ES"/>
        </w:rPr>
        <w:t>f</w:t>
      </w:r>
      <w:r w:rsidR="002649F0" w:rsidRPr="006D1C74">
        <w:rPr>
          <w:rFonts w:asciiTheme="majorHAnsi" w:eastAsia="Batang" w:hAnsiTheme="majorHAnsi" w:cstheme="majorBidi"/>
          <w:bCs/>
          <w:sz w:val="20"/>
          <w:szCs w:val="20"/>
          <w:bdr w:val="none" w:sz="0" w:space="0" w:color="auto"/>
          <w:lang w:val="pt-BR" w:eastAsia="es-ES"/>
        </w:rPr>
        <w:t>i</w:t>
      </w:r>
      <w:r w:rsidR="001E2392" w:rsidRPr="006D1C74">
        <w:rPr>
          <w:rFonts w:asciiTheme="majorHAnsi" w:eastAsia="Batang" w:hAnsiTheme="majorHAnsi" w:cstheme="majorBidi"/>
          <w:bCs/>
          <w:sz w:val="20"/>
          <w:szCs w:val="20"/>
          <w:bdr w:val="none" w:sz="0" w:space="0" w:color="auto"/>
          <w:lang w:val="pt-BR" w:eastAsia="es-ES"/>
        </w:rPr>
        <w:t>lh</w:t>
      </w:r>
      <w:r w:rsidR="002649F0" w:rsidRPr="006D1C74">
        <w:rPr>
          <w:rFonts w:asciiTheme="majorHAnsi" w:eastAsia="Batang" w:hAnsiTheme="majorHAnsi" w:cstheme="majorBidi"/>
          <w:bCs/>
          <w:sz w:val="20"/>
          <w:szCs w:val="20"/>
          <w:bdr w:val="none" w:sz="0" w:space="0" w:color="auto"/>
          <w:lang w:val="pt-BR" w:eastAsia="es-ES"/>
        </w:rPr>
        <w:t>os</w:t>
      </w:r>
      <w:r w:rsidR="00CF037E" w:rsidRPr="006D1C74">
        <w:rPr>
          <w:rFonts w:asciiTheme="majorHAnsi" w:eastAsia="Batang" w:hAnsiTheme="majorHAnsi" w:cstheme="majorBidi"/>
          <w:bCs/>
          <w:sz w:val="20"/>
          <w:szCs w:val="20"/>
          <w:bdr w:val="none" w:sz="0" w:space="0" w:color="auto"/>
          <w:lang w:val="pt-BR" w:eastAsia="es-ES"/>
        </w:rPr>
        <w:t xml:space="preserve"> e</w:t>
      </w:r>
      <w:r w:rsidR="00030019" w:rsidRPr="006D1C74">
        <w:rPr>
          <w:rFonts w:asciiTheme="majorHAnsi" w:eastAsia="Batang" w:hAnsiTheme="majorHAnsi" w:cstheme="majorBidi"/>
          <w:bCs/>
          <w:sz w:val="20"/>
          <w:szCs w:val="20"/>
          <w:bdr w:val="none" w:sz="0" w:space="0" w:color="auto"/>
          <w:lang w:val="pt-BR" w:eastAsia="es-ES"/>
        </w:rPr>
        <w:t xml:space="preserve"> à </w:t>
      </w:r>
      <w:r w:rsidR="002649F0" w:rsidRPr="006D1C74">
        <w:rPr>
          <w:rFonts w:asciiTheme="majorHAnsi" w:eastAsia="Batang" w:hAnsiTheme="majorHAnsi" w:cstheme="majorBidi"/>
          <w:bCs/>
          <w:sz w:val="20"/>
          <w:szCs w:val="20"/>
          <w:bdr w:val="none" w:sz="0" w:space="0" w:color="auto"/>
          <w:lang w:val="pt-BR" w:eastAsia="es-ES"/>
        </w:rPr>
        <w:t>esposa de Antonio Tavares</w:t>
      </w:r>
      <w:r w:rsidR="002649F0" w:rsidRPr="006D1C74">
        <w:rPr>
          <w:rFonts w:asciiTheme="majorHAnsi" w:eastAsia="Batang" w:hAnsiTheme="majorHAnsi"/>
          <w:bCs/>
          <w:sz w:val="20"/>
          <w:szCs w:val="20"/>
          <w:bdr w:val="none" w:sz="0" w:space="0" w:color="auto"/>
          <w:vertAlign w:val="superscript"/>
          <w:lang w:val="pt-BR" w:eastAsia="es-ES"/>
        </w:rPr>
        <w:footnoteReference w:id="44"/>
      </w:r>
      <w:r w:rsidR="002649F0" w:rsidRPr="006D1C74">
        <w:rPr>
          <w:rFonts w:asciiTheme="majorHAnsi" w:eastAsia="Batang" w:hAnsiTheme="majorHAnsi" w:cstheme="majorBidi"/>
          <w:bCs/>
          <w:sz w:val="20"/>
          <w:szCs w:val="20"/>
          <w:bdr w:val="none" w:sz="0" w:space="0" w:color="auto"/>
          <w:lang w:val="pt-BR" w:eastAsia="es-ES"/>
        </w:rPr>
        <w:t xml:space="preserve">. </w:t>
      </w:r>
      <w:r w:rsidR="003178DA">
        <w:rPr>
          <w:rFonts w:asciiTheme="majorHAnsi" w:eastAsia="Batang" w:hAnsiTheme="majorHAnsi" w:cstheme="majorBidi"/>
          <w:bCs/>
          <w:sz w:val="20"/>
          <w:szCs w:val="20"/>
          <w:bdr w:val="none" w:sz="0" w:space="0" w:color="auto"/>
          <w:lang w:val="pt-BR" w:eastAsia="es-ES"/>
        </w:rPr>
        <w:t>Houve recurso de apelação</w:t>
      </w:r>
      <w:r w:rsidR="002649F0" w:rsidRPr="006D1C74">
        <w:rPr>
          <w:rFonts w:asciiTheme="majorHAnsi" w:eastAsia="Batang" w:hAnsiTheme="majorHAnsi" w:cstheme="majorBidi"/>
          <w:bCs/>
          <w:sz w:val="20"/>
          <w:szCs w:val="20"/>
          <w:bdr w:val="none" w:sz="0" w:space="0" w:color="auto"/>
          <w:lang w:val="pt-BR" w:eastAsia="es-ES"/>
        </w:rPr>
        <w:t xml:space="preserve"> tanto</w:t>
      </w:r>
      <w:r w:rsidR="00BD3AB3" w:rsidRPr="006D1C74">
        <w:rPr>
          <w:rFonts w:asciiTheme="majorHAnsi" w:eastAsia="Batang" w:hAnsiTheme="majorHAnsi" w:cstheme="majorBidi"/>
          <w:bCs/>
          <w:sz w:val="20"/>
          <w:szCs w:val="20"/>
          <w:bdr w:val="none" w:sz="0" w:space="0" w:color="auto"/>
          <w:lang w:val="pt-BR" w:eastAsia="es-ES"/>
        </w:rPr>
        <w:t xml:space="preserve"> pelos </w:t>
      </w:r>
      <w:r w:rsidR="001E2392" w:rsidRPr="006D1C74">
        <w:rPr>
          <w:rFonts w:asciiTheme="majorHAnsi" w:eastAsia="Batang" w:hAnsiTheme="majorHAnsi" w:cstheme="majorBidi"/>
          <w:bCs/>
          <w:sz w:val="20"/>
          <w:szCs w:val="20"/>
          <w:bdr w:val="none" w:sz="0" w:space="0" w:color="auto"/>
          <w:lang w:val="pt-BR" w:eastAsia="es-ES"/>
        </w:rPr>
        <w:t>familiares</w:t>
      </w:r>
      <w:r w:rsidR="002649F0" w:rsidRPr="006D1C74">
        <w:rPr>
          <w:rFonts w:asciiTheme="majorHAnsi" w:eastAsia="Batang" w:hAnsiTheme="majorHAnsi" w:cstheme="majorBidi"/>
          <w:bCs/>
          <w:sz w:val="20"/>
          <w:szCs w:val="20"/>
          <w:bdr w:val="none" w:sz="0" w:space="0" w:color="auto"/>
          <w:lang w:val="pt-BR" w:eastAsia="es-ES"/>
        </w:rPr>
        <w:t>, como</w:t>
      </w:r>
      <w:r w:rsidR="00700267" w:rsidRPr="006D1C74">
        <w:rPr>
          <w:rFonts w:asciiTheme="majorHAnsi" w:eastAsia="Batang" w:hAnsiTheme="majorHAnsi" w:cstheme="majorBidi"/>
          <w:bCs/>
          <w:sz w:val="20"/>
          <w:szCs w:val="20"/>
          <w:bdr w:val="none" w:sz="0" w:space="0" w:color="auto"/>
          <w:lang w:val="pt-BR" w:eastAsia="es-ES"/>
        </w:rPr>
        <w:t xml:space="preserve"> pelo </w:t>
      </w:r>
      <w:r w:rsidR="002649F0" w:rsidRPr="006D1C74">
        <w:rPr>
          <w:rFonts w:asciiTheme="majorHAnsi" w:eastAsia="Batang" w:hAnsiTheme="majorHAnsi" w:cstheme="majorBidi"/>
          <w:bCs/>
          <w:sz w:val="20"/>
          <w:szCs w:val="20"/>
          <w:bdr w:val="none" w:sz="0" w:space="0" w:color="auto"/>
          <w:lang w:val="pt-BR" w:eastAsia="es-ES"/>
        </w:rPr>
        <w:t xml:space="preserve">imputado. </w:t>
      </w:r>
      <w:r w:rsidRPr="006D1C74">
        <w:rPr>
          <w:rFonts w:asciiTheme="majorHAnsi" w:eastAsia="Batang" w:hAnsiTheme="majorHAnsi" w:cstheme="majorBidi"/>
          <w:bCs/>
          <w:sz w:val="20"/>
          <w:szCs w:val="20"/>
          <w:bdr w:val="none" w:sz="0" w:space="0" w:color="auto"/>
          <w:lang w:val="pt-BR" w:eastAsia="es-ES"/>
        </w:rPr>
        <w:t>O</w:t>
      </w:r>
      <w:r w:rsidR="002649F0" w:rsidRPr="006D1C74">
        <w:rPr>
          <w:rFonts w:asciiTheme="majorHAnsi" w:eastAsia="Batang" w:hAnsiTheme="majorHAnsi" w:cstheme="majorBidi"/>
          <w:bCs/>
          <w:sz w:val="20"/>
          <w:szCs w:val="20"/>
          <w:bdr w:val="none" w:sz="0" w:space="0" w:color="auto"/>
          <w:lang w:val="pt-BR" w:eastAsia="es-ES"/>
        </w:rPr>
        <w:t xml:space="preserve"> Tribunal de </w:t>
      </w:r>
      <w:r w:rsidR="00795010" w:rsidRPr="006D1C74">
        <w:rPr>
          <w:rFonts w:asciiTheme="majorHAnsi" w:eastAsia="Batang" w:hAnsiTheme="majorHAnsi" w:cstheme="majorBidi"/>
          <w:bCs/>
          <w:sz w:val="20"/>
          <w:szCs w:val="20"/>
          <w:bdr w:val="none" w:sz="0" w:space="0" w:color="auto"/>
          <w:lang w:val="pt-BR" w:eastAsia="es-ES"/>
        </w:rPr>
        <w:t>Justiça</w:t>
      </w:r>
      <w:r w:rsidR="00030019" w:rsidRPr="006D1C74">
        <w:rPr>
          <w:rFonts w:asciiTheme="majorHAnsi" w:eastAsia="Batang" w:hAnsiTheme="majorHAnsi" w:cstheme="majorBidi"/>
          <w:bCs/>
          <w:sz w:val="20"/>
          <w:szCs w:val="20"/>
          <w:bdr w:val="none" w:sz="0" w:space="0" w:color="auto"/>
          <w:lang w:val="pt-BR" w:eastAsia="es-ES"/>
        </w:rPr>
        <w:t xml:space="preserve"> do </w:t>
      </w:r>
      <w:r w:rsidR="002649F0" w:rsidRPr="006D1C74">
        <w:rPr>
          <w:rFonts w:asciiTheme="majorHAnsi" w:eastAsia="Batang" w:hAnsiTheme="majorHAnsi" w:cstheme="majorBidi"/>
          <w:bCs/>
          <w:sz w:val="20"/>
          <w:szCs w:val="20"/>
          <w:bdr w:val="none" w:sz="0" w:space="0" w:color="auto"/>
          <w:lang w:val="pt-BR" w:eastAsia="es-ES"/>
        </w:rPr>
        <w:t xml:space="preserve">Estado </w:t>
      </w:r>
      <w:r w:rsidR="000D2A81" w:rsidRPr="006D1C74">
        <w:rPr>
          <w:rFonts w:asciiTheme="majorHAnsi" w:eastAsia="Batang" w:hAnsiTheme="majorHAnsi" w:cstheme="majorBidi"/>
          <w:bCs/>
          <w:sz w:val="20"/>
          <w:szCs w:val="20"/>
          <w:bdr w:val="none" w:sz="0" w:space="0" w:color="auto"/>
          <w:lang w:val="pt-BR" w:eastAsia="es-ES"/>
        </w:rPr>
        <w:t>do Paraná</w:t>
      </w:r>
      <w:r w:rsidR="002649F0" w:rsidRPr="006D1C74">
        <w:rPr>
          <w:rFonts w:asciiTheme="majorHAnsi" w:eastAsia="Batang" w:hAnsiTheme="majorHAnsi" w:cstheme="majorBidi"/>
          <w:bCs/>
          <w:sz w:val="20"/>
          <w:szCs w:val="20"/>
          <w:bdr w:val="none" w:sz="0" w:space="0" w:color="auto"/>
          <w:lang w:val="pt-BR" w:eastAsia="es-ES"/>
        </w:rPr>
        <w:t>,</w:t>
      </w:r>
      <w:r w:rsidR="00F673C7" w:rsidRPr="006D1C74">
        <w:rPr>
          <w:rFonts w:asciiTheme="majorHAnsi" w:eastAsia="Batang" w:hAnsiTheme="majorHAnsi" w:cstheme="majorBidi"/>
          <w:bCs/>
          <w:sz w:val="20"/>
          <w:szCs w:val="20"/>
          <w:bdr w:val="none" w:sz="0" w:space="0" w:color="auto"/>
          <w:lang w:val="pt-BR" w:eastAsia="es-ES"/>
        </w:rPr>
        <w:t xml:space="preserve"> em </w:t>
      </w:r>
      <w:r w:rsidR="002649F0" w:rsidRPr="006D1C74">
        <w:rPr>
          <w:rFonts w:asciiTheme="majorHAnsi" w:eastAsia="Batang" w:hAnsiTheme="majorHAnsi" w:cstheme="majorBidi"/>
          <w:bCs/>
          <w:sz w:val="20"/>
          <w:szCs w:val="20"/>
          <w:bdr w:val="none" w:sz="0" w:space="0" w:color="auto"/>
          <w:lang w:val="pt-BR" w:eastAsia="es-ES"/>
        </w:rPr>
        <w:t>jun</w:t>
      </w:r>
      <w:r w:rsidR="001E2392" w:rsidRPr="006D1C74">
        <w:rPr>
          <w:rFonts w:asciiTheme="majorHAnsi" w:eastAsia="Batang" w:hAnsiTheme="majorHAnsi" w:cstheme="majorBidi"/>
          <w:bCs/>
          <w:sz w:val="20"/>
          <w:szCs w:val="20"/>
          <w:bdr w:val="none" w:sz="0" w:space="0" w:color="auto"/>
          <w:lang w:val="pt-BR" w:eastAsia="es-ES"/>
        </w:rPr>
        <w:t>h</w:t>
      </w:r>
      <w:r w:rsidR="002649F0" w:rsidRPr="006D1C74">
        <w:rPr>
          <w:rFonts w:asciiTheme="majorHAnsi" w:eastAsia="Batang" w:hAnsiTheme="majorHAnsi" w:cstheme="majorBidi"/>
          <w:bCs/>
          <w:sz w:val="20"/>
          <w:szCs w:val="20"/>
          <w:bdr w:val="none" w:sz="0" w:space="0" w:color="auto"/>
          <w:lang w:val="pt-BR" w:eastAsia="es-ES"/>
        </w:rPr>
        <w:t xml:space="preserve">o de 2012, </w:t>
      </w:r>
      <w:r w:rsidR="003178DA">
        <w:rPr>
          <w:rFonts w:asciiTheme="majorHAnsi" w:eastAsia="Batang" w:hAnsiTheme="majorHAnsi" w:cstheme="majorBidi"/>
          <w:bCs/>
          <w:sz w:val="20"/>
          <w:szCs w:val="20"/>
          <w:bdr w:val="none" w:sz="0" w:space="0" w:color="auto"/>
          <w:lang w:val="pt-BR" w:eastAsia="es-ES"/>
        </w:rPr>
        <w:t xml:space="preserve">julgou </w:t>
      </w:r>
      <w:r w:rsidR="00700267" w:rsidRPr="006D1C74">
        <w:rPr>
          <w:rFonts w:asciiTheme="majorHAnsi" w:eastAsia="Batang" w:hAnsiTheme="majorHAnsi" w:cstheme="majorBidi"/>
          <w:bCs/>
          <w:sz w:val="20"/>
          <w:szCs w:val="20"/>
          <w:bdr w:val="none" w:sz="0" w:space="0" w:color="auto"/>
          <w:lang w:val="pt-BR" w:eastAsia="es-ES"/>
        </w:rPr>
        <w:t xml:space="preserve">a </w:t>
      </w:r>
      <w:r w:rsidR="002649F0" w:rsidRPr="006D1C74">
        <w:rPr>
          <w:rFonts w:asciiTheme="majorHAnsi" w:eastAsia="Batang" w:hAnsiTheme="majorHAnsi" w:cstheme="majorBidi"/>
          <w:bCs/>
          <w:sz w:val="20"/>
          <w:szCs w:val="20"/>
          <w:bdr w:val="none" w:sz="0" w:space="0" w:color="auto"/>
          <w:lang w:val="pt-BR" w:eastAsia="es-ES"/>
        </w:rPr>
        <w:t>apela</w:t>
      </w:r>
      <w:r w:rsidR="00CF037E" w:rsidRPr="006D1C74">
        <w:rPr>
          <w:rFonts w:asciiTheme="majorHAnsi" w:eastAsia="Batang" w:hAnsiTheme="majorHAnsi" w:cstheme="majorBidi"/>
          <w:bCs/>
          <w:sz w:val="20"/>
          <w:szCs w:val="20"/>
          <w:bdr w:val="none" w:sz="0" w:space="0" w:color="auto"/>
          <w:lang w:val="pt-BR" w:eastAsia="es-ES"/>
        </w:rPr>
        <w:t>ção</w:t>
      </w:r>
      <w:r w:rsidR="00030019" w:rsidRPr="006D1C74">
        <w:rPr>
          <w:rFonts w:asciiTheme="majorHAnsi" w:eastAsia="Batang" w:hAnsiTheme="majorHAnsi" w:cstheme="majorBidi"/>
          <w:bCs/>
          <w:sz w:val="20"/>
          <w:szCs w:val="20"/>
          <w:bdr w:val="none" w:sz="0" w:space="0" w:color="auto"/>
          <w:lang w:val="pt-BR" w:eastAsia="es-ES"/>
        </w:rPr>
        <w:t xml:space="preserve"> do </w:t>
      </w:r>
      <w:r w:rsidR="00DF1C77" w:rsidRPr="006D1C74">
        <w:rPr>
          <w:rFonts w:asciiTheme="majorHAnsi" w:eastAsia="Batang" w:hAnsiTheme="majorHAnsi" w:cstheme="majorBidi"/>
          <w:bCs/>
          <w:sz w:val="20"/>
          <w:szCs w:val="20"/>
          <w:bdr w:val="none" w:sz="0" w:space="0" w:color="auto"/>
          <w:lang w:val="pt-BR" w:eastAsia="es-ES"/>
        </w:rPr>
        <w:t xml:space="preserve">estado </w:t>
      </w:r>
      <w:r w:rsidR="000D2A81" w:rsidRPr="006D1C74">
        <w:rPr>
          <w:rFonts w:asciiTheme="majorHAnsi" w:eastAsia="Batang" w:hAnsiTheme="majorHAnsi" w:cstheme="majorBidi"/>
          <w:bCs/>
          <w:sz w:val="20"/>
          <w:szCs w:val="20"/>
          <w:bdr w:val="none" w:sz="0" w:space="0" w:color="auto"/>
          <w:lang w:val="pt-BR" w:eastAsia="es-ES"/>
        </w:rPr>
        <w:t>do Paraná</w:t>
      </w:r>
      <w:r w:rsidR="00DF1C77" w:rsidRPr="006D1C74">
        <w:rPr>
          <w:rFonts w:asciiTheme="majorHAnsi" w:eastAsia="Batang" w:hAnsiTheme="majorHAnsi" w:cstheme="majorBidi"/>
          <w:bCs/>
          <w:sz w:val="20"/>
          <w:szCs w:val="20"/>
          <w:bdr w:val="none" w:sz="0" w:space="0" w:color="auto"/>
          <w:lang w:val="pt-BR" w:eastAsia="es-ES"/>
        </w:rPr>
        <w:t xml:space="preserve"> improcedente</w:t>
      </w:r>
      <w:r w:rsidR="00CF037E" w:rsidRPr="006D1C74">
        <w:rPr>
          <w:rFonts w:asciiTheme="majorHAnsi" w:eastAsia="Batang" w:hAnsiTheme="majorHAnsi" w:cstheme="majorBidi"/>
          <w:bCs/>
          <w:sz w:val="20"/>
          <w:szCs w:val="20"/>
          <w:bdr w:val="none" w:sz="0" w:space="0" w:color="auto"/>
          <w:lang w:val="pt-BR" w:eastAsia="es-ES"/>
        </w:rPr>
        <w:t xml:space="preserve"> e</w:t>
      </w:r>
      <w:r w:rsidR="00700267" w:rsidRPr="006D1C74">
        <w:rPr>
          <w:rFonts w:asciiTheme="majorHAnsi" w:eastAsia="Batang" w:hAnsiTheme="majorHAnsi" w:cstheme="majorBidi"/>
          <w:bCs/>
          <w:sz w:val="20"/>
          <w:szCs w:val="20"/>
          <w:bdr w:val="none" w:sz="0" w:space="0" w:color="auto"/>
          <w:lang w:val="pt-BR" w:eastAsia="es-ES"/>
        </w:rPr>
        <w:t xml:space="preserve"> a </w:t>
      </w:r>
      <w:r w:rsidR="00DF1C77" w:rsidRPr="006D1C74">
        <w:rPr>
          <w:rFonts w:asciiTheme="majorHAnsi" w:eastAsia="Batang" w:hAnsiTheme="majorHAnsi" w:cstheme="majorBidi"/>
          <w:bCs/>
          <w:sz w:val="20"/>
          <w:szCs w:val="20"/>
          <w:bdr w:val="none" w:sz="0" w:space="0" w:color="auto"/>
          <w:lang w:val="pt-BR" w:eastAsia="es-ES"/>
        </w:rPr>
        <w:t>apela</w:t>
      </w:r>
      <w:r w:rsidR="00CF037E" w:rsidRPr="006D1C74">
        <w:rPr>
          <w:rFonts w:asciiTheme="majorHAnsi" w:eastAsia="Batang" w:hAnsiTheme="majorHAnsi" w:cstheme="majorBidi"/>
          <w:bCs/>
          <w:sz w:val="20"/>
          <w:szCs w:val="20"/>
          <w:bdr w:val="none" w:sz="0" w:space="0" w:color="auto"/>
          <w:lang w:val="pt-BR" w:eastAsia="es-ES"/>
        </w:rPr>
        <w:t>ção</w:t>
      </w:r>
      <w:r w:rsidR="00700267" w:rsidRPr="006D1C74">
        <w:rPr>
          <w:rFonts w:asciiTheme="majorHAnsi" w:eastAsia="Batang" w:hAnsiTheme="majorHAnsi" w:cstheme="majorBidi"/>
          <w:bCs/>
          <w:sz w:val="20"/>
          <w:szCs w:val="20"/>
          <w:bdr w:val="none" w:sz="0" w:space="0" w:color="auto"/>
          <w:lang w:val="pt-BR" w:eastAsia="es-ES"/>
        </w:rPr>
        <w:t xml:space="preserve"> dos </w:t>
      </w:r>
      <w:r w:rsidR="001E2392" w:rsidRPr="006D1C74">
        <w:rPr>
          <w:rFonts w:asciiTheme="majorHAnsi" w:eastAsia="Batang" w:hAnsiTheme="majorHAnsi" w:cstheme="majorBidi"/>
          <w:bCs/>
          <w:sz w:val="20"/>
          <w:szCs w:val="20"/>
          <w:bdr w:val="none" w:sz="0" w:space="0" w:color="auto"/>
          <w:lang w:val="pt-BR" w:eastAsia="es-ES"/>
        </w:rPr>
        <w:t>familiares</w:t>
      </w:r>
      <w:r w:rsidR="002649F0" w:rsidRPr="006D1C74">
        <w:rPr>
          <w:rFonts w:asciiTheme="majorHAnsi" w:eastAsia="Batang" w:hAnsiTheme="majorHAnsi" w:cstheme="majorBidi"/>
          <w:bCs/>
          <w:sz w:val="20"/>
          <w:szCs w:val="20"/>
          <w:bdr w:val="none" w:sz="0" w:space="0" w:color="auto"/>
          <w:lang w:val="pt-BR" w:eastAsia="es-ES"/>
        </w:rPr>
        <w:t xml:space="preserve"> parcialmente procedente</w:t>
      </w:r>
      <w:r w:rsidR="00DF1C77" w:rsidRPr="006D1C74">
        <w:rPr>
          <w:rFonts w:asciiTheme="majorHAnsi" w:eastAsia="Batang" w:hAnsiTheme="majorHAnsi" w:cstheme="majorBidi"/>
          <w:bCs/>
          <w:sz w:val="20"/>
          <w:szCs w:val="20"/>
          <w:bdr w:val="none" w:sz="0" w:space="0" w:color="auto"/>
          <w:lang w:val="pt-BR" w:eastAsia="es-ES"/>
        </w:rPr>
        <w:t>,</w:t>
      </w:r>
      <w:r w:rsidR="00F673C7" w:rsidRPr="006D1C74">
        <w:rPr>
          <w:rFonts w:asciiTheme="majorHAnsi" w:eastAsia="Batang" w:hAnsiTheme="majorHAnsi" w:cstheme="majorBidi"/>
          <w:bCs/>
          <w:sz w:val="20"/>
          <w:szCs w:val="20"/>
          <w:bdr w:val="none" w:sz="0" w:space="0" w:color="auto"/>
          <w:lang w:val="pt-BR" w:eastAsia="es-ES"/>
        </w:rPr>
        <w:t xml:space="preserve"> </w:t>
      </w:r>
      <w:r w:rsidR="003178DA">
        <w:rPr>
          <w:rFonts w:asciiTheme="majorHAnsi" w:eastAsia="Batang" w:hAnsiTheme="majorHAnsi" w:cstheme="majorBidi"/>
          <w:bCs/>
          <w:sz w:val="20"/>
          <w:szCs w:val="20"/>
          <w:bdr w:val="none" w:sz="0" w:space="0" w:color="auto"/>
          <w:lang w:val="pt-BR" w:eastAsia="es-ES"/>
        </w:rPr>
        <w:t>para</w:t>
      </w:r>
      <w:r w:rsidR="00DF1C77" w:rsidRPr="006D1C74">
        <w:rPr>
          <w:rFonts w:asciiTheme="majorHAnsi" w:eastAsia="Batang" w:hAnsiTheme="majorHAnsi" w:cstheme="majorBidi"/>
          <w:bCs/>
          <w:sz w:val="20"/>
          <w:szCs w:val="20"/>
          <w:bdr w:val="none" w:sz="0" w:space="0" w:color="auto"/>
          <w:lang w:val="pt-BR" w:eastAsia="es-ES"/>
        </w:rPr>
        <w:t xml:space="preserve"> </w:t>
      </w:r>
      <w:r w:rsidR="002649F0" w:rsidRPr="006D1C74">
        <w:rPr>
          <w:rFonts w:asciiTheme="majorHAnsi" w:eastAsia="Batang" w:hAnsiTheme="majorHAnsi" w:cstheme="majorBidi"/>
          <w:bCs/>
          <w:sz w:val="20"/>
          <w:szCs w:val="20"/>
          <w:bdr w:val="none" w:sz="0" w:space="0" w:color="auto"/>
          <w:lang w:val="pt-BR" w:eastAsia="es-ES"/>
        </w:rPr>
        <w:t>que</w:t>
      </w:r>
      <w:r w:rsidR="00700267" w:rsidRPr="006D1C74">
        <w:rPr>
          <w:rFonts w:asciiTheme="majorHAnsi" w:eastAsia="Batang" w:hAnsiTheme="majorHAnsi" w:cstheme="majorBidi"/>
          <w:bCs/>
          <w:sz w:val="20"/>
          <w:szCs w:val="20"/>
          <w:bdr w:val="none" w:sz="0" w:space="0" w:color="auto"/>
          <w:lang w:val="pt-BR" w:eastAsia="es-ES"/>
        </w:rPr>
        <w:t xml:space="preserve"> a </w:t>
      </w:r>
      <w:r w:rsidR="002649F0" w:rsidRPr="006D1C74">
        <w:rPr>
          <w:rFonts w:asciiTheme="majorHAnsi" w:eastAsia="Batang" w:hAnsiTheme="majorHAnsi" w:cstheme="majorBidi"/>
          <w:bCs/>
          <w:sz w:val="20"/>
          <w:szCs w:val="20"/>
          <w:bdr w:val="none" w:sz="0" w:space="0" w:color="auto"/>
          <w:lang w:val="pt-BR" w:eastAsia="es-ES"/>
        </w:rPr>
        <w:t>pen</w:t>
      </w:r>
      <w:r w:rsidR="0094446B" w:rsidRPr="006D1C74">
        <w:rPr>
          <w:rFonts w:asciiTheme="majorHAnsi" w:eastAsia="Batang" w:hAnsiTheme="majorHAnsi" w:cstheme="majorBidi"/>
          <w:bCs/>
          <w:sz w:val="20"/>
          <w:szCs w:val="20"/>
          <w:bdr w:val="none" w:sz="0" w:space="0" w:color="auto"/>
          <w:lang w:val="pt-BR" w:eastAsia="es-ES"/>
        </w:rPr>
        <w:t>são</w:t>
      </w:r>
      <w:r w:rsidR="002649F0" w:rsidRPr="006D1C74">
        <w:rPr>
          <w:rFonts w:asciiTheme="majorHAnsi" w:eastAsia="Batang" w:hAnsiTheme="majorHAnsi" w:cstheme="majorBidi"/>
          <w:bCs/>
          <w:sz w:val="20"/>
          <w:szCs w:val="20"/>
          <w:bdr w:val="none" w:sz="0" w:space="0" w:color="auto"/>
          <w:lang w:val="pt-BR" w:eastAsia="es-ES"/>
        </w:rPr>
        <w:t xml:space="preserve"> mensal </w:t>
      </w:r>
      <w:r w:rsidR="00585D35" w:rsidRPr="006D1C74">
        <w:rPr>
          <w:rFonts w:asciiTheme="majorHAnsi" w:eastAsia="Batang" w:hAnsiTheme="majorHAnsi" w:cstheme="majorBidi"/>
          <w:bCs/>
          <w:sz w:val="20"/>
          <w:szCs w:val="20"/>
          <w:bdr w:val="none" w:sz="0" w:space="0" w:color="auto"/>
          <w:lang w:val="pt-BR" w:eastAsia="es-ES"/>
        </w:rPr>
        <w:t>dev</w:t>
      </w:r>
      <w:r w:rsidR="002649F0" w:rsidRPr="006D1C74">
        <w:rPr>
          <w:rFonts w:asciiTheme="majorHAnsi" w:eastAsia="Batang" w:hAnsiTheme="majorHAnsi" w:cstheme="majorBidi"/>
          <w:bCs/>
          <w:sz w:val="20"/>
          <w:szCs w:val="20"/>
          <w:bdr w:val="none" w:sz="0" w:space="0" w:color="auto"/>
          <w:lang w:val="pt-BR" w:eastAsia="es-ES"/>
        </w:rPr>
        <w:t>ida</w:t>
      </w:r>
      <w:r w:rsidR="00030019" w:rsidRPr="006D1C74">
        <w:rPr>
          <w:rFonts w:asciiTheme="majorHAnsi" w:eastAsia="Batang" w:hAnsiTheme="majorHAnsi" w:cstheme="majorBidi"/>
          <w:bCs/>
          <w:sz w:val="20"/>
          <w:szCs w:val="20"/>
          <w:bdr w:val="none" w:sz="0" w:space="0" w:color="auto"/>
          <w:lang w:val="pt-BR" w:eastAsia="es-ES"/>
        </w:rPr>
        <w:t xml:space="preserve"> à </w:t>
      </w:r>
      <w:r w:rsidR="002649F0" w:rsidRPr="006D1C74">
        <w:rPr>
          <w:rFonts w:asciiTheme="majorHAnsi" w:eastAsia="Batang" w:hAnsiTheme="majorHAnsi" w:cstheme="majorBidi"/>
          <w:bCs/>
          <w:sz w:val="20"/>
          <w:szCs w:val="20"/>
          <w:bdr w:val="none" w:sz="0" w:space="0" w:color="auto"/>
          <w:lang w:val="pt-BR" w:eastAsia="es-ES"/>
        </w:rPr>
        <w:t>vi</w:t>
      </w:r>
      <w:r w:rsidR="00D46AA1" w:rsidRPr="006D1C74">
        <w:rPr>
          <w:rFonts w:asciiTheme="majorHAnsi" w:eastAsia="Batang" w:hAnsiTheme="majorHAnsi" w:cstheme="majorBidi"/>
          <w:bCs/>
          <w:sz w:val="20"/>
          <w:szCs w:val="20"/>
          <w:bdr w:val="none" w:sz="0" w:space="0" w:color="auto"/>
          <w:lang w:val="pt-BR" w:eastAsia="es-ES"/>
        </w:rPr>
        <w:t>úv</w:t>
      </w:r>
      <w:r w:rsidR="002649F0" w:rsidRPr="006D1C74">
        <w:rPr>
          <w:rFonts w:asciiTheme="majorHAnsi" w:eastAsia="Batang" w:hAnsiTheme="majorHAnsi" w:cstheme="majorBidi"/>
          <w:bCs/>
          <w:sz w:val="20"/>
          <w:szCs w:val="20"/>
          <w:bdr w:val="none" w:sz="0" w:space="0" w:color="auto"/>
          <w:lang w:val="pt-BR" w:eastAsia="es-ES"/>
        </w:rPr>
        <w:t xml:space="preserve">a </w:t>
      </w:r>
      <w:r w:rsidR="00D46AA1" w:rsidRPr="006D1C74">
        <w:rPr>
          <w:rFonts w:asciiTheme="majorHAnsi" w:eastAsia="Batang" w:hAnsiTheme="majorHAnsi" w:cstheme="majorBidi"/>
          <w:bCs/>
          <w:sz w:val="20"/>
          <w:szCs w:val="20"/>
          <w:bdr w:val="none" w:sz="0" w:space="0" w:color="auto"/>
          <w:lang w:val="pt-BR" w:eastAsia="es-ES"/>
        </w:rPr>
        <w:t>fos</w:t>
      </w:r>
      <w:r w:rsidR="002649F0" w:rsidRPr="006D1C74">
        <w:rPr>
          <w:rFonts w:asciiTheme="majorHAnsi" w:eastAsia="Batang" w:hAnsiTheme="majorHAnsi" w:cstheme="majorBidi"/>
          <w:bCs/>
          <w:sz w:val="20"/>
          <w:szCs w:val="20"/>
          <w:bdr w:val="none" w:sz="0" w:space="0" w:color="auto"/>
          <w:lang w:val="pt-BR" w:eastAsia="es-ES"/>
        </w:rPr>
        <w:t>se e</w:t>
      </w:r>
      <w:r w:rsidR="00D46AA1" w:rsidRPr="006D1C74">
        <w:rPr>
          <w:rFonts w:asciiTheme="majorHAnsi" w:eastAsia="Batang" w:hAnsiTheme="majorHAnsi" w:cstheme="majorBidi"/>
          <w:bCs/>
          <w:sz w:val="20"/>
          <w:szCs w:val="20"/>
          <w:bdr w:val="none" w:sz="0" w:space="0" w:color="auto"/>
          <w:lang w:val="pt-BR" w:eastAsia="es-ES"/>
        </w:rPr>
        <w:t>s</w:t>
      </w:r>
      <w:r w:rsidR="002649F0" w:rsidRPr="006D1C74">
        <w:rPr>
          <w:rFonts w:asciiTheme="majorHAnsi" w:eastAsia="Batang" w:hAnsiTheme="majorHAnsi" w:cstheme="majorBidi"/>
          <w:bCs/>
          <w:sz w:val="20"/>
          <w:szCs w:val="20"/>
          <w:bdr w:val="none" w:sz="0" w:space="0" w:color="auto"/>
          <w:lang w:val="pt-BR" w:eastAsia="es-ES"/>
        </w:rPr>
        <w:t>tendi</w:t>
      </w:r>
      <w:r w:rsidR="00D46AA1" w:rsidRPr="006D1C74">
        <w:rPr>
          <w:rFonts w:asciiTheme="majorHAnsi" w:eastAsia="Batang" w:hAnsiTheme="majorHAnsi" w:cstheme="majorBidi"/>
          <w:bCs/>
          <w:sz w:val="20"/>
          <w:szCs w:val="20"/>
          <w:bdr w:val="none" w:sz="0" w:space="0" w:color="auto"/>
          <w:lang w:val="pt-BR" w:eastAsia="es-ES"/>
        </w:rPr>
        <w:t>d</w:t>
      </w:r>
      <w:r w:rsidR="002649F0" w:rsidRPr="006D1C74">
        <w:rPr>
          <w:rFonts w:asciiTheme="majorHAnsi" w:eastAsia="Batang" w:hAnsiTheme="majorHAnsi" w:cstheme="majorBidi"/>
          <w:bCs/>
          <w:sz w:val="20"/>
          <w:szCs w:val="20"/>
          <w:bdr w:val="none" w:sz="0" w:space="0" w:color="auto"/>
          <w:lang w:val="pt-BR" w:eastAsia="es-ES"/>
        </w:rPr>
        <w:t xml:space="preserve">a </w:t>
      </w:r>
      <w:r w:rsidR="00D46AA1" w:rsidRPr="006D1C74">
        <w:rPr>
          <w:rFonts w:asciiTheme="majorHAnsi" w:eastAsia="Batang" w:hAnsiTheme="majorHAnsi" w:cstheme="majorBidi"/>
          <w:bCs/>
          <w:sz w:val="20"/>
          <w:szCs w:val="20"/>
          <w:bdr w:val="none" w:sz="0" w:space="0" w:color="auto"/>
          <w:lang w:val="pt-BR" w:eastAsia="es-ES"/>
        </w:rPr>
        <w:t>até</w:t>
      </w:r>
      <w:r w:rsidR="00700267" w:rsidRPr="006D1C74">
        <w:rPr>
          <w:rFonts w:asciiTheme="majorHAnsi" w:eastAsia="Batang" w:hAnsiTheme="majorHAnsi" w:cstheme="majorBidi"/>
          <w:bCs/>
          <w:sz w:val="20"/>
          <w:szCs w:val="20"/>
          <w:bdr w:val="none" w:sz="0" w:space="0" w:color="auto"/>
          <w:lang w:val="pt-BR" w:eastAsia="es-ES"/>
        </w:rPr>
        <w:t xml:space="preserve"> a </w:t>
      </w:r>
      <w:r w:rsidR="00D46AA1" w:rsidRPr="006D1C74">
        <w:rPr>
          <w:rFonts w:asciiTheme="majorHAnsi" w:eastAsia="Batang" w:hAnsiTheme="majorHAnsi" w:cstheme="majorBidi"/>
          <w:bCs/>
          <w:sz w:val="20"/>
          <w:szCs w:val="20"/>
          <w:bdr w:val="none" w:sz="0" w:space="0" w:color="auto"/>
          <w:lang w:val="pt-BR" w:eastAsia="es-ES"/>
        </w:rPr>
        <w:t>dat</w:t>
      </w:r>
      <w:r w:rsidR="002649F0" w:rsidRPr="006D1C74">
        <w:rPr>
          <w:rFonts w:asciiTheme="majorHAnsi" w:eastAsia="Batang" w:hAnsiTheme="majorHAnsi" w:cstheme="majorBidi"/>
          <w:bCs/>
          <w:sz w:val="20"/>
          <w:szCs w:val="20"/>
          <w:bdr w:val="none" w:sz="0" w:space="0" w:color="auto"/>
          <w:lang w:val="pt-BR" w:eastAsia="es-ES"/>
        </w:rPr>
        <w:t>a</w:t>
      </w:r>
      <w:r w:rsidR="00F673C7" w:rsidRPr="006D1C74">
        <w:rPr>
          <w:rFonts w:asciiTheme="majorHAnsi" w:eastAsia="Batang" w:hAnsiTheme="majorHAnsi" w:cstheme="majorBidi"/>
          <w:bCs/>
          <w:sz w:val="20"/>
          <w:szCs w:val="20"/>
          <w:bdr w:val="none" w:sz="0" w:space="0" w:color="auto"/>
          <w:lang w:val="pt-BR" w:eastAsia="es-ES"/>
        </w:rPr>
        <w:t xml:space="preserve"> em </w:t>
      </w:r>
      <w:r w:rsidR="002649F0" w:rsidRPr="006D1C74">
        <w:rPr>
          <w:rFonts w:asciiTheme="majorHAnsi" w:eastAsia="Batang" w:hAnsiTheme="majorHAnsi" w:cstheme="majorBidi"/>
          <w:bCs/>
          <w:sz w:val="20"/>
          <w:szCs w:val="20"/>
          <w:bdr w:val="none" w:sz="0" w:space="0" w:color="auto"/>
          <w:lang w:val="pt-BR" w:eastAsia="es-ES"/>
        </w:rPr>
        <w:t xml:space="preserve">que Antonio Tavares </w:t>
      </w:r>
      <w:r w:rsidR="00DF1C77" w:rsidRPr="006D1C74">
        <w:rPr>
          <w:rFonts w:asciiTheme="majorHAnsi" w:eastAsia="Batang" w:hAnsiTheme="majorHAnsi" w:cstheme="majorBidi"/>
          <w:bCs/>
          <w:sz w:val="20"/>
          <w:szCs w:val="20"/>
          <w:bdr w:val="none" w:sz="0" w:space="0" w:color="auto"/>
          <w:lang w:val="pt-BR" w:eastAsia="es-ES"/>
        </w:rPr>
        <w:t>cump</w:t>
      </w:r>
      <w:r w:rsidR="00D46AA1" w:rsidRPr="006D1C74">
        <w:rPr>
          <w:rFonts w:asciiTheme="majorHAnsi" w:eastAsia="Batang" w:hAnsiTheme="majorHAnsi" w:cstheme="majorBidi"/>
          <w:bCs/>
          <w:sz w:val="20"/>
          <w:szCs w:val="20"/>
          <w:bdr w:val="none" w:sz="0" w:space="0" w:color="auto"/>
          <w:lang w:val="pt-BR" w:eastAsia="es-ES"/>
        </w:rPr>
        <w:t>r</w:t>
      </w:r>
      <w:r w:rsidR="00DF1C77" w:rsidRPr="006D1C74">
        <w:rPr>
          <w:rFonts w:asciiTheme="majorHAnsi" w:eastAsia="Batang" w:hAnsiTheme="majorHAnsi" w:cstheme="majorBidi"/>
          <w:bCs/>
          <w:sz w:val="20"/>
          <w:szCs w:val="20"/>
          <w:bdr w:val="none" w:sz="0" w:space="0" w:color="auto"/>
          <w:lang w:val="pt-BR" w:eastAsia="es-ES"/>
        </w:rPr>
        <w:t>ir</w:t>
      </w:r>
      <w:r w:rsidR="00055622" w:rsidRPr="006D1C74">
        <w:rPr>
          <w:rFonts w:asciiTheme="majorHAnsi" w:eastAsia="Batang" w:hAnsiTheme="majorHAnsi" w:cstheme="majorBidi"/>
          <w:bCs/>
          <w:sz w:val="20"/>
          <w:szCs w:val="20"/>
          <w:bdr w:val="none" w:sz="0" w:space="0" w:color="auto"/>
          <w:lang w:val="pt-BR" w:eastAsia="es-ES"/>
        </w:rPr>
        <w:t>ia</w:t>
      </w:r>
      <w:r w:rsidR="00DF1C77" w:rsidRPr="006D1C74">
        <w:rPr>
          <w:rFonts w:asciiTheme="majorHAnsi" w:eastAsia="Batang" w:hAnsiTheme="majorHAnsi" w:cstheme="majorBidi"/>
          <w:bCs/>
          <w:sz w:val="20"/>
          <w:szCs w:val="20"/>
          <w:bdr w:val="none" w:sz="0" w:space="0" w:color="auto"/>
          <w:lang w:val="pt-BR" w:eastAsia="es-ES"/>
        </w:rPr>
        <w:t xml:space="preserve"> </w:t>
      </w:r>
      <w:r w:rsidR="002649F0" w:rsidRPr="006D1C74">
        <w:rPr>
          <w:rFonts w:asciiTheme="majorHAnsi" w:eastAsia="Batang" w:hAnsiTheme="majorHAnsi" w:cstheme="majorBidi"/>
          <w:bCs/>
          <w:sz w:val="20"/>
          <w:szCs w:val="20"/>
          <w:bdr w:val="none" w:sz="0" w:space="0" w:color="auto"/>
          <w:lang w:val="pt-BR" w:eastAsia="es-ES"/>
        </w:rPr>
        <w:t>73 a</w:t>
      </w:r>
      <w:r w:rsidR="00D46AA1" w:rsidRPr="006D1C74">
        <w:rPr>
          <w:rFonts w:asciiTheme="majorHAnsi" w:eastAsia="Batang" w:hAnsiTheme="majorHAnsi" w:cstheme="majorBidi"/>
          <w:bCs/>
          <w:sz w:val="20"/>
          <w:szCs w:val="20"/>
          <w:bdr w:val="none" w:sz="0" w:space="0" w:color="auto"/>
          <w:lang w:val="pt-BR" w:eastAsia="es-ES"/>
        </w:rPr>
        <w:t>n</w:t>
      </w:r>
      <w:r w:rsidR="002649F0" w:rsidRPr="006D1C74">
        <w:rPr>
          <w:rFonts w:asciiTheme="majorHAnsi" w:eastAsia="Batang" w:hAnsiTheme="majorHAnsi" w:cstheme="majorBidi"/>
          <w:bCs/>
          <w:sz w:val="20"/>
          <w:szCs w:val="20"/>
          <w:bdr w:val="none" w:sz="0" w:space="0" w:color="auto"/>
          <w:lang w:val="pt-BR" w:eastAsia="es-ES"/>
        </w:rPr>
        <w:t>os,</w:t>
      </w:r>
      <w:r w:rsidR="00CF037E" w:rsidRPr="006D1C74">
        <w:rPr>
          <w:rFonts w:asciiTheme="majorHAnsi" w:eastAsia="Batang" w:hAnsiTheme="majorHAnsi" w:cstheme="majorBidi"/>
          <w:bCs/>
          <w:sz w:val="20"/>
          <w:szCs w:val="20"/>
          <w:bdr w:val="none" w:sz="0" w:space="0" w:color="auto"/>
          <w:lang w:val="pt-BR" w:eastAsia="es-ES"/>
        </w:rPr>
        <w:t xml:space="preserve"> e </w:t>
      </w:r>
      <w:r w:rsidR="002649F0" w:rsidRPr="006D1C74">
        <w:rPr>
          <w:rFonts w:asciiTheme="majorHAnsi" w:eastAsia="Batang" w:hAnsiTheme="majorHAnsi" w:cstheme="majorBidi"/>
          <w:bCs/>
          <w:sz w:val="20"/>
          <w:szCs w:val="20"/>
          <w:bdr w:val="none" w:sz="0" w:space="0" w:color="auto"/>
          <w:lang w:val="pt-BR" w:eastAsia="es-ES"/>
        </w:rPr>
        <w:t>para que</w:t>
      </w:r>
      <w:r w:rsidR="00700267" w:rsidRPr="006D1C74">
        <w:rPr>
          <w:rFonts w:asciiTheme="majorHAnsi" w:eastAsia="Batang" w:hAnsiTheme="majorHAnsi" w:cstheme="majorBidi"/>
          <w:bCs/>
          <w:sz w:val="20"/>
          <w:szCs w:val="20"/>
          <w:bdr w:val="none" w:sz="0" w:space="0" w:color="auto"/>
          <w:lang w:val="pt-BR" w:eastAsia="es-ES"/>
        </w:rPr>
        <w:t xml:space="preserve"> a </w:t>
      </w:r>
      <w:r w:rsidR="002649F0" w:rsidRPr="006D1C74">
        <w:rPr>
          <w:rFonts w:asciiTheme="majorHAnsi" w:eastAsia="Batang" w:hAnsiTheme="majorHAnsi" w:cstheme="majorBidi"/>
          <w:bCs/>
          <w:sz w:val="20"/>
          <w:szCs w:val="20"/>
          <w:bdr w:val="none" w:sz="0" w:space="0" w:color="auto"/>
          <w:lang w:val="pt-BR" w:eastAsia="es-ES"/>
        </w:rPr>
        <w:t>pen</w:t>
      </w:r>
      <w:r w:rsidR="0094446B" w:rsidRPr="006D1C74">
        <w:rPr>
          <w:rFonts w:asciiTheme="majorHAnsi" w:eastAsia="Batang" w:hAnsiTheme="majorHAnsi" w:cstheme="majorBidi"/>
          <w:bCs/>
          <w:sz w:val="20"/>
          <w:szCs w:val="20"/>
          <w:bdr w:val="none" w:sz="0" w:space="0" w:color="auto"/>
          <w:lang w:val="pt-BR" w:eastAsia="es-ES"/>
        </w:rPr>
        <w:t>são</w:t>
      </w:r>
      <w:r w:rsidR="002649F0" w:rsidRPr="006D1C74">
        <w:rPr>
          <w:rFonts w:asciiTheme="majorHAnsi" w:eastAsia="Batang" w:hAnsiTheme="majorHAnsi" w:cstheme="majorBidi"/>
          <w:bCs/>
          <w:sz w:val="20"/>
          <w:szCs w:val="20"/>
          <w:bdr w:val="none" w:sz="0" w:space="0" w:color="auto"/>
          <w:lang w:val="pt-BR" w:eastAsia="es-ES"/>
        </w:rPr>
        <w:t xml:space="preserve"> mensal </w:t>
      </w:r>
      <w:r w:rsidR="00585D35" w:rsidRPr="006D1C74">
        <w:rPr>
          <w:rFonts w:asciiTheme="majorHAnsi" w:eastAsia="Batang" w:hAnsiTheme="majorHAnsi" w:cstheme="majorBidi"/>
          <w:bCs/>
          <w:sz w:val="20"/>
          <w:szCs w:val="20"/>
          <w:bdr w:val="none" w:sz="0" w:space="0" w:color="auto"/>
          <w:lang w:val="pt-BR" w:eastAsia="es-ES"/>
        </w:rPr>
        <w:t>dev</w:t>
      </w:r>
      <w:r w:rsidR="002649F0" w:rsidRPr="006D1C74">
        <w:rPr>
          <w:rFonts w:asciiTheme="majorHAnsi" w:eastAsia="Batang" w:hAnsiTheme="majorHAnsi" w:cstheme="majorBidi"/>
          <w:bCs/>
          <w:sz w:val="20"/>
          <w:szCs w:val="20"/>
          <w:bdr w:val="none" w:sz="0" w:space="0" w:color="auto"/>
          <w:lang w:val="pt-BR" w:eastAsia="es-ES"/>
        </w:rPr>
        <w:t>ida</w:t>
      </w:r>
      <w:r w:rsidR="00135454" w:rsidRPr="006D1C74">
        <w:rPr>
          <w:rFonts w:asciiTheme="majorHAnsi" w:eastAsia="Batang" w:hAnsiTheme="majorHAnsi" w:cstheme="majorBidi"/>
          <w:bCs/>
          <w:sz w:val="20"/>
          <w:szCs w:val="20"/>
          <w:bdr w:val="none" w:sz="0" w:space="0" w:color="auto"/>
          <w:lang w:val="pt-BR" w:eastAsia="es-ES"/>
        </w:rPr>
        <w:t xml:space="preserve"> aos </w:t>
      </w:r>
      <w:r w:rsidR="00D46AA1" w:rsidRPr="006D1C74">
        <w:rPr>
          <w:rFonts w:asciiTheme="majorHAnsi" w:eastAsia="Batang" w:hAnsiTheme="majorHAnsi" w:cstheme="majorBidi"/>
          <w:bCs/>
          <w:sz w:val="20"/>
          <w:szCs w:val="20"/>
          <w:bdr w:val="none" w:sz="0" w:space="0" w:color="auto"/>
          <w:lang w:val="pt-BR" w:eastAsia="es-ES"/>
        </w:rPr>
        <w:t>f</w:t>
      </w:r>
      <w:r w:rsidR="002649F0" w:rsidRPr="006D1C74">
        <w:rPr>
          <w:rFonts w:asciiTheme="majorHAnsi" w:eastAsia="Batang" w:hAnsiTheme="majorHAnsi" w:cstheme="majorBidi"/>
          <w:bCs/>
          <w:sz w:val="20"/>
          <w:szCs w:val="20"/>
          <w:bdr w:val="none" w:sz="0" w:space="0" w:color="auto"/>
          <w:lang w:val="pt-BR" w:eastAsia="es-ES"/>
        </w:rPr>
        <w:t>i</w:t>
      </w:r>
      <w:r w:rsidR="00D46AA1" w:rsidRPr="006D1C74">
        <w:rPr>
          <w:rFonts w:asciiTheme="majorHAnsi" w:eastAsia="Batang" w:hAnsiTheme="majorHAnsi" w:cstheme="majorBidi"/>
          <w:bCs/>
          <w:sz w:val="20"/>
          <w:szCs w:val="20"/>
          <w:bdr w:val="none" w:sz="0" w:space="0" w:color="auto"/>
          <w:lang w:val="pt-BR" w:eastAsia="es-ES"/>
        </w:rPr>
        <w:t>lh</w:t>
      </w:r>
      <w:r w:rsidR="002649F0" w:rsidRPr="006D1C74">
        <w:rPr>
          <w:rFonts w:asciiTheme="majorHAnsi" w:eastAsia="Batang" w:hAnsiTheme="majorHAnsi" w:cstheme="majorBidi"/>
          <w:bCs/>
          <w:sz w:val="20"/>
          <w:szCs w:val="20"/>
          <w:bdr w:val="none" w:sz="0" w:space="0" w:color="auto"/>
          <w:lang w:val="pt-BR" w:eastAsia="es-ES"/>
        </w:rPr>
        <w:t>os f</w:t>
      </w:r>
      <w:r w:rsidR="00D46AA1" w:rsidRPr="006D1C74">
        <w:rPr>
          <w:rFonts w:asciiTheme="majorHAnsi" w:eastAsia="Batang" w:hAnsiTheme="majorHAnsi" w:cstheme="majorBidi"/>
          <w:bCs/>
          <w:sz w:val="20"/>
          <w:szCs w:val="20"/>
          <w:bdr w:val="none" w:sz="0" w:space="0" w:color="auto"/>
          <w:lang w:val="pt-BR" w:eastAsia="es-ES"/>
        </w:rPr>
        <w:t>osse</w:t>
      </w:r>
      <w:r w:rsidR="002649F0" w:rsidRPr="006D1C74">
        <w:rPr>
          <w:rFonts w:asciiTheme="majorHAnsi" w:eastAsia="Batang" w:hAnsiTheme="majorHAnsi" w:cstheme="majorBidi"/>
          <w:bCs/>
          <w:sz w:val="20"/>
          <w:szCs w:val="20"/>
          <w:bdr w:val="none" w:sz="0" w:space="0" w:color="auto"/>
          <w:lang w:val="pt-BR" w:eastAsia="es-ES"/>
        </w:rPr>
        <w:t xml:space="preserve"> paga indepen</w:t>
      </w:r>
      <w:r w:rsidR="000D2A81" w:rsidRPr="006D1C74">
        <w:rPr>
          <w:rFonts w:asciiTheme="majorHAnsi" w:eastAsia="Batang" w:hAnsiTheme="majorHAnsi" w:cstheme="majorBidi"/>
          <w:bCs/>
          <w:sz w:val="20"/>
          <w:szCs w:val="20"/>
          <w:bdr w:val="none" w:sz="0" w:space="0" w:color="auto"/>
          <w:lang w:val="pt-BR" w:eastAsia="es-ES"/>
        </w:rPr>
        <w:t>dente</w:t>
      </w:r>
      <w:r w:rsidR="002649F0" w:rsidRPr="006D1C74">
        <w:rPr>
          <w:rFonts w:asciiTheme="majorHAnsi" w:eastAsia="Batang" w:hAnsiTheme="majorHAnsi" w:cstheme="majorBidi"/>
          <w:bCs/>
          <w:sz w:val="20"/>
          <w:szCs w:val="20"/>
          <w:bdr w:val="none" w:sz="0" w:space="0" w:color="auto"/>
          <w:lang w:val="pt-BR" w:eastAsia="es-ES"/>
        </w:rPr>
        <w:t>mente</w:t>
      </w:r>
      <w:r w:rsidR="00795010" w:rsidRPr="006D1C74">
        <w:rPr>
          <w:rFonts w:asciiTheme="majorHAnsi" w:eastAsia="Batang" w:hAnsiTheme="majorHAnsi" w:cstheme="majorBidi"/>
          <w:bCs/>
          <w:sz w:val="20"/>
          <w:szCs w:val="20"/>
          <w:bdr w:val="none" w:sz="0" w:space="0" w:color="auto"/>
          <w:lang w:val="pt-BR" w:eastAsia="es-ES"/>
        </w:rPr>
        <w:t xml:space="preserve"> da </w:t>
      </w:r>
      <w:r w:rsidR="002649F0" w:rsidRPr="006D1C74">
        <w:rPr>
          <w:rFonts w:asciiTheme="majorHAnsi" w:eastAsia="Batang" w:hAnsiTheme="majorHAnsi" w:cstheme="majorBidi"/>
          <w:bCs/>
          <w:sz w:val="20"/>
          <w:szCs w:val="20"/>
          <w:bdr w:val="none" w:sz="0" w:space="0" w:color="auto"/>
          <w:lang w:val="pt-BR" w:eastAsia="es-ES"/>
        </w:rPr>
        <w:t>compro</w:t>
      </w:r>
      <w:r w:rsidR="00D46AA1" w:rsidRPr="006D1C74">
        <w:rPr>
          <w:rFonts w:asciiTheme="majorHAnsi" w:eastAsia="Batang" w:hAnsiTheme="majorHAnsi" w:cstheme="majorBidi"/>
          <w:bCs/>
          <w:sz w:val="20"/>
          <w:szCs w:val="20"/>
          <w:bdr w:val="none" w:sz="0" w:space="0" w:color="auto"/>
          <w:lang w:val="pt-BR" w:eastAsia="es-ES"/>
        </w:rPr>
        <w:t>v</w:t>
      </w:r>
      <w:r w:rsidR="002649F0" w:rsidRPr="006D1C74">
        <w:rPr>
          <w:rFonts w:asciiTheme="majorHAnsi" w:eastAsia="Batang" w:hAnsiTheme="majorHAnsi" w:cstheme="majorBidi"/>
          <w:bCs/>
          <w:sz w:val="20"/>
          <w:szCs w:val="20"/>
          <w:bdr w:val="none" w:sz="0" w:space="0" w:color="auto"/>
          <w:lang w:val="pt-BR" w:eastAsia="es-ES"/>
        </w:rPr>
        <w:t>a</w:t>
      </w:r>
      <w:r w:rsidR="00CF037E" w:rsidRPr="006D1C74">
        <w:rPr>
          <w:rFonts w:asciiTheme="majorHAnsi" w:eastAsia="Batang" w:hAnsiTheme="majorHAnsi" w:cstheme="majorBidi"/>
          <w:bCs/>
          <w:sz w:val="20"/>
          <w:szCs w:val="20"/>
          <w:bdr w:val="none" w:sz="0" w:space="0" w:color="auto"/>
          <w:lang w:val="pt-BR" w:eastAsia="es-ES"/>
        </w:rPr>
        <w:t>ção</w:t>
      </w:r>
      <w:r w:rsidR="002649F0" w:rsidRPr="006D1C74">
        <w:rPr>
          <w:rFonts w:asciiTheme="majorHAnsi" w:eastAsia="Batang" w:hAnsiTheme="majorHAnsi" w:cstheme="majorBidi"/>
          <w:bCs/>
          <w:sz w:val="20"/>
          <w:szCs w:val="20"/>
          <w:bdr w:val="none" w:sz="0" w:space="0" w:color="auto"/>
          <w:lang w:val="pt-BR" w:eastAsia="es-ES"/>
        </w:rPr>
        <w:t xml:space="preserve"> de su</w:t>
      </w:r>
      <w:r w:rsidR="00D46AA1" w:rsidRPr="006D1C74">
        <w:rPr>
          <w:rFonts w:asciiTheme="majorHAnsi" w:eastAsia="Batang" w:hAnsiTheme="majorHAnsi" w:cstheme="majorBidi"/>
          <w:bCs/>
          <w:sz w:val="20"/>
          <w:szCs w:val="20"/>
          <w:bdr w:val="none" w:sz="0" w:space="0" w:color="auto"/>
          <w:lang w:val="pt-BR" w:eastAsia="es-ES"/>
        </w:rPr>
        <w:t>a</w:t>
      </w:r>
      <w:r w:rsidR="002649F0" w:rsidRPr="006D1C74">
        <w:rPr>
          <w:rFonts w:asciiTheme="majorHAnsi" w:eastAsia="Batang" w:hAnsiTheme="majorHAnsi" w:cstheme="majorBidi"/>
          <w:bCs/>
          <w:sz w:val="20"/>
          <w:szCs w:val="20"/>
          <w:bdr w:val="none" w:sz="0" w:space="0" w:color="auto"/>
          <w:lang w:val="pt-BR" w:eastAsia="es-ES"/>
        </w:rPr>
        <w:t xml:space="preserve"> situa</w:t>
      </w:r>
      <w:r w:rsidR="00CF037E" w:rsidRPr="006D1C74">
        <w:rPr>
          <w:rFonts w:asciiTheme="majorHAnsi" w:eastAsia="Batang" w:hAnsiTheme="majorHAnsi" w:cstheme="majorBidi"/>
          <w:bCs/>
          <w:sz w:val="20"/>
          <w:szCs w:val="20"/>
          <w:bdr w:val="none" w:sz="0" w:space="0" w:color="auto"/>
          <w:lang w:val="pt-BR" w:eastAsia="es-ES"/>
        </w:rPr>
        <w:t>ção</w:t>
      </w:r>
      <w:r w:rsidR="002649F0" w:rsidRPr="006D1C74">
        <w:rPr>
          <w:rFonts w:asciiTheme="majorHAnsi" w:eastAsia="Batang" w:hAnsiTheme="majorHAnsi" w:cstheme="majorBidi"/>
          <w:bCs/>
          <w:sz w:val="20"/>
          <w:szCs w:val="20"/>
          <w:bdr w:val="none" w:sz="0" w:space="0" w:color="auto"/>
          <w:lang w:val="pt-BR" w:eastAsia="es-ES"/>
        </w:rPr>
        <w:t xml:space="preserve"> de estudant</w:t>
      </w:r>
      <w:r w:rsidR="00DF1C77" w:rsidRPr="006D1C74">
        <w:rPr>
          <w:rFonts w:asciiTheme="majorHAnsi" w:eastAsia="Batang" w:hAnsiTheme="majorHAnsi" w:cstheme="majorBidi"/>
          <w:bCs/>
          <w:sz w:val="20"/>
          <w:szCs w:val="20"/>
          <w:bdr w:val="none" w:sz="0" w:space="0" w:color="auto"/>
          <w:lang w:val="pt-BR" w:eastAsia="es-ES"/>
        </w:rPr>
        <w:t>e</w:t>
      </w:r>
      <w:r w:rsidR="002649F0" w:rsidRPr="006D1C74">
        <w:rPr>
          <w:rFonts w:asciiTheme="majorHAnsi" w:eastAsia="Batang" w:hAnsiTheme="majorHAnsi"/>
          <w:bCs/>
          <w:sz w:val="20"/>
          <w:szCs w:val="20"/>
          <w:bdr w:val="none" w:sz="0" w:space="0" w:color="auto"/>
          <w:vertAlign w:val="superscript"/>
          <w:lang w:val="pt-BR" w:eastAsia="es-ES"/>
        </w:rPr>
        <w:footnoteReference w:id="45"/>
      </w:r>
      <w:r w:rsidR="002649F0" w:rsidRPr="006D1C74">
        <w:rPr>
          <w:rFonts w:asciiTheme="majorHAnsi" w:eastAsia="Batang" w:hAnsiTheme="majorHAnsi" w:cstheme="majorBidi"/>
          <w:bCs/>
          <w:sz w:val="20"/>
          <w:szCs w:val="20"/>
          <w:bdr w:val="none" w:sz="0" w:space="0" w:color="auto"/>
          <w:lang w:val="pt-BR" w:eastAsia="es-ES"/>
        </w:rPr>
        <w:t xml:space="preserve">.  </w:t>
      </w:r>
    </w:p>
    <w:p w14:paraId="4F001A69"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cstheme="majorBidi"/>
          <w:bCs/>
          <w:sz w:val="20"/>
          <w:szCs w:val="20"/>
          <w:bdr w:val="none" w:sz="0" w:space="0" w:color="auto"/>
          <w:lang w:val="pt-BR" w:eastAsia="es-ES"/>
        </w:rPr>
      </w:pPr>
    </w:p>
    <w:p w14:paraId="52021219" w14:textId="77777777" w:rsidR="002649F0" w:rsidRPr="006D1C74" w:rsidRDefault="00D46AA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theme="majorBidi"/>
          <w:bCs/>
          <w:i/>
          <w:color w:val="FF0000"/>
          <w:sz w:val="20"/>
          <w:szCs w:val="20"/>
          <w:bdr w:val="none" w:sz="0" w:space="0" w:color="auto"/>
          <w:lang w:val="pt-BR" w:eastAsia="es-ES"/>
        </w:rPr>
      </w:pPr>
      <w:r w:rsidRPr="006D1C74">
        <w:rPr>
          <w:rFonts w:asciiTheme="majorHAnsi" w:eastAsia="Batang" w:hAnsiTheme="majorHAnsi" w:cstheme="majorBidi"/>
          <w:bCs/>
          <w:sz w:val="20"/>
          <w:szCs w:val="20"/>
          <w:bdr w:val="none" w:sz="0" w:space="0" w:color="auto"/>
          <w:lang w:val="pt-BR" w:eastAsia="es-ES"/>
        </w:rPr>
        <w:t>N</w:t>
      </w:r>
      <w:r w:rsidR="00700267" w:rsidRPr="006D1C74">
        <w:rPr>
          <w:rFonts w:asciiTheme="majorHAnsi" w:eastAsia="Batang" w:hAnsiTheme="majorHAnsi" w:cstheme="majorBidi"/>
          <w:bCs/>
          <w:sz w:val="20"/>
          <w:szCs w:val="20"/>
          <w:bdr w:val="none" w:sz="0" w:space="0" w:color="auto"/>
          <w:lang w:val="pt-BR" w:eastAsia="es-ES"/>
        </w:rPr>
        <w:t xml:space="preserve">a </w:t>
      </w:r>
      <w:r w:rsidR="002649F0" w:rsidRPr="006D1C74">
        <w:rPr>
          <w:rFonts w:asciiTheme="majorHAnsi" w:eastAsia="Batang" w:hAnsiTheme="majorHAnsi" w:cstheme="majorBidi"/>
          <w:bCs/>
          <w:sz w:val="20"/>
          <w:szCs w:val="20"/>
          <w:bdr w:val="none" w:sz="0" w:space="0" w:color="auto"/>
          <w:lang w:val="pt-BR" w:eastAsia="es-ES"/>
        </w:rPr>
        <w:t>deci</w:t>
      </w:r>
      <w:r w:rsidR="0094446B" w:rsidRPr="006D1C74">
        <w:rPr>
          <w:rFonts w:asciiTheme="majorHAnsi" w:eastAsia="Batang" w:hAnsiTheme="majorHAnsi" w:cstheme="majorBidi"/>
          <w:bCs/>
          <w:sz w:val="20"/>
          <w:szCs w:val="20"/>
          <w:bdr w:val="none" w:sz="0" w:space="0" w:color="auto"/>
          <w:lang w:val="pt-BR" w:eastAsia="es-ES"/>
        </w:rPr>
        <w:t>são</w:t>
      </w:r>
      <w:r w:rsidR="00F673C7" w:rsidRPr="006D1C74">
        <w:rPr>
          <w:rFonts w:asciiTheme="majorHAnsi" w:eastAsia="Batang" w:hAnsiTheme="majorHAnsi" w:cstheme="majorBidi"/>
          <w:bCs/>
          <w:sz w:val="20"/>
          <w:szCs w:val="20"/>
          <w:bdr w:val="none" w:sz="0" w:space="0" w:color="auto"/>
          <w:lang w:val="pt-BR" w:eastAsia="es-ES"/>
        </w:rPr>
        <w:t xml:space="preserve"> </w:t>
      </w:r>
      <w:r w:rsidRPr="006D1C74">
        <w:rPr>
          <w:rFonts w:asciiTheme="majorHAnsi" w:eastAsia="Batang" w:hAnsiTheme="majorHAnsi" w:cstheme="majorBidi"/>
          <w:bCs/>
          <w:sz w:val="20"/>
          <w:szCs w:val="20"/>
          <w:bdr w:val="none" w:sz="0" w:space="0" w:color="auto"/>
          <w:lang w:val="pt-BR" w:eastAsia="es-ES"/>
        </w:rPr>
        <w:t xml:space="preserve">sobre </w:t>
      </w:r>
      <w:r w:rsidR="00700267" w:rsidRPr="006D1C74">
        <w:rPr>
          <w:rFonts w:asciiTheme="majorHAnsi" w:eastAsia="Batang" w:hAnsiTheme="majorHAnsi" w:cstheme="majorBidi"/>
          <w:bCs/>
          <w:sz w:val="20"/>
          <w:szCs w:val="20"/>
          <w:bdr w:val="none" w:sz="0" w:space="0" w:color="auto"/>
          <w:lang w:val="pt-BR" w:eastAsia="es-ES"/>
        </w:rPr>
        <w:t xml:space="preserve">as </w:t>
      </w:r>
      <w:r w:rsidR="002649F0" w:rsidRPr="006D1C74">
        <w:rPr>
          <w:rFonts w:asciiTheme="majorHAnsi" w:eastAsia="Batang" w:hAnsiTheme="majorHAnsi" w:cstheme="majorBidi"/>
          <w:bCs/>
          <w:sz w:val="20"/>
          <w:szCs w:val="20"/>
          <w:bdr w:val="none" w:sz="0" w:space="0" w:color="auto"/>
          <w:lang w:val="pt-BR" w:eastAsia="es-ES"/>
        </w:rPr>
        <w:t>apela</w:t>
      </w:r>
      <w:r w:rsidR="00CF037E" w:rsidRPr="006D1C74">
        <w:rPr>
          <w:rFonts w:asciiTheme="majorHAnsi" w:eastAsia="Batang" w:hAnsiTheme="majorHAnsi" w:cstheme="majorBidi"/>
          <w:bCs/>
          <w:sz w:val="20"/>
          <w:szCs w:val="20"/>
          <w:bdr w:val="none" w:sz="0" w:space="0" w:color="auto"/>
          <w:lang w:val="pt-BR" w:eastAsia="es-ES"/>
        </w:rPr>
        <w:t>ções</w:t>
      </w:r>
      <w:r w:rsidR="002649F0" w:rsidRPr="006D1C74">
        <w:rPr>
          <w:rFonts w:asciiTheme="majorHAnsi" w:eastAsia="Batang" w:hAnsiTheme="majorHAnsi" w:cstheme="majorBidi"/>
          <w:bCs/>
          <w:sz w:val="20"/>
          <w:szCs w:val="20"/>
          <w:bdr w:val="none" w:sz="0" w:space="0" w:color="auto"/>
          <w:lang w:val="pt-BR" w:eastAsia="es-ES"/>
        </w:rPr>
        <w:t>,</w:t>
      </w:r>
      <w:r w:rsidR="00700267" w:rsidRPr="006D1C74">
        <w:rPr>
          <w:rFonts w:asciiTheme="majorHAnsi" w:eastAsia="Batang" w:hAnsiTheme="majorHAnsi" w:cstheme="majorBidi"/>
          <w:bCs/>
          <w:sz w:val="20"/>
          <w:szCs w:val="20"/>
          <w:bdr w:val="none" w:sz="0" w:space="0" w:color="auto"/>
          <w:lang w:val="pt-BR" w:eastAsia="es-ES"/>
        </w:rPr>
        <w:t xml:space="preserve"> o </w:t>
      </w:r>
      <w:r w:rsidR="002649F0" w:rsidRPr="006D1C74">
        <w:rPr>
          <w:rFonts w:asciiTheme="majorHAnsi" w:eastAsia="Batang" w:hAnsiTheme="majorHAnsi" w:cstheme="majorBidi"/>
          <w:bCs/>
          <w:sz w:val="20"/>
          <w:szCs w:val="20"/>
          <w:bdr w:val="none" w:sz="0" w:space="0" w:color="auto"/>
          <w:lang w:val="pt-BR" w:eastAsia="es-ES"/>
        </w:rPr>
        <w:t xml:space="preserve">Tribunal de </w:t>
      </w:r>
      <w:r w:rsidR="00795010" w:rsidRPr="006D1C74">
        <w:rPr>
          <w:rFonts w:asciiTheme="majorHAnsi" w:eastAsia="Batang" w:hAnsiTheme="majorHAnsi" w:cstheme="majorBidi"/>
          <w:bCs/>
          <w:sz w:val="20"/>
          <w:szCs w:val="20"/>
          <w:bdr w:val="none" w:sz="0" w:space="0" w:color="auto"/>
          <w:lang w:val="pt-BR" w:eastAsia="es-ES"/>
        </w:rPr>
        <w:t>Justiça</w:t>
      </w:r>
      <w:r w:rsidR="002649F0" w:rsidRPr="006D1C74">
        <w:rPr>
          <w:rFonts w:asciiTheme="majorHAnsi" w:eastAsia="Batang" w:hAnsiTheme="majorHAnsi" w:cstheme="majorBidi"/>
          <w:bCs/>
          <w:sz w:val="20"/>
          <w:szCs w:val="20"/>
          <w:bdr w:val="none" w:sz="0" w:space="0" w:color="auto"/>
          <w:lang w:val="pt-BR" w:eastAsia="es-ES"/>
        </w:rPr>
        <w:t xml:space="preserve"> </w:t>
      </w:r>
      <w:r w:rsidRPr="006D1C74">
        <w:rPr>
          <w:rFonts w:asciiTheme="majorHAnsi" w:eastAsia="Batang" w:hAnsiTheme="majorHAnsi" w:cstheme="majorBidi"/>
          <w:bCs/>
          <w:sz w:val="20"/>
          <w:szCs w:val="20"/>
          <w:bdr w:val="none" w:sz="0" w:space="0" w:color="auto"/>
          <w:lang w:val="pt-BR" w:eastAsia="es-ES"/>
        </w:rPr>
        <w:t>assinalou</w:t>
      </w:r>
      <w:r w:rsidR="002649F0" w:rsidRPr="006D1C74">
        <w:rPr>
          <w:rFonts w:asciiTheme="majorHAnsi" w:eastAsia="Batang" w:hAnsiTheme="majorHAnsi" w:cstheme="majorBidi"/>
          <w:bCs/>
          <w:sz w:val="20"/>
          <w:szCs w:val="20"/>
          <w:bdr w:val="none" w:sz="0" w:space="0" w:color="auto"/>
          <w:lang w:val="pt-BR" w:eastAsia="es-ES"/>
        </w:rPr>
        <w:t xml:space="preserve">: </w:t>
      </w:r>
    </w:p>
    <w:p w14:paraId="347D2EC3" w14:textId="77777777" w:rsidR="00F26998" w:rsidRPr="006D1C74" w:rsidRDefault="00F26998"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cstheme="majorBidi"/>
          <w:bCs/>
          <w:sz w:val="20"/>
          <w:szCs w:val="20"/>
          <w:bdr w:val="none" w:sz="0" w:space="0" w:color="auto"/>
          <w:lang w:val="pt-BR" w:eastAsia="es-ES"/>
        </w:rPr>
      </w:pPr>
    </w:p>
    <w:p w14:paraId="4177B4F9" w14:textId="77777777" w:rsidR="00F26998" w:rsidRPr="00BD5C64" w:rsidRDefault="00F26998" w:rsidP="00F26998">
      <w:pPr>
        <w:pBdr>
          <w:top w:val="none" w:sz="0" w:space="0" w:color="auto"/>
          <w:left w:val="none" w:sz="0" w:space="0" w:color="auto"/>
          <w:bottom w:val="none" w:sz="0" w:space="0" w:color="auto"/>
          <w:right w:val="none" w:sz="0" w:space="0" w:color="auto"/>
          <w:between w:val="none" w:sz="0" w:space="0" w:color="auto"/>
          <w:bar w:val="none" w:sz="0" w:color="auto"/>
        </w:pBdr>
        <w:ind w:left="432"/>
        <w:jc w:val="both"/>
        <w:rPr>
          <w:rFonts w:asciiTheme="majorHAnsi" w:eastAsia="Batang" w:hAnsiTheme="majorHAnsi" w:cstheme="majorBidi"/>
          <w:bCs/>
          <w:sz w:val="20"/>
          <w:szCs w:val="20"/>
          <w:bdr w:val="none" w:sz="0" w:space="0" w:color="auto"/>
          <w:lang w:val="pt-BR" w:eastAsia="es-ES"/>
        </w:rPr>
      </w:pPr>
      <w:r w:rsidRPr="00BD5C64">
        <w:rPr>
          <w:rFonts w:asciiTheme="majorHAnsi" w:eastAsia="Batang" w:hAnsiTheme="majorHAnsi" w:cstheme="majorBidi"/>
          <w:bCs/>
          <w:sz w:val="20"/>
          <w:szCs w:val="20"/>
          <w:bdr w:val="none" w:sz="0" w:space="0" w:color="auto"/>
          <w:lang w:val="pt-BR" w:eastAsia="es-ES"/>
        </w:rPr>
        <w:t>“Não se verifica nos autos que o policial militar agiu em legítima defesa, numa tentativa de se proteger de agressão injusta de Antonio Tavares Pereira. Muito embora presente na turba, o fato de Antonio Tavares Pereira participar da manifestação não importa na exclusão da responsabilidade do Estado. Ao conferir o porte de arma a um policial militar e permitir que essa arma seja utilizada não apenas para matar ou ferir, como também para alertar participantes de um tumulto, o Estado</w:t>
      </w:r>
      <w:r w:rsidRPr="00BD5C64">
        <w:rPr>
          <w:rFonts w:asciiTheme="majorHAnsi" w:hAnsiTheme="majorHAnsi"/>
          <w:sz w:val="20"/>
          <w:szCs w:val="20"/>
          <w:lang w:val="pt-BR"/>
        </w:rPr>
        <w:t xml:space="preserve"> </w:t>
      </w:r>
      <w:r w:rsidRPr="00BD5C64">
        <w:rPr>
          <w:rFonts w:asciiTheme="majorHAnsi" w:eastAsia="Batang" w:hAnsiTheme="majorHAnsi" w:cstheme="majorBidi"/>
          <w:bCs/>
          <w:sz w:val="20"/>
          <w:szCs w:val="20"/>
          <w:bdr w:val="none" w:sz="0" w:space="0" w:color="auto"/>
          <w:lang w:val="pt-BR" w:eastAsia="es-ES"/>
        </w:rPr>
        <w:t>assume o risco por eventuais resultados não desejados, tal como a morte de Antonio Tavares Pereira. Não se trata de avaliar a licitude ou ilicitude da conduta, mas apenas de verificar que um agente público, ao disparar arma de fogo</w:t>
      </w:r>
      <w:r w:rsidR="00F673C7" w:rsidRPr="00BD5C64">
        <w:rPr>
          <w:rFonts w:asciiTheme="majorHAnsi" w:eastAsia="Batang" w:hAnsiTheme="majorHAnsi" w:cstheme="majorBidi"/>
          <w:bCs/>
          <w:sz w:val="20"/>
          <w:szCs w:val="20"/>
          <w:bdr w:val="none" w:sz="0" w:space="0" w:color="auto"/>
          <w:lang w:val="pt-BR" w:eastAsia="es-ES"/>
        </w:rPr>
        <w:t xml:space="preserve"> no </w:t>
      </w:r>
      <w:r w:rsidRPr="00BD5C64">
        <w:rPr>
          <w:rFonts w:asciiTheme="majorHAnsi" w:eastAsia="Batang" w:hAnsiTheme="majorHAnsi" w:cstheme="majorBidi"/>
          <w:bCs/>
          <w:sz w:val="20"/>
          <w:szCs w:val="20"/>
          <w:bdr w:val="none" w:sz="0" w:space="0" w:color="auto"/>
          <w:lang w:val="pt-BR" w:eastAsia="es-ES"/>
        </w:rPr>
        <w:t xml:space="preserve">exercício de sua função, atingiu pessoa, de forma não intencional” </w:t>
      </w:r>
      <w:r w:rsidRPr="00BD5C64">
        <w:rPr>
          <w:rStyle w:val="FootnoteReference"/>
          <w:rFonts w:asciiTheme="majorHAnsi" w:eastAsia="Batang" w:hAnsiTheme="majorHAnsi"/>
          <w:bCs/>
          <w:sz w:val="20"/>
          <w:szCs w:val="20"/>
          <w:bdr w:val="none" w:sz="0" w:space="0" w:color="auto"/>
          <w:lang w:val="pt-BR" w:eastAsia="es-ES"/>
        </w:rPr>
        <w:footnoteReference w:id="46"/>
      </w:r>
      <w:r w:rsidRPr="00BD5C64">
        <w:rPr>
          <w:rFonts w:asciiTheme="majorHAnsi" w:eastAsia="Batang" w:hAnsiTheme="majorHAnsi" w:cstheme="majorBidi"/>
          <w:bCs/>
          <w:sz w:val="20"/>
          <w:szCs w:val="20"/>
          <w:bdr w:val="none" w:sz="0" w:space="0" w:color="auto"/>
          <w:lang w:val="pt-BR" w:eastAsia="es-ES"/>
        </w:rPr>
        <w:t xml:space="preserve">.  </w:t>
      </w:r>
    </w:p>
    <w:p w14:paraId="28668EE6" w14:textId="77777777" w:rsidR="00F26998" w:rsidRPr="00BD5C64" w:rsidRDefault="00F26998" w:rsidP="00F269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cstheme="majorBidi"/>
          <w:bCs/>
          <w:sz w:val="20"/>
          <w:szCs w:val="20"/>
          <w:bdr w:val="none" w:sz="0" w:space="0" w:color="auto"/>
          <w:lang w:val="pt-BR" w:eastAsia="es-ES"/>
        </w:rPr>
      </w:pPr>
    </w:p>
    <w:p w14:paraId="0184CA40" w14:textId="77777777" w:rsidR="00F26998" w:rsidRPr="00BD5C64" w:rsidRDefault="00F26998" w:rsidP="00F269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theme="majorBidi"/>
          <w:bCs/>
          <w:sz w:val="20"/>
          <w:szCs w:val="20"/>
          <w:bdr w:val="none" w:sz="0" w:space="0" w:color="auto"/>
          <w:lang w:val="pt-BR" w:eastAsia="es-ES"/>
        </w:rPr>
      </w:pPr>
      <w:r w:rsidRPr="00BD5C64">
        <w:rPr>
          <w:rFonts w:asciiTheme="majorHAnsi" w:eastAsia="Batang" w:hAnsiTheme="majorHAnsi" w:cstheme="majorBidi"/>
          <w:bCs/>
          <w:sz w:val="20"/>
          <w:szCs w:val="20"/>
          <w:bdr w:val="none" w:sz="0" w:space="0" w:color="auto"/>
          <w:lang w:val="pt-BR" w:eastAsia="es-ES"/>
        </w:rPr>
        <w:t xml:space="preserve">Após o julgamento das apelações, bem como diante da ausência de cumprimento espontâneo da decisão do Tribunal de Justiça do Estado do Paraná, os autores ajuizaram ação de execução, registrada sob o nº 0007079-46.2013.8.16.0004, com trâmite perante a 1ª Vara da Fazenda Pública de Curitiba, pleiteando a execução parcial da sentença, que foi deferida liminarmente em novembro de 2013, para obrigar o Estado do Paraná a pagar as parcelas vincendas da pensão mensal atribuída aos </w:t>
      </w:r>
      <w:r w:rsidR="001E2392" w:rsidRPr="00BD5C64">
        <w:rPr>
          <w:rFonts w:asciiTheme="majorHAnsi" w:eastAsia="Batang" w:hAnsiTheme="majorHAnsi" w:cstheme="majorBidi"/>
          <w:bCs/>
          <w:sz w:val="20"/>
          <w:szCs w:val="20"/>
          <w:bdr w:val="none" w:sz="0" w:space="0" w:color="auto"/>
          <w:lang w:val="pt-BR" w:eastAsia="es-ES"/>
        </w:rPr>
        <w:t>familiares</w:t>
      </w:r>
      <w:r w:rsidRPr="00BD5C64">
        <w:rPr>
          <w:rFonts w:asciiTheme="majorHAnsi" w:eastAsia="Batang" w:hAnsiTheme="majorHAnsi" w:cstheme="majorBidi"/>
          <w:bCs/>
          <w:sz w:val="20"/>
          <w:szCs w:val="20"/>
          <w:bdr w:val="none" w:sz="0" w:space="0" w:color="auto"/>
          <w:lang w:val="pt-BR" w:eastAsia="es-ES"/>
        </w:rPr>
        <w:t xml:space="preserve"> de Antônio Tavares Pereira. Assim, o Estado iniciou o pagamento coercitivo das pensões em novembro de 2013</w:t>
      </w:r>
      <w:r w:rsidRPr="00BD5C64">
        <w:rPr>
          <w:rStyle w:val="FootnoteReference"/>
          <w:rFonts w:asciiTheme="majorHAnsi" w:eastAsia="Batang" w:hAnsiTheme="majorHAnsi"/>
          <w:bCs/>
          <w:sz w:val="20"/>
          <w:szCs w:val="20"/>
          <w:bdr w:val="none" w:sz="0" w:space="0" w:color="auto"/>
          <w:lang w:val="pt-BR" w:eastAsia="es-ES"/>
        </w:rPr>
        <w:footnoteReference w:id="47"/>
      </w:r>
      <w:r w:rsidRPr="00BD5C64">
        <w:rPr>
          <w:rFonts w:asciiTheme="majorHAnsi" w:eastAsia="Batang" w:hAnsiTheme="majorHAnsi" w:cstheme="majorBidi"/>
          <w:bCs/>
          <w:sz w:val="20"/>
          <w:szCs w:val="20"/>
          <w:bdr w:val="none" w:sz="0" w:space="0" w:color="auto"/>
          <w:lang w:val="pt-BR" w:eastAsia="es-ES"/>
        </w:rPr>
        <w:t>.</w:t>
      </w:r>
    </w:p>
    <w:p w14:paraId="5E4FB1AB"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cstheme="majorBidi"/>
          <w:bCs/>
          <w:sz w:val="20"/>
          <w:szCs w:val="20"/>
          <w:bdr w:val="none" w:sz="0" w:space="0" w:color="auto"/>
          <w:lang w:val="pt-BR" w:eastAsia="es-ES"/>
        </w:rPr>
      </w:pPr>
    </w:p>
    <w:p w14:paraId="325FE4B5" w14:textId="77777777" w:rsidR="00B25958" w:rsidRPr="006D1C74" w:rsidRDefault="00D46AA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theme="majorBidi"/>
          <w:bCs/>
          <w:sz w:val="20"/>
          <w:szCs w:val="20"/>
          <w:bdr w:val="none" w:sz="0" w:space="0" w:color="auto"/>
          <w:lang w:val="pt-BR" w:eastAsia="es-ES"/>
        </w:rPr>
      </w:pPr>
      <w:r w:rsidRPr="006D1C74">
        <w:rPr>
          <w:rFonts w:asciiTheme="majorHAnsi" w:eastAsia="Batang" w:hAnsiTheme="majorHAnsi" w:cstheme="majorBidi"/>
          <w:bCs/>
          <w:sz w:val="20"/>
          <w:szCs w:val="20"/>
          <w:bdr w:val="none" w:sz="0" w:space="0" w:color="auto"/>
          <w:lang w:val="pt-BR" w:eastAsia="es-ES"/>
        </w:rPr>
        <w:t>Apó</w:t>
      </w:r>
      <w:r w:rsidR="002649F0" w:rsidRPr="006D1C74">
        <w:rPr>
          <w:rFonts w:asciiTheme="majorHAnsi" w:eastAsia="Batang" w:hAnsiTheme="majorHAnsi" w:cstheme="majorBidi"/>
          <w:bCs/>
          <w:sz w:val="20"/>
          <w:szCs w:val="20"/>
          <w:bdr w:val="none" w:sz="0" w:space="0" w:color="auto"/>
          <w:lang w:val="pt-BR" w:eastAsia="es-ES"/>
        </w:rPr>
        <w:t>s</w:t>
      </w:r>
      <w:r w:rsidR="00700267" w:rsidRPr="006D1C74">
        <w:rPr>
          <w:rFonts w:asciiTheme="majorHAnsi" w:eastAsia="Batang" w:hAnsiTheme="majorHAnsi" w:cstheme="majorBidi"/>
          <w:bCs/>
          <w:sz w:val="20"/>
          <w:szCs w:val="20"/>
          <w:bdr w:val="none" w:sz="0" w:space="0" w:color="auto"/>
          <w:lang w:val="pt-BR" w:eastAsia="es-ES"/>
        </w:rPr>
        <w:t xml:space="preserve"> as </w:t>
      </w:r>
      <w:r w:rsidR="002649F0" w:rsidRPr="006D1C74">
        <w:rPr>
          <w:rFonts w:asciiTheme="majorHAnsi" w:eastAsia="Batang" w:hAnsiTheme="majorHAnsi" w:cstheme="majorBidi"/>
          <w:bCs/>
          <w:sz w:val="20"/>
          <w:szCs w:val="20"/>
          <w:bdr w:val="none" w:sz="0" w:space="0" w:color="auto"/>
          <w:lang w:val="pt-BR" w:eastAsia="es-ES"/>
        </w:rPr>
        <w:t>decis</w:t>
      </w:r>
      <w:r w:rsidRPr="006D1C74">
        <w:rPr>
          <w:rFonts w:asciiTheme="majorHAnsi" w:eastAsia="Batang" w:hAnsiTheme="majorHAnsi" w:cstheme="majorBidi"/>
          <w:bCs/>
          <w:sz w:val="20"/>
          <w:szCs w:val="20"/>
          <w:bdr w:val="none" w:sz="0" w:space="0" w:color="auto"/>
          <w:lang w:val="pt-BR" w:eastAsia="es-ES"/>
        </w:rPr>
        <w:t>õ</w:t>
      </w:r>
      <w:r w:rsidR="002649F0" w:rsidRPr="006D1C74">
        <w:rPr>
          <w:rFonts w:asciiTheme="majorHAnsi" w:eastAsia="Batang" w:hAnsiTheme="majorHAnsi" w:cstheme="majorBidi"/>
          <w:bCs/>
          <w:sz w:val="20"/>
          <w:szCs w:val="20"/>
          <w:bdr w:val="none" w:sz="0" w:space="0" w:color="auto"/>
          <w:lang w:val="pt-BR" w:eastAsia="es-ES"/>
        </w:rPr>
        <w:t>es</w:t>
      </w:r>
      <w:r w:rsidR="00030019" w:rsidRPr="006D1C74">
        <w:rPr>
          <w:rFonts w:asciiTheme="majorHAnsi" w:eastAsia="Batang" w:hAnsiTheme="majorHAnsi" w:cstheme="majorBidi"/>
          <w:bCs/>
          <w:sz w:val="20"/>
          <w:szCs w:val="20"/>
          <w:bdr w:val="none" w:sz="0" w:space="0" w:color="auto"/>
          <w:lang w:val="pt-BR" w:eastAsia="es-ES"/>
        </w:rPr>
        <w:t xml:space="preserve"> do </w:t>
      </w:r>
      <w:r w:rsidR="002649F0" w:rsidRPr="006D1C74">
        <w:rPr>
          <w:rFonts w:asciiTheme="majorHAnsi" w:eastAsia="Batang" w:hAnsiTheme="majorHAnsi" w:cstheme="majorBidi"/>
          <w:bCs/>
          <w:sz w:val="20"/>
          <w:szCs w:val="20"/>
          <w:bdr w:val="none" w:sz="0" w:space="0" w:color="auto"/>
          <w:lang w:val="pt-BR" w:eastAsia="es-ES"/>
        </w:rPr>
        <w:t xml:space="preserve">Tribunal de </w:t>
      </w:r>
      <w:r w:rsidR="00795010" w:rsidRPr="006D1C74">
        <w:rPr>
          <w:rFonts w:asciiTheme="majorHAnsi" w:eastAsia="Batang" w:hAnsiTheme="majorHAnsi" w:cstheme="majorBidi"/>
          <w:bCs/>
          <w:sz w:val="20"/>
          <w:szCs w:val="20"/>
          <w:bdr w:val="none" w:sz="0" w:space="0" w:color="auto"/>
          <w:lang w:val="pt-BR" w:eastAsia="es-ES"/>
        </w:rPr>
        <w:t>Justiça</w:t>
      </w:r>
      <w:r w:rsidR="00030019" w:rsidRPr="006D1C74">
        <w:rPr>
          <w:rFonts w:asciiTheme="majorHAnsi" w:eastAsia="Batang" w:hAnsiTheme="majorHAnsi" w:cstheme="majorBidi"/>
          <w:bCs/>
          <w:sz w:val="20"/>
          <w:szCs w:val="20"/>
          <w:bdr w:val="none" w:sz="0" w:space="0" w:color="auto"/>
          <w:lang w:val="pt-BR" w:eastAsia="es-ES"/>
        </w:rPr>
        <w:t xml:space="preserve"> do </w:t>
      </w:r>
      <w:r w:rsidR="002649F0" w:rsidRPr="006D1C74">
        <w:rPr>
          <w:rFonts w:asciiTheme="majorHAnsi" w:eastAsia="Batang" w:hAnsiTheme="majorHAnsi" w:cstheme="majorBidi"/>
          <w:bCs/>
          <w:sz w:val="20"/>
          <w:szCs w:val="20"/>
          <w:bdr w:val="none" w:sz="0" w:space="0" w:color="auto"/>
          <w:lang w:val="pt-BR" w:eastAsia="es-ES"/>
        </w:rPr>
        <w:t xml:space="preserve">Estado </w:t>
      </w:r>
      <w:r w:rsidR="000D2A81" w:rsidRPr="006D1C74">
        <w:rPr>
          <w:rFonts w:asciiTheme="majorHAnsi" w:eastAsia="Batang" w:hAnsiTheme="majorHAnsi" w:cstheme="majorBidi"/>
          <w:bCs/>
          <w:sz w:val="20"/>
          <w:szCs w:val="20"/>
          <w:bdr w:val="none" w:sz="0" w:space="0" w:color="auto"/>
          <w:lang w:val="pt-BR" w:eastAsia="es-ES"/>
        </w:rPr>
        <w:t>do Paraná</w:t>
      </w:r>
      <w:r w:rsidR="002649F0" w:rsidRPr="006D1C74">
        <w:rPr>
          <w:rFonts w:asciiTheme="majorHAnsi" w:eastAsia="Batang" w:hAnsiTheme="majorHAnsi" w:cstheme="majorBidi"/>
          <w:bCs/>
          <w:sz w:val="20"/>
          <w:szCs w:val="20"/>
          <w:bdr w:val="none" w:sz="0" w:space="0" w:color="auto"/>
          <w:lang w:val="pt-BR" w:eastAsia="es-ES"/>
        </w:rPr>
        <w:t xml:space="preserve"> mediante</w:t>
      </w:r>
      <w:r w:rsidR="00700267" w:rsidRPr="006D1C74">
        <w:rPr>
          <w:rFonts w:asciiTheme="majorHAnsi" w:eastAsia="Batang" w:hAnsiTheme="majorHAnsi" w:cstheme="majorBidi"/>
          <w:bCs/>
          <w:sz w:val="20"/>
          <w:szCs w:val="20"/>
          <w:bdr w:val="none" w:sz="0" w:space="0" w:color="auto"/>
          <w:lang w:val="pt-BR" w:eastAsia="es-ES"/>
        </w:rPr>
        <w:t xml:space="preserve"> as </w:t>
      </w:r>
      <w:r w:rsidRPr="006D1C74">
        <w:rPr>
          <w:rFonts w:asciiTheme="majorHAnsi" w:eastAsia="Batang" w:hAnsiTheme="majorHAnsi" w:cstheme="majorBidi"/>
          <w:bCs/>
          <w:sz w:val="20"/>
          <w:szCs w:val="20"/>
          <w:bdr w:val="none" w:sz="0" w:space="0" w:color="auto"/>
          <w:lang w:val="pt-BR" w:eastAsia="es-ES"/>
        </w:rPr>
        <w:t>q</w:t>
      </w:r>
      <w:r w:rsidR="002649F0" w:rsidRPr="006D1C74">
        <w:rPr>
          <w:rFonts w:asciiTheme="majorHAnsi" w:eastAsia="Batang" w:hAnsiTheme="majorHAnsi" w:cstheme="majorBidi"/>
          <w:bCs/>
          <w:sz w:val="20"/>
          <w:szCs w:val="20"/>
          <w:bdr w:val="none" w:sz="0" w:space="0" w:color="auto"/>
          <w:lang w:val="pt-BR" w:eastAsia="es-ES"/>
        </w:rPr>
        <w:t>u</w:t>
      </w:r>
      <w:r w:rsidR="00700267" w:rsidRPr="006D1C74">
        <w:rPr>
          <w:rFonts w:asciiTheme="majorHAnsi" w:eastAsia="Batang" w:hAnsiTheme="majorHAnsi" w:cstheme="majorBidi"/>
          <w:bCs/>
          <w:sz w:val="20"/>
          <w:szCs w:val="20"/>
          <w:bdr w:val="none" w:sz="0" w:space="0" w:color="auto"/>
          <w:lang w:val="pt-BR" w:eastAsia="es-ES"/>
        </w:rPr>
        <w:t>ais</w:t>
      </w:r>
      <w:r w:rsidR="002649F0" w:rsidRPr="006D1C74">
        <w:rPr>
          <w:rFonts w:asciiTheme="majorHAnsi" w:eastAsia="Batang" w:hAnsiTheme="majorHAnsi" w:cstheme="majorBidi"/>
          <w:bCs/>
          <w:sz w:val="20"/>
          <w:szCs w:val="20"/>
          <w:bdr w:val="none" w:sz="0" w:space="0" w:color="auto"/>
          <w:lang w:val="pt-BR" w:eastAsia="es-ES"/>
        </w:rPr>
        <w:t xml:space="preserve"> se ratific</w:t>
      </w:r>
      <w:r w:rsidRPr="006D1C74">
        <w:rPr>
          <w:rFonts w:asciiTheme="majorHAnsi" w:eastAsia="Batang" w:hAnsiTheme="majorHAnsi" w:cstheme="majorBidi"/>
          <w:bCs/>
          <w:sz w:val="20"/>
          <w:szCs w:val="20"/>
          <w:bdr w:val="none" w:sz="0" w:space="0" w:color="auto"/>
          <w:lang w:val="pt-BR" w:eastAsia="es-ES"/>
        </w:rPr>
        <w:t>ou</w:t>
      </w:r>
      <w:r w:rsidR="00700267" w:rsidRPr="006D1C74">
        <w:rPr>
          <w:rFonts w:asciiTheme="majorHAnsi" w:eastAsia="Batang" w:hAnsiTheme="majorHAnsi" w:cstheme="majorBidi"/>
          <w:bCs/>
          <w:sz w:val="20"/>
          <w:szCs w:val="20"/>
          <w:bdr w:val="none" w:sz="0" w:space="0" w:color="auto"/>
          <w:lang w:val="pt-BR" w:eastAsia="es-ES"/>
        </w:rPr>
        <w:t xml:space="preserve"> a </w:t>
      </w:r>
      <w:r w:rsidR="002649F0" w:rsidRPr="006D1C74">
        <w:rPr>
          <w:rFonts w:asciiTheme="majorHAnsi" w:eastAsia="Batang" w:hAnsiTheme="majorHAnsi" w:cstheme="majorBidi"/>
          <w:bCs/>
          <w:sz w:val="20"/>
          <w:szCs w:val="20"/>
          <w:bdr w:val="none" w:sz="0" w:space="0" w:color="auto"/>
          <w:lang w:val="pt-BR" w:eastAsia="es-ES"/>
        </w:rPr>
        <w:t>condena</w:t>
      </w:r>
      <w:r w:rsidRPr="006D1C74">
        <w:rPr>
          <w:rFonts w:asciiTheme="majorHAnsi" w:eastAsia="Batang" w:hAnsiTheme="majorHAnsi" w:cstheme="majorBidi"/>
          <w:bCs/>
          <w:sz w:val="20"/>
          <w:szCs w:val="20"/>
          <w:bdr w:val="none" w:sz="0" w:space="0" w:color="auto"/>
          <w:lang w:val="pt-BR" w:eastAsia="es-ES"/>
        </w:rPr>
        <w:t>ção</w:t>
      </w:r>
      <w:r w:rsidR="002649F0" w:rsidRPr="006D1C74">
        <w:rPr>
          <w:rFonts w:asciiTheme="majorHAnsi" w:eastAsia="Batang" w:hAnsiTheme="majorHAnsi" w:cstheme="majorBidi"/>
          <w:bCs/>
          <w:sz w:val="20"/>
          <w:szCs w:val="20"/>
          <w:bdr w:val="none" w:sz="0" w:space="0" w:color="auto"/>
          <w:lang w:val="pt-BR" w:eastAsia="es-ES"/>
        </w:rPr>
        <w:t>,</w:t>
      </w:r>
      <w:r w:rsidR="00700267" w:rsidRPr="006D1C74">
        <w:rPr>
          <w:rFonts w:asciiTheme="majorHAnsi" w:eastAsia="Batang" w:hAnsiTheme="majorHAnsi" w:cstheme="majorBidi"/>
          <w:bCs/>
          <w:sz w:val="20"/>
          <w:szCs w:val="20"/>
          <w:bdr w:val="none" w:sz="0" w:space="0" w:color="auto"/>
          <w:lang w:val="pt-BR" w:eastAsia="es-ES"/>
        </w:rPr>
        <w:t xml:space="preserve"> o </w:t>
      </w:r>
      <w:r w:rsidR="002649F0" w:rsidRPr="006D1C74">
        <w:rPr>
          <w:rFonts w:asciiTheme="majorHAnsi" w:eastAsia="Batang" w:hAnsiTheme="majorHAnsi" w:cstheme="majorBidi"/>
          <w:bCs/>
          <w:sz w:val="20"/>
          <w:szCs w:val="20"/>
          <w:bdr w:val="none" w:sz="0" w:space="0" w:color="auto"/>
          <w:lang w:val="pt-BR" w:eastAsia="es-ES"/>
        </w:rPr>
        <w:t>ente federado interp</w:t>
      </w:r>
      <w:r w:rsidRPr="006D1C74">
        <w:rPr>
          <w:rFonts w:asciiTheme="majorHAnsi" w:eastAsia="Batang" w:hAnsiTheme="majorHAnsi" w:cstheme="majorBidi"/>
          <w:bCs/>
          <w:sz w:val="20"/>
          <w:szCs w:val="20"/>
          <w:bdr w:val="none" w:sz="0" w:space="0" w:color="auto"/>
          <w:lang w:val="pt-BR" w:eastAsia="es-ES"/>
        </w:rPr>
        <w:t>ôs</w:t>
      </w:r>
      <w:r w:rsidR="00030019" w:rsidRPr="006D1C74">
        <w:rPr>
          <w:rFonts w:asciiTheme="majorHAnsi" w:eastAsia="Batang" w:hAnsiTheme="majorHAnsi" w:cstheme="majorBidi"/>
          <w:bCs/>
          <w:sz w:val="20"/>
          <w:szCs w:val="20"/>
          <w:bdr w:val="none" w:sz="0" w:space="0" w:color="auto"/>
          <w:lang w:val="pt-BR" w:eastAsia="es-ES"/>
        </w:rPr>
        <w:t xml:space="preserve"> um </w:t>
      </w:r>
      <w:r w:rsidR="002649F0" w:rsidRPr="006D1C74">
        <w:rPr>
          <w:rFonts w:asciiTheme="majorHAnsi" w:eastAsia="Batang" w:hAnsiTheme="majorHAnsi" w:cstheme="majorBidi"/>
          <w:bCs/>
          <w:sz w:val="20"/>
          <w:szCs w:val="20"/>
          <w:bdr w:val="none" w:sz="0" w:space="0" w:color="auto"/>
          <w:lang w:val="pt-BR" w:eastAsia="es-ES"/>
        </w:rPr>
        <w:t>recurso especial</w:t>
      </w:r>
      <w:r w:rsidR="00CF037E" w:rsidRPr="006D1C74">
        <w:rPr>
          <w:rFonts w:asciiTheme="majorHAnsi" w:eastAsia="Batang" w:hAnsiTheme="majorHAnsi" w:cstheme="majorBidi"/>
          <w:bCs/>
          <w:sz w:val="20"/>
          <w:szCs w:val="20"/>
          <w:bdr w:val="none" w:sz="0" w:space="0" w:color="auto"/>
          <w:lang w:val="pt-BR" w:eastAsia="es-ES"/>
        </w:rPr>
        <w:t xml:space="preserve"> e</w:t>
      </w:r>
      <w:r w:rsidR="00030019" w:rsidRPr="006D1C74">
        <w:rPr>
          <w:rFonts w:asciiTheme="majorHAnsi" w:eastAsia="Batang" w:hAnsiTheme="majorHAnsi" w:cstheme="majorBidi"/>
          <w:bCs/>
          <w:sz w:val="20"/>
          <w:szCs w:val="20"/>
          <w:bdr w:val="none" w:sz="0" w:space="0" w:color="auto"/>
          <w:lang w:val="pt-BR" w:eastAsia="es-ES"/>
        </w:rPr>
        <w:t xml:space="preserve"> um </w:t>
      </w:r>
      <w:r w:rsidR="002649F0" w:rsidRPr="006D1C74">
        <w:rPr>
          <w:rFonts w:asciiTheme="majorHAnsi" w:eastAsia="Batang" w:hAnsiTheme="majorHAnsi" w:cstheme="majorBidi"/>
          <w:bCs/>
          <w:sz w:val="20"/>
          <w:szCs w:val="20"/>
          <w:bdr w:val="none" w:sz="0" w:space="0" w:color="auto"/>
          <w:lang w:val="pt-BR" w:eastAsia="es-ES"/>
        </w:rPr>
        <w:t>recurso extraordin</w:t>
      </w:r>
      <w:r w:rsidRPr="006D1C74">
        <w:rPr>
          <w:rFonts w:asciiTheme="majorHAnsi" w:eastAsia="Batang" w:hAnsiTheme="majorHAnsi" w:cstheme="majorBidi"/>
          <w:bCs/>
          <w:sz w:val="20"/>
          <w:szCs w:val="20"/>
          <w:bdr w:val="none" w:sz="0" w:space="0" w:color="auto"/>
          <w:lang w:val="pt-BR" w:eastAsia="es-ES"/>
        </w:rPr>
        <w:t>á</w:t>
      </w:r>
      <w:r w:rsidR="002649F0" w:rsidRPr="006D1C74">
        <w:rPr>
          <w:rFonts w:asciiTheme="majorHAnsi" w:eastAsia="Batang" w:hAnsiTheme="majorHAnsi" w:cstheme="majorBidi"/>
          <w:bCs/>
          <w:sz w:val="20"/>
          <w:szCs w:val="20"/>
          <w:bdr w:val="none" w:sz="0" w:space="0" w:color="auto"/>
          <w:lang w:val="pt-BR" w:eastAsia="es-ES"/>
        </w:rPr>
        <w:t>rio,</w:t>
      </w:r>
      <w:r w:rsidR="00700267" w:rsidRPr="006D1C74">
        <w:rPr>
          <w:rFonts w:asciiTheme="majorHAnsi" w:eastAsia="Batang" w:hAnsiTheme="majorHAnsi" w:cstheme="majorBidi"/>
          <w:bCs/>
          <w:sz w:val="20"/>
          <w:szCs w:val="20"/>
          <w:bdr w:val="none" w:sz="0" w:space="0" w:color="auto"/>
          <w:lang w:val="pt-BR" w:eastAsia="es-ES"/>
        </w:rPr>
        <w:t xml:space="preserve"> os </w:t>
      </w:r>
      <w:r w:rsidRPr="006D1C74">
        <w:rPr>
          <w:rFonts w:asciiTheme="majorHAnsi" w:eastAsia="Batang" w:hAnsiTheme="majorHAnsi" w:cstheme="majorBidi"/>
          <w:bCs/>
          <w:sz w:val="20"/>
          <w:szCs w:val="20"/>
          <w:bdr w:val="none" w:sz="0" w:space="0" w:color="auto"/>
          <w:lang w:val="pt-BR" w:eastAsia="es-ES"/>
        </w:rPr>
        <w:t>q</w:t>
      </w:r>
      <w:r w:rsidR="002649F0" w:rsidRPr="006D1C74">
        <w:rPr>
          <w:rFonts w:asciiTheme="majorHAnsi" w:eastAsia="Batang" w:hAnsiTheme="majorHAnsi" w:cstheme="majorBidi"/>
          <w:bCs/>
          <w:sz w:val="20"/>
          <w:szCs w:val="20"/>
          <w:bdr w:val="none" w:sz="0" w:space="0" w:color="auto"/>
          <w:lang w:val="pt-BR" w:eastAsia="es-ES"/>
        </w:rPr>
        <w:t>u</w:t>
      </w:r>
      <w:r w:rsidR="00700267" w:rsidRPr="006D1C74">
        <w:rPr>
          <w:rFonts w:asciiTheme="majorHAnsi" w:eastAsia="Batang" w:hAnsiTheme="majorHAnsi" w:cstheme="majorBidi"/>
          <w:bCs/>
          <w:sz w:val="20"/>
          <w:szCs w:val="20"/>
          <w:bdr w:val="none" w:sz="0" w:space="0" w:color="auto"/>
          <w:lang w:val="pt-BR" w:eastAsia="es-ES"/>
        </w:rPr>
        <w:t>ais</w:t>
      </w:r>
      <w:r w:rsidR="002649F0" w:rsidRPr="006D1C74">
        <w:rPr>
          <w:rFonts w:asciiTheme="majorHAnsi" w:eastAsia="Batang" w:hAnsiTheme="majorHAnsi" w:cstheme="majorBidi"/>
          <w:bCs/>
          <w:sz w:val="20"/>
          <w:szCs w:val="20"/>
          <w:bdr w:val="none" w:sz="0" w:space="0" w:color="auto"/>
          <w:lang w:val="pt-BR" w:eastAsia="es-ES"/>
        </w:rPr>
        <w:t xml:space="preserve"> f</w:t>
      </w:r>
      <w:r w:rsidRPr="006D1C74">
        <w:rPr>
          <w:rFonts w:asciiTheme="majorHAnsi" w:eastAsia="Batang" w:hAnsiTheme="majorHAnsi" w:cstheme="majorBidi"/>
          <w:bCs/>
          <w:sz w:val="20"/>
          <w:szCs w:val="20"/>
          <w:bdr w:val="none" w:sz="0" w:space="0" w:color="auto"/>
          <w:lang w:val="pt-BR" w:eastAsia="es-ES"/>
        </w:rPr>
        <w:t>oram</w:t>
      </w:r>
      <w:r w:rsidR="002649F0" w:rsidRPr="006D1C74">
        <w:rPr>
          <w:rFonts w:asciiTheme="majorHAnsi" w:eastAsia="Batang" w:hAnsiTheme="majorHAnsi" w:cstheme="majorBidi"/>
          <w:bCs/>
          <w:sz w:val="20"/>
          <w:szCs w:val="20"/>
          <w:bdr w:val="none" w:sz="0" w:space="0" w:color="auto"/>
          <w:lang w:val="pt-BR" w:eastAsia="es-ES"/>
        </w:rPr>
        <w:t xml:space="preserve"> </w:t>
      </w:r>
      <w:r w:rsidR="00355F01" w:rsidRPr="006D1C74">
        <w:rPr>
          <w:rFonts w:asciiTheme="majorHAnsi" w:eastAsia="Batang" w:hAnsiTheme="majorHAnsi" w:cstheme="majorBidi"/>
          <w:bCs/>
          <w:sz w:val="20"/>
          <w:szCs w:val="20"/>
          <w:bdr w:val="none" w:sz="0" w:space="0" w:color="auto"/>
          <w:lang w:val="pt-BR" w:eastAsia="es-ES"/>
        </w:rPr>
        <w:t>indeferi</w:t>
      </w:r>
      <w:r w:rsidR="002649F0" w:rsidRPr="006D1C74">
        <w:rPr>
          <w:rFonts w:asciiTheme="majorHAnsi" w:eastAsia="Batang" w:hAnsiTheme="majorHAnsi" w:cstheme="majorBidi"/>
          <w:bCs/>
          <w:sz w:val="20"/>
          <w:szCs w:val="20"/>
          <w:bdr w:val="none" w:sz="0" w:space="0" w:color="auto"/>
          <w:lang w:val="pt-BR" w:eastAsia="es-ES"/>
        </w:rPr>
        <w:t>dos</w:t>
      </w:r>
      <w:r w:rsidR="00F673C7" w:rsidRPr="006D1C74">
        <w:rPr>
          <w:rFonts w:asciiTheme="majorHAnsi" w:eastAsia="Batang" w:hAnsiTheme="majorHAnsi" w:cstheme="majorBidi"/>
          <w:bCs/>
          <w:sz w:val="20"/>
          <w:szCs w:val="20"/>
          <w:bdr w:val="none" w:sz="0" w:space="0" w:color="auto"/>
          <w:lang w:val="pt-BR" w:eastAsia="es-ES"/>
        </w:rPr>
        <w:t xml:space="preserve"> </w:t>
      </w:r>
      <w:r w:rsidR="00355F01" w:rsidRPr="006D1C74">
        <w:rPr>
          <w:rFonts w:asciiTheme="majorHAnsi" w:eastAsia="Batang" w:hAnsiTheme="majorHAnsi" w:cstheme="majorBidi"/>
          <w:bCs/>
          <w:sz w:val="20"/>
          <w:szCs w:val="20"/>
          <w:bdr w:val="none" w:sz="0" w:space="0" w:color="auto"/>
          <w:lang w:val="pt-BR" w:eastAsia="es-ES"/>
        </w:rPr>
        <w:t>n</w:t>
      </w:r>
      <w:r w:rsidR="00030019" w:rsidRPr="006D1C74">
        <w:rPr>
          <w:rFonts w:asciiTheme="majorHAnsi" w:eastAsia="Batang" w:hAnsiTheme="majorHAnsi" w:cstheme="majorBidi"/>
          <w:bCs/>
          <w:sz w:val="20"/>
          <w:szCs w:val="20"/>
          <w:bdr w:val="none" w:sz="0" w:space="0" w:color="auto"/>
          <w:lang w:val="pt-BR" w:eastAsia="es-ES"/>
        </w:rPr>
        <w:t xml:space="preserve">uma </w:t>
      </w:r>
      <w:r w:rsidR="002649F0" w:rsidRPr="006D1C74">
        <w:rPr>
          <w:rFonts w:asciiTheme="majorHAnsi" w:eastAsia="Batang" w:hAnsiTheme="majorHAnsi" w:cstheme="majorBidi"/>
          <w:bCs/>
          <w:sz w:val="20"/>
          <w:szCs w:val="20"/>
          <w:bdr w:val="none" w:sz="0" w:space="0" w:color="auto"/>
          <w:lang w:val="pt-BR" w:eastAsia="es-ES"/>
        </w:rPr>
        <w:t>audi</w:t>
      </w:r>
      <w:r w:rsidRPr="006D1C74">
        <w:rPr>
          <w:rFonts w:asciiTheme="majorHAnsi" w:eastAsia="Batang" w:hAnsiTheme="majorHAnsi" w:cstheme="majorBidi"/>
          <w:bCs/>
          <w:sz w:val="20"/>
          <w:szCs w:val="20"/>
          <w:bdr w:val="none" w:sz="0" w:space="0" w:color="auto"/>
          <w:lang w:val="pt-BR" w:eastAsia="es-ES"/>
        </w:rPr>
        <w:t>ê</w:t>
      </w:r>
      <w:r w:rsidR="002649F0" w:rsidRPr="006D1C74">
        <w:rPr>
          <w:rFonts w:asciiTheme="majorHAnsi" w:eastAsia="Batang" w:hAnsiTheme="majorHAnsi" w:cstheme="majorBidi"/>
          <w:bCs/>
          <w:sz w:val="20"/>
          <w:szCs w:val="20"/>
          <w:bdr w:val="none" w:sz="0" w:space="0" w:color="auto"/>
          <w:lang w:val="pt-BR" w:eastAsia="es-ES"/>
        </w:rPr>
        <w:t>ncia de admi</w:t>
      </w:r>
      <w:r w:rsidRPr="006D1C74">
        <w:rPr>
          <w:rFonts w:asciiTheme="majorHAnsi" w:eastAsia="Batang" w:hAnsiTheme="majorHAnsi" w:cstheme="majorBidi"/>
          <w:bCs/>
          <w:sz w:val="20"/>
          <w:szCs w:val="20"/>
          <w:bdr w:val="none" w:sz="0" w:space="0" w:color="auto"/>
          <w:lang w:val="pt-BR" w:eastAsia="es-ES"/>
        </w:rPr>
        <w:t>s</w:t>
      </w:r>
      <w:r w:rsidR="002649F0" w:rsidRPr="006D1C74">
        <w:rPr>
          <w:rFonts w:asciiTheme="majorHAnsi" w:eastAsia="Batang" w:hAnsiTheme="majorHAnsi" w:cstheme="majorBidi"/>
          <w:bCs/>
          <w:sz w:val="20"/>
          <w:szCs w:val="20"/>
          <w:bdr w:val="none" w:sz="0" w:space="0" w:color="auto"/>
          <w:lang w:val="pt-BR" w:eastAsia="es-ES"/>
        </w:rPr>
        <w:t>sibili</w:t>
      </w:r>
      <w:r w:rsidR="00F673C7" w:rsidRPr="006D1C74">
        <w:rPr>
          <w:rFonts w:asciiTheme="majorHAnsi" w:eastAsia="Batang" w:hAnsiTheme="majorHAnsi" w:cstheme="majorBidi"/>
          <w:bCs/>
          <w:sz w:val="20"/>
          <w:szCs w:val="20"/>
          <w:bdr w:val="none" w:sz="0" w:space="0" w:color="auto"/>
          <w:lang w:val="pt-BR" w:eastAsia="es-ES"/>
        </w:rPr>
        <w:t xml:space="preserve">dade </w:t>
      </w:r>
      <w:r w:rsidRPr="006D1C74">
        <w:rPr>
          <w:rFonts w:asciiTheme="majorHAnsi" w:eastAsia="Batang" w:hAnsiTheme="majorHAnsi" w:cstheme="majorBidi"/>
          <w:bCs/>
          <w:sz w:val="20"/>
          <w:szCs w:val="20"/>
          <w:bdr w:val="none" w:sz="0" w:space="0" w:color="auto"/>
          <w:lang w:val="pt-BR" w:eastAsia="es-ES"/>
        </w:rPr>
        <w:t>per</w:t>
      </w:r>
      <w:r w:rsidR="002649F0" w:rsidRPr="006D1C74">
        <w:rPr>
          <w:rFonts w:asciiTheme="majorHAnsi" w:eastAsia="Batang" w:hAnsiTheme="majorHAnsi" w:cstheme="majorBidi"/>
          <w:bCs/>
          <w:sz w:val="20"/>
          <w:szCs w:val="20"/>
          <w:bdr w:val="none" w:sz="0" w:space="0" w:color="auto"/>
          <w:lang w:val="pt-BR" w:eastAsia="es-ES"/>
        </w:rPr>
        <w:t>ante</w:t>
      </w:r>
      <w:r w:rsidR="00700267" w:rsidRPr="006D1C74">
        <w:rPr>
          <w:rFonts w:asciiTheme="majorHAnsi" w:eastAsia="Batang" w:hAnsiTheme="majorHAnsi" w:cstheme="majorBidi"/>
          <w:bCs/>
          <w:sz w:val="20"/>
          <w:szCs w:val="20"/>
          <w:bdr w:val="none" w:sz="0" w:space="0" w:color="auto"/>
          <w:lang w:val="pt-BR" w:eastAsia="es-ES"/>
        </w:rPr>
        <w:t xml:space="preserve"> o </w:t>
      </w:r>
      <w:r w:rsidR="002649F0" w:rsidRPr="006D1C74">
        <w:rPr>
          <w:rFonts w:asciiTheme="majorHAnsi" w:eastAsia="Batang" w:hAnsiTheme="majorHAnsi" w:cstheme="majorBidi"/>
          <w:bCs/>
          <w:sz w:val="20"/>
          <w:szCs w:val="20"/>
          <w:bdr w:val="none" w:sz="0" w:space="0" w:color="auto"/>
          <w:lang w:val="pt-BR" w:eastAsia="es-ES"/>
        </w:rPr>
        <w:t xml:space="preserve">Tribunal de </w:t>
      </w:r>
      <w:r w:rsidR="00795010" w:rsidRPr="006D1C74">
        <w:rPr>
          <w:rFonts w:asciiTheme="majorHAnsi" w:eastAsia="Batang" w:hAnsiTheme="majorHAnsi" w:cstheme="majorBidi"/>
          <w:bCs/>
          <w:sz w:val="20"/>
          <w:szCs w:val="20"/>
          <w:bdr w:val="none" w:sz="0" w:space="0" w:color="auto"/>
          <w:lang w:val="pt-BR" w:eastAsia="es-ES"/>
        </w:rPr>
        <w:t>Justiça</w:t>
      </w:r>
      <w:r w:rsidR="00030019" w:rsidRPr="006D1C74">
        <w:rPr>
          <w:rFonts w:asciiTheme="majorHAnsi" w:eastAsia="Batang" w:hAnsiTheme="majorHAnsi" w:cstheme="majorBidi"/>
          <w:bCs/>
          <w:sz w:val="20"/>
          <w:szCs w:val="20"/>
          <w:bdr w:val="none" w:sz="0" w:space="0" w:color="auto"/>
          <w:lang w:val="pt-BR" w:eastAsia="es-ES"/>
        </w:rPr>
        <w:t xml:space="preserve"> do </w:t>
      </w:r>
      <w:r w:rsidR="002649F0" w:rsidRPr="006D1C74">
        <w:rPr>
          <w:rFonts w:asciiTheme="majorHAnsi" w:eastAsia="Batang" w:hAnsiTheme="majorHAnsi" w:cstheme="majorBidi"/>
          <w:bCs/>
          <w:sz w:val="20"/>
          <w:szCs w:val="20"/>
          <w:bdr w:val="none" w:sz="0" w:space="0" w:color="auto"/>
          <w:lang w:val="pt-BR" w:eastAsia="es-ES"/>
        </w:rPr>
        <w:t xml:space="preserve">Estado </w:t>
      </w:r>
      <w:r w:rsidR="000D2A81" w:rsidRPr="006D1C74">
        <w:rPr>
          <w:rFonts w:asciiTheme="majorHAnsi" w:eastAsia="Batang" w:hAnsiTheme="majorHAnsi" w:cstheme="majorBidi"/>
          <w:bCs/>
          <w:sz w:val="20"/>
          <w:szCs w:val="20"/>
          <w:bdr w:val="none" w:sz="0" w:space="0" w:color="auto"/>
          <w:lang w:val="pt-BR" w:eastAsia="es-ES"/>
        </w:rPr>
        <w:t>do Paraná</w:t>
      </w:r>
      <w:r w:rsidR="002649F0" w:rsidRPr="006D1C74">
        <w:rPr>
          <w:rFonts w:asciiTheme="majorHAnsi" w:eastAsia="Batang" w:hAnsiTheme="majorHAnsi" w:cstheme="majorBidi"/>
          <w:bCs/>
          <w:sz w:val="20"/>
          <w:szCs w:val="20"/>
          <w:bdr w:val="none" w:sz="0" w:space="0" w:color="auto"/>
          <w:lang w:val="pt-BR" w:eastAsia="es-ES"/>
        </w:rPr>
        <w:t xml:space="preserve">. </w:t>
      </w:r>
      <w:r w:rsidR="00B42161" w:rsidRPr="006D1C74">
        <w:rPr>
          <w:rFonts w:asciiTheme="majorHAnsi" w:eastAsia="Batang" w:hAnsiTheme="majorHAnsi" w:cstheme="majorBidi"/>
          <w:bCs/>
          <w:sz w:val="20"/>
          <w:szCs w:val="20"/>
          <w:bdr w:val="none" w:sz="0" w:space="0" w:color="auto"/>
          <w:lang w:val="pt-BR" w:eastAsia="es-ES"/>
        </w:rPr>
        <w:t>O</w:t>
      </w:r>
      <w:r w:rsidR="002649F0" w:rsidRPr="006D1C74">
        <w:rPr>
          <w:rFonts w:asciiTheme="majorHAnsi" w:eastAsia="Batang" w:hAnsiTheme="majorHAnsi" w:cstheme="majorBidi"/>
          <w:bCs/>
          <w:sz w:val="20"/>
          <w:szCs w:val="20"/>
          <w:bdr w:val="none" w:sz="0" w:space="0" w:color="auto"/>
          <w:lang w:val="pt-BR" w:eastAsia="es-ES"/>
        </w:rPr>
        <w:t xml:space="preserve"> estado </w:t>
      </w:r>
      <w:r w:rsidR="000D2A81" w:rsidRPr="006D1C74">
        <w:rPr>
          <w:rFonts w:asciiTheme="majorHAnsi" w:eastAsia="Batang" w:hAnsiTheme="majorHAnsi" w:cstheme="majorBidi"/>
          <w:bCs/>
          <w:sz w:val="20"/>
          <w:szCs w:val="20"/>
          <w:bdr w:val="none" w:sz="0" w:space="0" w:color="auto"/>
          <w:lang w:val="pt-BR" w:eastAsia="es-ES"/>
        </w:rPr>
        <w:t>do Paraná</w:t>
      </w:r>
      <w:r w:rsidR="002649F0" w:rsidRPr="006D1C74">
        <w:rPr>
          <w:rFonts w:asciiTheme="majorHAnsi" w:eastAsia="Batang" w:hAnsiTheme="majorHAnsi" w:cstheme="majorBidi"/>
          <w:bCs/>
          <w:sz w:val="20"/>
          <w:szCs w:val="20"/>
          <w:bdr w:val="none" w:sz="0" w:space="0" w:color="auto"/>
          <w:lang w:val="pt-BR" w:eastAsia="es-ES"/>
        </w:rPr>
        <w:t xml:space="preserve"> interp</w:t>
      </w:r>
      <w:r w:rsidR="00355F01" w:rsidRPr="006D1C74">
        <w:rPr>
          <w:rFonts w:asciiTheme="majorHAnsi" w:eastAsia="Batang" w:hAnsiTheme="majorHAnsi" w:cstheme="majorBidi"/>
          <w:bCs/>
          <w:sz w:val="20"/>
          <w:szCs w:val="20"/>
          <w:bdr w:val="none" w:sz="0" w:space="0" w:color="auto"/>
          <w:lang w:val="pt-BR" w:eastAsia="es-ES"/>
        </w:rPr>
        <w:t>ôs</w:t>
      </w:r>
      <w:r w:rsidR="002649F0" w:rsidRPr="006D1C74">
        <w:rPr>
          <w:rFonts w:asciiTheme="majorHAnsi" w:eastAsia="Batang" w:hAnsiTheme="majorHAnsi" w:cstheme="majorBidi"/>
          <w:bCs/>
          <w:sz w:val="20"/>
          <w:szCs w:val="20"/>
          <w:bdr w:val="none" w:sz="0" w:space="0" w:color="auto"/>
          <w:lang w:val="pt-BR" w:eastAsia="es-ES"/>
        </w:rPr>
        <w:t xml:space="preserve"> recursos contra</w:t>
      </w:r>
      <w:r w:rsidR="00700267" w:rsidRPr="006D1C74">
        <w:rPr>
          <w:rFonts w:asciiTheme="majorHAnsi" w:eastAsia="Batang" w:hAnsiTheme="majorHAnsi" w:cstheme="majorBidi"/>
          <w:bCs/>
          <w:sz w:val="20"/>
          <w:szCs w:val="20"/>
          <w:bdr w:val="none" w:sz="0" w:space="0" w:color="auto"/>
          <w:lang w:val="pt-BR" w:eastAsia="es-ES"/>
        </w:rPr>
        <w:t xml:space="preserve"> as </w:t>
      </w:r>
      <w:r w:rsidR="002649F0" w:rsidRPr="006D1C74">
        <w:rPr>
          <w:rFonts w:asciiTheme="majorHAnsi" w:eastAsia="Batang" w:hAnsiTheme="majorHAnsi" w:cstheme="majorBidi"/>
          <w:bCs/>
          <w:sz w:val="20"/>
          <w:szCs w:val="20"/>
          <w:bdr w:val="none" w:sz="0" w:space="0" w:color="auto"/>
          <w:lang w:val="pt-BR" w:eastAsia="es-ES"/>
        </w:rPr>
        <w:t>decis</w:t>
      </w:r>
      <w:r w:rsidR="00355F01" w:rsidRPr="006D1C74">
        <w:rPr>
          <w:rFonts w:asciiTheme="majorHAnsi" w:eastAsia="Batang" w:hAnsiTheme="majorHAnsi" w:cstheme="majorBidi"/>
          <w:bCs/>
          <w:sz w:val="20"/>
          <w:szCs w:val="20"/>
          <w:bdr w:val="none" w:sz="0" w:space="0" w:color="auto"/>
          <w:lang w:val="pt-BR" w:eastAsia="es-ES"/>
        </w:rPr>
        <w:t>õ</w:t>
      </w:r>
      <w:r w:rsidR="002649F0" w:rsidRPr="006D1C74">
        <w:rPr>
          <w:rFonts w:asciiTheme="majorHAnsi" w:eastAsia="Batang" w:hAnsiTheme="majorHAnsi" w:cstheme="majorBidi"/>
          <w:bCs/>
          <w:sz w:val="20"/>
          <w:szCs w:val="20"/>
          <w:bdr w:val="none" w:sz="0" w:space="0" w:color="auto"/>
          <w:lang w:val="pt-BR" w:eastAsia="es-ES"/>
        </w:rPr>
        <w:t>es denegat</w:t>
      </w:r>
      <w:r w:rsidR="00355F01" w:rsidRPr="006D1C74">
        <w:rPr>
          <w:rFonts w:asciiTheme="majorHAnsi" w:eastAsia="Batang" w:hAnsiTheme="majorHAnsi" w:cstheme="majorBidi"/>
          <w:bCs/>
          <w:sz w:val="20"/>
          <w:szCs w:val="20"/>
          <w:bdr w:val="none" w:sz="0" w:space="0" w:color="auto"/>
          <w:lang w:val="pt-BR" w:eastAsia="es-ES"/>
        </w:rPr>
        <w:t>ó</w:t>
      </w:r>
      <w:r w:rsidR="002649F0" w:rsidRPr="006D1C74">
        <w:rPr>
          <w:rFonts w:asciiTheme="majorHAnsi" w:eastAsia="Batang" w:hAnsiTheme="majorHAnsi" w:cstheme="majorBidi"/>
          <w:bCs/>
          <w:sz w:val="20"/>
          <w:szCs w:val="20"/>
          <w:bdr w:val="none" w:sz="0" w:space="0" w:color="auto"/>
          <w:lang w:val="pt-BR" w:eastAsia="es-ES"/>
        </w:rPr>
        <w:t>rias de segui</w:t>
      </w:r>
      <w:r w:rsidR="00700267" w:rsidRPr="006D1C74">
        <w:rPr>
          <w:rFonts w:asciiTheme="majorHAnsi" w:eastAsia="Batang" w:hAnsiTheme="majorHAnsi" w:cstheme="majorBidi"/>
          <w:bCs/>
          <w:sz w:val="20"/>
          <w:szCs w:val="20"/>
          <w:bdr w:val="none" w:sz="0" w:space="0" w:color="auto"/>
          <w:lang w:val="pt-BR" w:eastAsia="es-ES"/>
        </w:rPr>
        <w:t>mento</w:t>
      </w:r>
      <w:r w:rsidR="002649F0" w:rsidRPr="006D1C74">
        <w:rPr>
          <w:rFonts w:asciiTheme="majorHAnsi" w:eastAsia="Batang" w:hAnsiTheme="majorHAnsi" w:cstheme="majorBidi"/>
          <w:bCs/>
          <w:sz w:val="20"/>
          <w:szCs w:val="20"/>
          <w:bdr w:val="none" w:sz="0" w:space="0" w:color="auto"/>
          <w:lang w:val="pt-BR" w:eastAsia="es-ES"/>
        </w:rPr>
        <w:t xml:space="preserve"> </w:t>
      </w:r>
      <w:r w:rsidR="00355F01" w:rsidRPr="006D1C74">
        <w:rPr>
          <w:rFonts w:asciiTheme="majorHAnsi" w:eastAsia="Batang" w:hAnsiTheme="majorHAnsi" w:cstheme="majorBidi"/>
          <w:bCs/>
          <w:sz w:val="20"/>
          <w:szCs w:val="20"/>
          <w:bdr w:val="none" w:sz="0" w:space="0" w:color="auto"/>
          <w:lang w:val="pt-BR" w:eastAsia="es-ES"/>
        </w:rPr>
        <w:t>per</w:t>
      </w:r>
      <w:r w:rsidR="002649F0" w:rsidRPr="006D1C74">
        <w:rPr>
          <w:rFonts w:asciiTheme="majorHAnsi" w:eastAsia="Batang" w:hAnsiTheme="majorHAnsi" w:cstheme="majorBidi"/>
          <w:bCs/>
          <w:sz w:val="20"/>
          <w:szCs w:val="20"/>
          <w:bdr w:val="none" w:sz="0" w:space="0" w:color="auto"/>
          <w:lang w:val="pt-BR" w:eastAsia="es-ES"/>
        </w:rPr>
        <w:t>ante</w:t>
      </w:r>
      <w:r w:rsidR="00700267" w:rsidRPr="006D1C74">
        <w:rPr>
          <w:rFonts w:asciiTheme="majorHAnsi" w:eastAsia="Batang" w:hAnsiTheme="majorHAnsi" w:cstheme="majorBidi"/>
          <w:bCs/>
          <w:sz w:val="20"/>
          <w:szCs w:val="20"/>
          <w:bdr w:val="none" w:sz="0" w:space="0" w:color="auto"/>
          <w:lang w:val="pt-BR" w:eastAsia="es-ES"/>
        </w:rPr>
        <w:t xml:space="preserve"> o </w:t>
      </w:r>
      <w:r w:rsidR="002649F0" w:rsidRPr="006D1C74">
        <w:rPr>
          <w:rFonts w:asciiTheme="majorHAnsi" w:eastAsia="Batang" w:hAnsiTheme="majorHAnsi" w:cstheme="majorBidi"/>
          <w:bCs/>
          <w:sz w:val="20"/>
          <w:szCs w:val="20"/>
          <w:bdr w:val="none" w:sz="0" w:space="0" w:color="auto"/>
          <w:lang w:val="pt-BR" w:eastAsia="es-ES"/>
        </w:rPr>
        <w:t xml:space="preserve">Tribunal Superior de </w:t>
      </w:r>
      <w:r w:rsidR="00795010" w:rsidRPr="006D1C74">
        <w:rPr>
          <w:rFonts w:asciiTheme="majorHAnsi" w:eastAsia="Batang" w:hAnsiTheme="majorHAnsi" w:cstheme="majorBidi"/>
          <w:bCs/>
          <w:sz w:val="20"/>
          <w:szCs w:val="20"/>
          <w:bdr w:val="none" w:sz="0" w:space="0" w:color="auto"/>
          <w:lang w:val="pt-BR" w:eastAsia="es-ES"/>
        </w:rPr>
        <w:t>Justiça</w:t>
      </w:r>
      <w:r w:rsidR="00CF037E" w:rsidRPr="006D1C74">
        <w:rPr>
          <w:rFonts w:asciiTheme="majorHAnsi" w:eastAsia="Batang" w:hAnsiTheme="majorHAnsi" w:cstheme="majorBidi"/>
          <w:bCs/>
          <w:sz w:val="20"/>
          <w:szCs w:val="20"/>
          <w:bdr w:val="none" w:sz="0" w:space="0" w:color="auto"/>
          <w:lang w:val="pt-BR" w:eastAsia="es-ES"/>
        </w:rPr>
        <w:t xml:space="preserve"> e</w:t>
      </w:r>
      <w:r w:rsidR="00700267" w:rsidRPr="006D1C74">
        <w:rPr>
          <w:rFonts w:asciiTheme="majorHAnsi" w:eastAsia="Batang" w:hAnsiTheme="majorHAnsi" w:cstheme="majorBidi"/>
          <w:bCs/>
          <w:sz w:val="20"/>
          <w:szCs w:val="20"/>
          <w:bdr w:val="none" w:sz="0" w:space="0" w:color="auto"/>
          <w:lang w:val="pt-BR" w:eastAsia="es-ES"/>
        </w:rPr>
        <w:t xml:space="preserve"> o </w:t>
      </w:r>
      <w:r w:rsidR="002649F0" w:rsidRPr="006D1C74">
        <w:rPr>
          <w:rFonts w:asciiTheme="majorHAnsi" w:eastAsia="Batang" w:hAnsiTheme="majorHAnsi" w:cstheme="majorBidi"/>
          <w:bCs/>
          <w:sz w:val="20"/>
          <w:szCs w:val="20"/>
          <w:bdr w:val="none" w:sz="0" w:space="0" w:color="auto"/>
          <w:lang w:val="pt-BR" w:eastAsia="es-ES"/>
        </w:rPr>
        <w:t>Supremo Tribunal Federal</w:t>
      </w:r>
      <w:r w:rsidR="002649F0" w:rsidRPr="006D1C74">
        <w:rPr>
          <w:rFonts w:asciiTheme="majorHAnsi" w:eastAsia="Batang" w:hAnsiTheme="majorHAnsi"/>
          <w:bCs/>
          <w:sz w:val="20"/>
          <w:szCs w:val="20"/>
          <w:bdr w:val="none" w:sz="0" w:space="0" w:color="auto"/>
          <w:vertAlign w:val="superscript"/>
          <w:lang w:val="pt-BR" w:eastAsia="es-ES"/>
        </w:rPr>
        <w:footnoteReference w:id="48"/>
      </w:r>
      <w:r w:rsidR="00B25958" w:rsidRPr="006D1C74">
        <w:rPr>
          <w:rFonts w:asciiTheme="majorHAnsi" w:eastAsia="Batang" w:hAnsiTheme="majorHAnsi" w:cstheme="majorBidi"/>
          <w:bCs/>
          <w:sz w:val="20"/>
          <w:szCs w:val="20"/>
          <w:bdr w:val="none" w:sz="0" w:space="0" w:color="auto"/>
          <w:lang w:val="pt-BR" w:eastAsia="es-ES"/>
        </w:rPr>
        <w:t xml:space="preserve">. </w:t>
      </w:r>
      <w:r w:rsidR="00CF037E" w:rsidRPr="006D1C74">
        <w:rPr>
          <w:rFonts w:asciiTheme="majorHAnsi" w:eastAsia="Batang" w:hAnsiTheme="majorHAnsi" w:cstheme="majorBidi"/>
          <w:bCs/>
          <w:sz w:val="20"/>
          <w:szCs w:val="20"/>
          <w:bdr w:val="none" w:sz="0" w:space="0" w:color="auto"/>
          <w:lang w:val="pt-BR" w:eastAsia="es-ES"/>
        </w:rPr>
        <w:t>Outr</w:t>
      </w:r>
      <w:r w:rsidR="00B25958" w:rsidRPr="006D1C74">
        <w:rPr>
          <w:rFonts w:asciiTheme="majorHAnsi" w:eastAsia="Batang" w:hAnsiTheme="majorHAnsi" w:cstheme="majorBidi"/>
          <w:bCs/>
          <w:sz w:val="20"/>
          <w:szCs w:val="20"/>
          <w:bdr w:val="none" w:sz="0" w:space="0" w:color="auto"/>
          <w:lang w:val="pt-BR" w:eastAsia="es-ES"/>
        </w:rPr>
        <w:t>os recursos f</w:t>
      </w:r>
      <w:r w:rsidR="00355F01" w:rsidRPr="006D1C74">
        <w:rPr>
          <w:rFonts w:asciiTheme="majorHAnsi" w:eastAsia="Batang" w:hAnsiTheme="majorHAnsi" w:cstheme="majorBidi"/>
          <w:bCs/>
          <w:sz w:val="20"/>
          <w:szCs w:val="20"/>
          <w:bdr w:val="none" w:sz="0" w:space="0" w:color="auto"/>
          <w:lang w:val="pt-BR" w:eastAsia="es-ES"/>
        </w:rPr>
        <w:t>oram</w:t>
      </w:r>
      <w:r w:rsidR="00B25958" w:rsidRPr="006D1C74">
        <w:rPr>
          <w:rFonts w:asciiTheme="majorHAnsi" w:eastAsia="Batang" w:hAnsiTheme="majorHAnsi" w:cstheme="majorBidi"/>
          <w:bCs/>
          <w:sz w:val="20"/>
          <w:szCs w:val="20"/>
          <w:bdr w:val="none" w:sz="0" w:space="0" w:color="auto"/>
          <w:lang w:val="pt-BR" w:eastAsia="es-ES"/>
        </w:rPr>
        <w:t xml:space="preserve"> interp</w:t>
      </w:r>
      <w:r w:rsidR="00355F01" w:rsidRPr="006D1C74">
        <w:rPr>
          <w:rFonts w:asciiTheme="majorHAnsi" w:eastAsia="Batang" w:hAnsiTheme="majorHAnsi" w:cstheme="majorBidi"/>
          <w:bCs/>
          <w:sz w:val="20"/>
          <w:szCs w:val="20"/>
          <w:bdr w:val="none" w:sz="0" w:space="0" w:color="auto"/>
          <w:lang w:val="pt-BR" w:eastAsia="es-ES"/>
        </w:rPr>
        <w:t>o</w:t>
      </w:r>
      <w:r w:rsidR="00B25958" w:rsidRPr="006D1C74">
        <w:rPr>
          <w:rFonts w:asciiTheme="majorHAnsi" w:eastAsia="Batang" w:hAnsiTheme="majorHAnsi" w:cstheme="majorBidi"/>
          <w:bCs/>
          <w:sz w:val="20"/>
          <w:szCs w:val="20"/>
          <w:bdr w:val="none" w:sz="0" w:space="0" w:color="auto"/>
          <w:lang w:val="pt-BR" w:eastAsia="es-ES"/>
        </w:rPr>
        <w:t>stos</w:t>
      </w:r>
      <w:r w:rsidR="002649F0" w:rsidRPr="006D1C74">
        <w:rPr>
          <w:rFonts w:asciiTheme="majorHAnsi" w:eastAsia="Batang" w:hAnsiTheme="majorHAnsi"/>
          <w:bCs/>
          <w:sz w:val="20"/>
          <w:szCs w:val="20"/>
          <w:bdr w:val="none" w:sz="0" w:space="0" w:color="auto"/>
          <w:vertAlign w:val="superscript"/>
          <w:lang w:val="pt-BR" w:eastAsia="es-ES"/>
        </w:rPr>
        <w:footnoteReference w:id="49"/>
      </w:r>
      <w:r w:rsidR="00CF037E" w:rsidRPr="006D1C74">
        <w:rPr>
          <w:rFonts w:asciiTheme="majorHAnsi" w:eastAsia="Batang" w:hAnsiTheme="majorHAnsi" w:cstheme="majorBidi"/>
          <w:bCs/>
          <w:sz w:val="20"/>
          <w:szCs w:val="20"/>
          <w:bdr w:val="none" w:sz="0" w:space="0" w:color="auto"/>
          <w:lang w:val="pt-BR" w:eastAsia="es-ES"/>
        </w:rPr>
        <w:t xml:space="preserve"> e </w:t>
      </w:r>
      <w:r w:rsidR="00B25958" w:rsidRPr="006D1C74">
        <w:rPr>
          <w:rFonts w:asciiTheme="majorHAnsi" w:eastAsia="Batang" w:hAnsiTheme="majorHAnsi" w:cstheme="majorBidi"/>
          <w:bCs/>
          <w:sz w:val="20"/>
          <w:szCs w:val="20"/>
          <w:bdr w:val="none" w:sz="0" w:space="0" w:color="auto"/>
          <w:lang w:val="pt-BR" w:eastAsia="es-ES"/>
        </w:rPr>
        <w:t>finalmente</w:t>
      </w:r>
      <w:r w:rsidR="00466630" w:rsidRPr="006D1C74">
        <w:rPr>
          <w:rFonts w:asciiTheme="majorHAnsi" w:eastAsia="Batang" w:hAnsiTheme="majorHAnsi" w:cstheme="majorBidi"/>
          <w:bCs/>
          <w:sz w:val="20"/>
          <w:szCs w:val="20"/>
          <w:bdr w:val="none" w:sz="0" w:space="0" w:color="auto"/>
          <w:lang w:val="pt-BR" w:eastAsia="es-ES"/>
        </w:rPr>
        <w:t>,</w:t>
      </w:r>
      <w:r w:rsidR="00B25958" w:rsidRPr="006D1C74">
        <w:rPr>
          <w:rFonts w:asciiTheme="majorHAnsi" w:eastAsia="Batang" w:hAnsiTheme="majorHAnsi" w:cstheme="majorBidi"/>
          <w:bCs/>
          <w:sz w:val="20"/>
          <w:szCs w:val="20"/>
          <w:bdr w:val="none" w:sz="0" w:space="0" w:color="auto"/>
          <w:lang w:val="pt-BR" w:eastAsia="es-ES"/>
        </w:rPr>
        <w:t xml:space="preserve"> </w:t>
      </w:r>
      <w:r w:rsidR="00DF1C77" w:rsidRPr="006D1C74">
        <w:rPr>
          <w:rFonts w:asciiTheme="majorHAnsi" w:eastAsia="Batang" w:hAnsiTheme="majorHAnsi" w:cstheme="majorBidi"/>
          <w:bCs/>
          <w:sz w:val="20"/>
          <w:szCs w:val="20"/>
          <w:bdr w:val="none" w:sz="0" w:space="0" w:color="auto"/>
          <w:lang w:val="pt-BR" w:eastAsia="es-ES"/>
        </w:rPr>
        <w:t>c</w:t>
      </w:r>
      <w:r w:rsidR="002649F0" w:rsidRPr="006D1C74">
        <w:rPr>
          <w:rFonts w:asciiTheme="majorHAnsi" w:eastAsia="Batang" w:hAnsiTheme="majorHAnsi" w:cstheme="majorBidi"/>
          <w:bCs/>
          <w:sz w:val="20"/>
          <w:szCs w:val="20"/>
          <w:bdr w:val="none" w:sz="0" w:space="0" w:color="auto"/>
          <w:lang w:val="pt-BR" w:eastAsia="es-ES"/>
        </w:rPr>
        <w:t>onvertido</w:t>
      </w:r>
      <w:r w:rsidR="00700267" w:rsidRPr="006D1C74">
        <w:rPr>
          <w:rFonts w:asciiTheme="majorHAnsi" w:eastAsia="Batang" w:hAnsiTheme="majorHAnsi" w:cstheme="majorBidi"/>
          <w:bCs/>
          <w:sz w:val="20"/>
          <w:szCs w:val="20"/>
          <w:bdr w:val="none" w:sz="0" w:space="0" w:color="auto"/>
          <w:lang w:val="pt-BR" w:eastAsia="es-ES"/>
        </w:rPr>
        <w:t xml:space="preserve"> o </w:t>
      </w:r>
      <w:r w:rsidR="00AB7F30" w:rsidRPr="006D1C74">
        <w:rPr>
          <w:rFonts w:asciiTheme="majorHAnsi" w:eastAsia="Batang" w:hAnsiTheme="majorHAnsi" w:cstheme="majorBidi"/>
          <w:bCs/>
          <w:sz w:val="20"/>
          <w:szCs w:val="20"/>
          <w:bdr w:val="none" w:sz="0" w:space="0" w:color="auto"/>
          <w:lang w:val="pt-BR" w:eastAsia="es-ES"/>
        </w:rPr>
        <w:t>processo</w:t>
      </w:r>
      <w:r w:rsidR="002649F0" w:rsidRPr="006D1C74">
        <w:rPr>
          <w:rFonts w:asciiTheme="majorHAnsi" w:eastAsia="Batang" w:hAnsiTheme="majorHAnsi" w:cstheme="majorBidi"/>
          <w:bCs/>
          <w:sz w:val="20"/>
          <w:szCs w:val="20"/>
          <w:bdr w:val="none" w:sz="0" w:space="0" w:color="auto"/>
          <w:lang w:val="pt-BR" w:eastAsia="es-ES"/>
        </w:rPr>
        <w:t xml:space="preserve"> de prime</w:t>
      </w:r>
      <w:r w:rsidR="00355F01" w:rsidRPr="006D1C74">
        <w:rPr>
          <w:rFonts w:asciiTheme="majorHAnsi" w:eastAsia="Batang" w:hAnsiTheme="majorHAnsi" w:cstheme="majorBidi"/>
          <w:bCs/>
          <w:sz w:val="20"/>
          <w:szCs w:val="20"/>
          <w:bdr w:val="none" w:sz="0" w:space="0" w:color="auto"/>
          <w:lang w:val="pt-BR" w:eastAsia="es-ES"/>
        </w:rPr>
        <w:t>i</w:t>
      </w:r>
      <w:r w:rsidR="002649F0" w:rsidRPr="006D1C74">
        <w:rPr>
          <w:rFonts w:asciiTheme="majorHAnsi" w:eastAsia="Batang" w:hAnsiTheme="majorHAnsi" w:cstheme="majorBidi"/>
          <w:bCs/>
          <w:sz w:val="20"/>
          <w:szCs w:val="20"/>
          <w:bdr w:val="none" w:sz="0" w:space="0" w:color="auto"/>
          <w:lang w:val="pt-BR" w:eastAsia="es-ES"/>
        </w:rPr>
        <w:t>ra inst</w:t>
      </w:r>
      <w:r w:rsidR="00355F01" w:rsidRPr="006D1C74">
        <w:rPr>
          <w:rFonts w:asciiTheme="majorHAnsi" w:eastAsia="Batang" w:hAnsiTheme="majorHAnsi" w:cstheme="majorBidi"/>
          <w:bCs/>
          <w:sz w:val="20"/>
          <w:szCs w:val="20"/>
          <w:bdr w:val="none" w:sz="0" w:space="0" w:color="auto"/>
          <w:lang w:val="pt-BR" w:eastAsia="es-ES"/>
        </w:rPr>
        <w:t>â</w:t>
      </w:r>
      <w:r w:rsidR="002649F0" w:rsidRPr="006D1C74">
        <w:rPr>
          <w:rFonts w:asciiTheme="majorHAnsi" w:eastAsia="Batang" w:hAnsiTheme="majorHAnsi" w:cstheme="majorBidi"/>
          <w:bCs/>
          <w:sz w:val="20"/>
          <w:szCs w:val="20"/>
          <w:bdr w:val="none" w:sz="0" w:space="0" w:color="auto"/>
          <w:lang w:val="pt-BR" w:eastAsia="es-ES"/>
        </w:rPr>
        <w:t>ncia</w:t>
      </w:r>
      <w:r w:rsidR="00F673C7" w:rsidRPr="006D1C74">
        <w:rPr>
          <w:rFonts w:asciiTheme="majorHAnsi" w:eastAsia="Batang" w:hAnsiTheme="majorHAnsi" w:cstheme="majorBidi"/>
          <w:bCs/>
          <w:sz w:val="20"/>
          <w:szCs w:val="20"/>
          <w:bdr w:val="none" w:sz="0" w:space="0" w:color="auto"/>
          <w:lang w:val="pt-BR" w:eastAsia="es-ES"/>
        </w:rPr>
        <w:t xml:space="preserve"> em </w:t>
      </w:r>
      <w:r w:rsidR="00AB7F30" w:rsidRPr="006D1C74">
        <w:rPr>
          <w:rFonts w:asciiTheme="majorHAnsi" w:eastAsia="Batang" w:hAnsiTheme="majorHAnsi" w:cstheme="majorBidi"/>
          <w:bCs/>
          <w:sz w:val="20"/>
          <w:szCs w:val="20"/>
          <w:bdr w:val="none" w:sz="0" w:space="0" w:color="auto"/>
          <w:lang w:val="pt-BR" w:eastAsia="es-ES"/>
        </w:rPr>
        <w:t>processo</w:t>
      </w:r>
      <w:r w:rsidR="002649F0" w:rsidRPr="006D1C74">
        <w:rPr>
          <w:rFonts w:asciiTheme="majorHAnsi" w:eastAsia="Batang" w:hAnsiTheme="majorHAnsi" w:cstheme="majorBidi"/>
          <w:bCs/>
          <w:sz w:val="20"/>
          <w:szCs w:val="20"/>
          <w:bdr w:val="none" w:sz="0" w:space="0" w:color="auto"/>
          <w:lang w:val="pt-BR" w:eastAsia="es-ES"/>
        </w:rPr>
        <w:t xml:space="preserve"> de e</w:t>
      </w:r>
      <w:r w:rsidR="00355F01" w:rsidRPr="006D1C74">
        <w:rPr>
          <w:rFonts w:asciiTheme="majorHAnsi" w:eastAsia="Batang" w:hAnsiTheme="majorHAnsi" w:cstheme="majorBidi"/>
          <w:bCs/>
          <w:sz w:val="20"/>
          <w:szCs w:val="20"/>
          <w:bdr w:val="none" w:sz="0" w:space="0" w:color="auto"/>
          <w:lang w:val="pt-BR" w:eastAsia="es-ES"/>
        </w:rPr>
        <w:t>x</w:t>
      </w:r>
      <w:r w:rsidR="002649F0" w:rsidRPr="006D1C74">
        <w:rPr>
          <w:rFonts w:asciiTheme="majorHAnsi" w:eastAsia="Batang" w:hAnsiTheme="majorHAnsi" w:cstheme="majorBidi"/>
          <w:bCs/>
          <w:sz w:val="20"/>
          <w:szCs w:val="20"/>
          <w:bdr w:val="none" w:sz="0" w:space="0" w:color="auto"/>
          <w:lang w:val="pt-BR" w:eastAsia="es-ES"/>
        </w:rPr>
        <w:t>ecu</w:t>
      </w:r>
      <w:r w:rsidR="00CF037E" w:rsidRPr="006D1C74">
        <w:rPr>
          <w:rFonts w:asciiTheme="majorHAnsi" w:eastAsia="Batang" w:hAnsiTheme="majorHAnsi" w:cstheme="majorBidi"/>
          <w:bCs/>
          <w:sz w:val="20"/>
          <w:szCs w:val="20"/>
          <w:bdr w:val="none" w:sz="0" w:space="0" w:color="auto"/>
          <w:lang w:val="pt-BR" w:eastAsia="es-ES"/>
        </w:rPr>
        <w:t>ção</w:t>
      </w:r>
      <w:r w:rsidR="002649F0" w:rsidRPr="006D1C74">
        <w:rPr>
          <w:rFonts w:asciiTheme="majorHAnsi" w:eastAsia="Batang" w:hAnsiTheme="majorHAnsi" w:cstheme="majorBidi"/>
          <w:bCs/>
          <w:sz w:val="20"/>
          <w:szCs w:val="20"/>
          <w:bdr w:val="none" w:sz="0" w:space="0" w:color="auto"/>
          <w:lang w:val="pt-BR" w:eastAsia="es-ES"/>
        </w:rPr>
        <w:t>,</w:t>
      </w:r>
      <w:r w:rsidR="00700267" w:rsidRPr="006D1C74">
        <w:rPr>
          <w:rFonts w:asciiTheme="majorHAnsi" w:eastAsia="Batang" w:hAnsiTheme="majorHAnsi" w:cstheme="majorBidi"/>
          <w:bCs/>
          <w:sz w:val="20"/>
          <w:szCs w:val="20"/>
          <w:bdr w:val="none" w:sz="0" w:space="0" w:color="auto"/>
          <w:lang w:val="pt-BR" w:eastAsia="es-ES"/>
        </w:rPr>
        <w:t xml:space="preserve"> a </w:t>
      </w:r>
      <w:r w:rsidR="002649F0" w:rsidRPr="006D1C74">
        <w:rPr>
          <w:rFonts w:asciiTheme="majorHAnsi" w:eastAsia="Batang" w:hAnsiTheme="majorHAnsi" w:cstheme="majorBidi"/>
          <w:bCs/>
          <w:sz w:val="20"/>
          <w:szCs w:val="20"/>
          <w:bdr w:val="none" w:sz="0" w:space="0" w:color="auto"/>
          <w:lang w:val="pt-BR" w:eastAsia="es-ES"/>
        </w:rPr>
        <w:t>contad</w:t>
      </w:r>
      <w:r w:rsidR="00355F01" w:rsidRPr="006D1C74">
        <w:rPr>
          <w:rFonts w:asciiTheme="majorHAnsi" w:eastAsia="Batang" w:hAnsiTheme="majorHAnsi" w:cstheme="majorBidi"/>
          <w:bCs/>
          <w:sz w:val="20"/>
          <w:szCs w:val="20"/>
          <w:bdr w:val="none" w:sz="0" w:space="0" w:color="auto"/>
          <w:lang w:val="pt-BR" w:eastAsia="es-ES"/>
        </w:rPr>
        <w:t>o</w:t>
      </w:r>
      <w:r w:rsidR="002649F0" w:rsidRPr="006D1C74">
        <w:rPr>
          <w:rFonts w:asciiTheme="majorHAnsi" w:eastAsia="Batang" w:hAnsiTheme="majorHAnsi" w:cstheme="majorBidi"/>
          <w:bCs/>
          <w:sz w:val="20"/>
          <w:szCs w:val="20"/>
          <w:bdr w:val="none" w:sz="0" w:space="0" w:color="auto"/>
          <w:lang w:val="pt-BR" w:eastAsia="es-ES"/>
        </w:rPr>
        <w:t>r</w:t>
      </w:r>
      <w:r w:rsidR="00055622" w:rsidRPr="006D1C74">
        <w:rPr>
          <w:rFonts w:asciiTheme="majorHAnsi" w:eastAsia="Batang" w:hAnsiTheme="majorHAnsi" w:cstheme="majorBidi"/>
          <w:bCs/>
          <w:sz w:val="20"/>
          <w:szCs w:val="20"/>
          <w:bdr w:val="none" w:sz="0" w:space="0" w:color="auto"/>
          <w:lang w:val="pt-BR" w:eastAsia="es-ES"/>
        </w:rPr>
        <w:t>ia</w:t>
      </w:r>
      <w:r w:rsidR="002649F0" w:rsidRPr="006D1C74">
        <w:rPr>
          <w:rFonts w:asciiTheme="majorHAnsi" w:eastAsia="Batang" w:hAnsiTheme="majorHAnsi" w:cstheme="majorBidi"/>
          <w:bCs/>
          <w:sz w:val="20"/>
          <w:szCs w:val="20"/>
          <w:bdr w:val="none" w:sz="0" w:space="0" w:color="auto"/>
          <w:lang w:val="pt-BR" w:eastAsia="es-ES"/>
        </w:rPr>
        <w:t xml:space="preserve"> judicial atualiz</w:t>
      </w:r>
      <w:r w:rsidR="00355F01" w:rsidRPr="006D1C74">
        <w:rPr>
          <w:rFonts w:asciiTheme="majorHAnsi" w:eastAsia="Batang" w:hAnsiTheme="majorHAnsi" w:cstheme="majorBidi"/>
          <w:bCs/>
          <w:sz w:val="20"/>
          <w:szCs w:val="20"/>
          <w:bdr w:val="none" w:sz="0" w:space="0" w:color="auto"/>
          <w:lang w:val="pt-BR" w:eastAsia="es-ES"/>
        </w:rPr>
        <w:t>ou</w:t>
      </w:r>
      <w:r w:rsidR="00700267" w:rsidRPr="006D1C74">
        <w:rPr>
          <w:rFonts w:asciiTheme="majorHAnsi" w:eastAsia="Batang" w:hAnsiTheme="majorHAnsi" w:cstheme="majorBidi"/>
          <w:bCs/>
          <w:sz w:val="20"/>
          <w:szCs w:val="20"/>
          <w:bdr w:val="none" w:sz="0" w:space="0" w:color="auto"/>
          <w:lang w:val="pt-BR" w:eastAsia="es-ES"/>
        </w:rPr>
        <w:t xml:space="preserve"> os </w:t>
      </w:r>
      <w:r w:rsidR="00355F01" w:rsidRPr="006D1C74">
        <w:rPr>
          <w:rFonts w:asciiTheme="majorHAnsi" w:eastAsia="Batang" w:hAnsiTheme="majorHAnsi" w:cstheme="majorBidi"/>
          <w:bCs/>
          <w:sz w:val="20"/>
          <w:szCs w:val="20"/>
          <w:bdr w:val="none" w:sz="0" w:space="0" w:color="auto"/>
          <w:lang w:val="pt-BR" w:eastAsia="es-ES"/>
        </w:rPr>
        <w:t>valores</w:t>
      </w:r>
      <w:r w:rsidR="00795010" w:rsidRPr="006D1C74">
        <w:rPr>
          <w:rFonts w:asciiTheme="majorHAnsi" w:eastAsia="Batang" w:hAnsiTheme="majorHAnsi" w:cstheme="majorBidi"/>
          <w:bCs/>
          <w:sz w:val="20"/>
          <w:szCs w:val="20"/>
          <w:bdr w:val="none" w:sz="0" w:space="0" w:color="auto"/>
          <w:lang w:val="pt-BR" w:eastAsia="es-ES"/>
        </w:rPr>
        <w:t xml:space="preserve"> da </w:t>
      </w:r>
      <w:r w:rsidR="002649F0" w:rsidRPr="006D1C74">
        <w:rPr>
          <w:rFonts w:asciiTheme="majorHAnsi" w:eastAsia="Batang" w:hAnsiTheme="majorHAnsi" w:cstheme="majorBidi"/>
          <w:bCs/>
          <w:sz w:val="20"/>
          <w:szCs w:val="20"/>
          <w:bdr w:val="none" w:sz="0" w:space="0" w:color="auto"/>
          <w:lang w:val="pt-BR" w:eastAsia="es-ES"/>
        </w:rPr>
        <w:t>condena</w:t>
      </w:r>
      <w:r w:rsidR="00355F01" w:rsidRPr="006D1C74">
        <w:rPr>
          <w:rFonts w:asciiTheme="majorHAnsi" w:eastAsia="Batang" w:hAnsiTheme="majorHAnsi" w:cstheme="majorBidi"/>
          <w:bCs/>
          <w:sz w:val="20"/>
          <w:szCs w:val="20"/>
          <w:bdr w:val="none" w:sz="0" w:space="0" w:color="auto"/>
          <w:lang w:val="pt-BR" w:eastAsia="es-ES"/>
        </w:rPr>
        <w:t>ção</w:t>
      </w:r>
      <w:r w:rsidR="002649F0" w:rsidRPr="006D1C74">
        <w:rPr>
          <w:rFonts w:asciiTheme="majorHAnsi" w:eastAsia="Batang" w:hAnsiTheme="majorHAnsi" w:cstheme="majorBidi"/>
          <w:bCs/>
          <w:sz w:val="20"/>
          <w:szCs w:val="20"/>
          <w:bdr w:val="none" w:sz="0" w:space="0" w:color="auto"/>
          <w:lang w:val="pt-BR" w:eastAsia="es-ES"/>
        </w:rPr>
        <w:t xml:space="preserve">. </w:t>
      </w:r>
      <w:r w:rsidR="00B65A5D" w:rsidRPr="006D1C74">
        <w:rPr>
          <w:rFonts w:asciiTheme="majorHAnsi" w:eastAsia="Batang" w:hAnsiTheme="majorHAnsi" w:cstheme="majorBidi"/>
          <w:bCs/>
          <w:sz w:val="20"/>
          <w:szCs w:val="20"/>
          <w:bdr w:val="none" w:sz="0" w:space="0" w:color="auto"/>
          <w:lang w:val="pt-BR" w:eastAsia="es-ES"/>
        </w:rPr>
        <w:t>Em</w:t>
      </w:r>
      <w:r w:rsidR="002649F0" w:rsidRPr="006D1C74">
        <w:rPr>
          <w:rFonts w:asciiTheme="majorHAnsi" w:eastAsia="Batang" w:hAnsiTheme="majorHAnsi" w:cstheme="majorBidi"/>
          <w:bCs/>
          <w:sz w:val="20"/>
          <w:szCs w:val="20"/>
          <w:bdr w:val="none" w:sz="0" w:space="0" w:color="auto"/>
          <w:lang w:val="pt-BR" w:eastAsia="es-ES"/>
        </w:rPr>
        <w:t xml:space="preserve"> 17 de abril de 2019,</w:t>
      </w:r>
      <w:r w:rsidR="00700267" w:rsidRPr="006D1C74">
        <w:rPr>
          <w:rFonts w:asciiTheme="majorHAnsi" w:eastAsia="Batang" w:hAnsiTheme="majorHAnsi" w:cstheme="majorBidi"/>
          <w:bCs/>
          <w:sz w:val="20"/>
          <w:szCs w:val="20"/>
          <w:bdr w:val="none" w:sz="0" w:space="0" w:color="auto"/>
          <w:lang w:val="pt-BR" w:eastAsia="es-ES"/>
        </w:rPr>
        <w:t xml:space="preserve"> o </w:t>
      </w:r>
      <w:r w:rsidR="002649F0" w:rsidRPr="006D1C74">
        <w:rPr>
          <w:rFonts w:asciiTheme="majorHAnsi" w:eastAsia="Batang" w:hAnsiTheme="majorHAnsi" w:cstheme="majorBidi"/>
          <w:bCs/>
          <w:sz w:val="20"/>
          <w:szCs w:val="20"/>
          <w:bdr w:val="none" w:sz="0" w:space="0" w:color="auto"/>
          <w:lang w:val="pt-BR" w:eastAsia="es-ES"/>
        </w:rPr>
        <w:t>magistrado homolog</w:t>
      </w:r>
      <w:r w:rsidR="00466630" w:rsidRPr="006D1C74">
        <w:rPr>
          <w:rFonts w:asciiTheme="majorHAnsi" w:eastAsia="Batang" w:hAnsiTheme="majorHAnsi" w:cstheme="majorBidi"/>
          <w:bCs/>
          <w:sz w:val="20"/>
          <w:szCs w:val="20"/>
          <w:bdr w:val="none" w:sz="0" w:space="0" w:color="auto"/>
          <w:lang w:val="pt-BR" w:eastAsia="es-ES"/>
        </w:rPr>
        <w:t>ou</w:t>
      </w:r>
      <w:r w:rsidR="002649F0" w:rsidRPr="006D1C74">
        <w:rPr>
          <w:rFonts w:asciiTheme="majorHAnsi" w:eastAsia="Batang" w:hAnsiTheme="majorHAnsi"/>
          <w:bCs/>
          <w:sz w:val="20"/>
          <w:szCs w:val="20"/>
          <w:bdr w:val="none" w:sz="0" w:space="0" w:color="auto"/>
          <w:vertAlign w:val="superscript"/>
          <w:lang w:val="pt-BR" w:eastAsia="es-ES"/>
        </w:rPr>
        <w:footnoteReference w:id="50"/>
      </w:r>
      <w:r w:rsidR="00700267" w:rsidRPr="006D1C74">
        <w:rPr>
          <w:rFonts w:asciiTheme="majorHAnsi" w:eastAsia="Batang" w:hAnsiTheme="majorHAnsi" w:cstheme="majorBidi"/>
          <w:bCs/>
          <w:sz w:val="20"/>
          <w:szCs w:val="20"/>
          <w:bdr w:val="none" w:sz="0" w:space="0" w:color="auto"/>
          <w:lang w:val="pt-BR" w:eastAsia="es-ES"/>
        </w:rPr>
        <w:t xml:space="preserve"> os </w:t>
      </w:r>
      <w:r w:rsidR="002649F0" w:rsidRPr="006D1C74">
        <w:rPr>
          <w:rFonts w:asciiTheme="majorHAnsi" w:eastAsia="Batang" w:hAnsiTheme="majorHAnsi" w:cstheme="majorBidi"/>
          <w:bCs/>
          <w:sz w:val="20"/>
          <w:szCs w:val="20"/>
          <w:bdr w:val="none" w:sz="0" w:space="0" w:color="auto"/>
          <w:lang w:val="pt-BR" w:eastAsia="es-ES"/>
        </w:rPr>
        <w:t>cálculos</w:t>
      </w:r>
      <w:r w:rsidR="00CF037E" w:rsidRPr="006D1C74">
        <w:rPr>
          <w:rFonts w:asciiTheme="majorHAnsi" w:eastAsia="Batang" w:hAnsiTheme="majorHAnsi" w:cstheme="majorBidi"/>
          <w:bCs/>
          <w:sz w:val="20"/>
          <w:szCs w:val="20"/>
          <w:bdr w:val="none" w:sz="0" w:space="0" w:color="auto"/>
          <w:lang w:val="pt-BR" w:eastAsia="es-ES"/>
        </w:rPr>
        <w:t xml:space="preserve"> e </w:t>
      </w:r>
      <w:r w:rsidR="002649F0" w:rsidRPr="006D1C74">
        <w:rPr>
          <w:rFonts w:asciiTheme="majorHAnsi" w:eastAsia="Batang" w:hAnsiTheme="majorHAnsi" w:cstheme="majorBidi"/>
          <w:bCs/>
          <w:sz w:val="20"/>
          <w:szCs w:val="20"/>
          <w:bdr w:val="none" w:sz="0" w:space="0" w:color="auto"/>
          <w:lang w:val="pt-BR" w:eastAsia="es-ES"/>
        </w:rPr>
        <w:t>fi</w:t>
      </w:r>
      <w:r w:rsidR="00466630" w:rsidRPr="006D1C74">
        <w:rPr>
          <w:rFonts w:asciiTheme="majorHAnsi" w:eastAsia="Batang" w:hAnsiTheme="majorHAnsi" w:cstheme="majorBidi"/>
          <w:bCs/>
          <w:sz w:val="20"/>
          <w:szCs w:val="20"/>
          <w:bdr w:val="none" w:sz="0" w:space="0" w:color="auto"/>
          <w:lang w:val="pt-BR" w:eastAsia="es-ES"/>
        </w:rPr>
        <w:t>xou</w:t>
      </w:r>
      <w:r w:rsidR="00700267" w:rsidRPr="006D1C74">
        <w:rPr>
          <w:rFonts w:asciiTheme="majorHAnsi" w:eastAsia="Batang" w:hAnsiTheme="majorHAnsi" w:cstheme="majorBidi"/>
          <w:bCs/>
          <w:sz w:val="20"/>
          <w:szCs w:val="20"/>
          <w:bdr w:val="none" w:sz="0" w:space="0" w:color="auto"/>
          <w:lang w:val="pt-BR" w:eastAsia="es-ES"/>
        </w:rPr>
        <w:t xml:space="preserve"> o </w:t>
      </w:r>
      <w:r w:rsidR="00466630" w:rsidRPr="006D1C74">
        <w:rPr>
          <w:rFonts w:asciiTheme="majorHAnsi" w:eastAsia="Batang" w:hAnsiTheme="majorHAnsi" w:cstheme="majorBidi"/>
          <w:bCs/>
          <w:sz w:val="20"/>
          <w:szCs w:val="20"/>
          <w:bdr w:val="none" w:sz="0" w:space="0" w:color="auto"/>
          <w:lang w:val="pt-BR" w:eastAsia="es-ES"/>
        </w:rPr>
        <w:t>valor</w:t>
      </w:r>
      <w:r w:rsidR="002649F0" w:rsidRPr="006D1C74">
        <w:rPr>
          <w:rFonts w:asciiTheme="majorHAnsi" w:eastAsia="Batang" w:hAnsiTheme="majorHAnsi" w:cstheme="majorBidi"/>
          <w:bCs/>
          <w:sz w:val="20"/>
          <w:szCs w:val="20"/>
          <w:bdr w:val="none" w:sz="0" w:space="0" w:color="auto"/>
          <w:lang w:val="pt-BR" w:eastAsia="es-ES"/>
        </w:rPr>
        <w:t xml:space="preserve"> de </w:t>
      </w:r>
      <w:r w:rsidR="00466630" w:rsidRPr="006D1C74">
        <w:rPr>
          <w:rFonts w:asciiTheme="majorHAnsi" w:eastAsia="Batang" w:hAnsiTheme="majorHAnsi" w:cstheme="majorBidi"/>
          <w:bCs/>
          <w:sz w:val="20"/>
          <w:szCs w:val="20"/>
          <w:bdr w:val="none" w:sz="0" w:space="0" w:color="auto"/>
          <w:lang w:val="pt-BR" w:eastAsia="es-ES"/>
        </w:rPr>
        <w:t>q</w:t>
      </w:r>
      <w:r w:rsidR="002649F0" w:rsidRPr="006D1C74">
        <w:rPr>
          <w:rFonts w:asciiTheme="majorHAnsi" w:eastAsia="Batang" w:hAnsiTheme="majorHAnsi" w:cstheme="majorBidi"/>
          <w:bCs/>
          <w:sz w:val="20"/>
          <w:szCs w:val="20"/>
          <w:bdr w:val="none" w:sz="0" w:space="0" w:color="auto"/>
          <w:lang w:val="pt-BR" w:eastAsia="es-ES"/>
        </w:rPr>
        <w:t xml:space="preserve">uatrocentos </w:t>
      </w:r>
      <w:r w:rsidR="00466630" w:rsidRPr="006D1C74">
        <w:rPr>
          <w:rFonts w:asciiTheme="majorHAnsi" w:eastAsia="Batang" w:hAnsiTheme="majorHAnsi" w:cstheme="majorBidi"/>
          <w:bCs/>
          <w:sz w:val="20"/>
          <w:szCs w:val="20"/>
          <w:bdr w:val="none" w:sz="0" w:space="0" w:color="auto"/>
          <w:lang w:val="pt-BR" w:eastAsia="es-ES"/>
        </w:rPr>
        <w:t xml:space="preserve">e </w:t>
      </w:r>
      <w:r w:rsidR="002649F0" w:rsidRPr="006D1C74">
        <w:rPr>
          <w:rFonts w:asciiTheme="majorHAnsi" w:eastAsia="Batang" w:hAnsiTheme="majorHAnsi" w:cstheme="majorBidi"/>
          <w:bCs/>
          <w:sz w:val="20"/>
          <w:szCs w:val="20"/>
          <w:bdr w:val="none" w:sz="0" w:space="0" w:color="auto"/>
          <w:lang w:val="pt-BR" w:eastAsia="es-ES"/>
        </w:rPr>
        <w:t>setenta</w:t>
      </w:r>
      <w:r w:rsidR="00CF037E" w:rsidRPr="006D1C74">
        <w:rPr>
          <w:rFonts w:asciiTheme="majorHAnsi" w:eastAsia="Batang" w:hAnsiTheme="majorHAnsi" w:cstheme="majorBidi"/>
          <w:bCs/>
          <w:sz w:val="20"/>
          <w:szCs w:val="20"/>
          <w:bdr w:val="none" w:sz="0" w:space="0" w:color="auto"/>
          <w:lang w:val="pt-BR" w:eastAsia="es-ES"/>
        </w:rPr>
        <w:t xml:space="preserve"> e </w:t>
      </w:r>
      <w:r w:rsidR="002649F0" w:rsidRPr="006D1C74">
        <w:rPr>
          <w:rFonts w:asciiTheme="majorHAnsi" w:eastAsia="Batang" w:hAnsiTheme="majorHAnsi" w:cstheme="majorBidi"/>
          <w:bCs/>
          <w:sz w:val="20"/>
          <w:szCs w:val="20"/>
          <w:bdr w:val="none" w:sz="0" w:space="0" w:color="auto"/>
          <w:lang w:val="pt-BR" w:eastAsia="es-ES"/>
        </w:rPr>
        <w:t>do</w:t>
      </w:r>
      <w:r w:rsidR="00466630" w:rsidRPr="006D1C74">
        <w:rPr>
          <w:rFonts w:asciiTheme="majorHAnsi" w:eastAsia="Batang" w:hAnsiTheme="majorHAnsi" w:cstheme="majorBidi"/>
          <w:bCs/>
          <w:sz w:val="20"/>
          <w:szCs w:val="20"/>
          <w:bdr w:val="none" w:sz="0" w:space="0" w:color="auto"/>
          <w:lang w:val="pt-BR" w:eastAsia="es-ES"/>
        </w:rPr>
        <w:t>i</w:t>
      </w:r>
      <w:r w:rsidR="002649F0" w:rsidRPr="006D1C74">
        <w:rPr>
          <w:rFonts w:asciiTheme="majorHAnsi" w:eastAsia="Batang" w:hAnsiTheme="majorHAnsi" w:cstheme="majorBidi"/>
          <w:bCs/>
          <w:sz w:val="20"/>
          <w:szCs w:val="20"/>
          <w:bdr w:val="none" w:sz="0" w:space="0" w:color="auto"/>
          <w:lang w:val="pt-BR" w:eastAsia="es-ES"/>
        </w:rPr>
        <w:t>s mil</w:t>
      </w:r>
      <w:r w:rsidR="00466630" w:rsidRPr="006D1C74">
        <w:rPr>
          <w:rFonts w:asciiTheme="majorHAnsi" w:eastAsia="Batang" w:hAnsiTheme="majorHAnsi" w:cstheme="majorBidi"/>
          <w:bCs/>
          <w:sz w:val="20"/>
          <w:szCs w:val="20"/>
          <w:bdr w:val="none" w:sz="0" w:space="0" w:color="auto"/>
          <w:lang w:val="pt-BR" w:eastAsia="es-ES"/>
        </w:rPr>
        <w:t>,</w:t>
      </w:r>
      <w:r w:rsidR="002649F0" w:rsidRPr="006D1C74">
        <w:rPr>
          <w:rFonts w:asciiTheme="majorHAnsi" w:eastAsia="Batang" w:hAnsiTheme="majorHAnsi" w:cstheme="majorBidi"/>
          <w:bCs/>
          <w:sz w:val="20"/>
          <w:szCs w:val="20"/>
          <w:bdr w:val="none" w:sz="0" w:space="0" w:color="auto"/>
          <w:lang w:val="pt-BR" w:eastAsia="es-ES"/>
        </w:rPr>
        <w:t xml:space="preserve"> seiscentos </w:t>
      </w:r>
      <w:r w:rsidR="00466630" w:rsidRPr="006D1C74">
        <w:rPr>
          <w:rFonts w:asciiTheme="majorHAnsi" w:eastAsia="Batang" w:hAnsiTheme="majorHAnsi" w:cstheme="majorBidi"/>
          <w:bCs/>
          <w:sz w:val="20"/>
          <w:szCs w:val="20"/>
          <w:bdr w:val="none" w:sz="0" w:space="0" w:color="auto"/>
          <w:lang w:val="pt-BR" w:eastAsia="es-ES"/>
        </w:rPr>
        <w:t xml:space="preserve">e </w:t>
      </w:r>
      <w:r w:rsidR="002649F0" w:rsidRPr="006D1C74">
        <w:rPr>
          <w:rFonts w:asciiTheme="majorHAnsi" w:eastAsia="Batang" w:hAnsiTheme="majorHAnsi" w:cstheme="majorBidi"/>
          <w:bCs/>
          <w:sz w:val="20"/>
          <w:szCs w:val="20"/>
          <w:bdr w:val="none" w:sz="0" w:space="0" w:color="auto"/>
          <w:lang w:val="pt-BR" w:eastAsia="es-ES"/>
        </w:rPr>
        <w:t>setenta</w:t>
      </w:r>
      <w:r w:rsidR="00CF037E" w:rsidRPr="006D1C74">
        <w:rPr>
          <w:rFonts w:asciiTheme="majorHAnsi" w:eastAsia="Batang" w:hAnsiTheme="majorHAnsi" w:cstheme="majorBidi"/>
          <w:bCs/>
          <w:sz w:val="20"/>
          <w:szCs w:val="20"/>
          <w:bdr w:val="none" w:sz="0" w:space="0" w:color="auto"/>
          <w:lang w:val="pt-BR" w:eastAsia="es-ES"/>
        </w:rPr>
        <w:t xml:space="preserve"> e </w:t>
      </w:r>
      <w:r w:rsidR="002649F0" w:rsidRPr="006D1C74">
        <w:rPr>
          <w:rFonts w:asciiTheme="majorHAnsi" w:eastAsia="Batang" w:hAnsiTheme="majorHAnsi" w:cstheme="majorBidi"/>
          <w:bCs/>
          <w:sz w:val="20"/>
          <w:szCs w:val="20"/>
          <w:bdr w:val="none" w:sz="0" w:space="0" w:color="auto"/>
          <w:lang w:val="pt-BR" w:eastAsia="es-ES"/>
        </w:rPr>
        <w:t>seis re</w:t>
      </w:r>
      <w:r w:rsidR="00700267" w:rsidRPr="006D1C74">
        <w:rPr>
          <w:rFonts w:asciiTheme="majorHAnsi" w:eastAsia="Batang" w:hAnsiTheme="majorHAnsi" w:cstheme="majorBidi"/>
          <w:bCs/>
          <w:sz w:val="20"/>
          <w:szCs w:val="20"/>
          <w:bdr w:val="none" w:sz="0" w:space="0" w:color="auto"/>
          <w:lang w:val="pt-BR" w:eastAsia="es-ES"/>
        </w:rPr>
        <w:t>ais</w:t>
      </w:r>
      <w:r w:rsidR="00F673C7" w:rsidRPr="006D1C74">
        <w:rPr>
          <w:rFonts w:asciiTheme="majorHAnsi" w:eastAsia="Batang" w:hAnsiTheme="majorHAnsi" w:cstheme="majorBidi"/>
          <w:bCs/>
          <w:sz w:val="20"/>
          <w:szCs w:val="20"/>
          <w:bdr w:val="none" w:sz="0" w:space="0" w:color="auto"/>
          <w:lang w:val="pt-BR" w:eastAsia="es-ES"/>
        </w:rPr>
        <w:t xml:space="preserve"> </w:t>
      </w:r>
      <w:r w:rsidR="00466630" w:rsidRPr="006D1C74">
        <w:rPr>
          <w:rFonts w:asciiTheme="majorHAnsi" w:eastAsia="Batang" w:hAnsiTheme="majorHAnsi" w:cstheme="majorBidi"/>
          <w:bCs/>
          <w:sz w:val="20"/>
          <w:szCs w:val="20"/>
          <w:bdr w:val="none" w:sz="0" w:space="0" w:color="auto"/>
          <w:lang w:val="pt-BR" w:eastAsia="es-ES"/>
        </w:rPr>
        <w:t>e</w:t>
      </w:r>
      <w:r w:rsidR="00F673C7" w:rsidRPr="006D1C74">
        <w:rPr>
          <w:rFonts w:asciiTheme="majorHAnsi" w:eastAsia="Batang" w:hAnsiTheme="majorHAnsi" w:cstheme="majorBidi"/>
          <w:bCs/>
          <w:sz w:val="20"/>
          <w:szCs w:val="20"/>
          <w:bdr w:val="none" w:sz="0" w:space="0" w:color="auto"/>
          <w:lang w:val="pt-BR" w:eastAsia="es-ES"/>
        </w:rPr>
        <w:t xml:space="preserve"> </w:t>
      </w:r>
      <w:r w:rsidR="00466630" w:rsidRPr="006D1C74">
        <w:rPr>
          <w:rFonts w:asciiTheme="majorHAnsi" w:eastAsia="Batang" w:hAnsiTheme="majorHAnsi" w:cstheme="majorBidi"/>
          <w:bCs/>
          <w:sz w:val="20"/>
          <w:szCs w:val="20"/>
          <w:bdr w:val="none" w:sz="0" w:space="0" w:color="auto"/>
          <w:lang w:val="pt-BR" w:eastAsia="es-ES"/>
        </w:rPr>
        <w:t>q</w:t>
      </w:r>
      <w:r w:rsidR="002649F0" w:rsidRPr="006D1C74">
        <w:rPr>
          <w:rFonts w:asciiTheme="majorHAnsi" w:eastAsia="Batang" w:hAnsiTheme="majorHAnsi" w:cstheme="majorBidi"/>
          <w:bCs/>
          <w:sz w:val="20"/>
          <w:szCs w:val="20"/>
          <w:bdr w:val="none" w:sz="0" w:space="0" w:color="auto"/>
          <w:lang w:val="pt-BR" w:eastAsia="es-ES"/>
        </w:rPr>
        <w:t>uarenta centavos, referentes a da</w:t>
      </w:r>
      <w:r w:rsidR="00466630" w:rsidRPr="006D1C74">
        <w:rPr>
          <w:rFonts w:asciiTheme="majorHAnsi" w:eastAsia="Batang" w:hAnsiTheme="majorHAnsi" w:cstheme="majorBidi"/>
          <w:bCs/>
          <w:sz w:val="20"/>
          <w:szCs w:val="20"/>
          <w:bdr w:val="none" w:sz="0" w:space="0" w:color="auto"/>
          <w:lang w:val="pt-BR" w:eastAsia="es-ES"/>
        </w:rPr>
        <w:t>n</w:t>
      </w:r>
      <w:r w:rsidR="002649F0" w:rsidRPr="006D1C74">
        <w:rPr>
          <w:rFonts w:asciiTheme="majorHAnsi" w:eastAsia="Batang" w:hAnsiTheme="majorHAnsi" w:cstheme="majorBidi"/>
          <w:bCs/>
          <w:sz w:val="20"/>
          <w:szCs w:val="20"/>
          <w:bdr w:val="none" w:sz="0" w:space="0" w:color="auto"/>
          <w:lang w:val="pt-BR" w:eastAsia="es-ES"/>
        </w:rPr>
        <w:t>os mor</w:t>
      </w:r>
      <w:r w:rsidR="00700267" w:rsidRPr="006D1C74">
        <w:rPr>
          <w:rFonts w:asciiTheme="majorHAnsi" w:eastAsia="Batang" w:hAnsiTheme="majorHAnsi" w:cstheme="majorBidi"/>
          <w:bCs/>
          <w:sz w:val="20"/>
          <w:szCs w:val="20"/>
          <w:bdr w:val="none" w:sz="0" w:space="0" w:color="auto"/>
          <w:lang w:val="pt-BR" w:eastAsia="es-ES"/>
        </w:rPr>
        <w:t>ais</w:t>
      </w:r>
      <w:r w:rsidR="00CF037E" w:rsidRPr="006D1C74">
        <w:rPr>
          <w:rFonts w:asciiTheme="majorHAnsi" w:eastAsia="Batang" w:hAnsiTheme="majorHAnsi" w:cstheme="majorBidi"/>
          <w:bCs/>
          <w:sz w:val="20"/>
          <w:szCs w:val="20"/>
          <w:bdr w:val="none" w:sz="0" w:space="0" w:color="auto"/>
          <w:lang w:val="pt-BR" w:eastAsia="es-ES"/>
        </w:rPr>
        <w:t xml:space="preserve"> e </w:t>
      </w:r>
      <w:r w:rsidR="002649F0" w:rsidRPr="006D1C74">
        <w:rPr>
          <w:rFonts w:asciiTheme="majorHAnsi" w:eastAsia="Batang" w:hAnsiTheme="majorHAnsi" w:cstheme="majorBidi"/>
          <w:bCs/>
          <w:sz w:val="20"/>
          <w:szCs w:val="20"/>
          <w:bdr w:val="none" w:sz="0" w:space="0" w:color="auto"/>
          <w:lang w:val="pt-BR" w:eastAsia="es-ES"/>
        </w:rPr>
        <w:t>pens</w:t>
      </w:r>
      <w:r w:rsidR="00466630" w:rsidRPr="006D1C74">
        <w:rPr>
          <w:rFonts w:asciiTheme="majorHAnsi" w:eastAsia="Batang" w:hAnsiTheme="majorHAnsi" w:cstheme="majorBidi"/>
          <w:bCs/>
          <w:sz w:val="20"/>
          <w:szCs w:val="20"/>
          <w:bdr w:val="none" w:sz="0" w:space="0" w:color="auto"/>
          <w:lang w:val="pt-BR" w:eastAsia="es-ES"/>
        </w:rPr>
        <w:t>õ</w:t>
      </w:r>
      <w:r w:rsidR="002649F0" w:rsidRPr="006D1C74">
        <w:rPr>
          <w:rFonts w:asciiTheme="majorHAnsi" w:eastAsia="Batang" w:hAnsiTheme="majorHAnsi" w:cstheme="majorBidi"/>
          <w:bCs/>
          <w:sz w:val="20"/>
          <w:szCs w:val="20"/>
          <w:bdr w:val="none" w:sz="0" w:space="0" w:color="auto"/>
          <w:lang w:val="pt-BR" w:eastAsia="es-ES"/>
        </w:rPr>
        <w:t>es vencidas, a ser inscrito</w:t>
      </w:r>
      <w:r w:rsidR="00F673C7" w:rsidRPr="006D1C74">
        <w:rPr>
          <w:rFonts w:asciiTheme="majorHAnsi" w:eastAsia="Batang" w:hAnsiTheme="majorHAnsi" w:cstheme="majorBidi"/>
          <w:bCs/>
          <w:sz w:val="20"/>
          <w:szCs w:val="20"/>
          <w:bdr w:val="none" w:sz="0" w:space="0" w:color="auto"/>
          <w:lang w:val="pt-BR" w:eastAsia="es-ES"/>
        </w:rPr>
        <w:t xml:space="preserve"> em </w:t>
      </w:r>
      <w:r w:rsidR="00466630" w:rsidRPr="006D1C74">
        <w:rPr>
          <w:rFonts w:asciiTheme="majorHAnsi" w:eastAsia="Batang" w:hAnsiTheme="majorHAnsi" w:cstheme="majorBidi"/>
          <w:bCs/>
          <w:sz w:val="20"/>
          <w:szCs w:val="20"/>
          <w:bdr w:val="none" w:sz="0" w:space="0" w:color="auto"/>
          <w:lang w:val="pt-BR" w:eastAsia="es-ES"/>
        </w:rPr>
        <w:t>o</w:t>
      </w:r>
      <w:r w:rsidR="002649F0" w:rsidRPr="006D1C74">
        <w:rPr>
          <w:rFonts w:asciiTheme="majorHAnsi" w:eastAsia="Batang" w:hAnsiTheme="majorHAnsi" w:cstheme="majorBidi"/>
          <w:bCs/>
          <w:sz w:val="20"/>
          <w:szCs w:val="20"/>
          <w:bdr w:val="none" w:sz="0" w:space="0" w:color="auto"/>
          <w:lang w:val="pt-BR" w:eastAsia="es-ES"/>
        </w:rPr>
        <w:t>rdens de pag</w:t>
      </w:r>
      <w:r w:rsidR="00466630" w:rsidRPr="006D1C74">
        <w:rPr>
          <w:rFonts w:asciiTheme="majorHAnsi" w:eastAsia="Batang" w:hAnsiTheme="majorHAnsi" w:cstheme="majorBidi"/>
          <w:bCs/>
          <w:sz w:val="20"/>
          <w:szCs w:val="20"/>
          <w:bdr w:val="none" w:sz="0" w:space="0" w:color="auto"/>
          <w:lang w:val="pt-BR" w:eastAsia="es-ES"/>
        </w:rPr>
        <w:t>ament</w:t>
      </w:r>
      <w:r w:rsidR="002649F0" w:rsidRPr="006D1C74">
        <w:rPr>
          <w:rFonts w:asciiTheme="majorHAnsi" w:eastAsia="Batang" w:hAnsiTheme="majorHAnsi" w:cstheme="majorBidi"/>
          <w:bCs/>
          <w:sz w:val="20"/>
          <w:szCs w:val="20"/>
          <w:bdr w:val="none" w:sz="0" w:space="0" w:color="auto"/>
          <w:lang w:val="pt-BR" w:eastAsia="es-ES"/>
        </w:rPr>
        <w:t>o a favor</w:t>
      </w:r>
      <w:r w:rsidR="00795010" w:rsidRPr="006D1C74">
        <w:rPr>
          <w:rFonts w:asciiTheme="majorHAnsi" w:eastAsia="Batang" w:hAnsiTheme="majorHAnsi" w:cstheme="majorBidi"/>
          <w:bCs/>
          <w:sz w:val="20"/>
          <w:szCs w:val="20"/>
          <w:bdr w:val="none" w:sz="0" w:space="0" w:color="auto"/>
          <w:lang w:val="pt-BR" w:eastAsia="es-ES"/>
        </w:rPr>
        <w:t xml:space="preserve"> da </w:t>
      </w:r>
      <w:r w:rsidR="00E327B7" w:rsidRPr="006D1C74">
        <w:rPr>
          <w:rFonts w:asciiTheme="majorHAnsi" w:eastAsia="Batang" w:hAnsiTheme="majorHAnsi" w:cstheme="majorBidi"/>
          <w:bCs/>
          <w:sz w:val="20"/>
          <w:szCs w:val="20"/>
          <w:bdr w:val="none" w:sz="0" w:space="0" w:color="auto"/>
          <w:lang w:val="pt-BR" w:eastAsia="es-ES"/>
        </w:rPr>
        <w:t>família</w:t>
      </w:r>
      <w:r w:rsidR="002649F0" w:rsidRPr="006D1C74">
        <w:rPr>
          <w:rFonts w:asciiTheme="majorHAnsi" w:eastAsia="Batang" w:hAnsiTheme="majorHAnsi" w:cstheme="majorBidi"/>
          <w:bCs/>
          <w:sz w:val="20"/>
          <w:szCs w:val="20"/>
          <w:bdr w:val="none" w:sz="0" w:space="0" w:color="auto"/>
          <w:lang w:val="pt-BR" w:eastAsia="es-ES"/>
        </w:rPr>
        <w:t xml:space="preserve"> de Antonio Tavares</w:t>
      </w:r>
      <w:r w:rsidR="002649F0" w:rsidRPr="006D1C74">
        <w:rPr>
          <w:rFonts w:asciiTheme="majorHAnsi" w:eastAsia="Batang" w:hAnsiTheme="majorHAnsi"/>
          <w:bCs/>
          <w:sz w:val="20"/>
          <w:szCs w:val="20"/>
          <w:bdr w:val="none" w:sz="0" w:space="0" w:color="auto"/>
          <w:vertAlign w:val="superscript"/>
          <w:lang w:val="pt-BR" w:eastAsia="es-ES"/>
        </w:rPr>
        <w:footnoteReference w:id="51"/>
      </w:r>
      <w:r w:rsidR="002649F0" w:rsidRPr="006D1C74">
        <w:rPr>
          <w:rFonts w:asciiTheme="majorHAnsi" w:eastAsia="Batang" w:hAnsiTheme="majorHAnsi" w:cstheme="majorBidi"/>
          <w:bCs/>
          <w:sz w:val="20"/>
          <w:szCs w:val="20"/>
          <w:bdr w:val="none" w:sz="0" w:space="0" w:color="auto"/>
          <w:lang w:val="pt-BR" w:eastAsia="es-ES"/>
        </w:rPr>
        <w:t>.  Se</w:t>
      </w:r>
      <w:r w:rsidR="00585D35" w:rsidRPr="006D1C74">
        <w:rPr>
          <w:rFonts w:asciiTheme="majorHAnsi" w:eastAsia="Batang" w:hAnsiTheme="majorHAnsi" w:cstheme="majorBidi"/>
          <w:bCs/>
          <w:sz w:val="20"/>
          <w:szCs w:val="20"/>
          <w:bdr w:val="none" w:sz="0" w:space="0" w:color="auto"/>
          <w:lang w:val="pt-BR" w:eastAsia="es-ES"/>
        </w:rPr>
        <w:t>gu</w:t>
      </w:r>
      <w:r w:rsidR="002649F0" w:rsidRPr="006D1C74">
        <w:rPr>
          <w:rFonts w:asciiTheme="majorHAnsi" w:eastAsia="Batang" w:hAnsiTheme="majorHAnsi" w:cstheme="majorBidi"/>
          <w:bCs/>
          <w:sz w:val="20"/>
          <w:szCs w:val="20"/>
          <w:bdr w:val="none" w:sz="0" w:space="0" w:color="auto"/>
          <w:lang w:val="pt-BR" w:eastAsia="es-ES"/>
        </w:rPr>
        <w:t>n</w:t>
      </w:r>
      <w:r w:rsidR="00466630" w:rsidRPr="006D1C74">
        <w:rPr>
          <w:rFonts w:asciiTheme="majorHAnsi" w:eastAsia="Batang" w:hAnsiTheme="majorHAnsi" w:cstheme="majorBidi"/>
          <w:bCs/>
          <w:sz w:val="20"/>
          <w:szCs w:val="20"/>
          <w:bdr w:val="none" w:sz="0" w:space="0" w:color="auto"/>
          <w:lang w:val="pt-BR" w:eastAsia="es-ES"/>
        </w:rPr>
        <w:t>do</w:t>
      </w:r>
      <w:r w:rsidR="00700267" w:rsidRPr="006D1C74">
        <w:rPr>
          <w:rFonts w:asciiTheme="majorHAnsi" w:eastAsia="Batang" w:hAnsiTheme="majorHAnsi" w:cstheme="majorBidi"/>
          <w:bCs/>
          <w:sz w:val="20"/>
          <w:szCs w:val="20"/>
          <w:bdr w:val="none" w:sz="0" w:space="0" w:color="auto"/>
          <w:lang w:val="pt-BR" w:eastAsia="es-ES"/>
        </w:rPr>
        <w:t xml:space="preserve"> a </w:t>
      </w:r>
      <w:r w:rsidR="002649F0" w:rsidRPr="006D1C74">
        <w:rPr>
          <w:rFonts w:asciiTheme="majorHAnsi" w:eastAsia="Batang" w:hAnsiTheme="majorHAnsi" w:cstheme="majorBidi"/>
          <w:bCs/>
          <w:sz w:val="20"/>
          <w:szCs w:val="20"/>
          <w:bdr w:val="none" w:sz="0" w:space="0" w:color="auto"/>
          <w:lang w:val="pt-BR" w:eastAsia="es-ES"/>
        </w:rPr>
        <w:t>informa</w:t>
      </w:r>
      <w:r w:rsidR="00CF037E" w:rsidRPr="006D1C74">
        <w:rPr>
          <w:rFonts w:asciiTheme="majorHAnsi" w:eastAsia="Batang" w:hAnsiTheme="majorHAnsi" w:cstheme="majorBidi"/>
          <w:bCs/>
          <w:sz w:val="20"/>
          <w:szCs w:val="20"/>
          <w:bdr w:val="none" w:sz="0" w:space="0" w:color="auto"/>
          <w:lang w:val="pt-BR" w:eastAsia="es-ES"/>
        </w:rPr>
        <w:t>ção</w:t>
      </w:r>
      <w:r w:rsidR="00F673C7" w:rsidRPr="006D1C74">
        <w:rPr>
          <w:rFonts w:asciiTheme="majorHAnsi" w:eastAsia="Batang" w:hAnsiTheme="majorHAnsi" w:cstheme="majorBidi"/>
          <w:bCs/>
          <w:sz w:val="20"/>
          <w:szCs w:val="20"/>
          <w:bdr w:val="none" w:sz="0" w:space="0" w:color="auto"/>
          <w:lang w:val="pt-BR" w:eastAsia="es-ES"/>
        </w:rPr>
        <w:t xml:space="preserve"> com </w:t>
      </w:r>
      <w:r w:rsidR="002649F0" w:rsidRPr="006D1C74">
        <w:rPr>
          <w:rFonts w:asciiTheme="majorHAnsi" w:eastAsia="Batang" w:hAnsiTheme="majorHAnsi" w:cstheme="majorBidi"/>
          <w:bCs/>
          <w:sz w:val="20"/>
          <w:szCs w:val="20"/>
          <w:bdr w:val="none" w:sz="0" w:space="0" w:color="auto"/>
          <w:lang w:val="pt-BR" w:eastAsia="es-ES"/>
        </w:rPr>
        <w:t>que c</w:t>
      </w:r>
      <w:r w:rsidR="00466630" w:rsidRPr="006D1C74">
        <w:rPr>
          <w:rFonts w:asciiTheme="majorHAnsi" w:eastAsia="Batang" w:hAnsiTheme="majorHAnsi" w:cstheme="majorBidi"/>
          <w:bCs/>
          <w:sz w:val="20"/>
          <w:szCs w:val="20"/>
          <w:bdr w:val="none" w:sz="0" w:space="0" w:color="auto"/>
          <w:lang w:val="pt-BR" w:eastAsia="es-ES"/>
        </w:rPr>
        <w:t>o</w:t>
      </w:r>
      <w:r w:rsidR="002649F0" w:rsidRPr="006D1C74">
        <w:rPr>
          <w:rFonts w:asciiTheme="majorHAnsi" w:eastAsia="Batang" w:hAnsiTheme="majorHAnsi" w:cstheme="majorBidi"/>
          <w:bCs/>
          <w:sz w:val="20"/>
          <w:szCs w:val="20"/>
          <w:bdr w:val="none" w:sz="0" w:space="0" w:color="auto"/>
          <w:lang w:val="pt-BR" w:eastAsia="es-ES"/>
        </w:rPr>
        <w:t>nta</w:t>
      </w:r>
      <w:r w:rsidR="00700267" w:rsidRPr="006D1C74">
        <w:rPr>
          <w:rFonts w:asciiTheme="majorHAnsi" w:eastAsia="Batang" w:hAnsiTheme="majorHAnsi" w:cstheme="majorBidi"/>
          <w:bCs/>
          <w:sz w:val="20"/>
          <w:szCs w:val="20"/>
          <w:bdr w:val="none" w:sz="0" w:space="0" w:color="auto"/>
          <w:lang w:val="pt-BR" w:eastAsia="es-ES"/>
        </w:rPr>
        <w:t xml:space="preserve"> a </w:t>
      </w:r>
      <w:r w:rsidR="00417BE8" w:rsidRPr="006D1C74">
        <w:rPr>
          <w:rFonts w:asciiTheme="majorHAnsi" w:eastAsia="Batang" w:hAnsiTheme="majorHAnsi" w:cstheme="majorBidi"/>
          <w:bCs/>
          <w:sz w:val="20"/>
          <w:szCs w:val="20"/>
          <w:bdr w:val="none" w:sz="0" w:space="0" w:color="auto"/>
          <w:lang w:val="pt-BR" w:eastAsia="es-ES"/>
        </w:rPr>
        <w:t>Comissão</w:t>
      </w:r>
      <w:r w:rsidR="002649F0" w:rsidRPr="006D1C74">
        <w:rPr>
          <w:rFonts w:asciiTheme="majorHAnsi" w:eastAsia="Batang" w:hAnsiTheme="majorHAnsi" w:cstheme="majorBidi"/>
          <w:bCs/>
          <w:sz w:val="20"/>
          <w:szCs w:val="20"/>
          <w:bdr w:val="none" w:sz="0" w:space="0" w:color="auto"/>
          <w:lang w:val="pt-BR" w:eastAsia="es-ES"/>
        </w:rPr>
        <w:t>,</w:t>
      </w:r>
      <w:r w:rsidR="00030019" w:rsidRPr="006D1C74">
        <w:rPr>
          <w:rFonts w:asciiTheme="majorHAnsi" w:eastAsia="Batang" w:hAnsiTheme="majorHAnsi" w:cstheme="majorBidi"/>
          <w:bCs/>
          <w:sz w:val="20"/>
          <w:szCs w:val="20"/>
          <w:bdr w:val="none" w:sz="0" w:space="0" w:color="auto"/>
          <w:lang w:val="pt-BR" w:eastAsia="es-ES"/>
        </w:rPr>
        <w:t xml:space="preserve"> </w:t>
      </w:r>
      <w:r w:rsidR="00466630" w:rsidRPr="006D1C74">
        <w:rPr>
          <w:rFonts w:asciiTheme="majorHAnsi" w:eastAsia="Batang" w:hAnsiTheme="majorHAnsi" w:cstheme="majorBidi"/>
          <w:bCs/>
          <w:sz w:val="20"/>
          <w:szCs w:val="20"/>
          <w:bdr w:val="none" w:sz="0" w:space="0" w:color="auto"/>
          <w:lang w:val="pt-BR" w:eastAsia="es-ES"/>
        </w:rPr>
        <w:t xml:space="preserve">até a data </w:t>
      </w:r>
      <w:r w:rsidR="002649F0" w:rsidRPr="006D1C74">
        <w:rPr>
          <w:rFonts w:asciiTheme="majorHAnsi" w:eastAsia="Batang" w:hAnsiTheme="majorHAnsi" w:cstheme="majorBidi"/>
          <w:bCs/>
          <w:sz w:val="20"/>
          <w:szCs w:val="20"/>
          <w:bdr w:val="none" w:sz="0" w:space="0" w:color="auto"/>
          <w:lang w:val="pt-BR" w:eastAsia="es-ES"/>
        </w:rPr>
        <w:t>de elabora</w:t>
      </w:r>
      <w:r w:rsidR="00CF037E" w:rsidRPr="006D1C74">
        <w:rPr>
          <w:rFonts w:asciiTheme="majorHAnsi" w:eastAsia="Batang" w:hAnsiTheme="majorHAnsi" w:cstheme="majorBidi"/>
          <w:bCs/>
          <w:sz w:val="20"/>
          <w:szCs w:val="20"/>
          <w:bdr w:val="none" w:sz="0" w:space="0" w:color="auto"/>
          <w:lang w:val="pt-BR" w:eastAsia="es-ES"/>
        </w:rPr>
        <w:t>ção</w:t>
      </w:r>
      <w:r w:rsidR="00030019" w:rsidRPr="006D1C74">
        <w:rPr>
          <w:rFonts w:asciiTheme="majorHAnsi" w:eastAsia="Batang" w:hAnsiTheme="majorHAnsi" w:cstheme="majorBidi"/>
          <w:bCs/>
          <w:sz w:val="20"/>
          <w:szCs w:val="20"/>
          <w:bdr w:val="none" w:sz="0" w:space="0" w:color="auto"/>
          <w:lang w:val="pt-BR" w:eastAsia="es-ES"/>
        </w:rPr>
        <w:t xml:space="preserve"> do </w:t>
      </w:r>
      <w:r w:rsidR="002649F0" w:rsidRPr="006D1C74">
        <w:rPr>
          <w:rFonts w:asciiTheme="majorHAnsi" w:eastAsia="Batang" w:hAnsiTheme="majorHAnsi" w:cstheme="majorBidi"/>
          <w:bCs/>
          <w:sz w:val="20"/>
          <w:szCs w:val="20"/>
          <w:bdr w:val="none" w:sz="0" w:space="0" w:color="auto"/>
          <w:lang w:val="pt-BR" w:eastAsia="es-ES"/>
        </w:rPr>
        <w:t xml:space="preserve">presente </w:t>
      </w:r>
      <w:r w:rsidR="00927E16" w:rsidRPr="006D1C74">
        <w:rPr>
          <w:rFonts w:asciiTheme="majorHAnsi" w:eastAsia="Batang" w:hAnsiTheme="majorHAnsi" w:cstheme="majorBidi"/>
          <w:bCs/>
          <w:sz w:val="20"/>
          <w:szCs w:val="20"/>
          <w:bdr w:val="none" w:sz="0" w:space="0" w:color="auto"/>
          <w:lang w:val="pt-BR" w:eastAsia="es-ES"/>
        </w:rPr>
        <w:t>relatório</w:t>
      </w:r>
      <w:r w:rsidR="00700267" w:rsidRPr="006D1C74">
        <w:rPr>
          <w:rFonts w:asciiTheme="majorHAnsi" w:eastAsia="Batang" w:hAnsiTheme="majorHAnsi" w:cstheme="majorBidi"/>
          <w:bCs/>
          <w:sz w:val="20"/>
          <w:szCs w:val="20"/>
          <w:bdr w:val="none" w:sz="0" w:space="0" w:color="auto"/>
          <w:lang w:val="pt-BR" w:eastAsia="es-ES"/>
        </w:rPr>
        <w:t xml:space="preserve"> o </w:t>
      </w:r>
      <w:r w:rsidR="002649F0" w:rsidRPr="006D1C74">
        <w:rPr>
          <w:rFonts w:asciiTheme="majorHAnsi" w:eastAsia="Batang" w:hAnsiTheme="majorHAnsi" w:cstheme="majorBidi"/>
          <w:bCs/>
          <w:sz w:val="20"/>
          <w:szCs w:val="20"/>
          <w:bdr w:val="none" w:sz="0" w:space="0" w:color="auto"/>
          <w:lang w:val="pt-BR" w:eastAsia="es-ES"/>
        </w:rPr>
        <w:t>Estado</w:t>
      </w:r>
      <w:r w:rsidR="00F673C7" w:rsidRPr="006D1C74">
        <w:rPr>
          <w:rFonts w:asciiTheme="majorHAnsi" w:eastAsia="Batang" w:hAnsiTheme="majorHAnsi" w:cstheme="majorBidi"/>
          <w:bCs/>
          <w:sz w:val="20"/>
          <w:szCs w:val="20"/>
          <w:bdr w:val="none" w:sz="0" w:space="0" w:color="auto"/>
          <w:lang w:val="pt-BR" w:eastAsia="es-ES"/>
        </w:rPr>
        <w:t xml:space="preserve"> não </w:t>
      </w:r>
      <w:r w:rsidR="002649F0" w:rsidRPr="006D1C74">
        <w:rPr>
          <w:rFonts w:asciiTheme="majorHAnsi" w:eastAsia="Batang" w:hAnsiTheme="majorHAnsi" w:cstheme="majorBidi"/>
          <w:bCs/>
          <w:sz w:val="20"/>
          <w:szCs w:val="20"/>
          <w:bdr w:val="none" w:sz="0" w:space="0" w:color="auto"/>
          <w:lang w:val="pt-BR" w:eastAsia="es-ES"/>
        </w:rPr>
        <w:t>ha</w:t>
      </w:r>
      <w:r w:rsidR="00466630" w:rsidRPr="006D1C74">
        <w:rPr>
          <w:rFonts w:asciiTheme="majorHAnsi" w:eastAsia="Batang" w:hAnsiTheme="majorHAnsi" w:cstheme="majorBidi"/>
          <w:bCs/>
          <w:sz w:val="20"/>
          <w:szCs w:val="20"/>
          <w:bdr w:val="none" w:sz="0" w:space="0" w:color="auto"/>
          <w:lang w:val="pt-BR" w:eastAsia="es-ES"/>
        </w:rPr>
        <w:t>v</w:t>
      </w:r>
      <w:r w:rsidR="00055622" w:rsidRPr="006D1C74">
        <w:rPr>
          <w:rFonts w:asciiTheme="majorHAnsi" w:eastAsia="Batang" w:hAnsiTheme="majorHAnsi" w:cstheme="majorBidi"/>
          <w:bCs/>
          <w:sz w:val="20"/>
          <w:szCs w:val="20"/>
          <w:bdr w:val="none" w:sz="0" w:space="0" w:color="auto"/>
          <w:lang w:val="pt-BR" w:eastAsia="es-ES"/>
        </w:rPr>
        <w:t>ia</w:t>
      </w:r>
      <w:r w:rsidR="002649F0" w:rsidRPr="006D1C74">
        <w:rPr>
          <w:rFonts w:asciiTheme="majorHAnsi" w:eastAsia="Batang" w:hAnsiTheme="majorHAnsi" w:cstheme="majorBidi"/>
          <w:bCs/>
          <w:sz w:val="20"/>
          <w:szCs w:val="20"/>
          <w:bdr w:val="none" w:sz="0" w:space="0" w:color="auto"/>
          <w:lang w:val="pt-BR" w:eastAsia="es-ES"/>
        </w:rPr>
        <w:t xml:space="preserve"> </w:t>
      </w:r>
      <w:r w:rsidR="00466630" w:rsidRPr="006D1C74">
        <w:rPr>
          <w:rFonts w:asciiTheme="majorHAnsi" w:eastAsia="Batang" w:hAnsiTheme="majorHAnsi" w:cstheme="majorBidi"/>
          <w:bCs/>
          <w:sz w:val="20"/>
          <w:szCs w:val="20"/>
          <w:bdr w:val="none" w:sz="0" w:space="0" w:color="auto"/>
          <w:lang w:val="pt-BR" w:eastAsia="es-ES"/>
        </w:rPr>
        <w:t xml:space="preserve">realizado </w:t>
      </w:r>
      <w:r w:rsidR="00700267" w:rsidRPr="006D1C74">
        <w:rPr>
          <w:rFonts w:asciiTheme="majorHAnsi" w:eastAsia="Batang" w:hAnsiTheme="majorHAnsi" w:cstheme="majorBidi"/>
          <w:bCs/>
          <w:sz w:val="20"/>
          <w:szCs w:val="20"/>
          <w:bdr w:val="none" w:sz="0" w:space="0" w:color="auto"/>
          <w:lang w:val="pt-BR" w:eastAsia="es-ES"/>
        </w:rPr>
        <w:t xml:space="preserve">os </w:t>
      </w:r>
      <w:r w:rsidR="002649F0" w:rsidRPr="006D1C74">
        <w:rPr>
          <w:rFonts w:asciiTheme="majorHAnsi" w:eastAsia="Batang" w:hAnsiTheme="majorHAnsi" w:cstheme="majorBidi"/>
          <w:bCs/>
          <w:sz w:val="20"/>
          <w:szCs w:val="20"/>
          <w:bdr w:val="none" w:sz="0" w:space="0" w:color="auto"/>
          <w:lang w:val="pt-BR" w:eastAsia="es-ES"/>
        </w:rPr>
        <w:t>pag</w:t>
      </w:r>
      <w:r w:rsidR="00466630" w:rsidRPr="006D1C74">
        <w:rPr>
          <w:rFonts w:asciiTheme="majorHAnsi" w:eastAsia="Batang" w:hAnsiTheme="majorHAnsi" w:cstheme="majorBidi"/>
          <w:bCs/>
          <w:sz w:val="20"/>
          <w:szCs w:val="20"/>
          <w:bdr w:val="none" w:sz="0" w:space="0" w:color="auto"/>
          <w:lang w:val="pt-BR" w:eastAsia="es-ES"/>
        </w:rPr>
        <w:t>ament</w:t>
      </w:r>
      <w:r w:rsidR="002649F0" w:rsidRPr="006D1C74">
        <w:rPr>
          <w:rFonts w:asciiTheme="majorHAnsi" w:eastAsia="Batang" w:hAnsiTheme="majorHAnsi" w:cstheme="majorBidi"/>
          <w:bCs/>
          <w:sz w:val="20"/>
          <w:szCs w:val="20"/>
          <w:bdr w:val="none" w:sz="0" w:space="0" w:color="auto"/>
          <w:lang w:val="pt-BR" w:eastAsia="es-ES"/>
        </w:rPr>
        <w:t>os que l</w:t>
      </w:r>
      <w:r w:rsidR="00466630" w:rsidRPr="006D1C74">
        <w:rPr>
          <w:rFonts w:asciiTheme="majorHAnsi" w:eastAsia="Batang" w:hAnsiTheme="majorHAnsi" w:cstheme="majorBidi"/>
          <w:bCs/>
          <w:sz w:val="20"/>
          <w:szCs w:val="20"/>
          <w:bdr w:val="none" w:sz="0" w:space="0" w:color="auto"/>
          <w:lang w:val="pt-BR" w:eastAsia="es-ES"/>
        </w:rPr>
        <w:t>h</w:t>
      </w:r>
      <w:r w:rsidR="002649F0" w:rsidRPr="006D1C74">
        <w:rPr>
          <w:rFonts w:asciiTheme="majorHAnsi" w:eastAsia="Batang" w:hAnsiTheme="majorHAnsi" w:cstheme="majorBidi"/>
          <w:bCs/>
          <w:sz w:val="20"/>
          <w:szCs w:val="20"/>
          <w:bdr w:val="none" w:sz="0" w:space="0" w:color="auto"/>
          <w:lang w:val="pt-BR" w:eastAsia="es-ES"/>
        </w:rPr>
        <w:t>e f</w:t>
      </w:r>
      <w:r w:rsidR="00466630" w:rsidRPr="006D1C74">
        <w:rPr>
          <w:rFonts w:asciiTheme="majorHAnsi" w:eastAsia="Batang" w:hAnsiTheme="majorHAnsi" w:cstheme="majorBidi"/>
          <w:bCs/>
          <w:sz w:val="20"/>
          <w:szCs w:val="20"/>
          <w:bdr w:val="none" w:sz="0" w:space="0" w:color="auto"/>
          <w:lang w:val="pt-BR" w:eastAsia="es-ES"/>
        </w:rPr>
        <w:t>oram</w:t>
      </w:r>
      <w:r w:rsidR="002649F0" w:rsidRPr="006D1C74">
        <w:rPr>
          <w:rFonts w:asciiTheme="majorHAnsi" w:eastAsia="Batang" w:hAnsiTheme="majorHAnsi" w:cstheme="majorBidi"/>
          <w:bCs/>
          <w:sz w:val="20"/>
          <w:szCs w:val="20"/>
          <w:bdr w:val="none" w:sz="0" w:space="0" w:color="auto"/>
          <w:lang w:val="pt-BR" w:eastAsia="es-ES"/>
        </w:rPr>
        <w:t xml:space="preserve"> </w:t>
      </w:r>
      <w:r w:rsidR="00623C35" w:rsidRPr="006D1C74">
        <w:rPr>
          <w:rFonts w:asciiTheme="majorHAnsi" w:eastAsia="Batang" w:hAnsiTheme="majorHAnsi" w:cstheme="majorBidi"/>
          <w:bCs/>
          <w:sz w:val="20"/>
          <w:szCs w:val="20"/>
          <w:bdr w:val="none" w:sz="0" w:space="0" w:color="auto"/>
          <w:lang w:val="pt-BR" w:eastAsia="es-ES"/>
        </w:rPr>
        <w:t>ordenados</w:t>
      </w:r>
      <w:r w:rsidR="002649F0" w:rsidRPr="006D1C74">
        <w:rPr>
          <w:rFonts w:asciiTheme="majorHAnsi" w:eastAsia="Batang" w:hAnsiTheme="majorHAnsi" w:cstheme="majorBidi"/>
          <w:bCs/>
          <w:sz w:val="20"/>
          <w:szCs w:val="20"/>
          <w:bdr w:val="none" w:sz="0" w:space="0" w:color="auto"/>
          <w:lang w:val="pt-BR" w:eastAsia="es-ES"/>
        </w:rPr>
        <w:t xml:space="preserve">. </w:t>
      </w:r>
    </w:p>
    <w:p w14:paraId="23D5D52A" w14:textId="77777777" w:rsidR="00B87F4A" w:rsidRPr="006D1C74" w:rsidRDefault="00B87F4A" w:rsidP="002649F0">
      <w:pPr>
        <w:rPr>
          <w:rFonts w:asciiTheme="majorHAnsi" w:eastAsia="Batang" w:hAnsiTheme="majorHAnsi" w:cstheme="majorBidi"/>
          <w:bCs/>
          <w:sz w:val="20"/>
          <w:szCs w:val="20"/>
          <w:bdr w:val="none" w:sz="0" w:space="0" w:color="auto"/>
          <w:lang w:val="pt-BR"/>
        </w:rPr>
      </w:pPr>
    </w:p>
    <w:p w14:paraId="5D5F64D4" w14:textId="77777777" w:rsidR="002649F0" w:rsidRPr="006D1C74" w:rsidRDefault="002649F0" w:rsidP="00E46227">
      <w:pPr>
        <w:pStyle w:val="Heading1"/>
        <w:rPr>
          <w:lang w:val="pt-BR"/>
        </w:rPr>
      </w:pPr>
      <w:bookmarkStart w:id="25" w:name="_Toc506225836"/>
      <w:bookmarkStart w:id="26" w:name="_Toc43554275"/>
      <w:r w:rsidRPr="006D1C74">
        <w:rPr>
          <w:lang w:val="pt-BR"/>
        </w:rPr>
        <w:t>ANÁLIS</w:t>
      </w:r>
      <w:r w:rsidR="003373F3" w:rsidRPr="006D1C74">
        <w:rPr>
          <w:lang w:val="pt-BR"/>
        </w:rPr>
        <w:t>E</w:t>
      </w:r>
      <w:r w:rsidRPr="006D1C74">
        <w:rPr>
          <w:lang w:val="pt-BR"/>
        </w:rPr>
        <w:t xml:space="preserve"> DE </w:t>
      </w:r>
      <w:r w:rsidR="00417BE8" w:rsidRPr="006D1C74">
        <w:rPr>
          <w:lang w:val="pt-BR"/>
        </w:rPr>
        <w:t>DIREITO</w:t>
      </w:r>
      <w:bookmarkEnd w:id="24"/>
      <w:bookmarkEnd w:id="25"/>
      <w:bookmarkEnd w:id="26"/>
    </w:p>
    <w:p w14:paraId="2FABF82D" w14:textId="77777777" w:rsidR="00513D7E" w:rsidRPr="006D1C74" w:rsidRDefault="00513D7E" w:rsidP="002649F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Batang" w:hAnsiTheme="majorHAnsi" w:cstheme="majorBidi"/>
          <w:b/>
          <w:bCs/>
          <w:sz w:val="20"/>
          <w:szCs w:val="20"/>
          <w:bdr w:val="none" w:sz="0" w:space="0" w:color="auto"/>
          <w:lang w:val="pt-BR" w:eastAsia="es-ES"/>
        </w:rPr>
      </w:pPr>
    </w:p>
    <w:p w14:paraId="735CA40C" w14:textId="77777777" w:rsidR="002649F0" w:rsidRPr="006D1C74" w:rsidRDefault="00417BE8" w:rsidP="00E46227">
      <w:pPr>
        <w:pStyle w:val="Heading2"/>
        <w:numPr>
          <w:ilvl w:val="0"/>
          <w:numId w:val="66"/>
        </w:numPr>
        <w:rPr>
          <w:lang w:val="pt-BR"/>
        </w:rPr>
      </w:pPr>
      <w:bookmarkStart w:id="27" w:name="_Toc7618514"/>
      <w:bookmarkStart w:id="28" w:name="_Toc496103835"/>
      <w:bookmarkStart w:id="29" w:name="_Toc502662997"/>
      <w:bookmarkStart w:id="30" w:name="_Toc43554276"/>
      <w:r w:rsidRPr="006D1C74">
        <w:rPr>
          <w:lang w:val="pt-BR"/>
        </w:rPr>
        <w:t>Direito</w:t>
      </w:r>
      <w:r w:rsidR="00030019" w:rsidRPr="006D1C74">
        <w:rPr>
          <w:lang w:val="pt-BR"/>
        </w:rPr>
        <w:t xml:space="preserve"> à </w:t>
      </w:r>
      <w:r w:rsidR="002649F0" w:rsidRPr="006D1C74">
        <w:rPr>
          <w:lang w:val="pt-BR"/>
        </w:rPr>
        <w:t>vida</w:t>
      </w:r>
      <w:r w:rsidR="002649F0" w:rsidRPr="006D1C74">
        <w:rPr>
          <w:vertAlign w:val="superscript"/>
          <w:lang w:val="pt-BR"/>
        </w:rPr>
        <w:footnoteReference w:id="52"/>
      </w:r>
      <w:bookmarkEnd w:id="27"/>
      <w:bookmarkEnd w:id="28"/>
      <w:bookmarkEnd w:id="29"/>
      <w:r w:rsidR="00CF037E" w:rsidRPr="006D1C74">
        <w:rPr>
          <w:lang w:val="pt-BR"/>
        </w:rPr>
        <w:t xml:space="preserve"> e</w:t>
      </w:r>
      <w:r w:rsidR="00030019" w:rsidRPr="006D1C74">
        <w:rPr>
          <w:lang w:val="pt-BR"/>
        </w:rPr>
        <w:t xml:space="preserve"> à </w:t>
      </w:r>
      <w:r w:rsidR="002649F0" w:rsidRPr="006D1C74">
        <w:rPr>
          <w:lang w:val="pt-BR"/>
        </w:rPr>
        <w:t>integri</w:t>
      </w:r>
      <w:r w:rsidR="00F673C7" w:rsidRPr="006D1C74">
        <w:rPr>
          <w:lang w:val="pt-BR"/>
        </w:rPr>
        <w:t xml:space="preserve">dade </w:t>
      </w:r>
      <w:r w:rsidR="00CA7940" w:rsidRPr="006D1C74">
        <w:rPr>
          <w:lang w:val="pt-BR"/>
        </w:rPr>
        <w:t>pessoa</w:t>
      </w:r>
      <w:r w:rsidR="002649F0" w:rsidRPr="006D1C74">
        <w:rPr>
          <w:lang w:val="pt-BR"/>
        </w:rPr>
        <w:t>l</w:t>
      </w:r>
      <w:r w:rsidR="002649F0" w:rsidRPr="006D1C74">
        <w:rPr>
          <w:vertAlign w:val="superscript"/>
          <w:lang w:val="pt-BR"/>
        </w:rPr>
        <w:footnoteReference w:id="53"/>
      </w:r>
      <w:bookmarkEnd w:id="30"/>
      <w:r w:rsidR="002649F0" w:rsidRPr="006D1C74">
        <w:rPr>
          <w:lang w:val="pt-BR"/>
        </w:rPr>
        <w:t xml:space="preserve"> </w:t>
      </w:r>
    </w:p>
    <w:p w14:paraId="440E480F" w14:textId="77777777" w:rsidR="002649F0" w:rsidRPr="006D1C74" w:rsidRDefault="002649F0" w:rsidP="002649F0">
      <w:pPr>
        <w:keepNext/>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1"/>
        <w:rPr>
          <w:rFonts w:asciiTheme="majorHAnsi" w:eastAsia="Batang" w:hAnsiTheme="majorHAnsi" w:cs="Arial"/>
          <w:b/>
          <w:bCs/>
          <w:iCs/>
          <w:color w:val="000000"/>
          <w:sz w:val="20"/>
          <w:szCs w:val="20"/>
          <w:u w:color="000000"/>
          <w:bdr w:val="none" w:sz="0" w:space="0" w:color="auto"/>
          <w:lang w:val="pt-BR" w:eastAsia="es-ES"/>
        </w:rPr>
      </w:pPr>
    </w:p>
    <w:p w14:paraId="72EF5045" w14:textId="77777777" w:rsidR="00F26998" w:rsidRPr="00BD5C64" w:rsidRDefault="00F26998" w:rsidP="00F269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Times New Roman" w:hAnsiTheme="majorHAnsi" w:cs="Arial"/>
          <w:b/>
          <w:bCs/>
          <w:iCs/>
          <w:sz w:val="20"/>
          <w:szCs w:val="20"/>
          <w:bdr w:val="none" w:sz="0" w:space="0" w:color="auto"/>
          <w:lang w:val="pt-BR"/>
        </w:rPr>
      </w:pPr>
      <w:r w:rsidRPr="00BD5C64">
        <w:rPr>
          <w:rFonts w:asciiTheme="majorHAnsi" w:eastAsia="Times New Roman" w:hAnsiTheme="majorHAnsi" w:cs="Arial"/>
          <w:bCs/>
          <w:iCs/>
          <w:sz w:val="20"/>
          <w:szCs w:val="20"/>
          <w:bdr w:val="none" w:sz="0" w:space="0" w:color="auto"/>
          <w:lang w:val="pt-BR"/>
        </w:rPr>
        <w:t xml:space="preserve">O artigo 4 da Convenção </w:t>
      </w:r>
      <w:r w:rsidRPr="00BD5C64">
        <w:rPr>
          <w:rFonts w:asciiTheme="majorHAnsi" w:hAnsiTheme="majorHAnsi"/>
          <w:sz w:val="20"/>
          <w:szCs w:val="20"/>
          <w:lang w:val="pt-BR" w:eastAsia="es-ES"/>
        </w:rPr>
        <w:t xml:space="preserve">Americana sobre Direitos Humanos </w:t>
      </w:r>
      <w:r w:rsidRPr="00BD5C64">
        <w:rPr>
          <w:rFonts w:asciiTheme="majorHAnsi" w:eastAsia="Times New Roman" w:hAnsiTheme="majorHAnsi" w:cs="Arial"/>
          <w:bCs/>
          <w:iCs/>
          <w:sz w:val="20"/>
          <w:szCs w:val="20"/>
          <w:bdr w:val="none" w:sz="0" w:space="0" w:color="auto"/>
          <w:lang w:val="pt-BR"/>
        </w:rPr>
        <w:t xml:space="preserve">dispõe que ninguém pode ser privado da vida arbitrariamente. </w:t>
      </w:r>
      <w:r w:rsidRPr="00BD5C64">
        <w:rPr>
          <w:rFonts w:asciiTheme="majorHAnsi" w:hAnsiTheme="majorHAnsi"/>
          <w:sz w:val="20"/>
          <w:szCs w:val="20"/>
          <w:lang w:val="pt-BR"/>
        </w:rPr>
        <w:t>A Comissão recorda que o direito à vida é pré-requisito para o gozo</w:t>
      </w:r>
      <w:r w:rsidRPr="00BD5C64">
        <w:rPr>
          <w:rFonts w:asciiTheme="majorHAnsi" w:hAnsiTheme="majorHAnsi" w:cs="Verdana"/>
          <w:sz w:val="20"/>
          <w:szCs w:val="20"/>
          <w:lang w:val="pt-BR"/>
        </w:rPr>
        <w:t xml:space="preserve"> de todos os demais direitos humanos, e sem o seu respeito todos os demais carecem de </w:t>
      </w:r>
      <w:r w:rsidRPr="00BD5C64">
        <w:rPr>
          <w:rFonts w:asciiTheme="majorHAnsi" w:hAnsiTheme="majorHAnsi"/>
          <w:sz w:val="20"/>
          <w:szCs w:val="20"/>
          <w:lang w:val="pt-BR"/>
        </w:rPr>
        <w:t>sentido</w:t>
      </w:r>
      <w:r w:rsidRPr="00BD5C64">
        <w:rPr>
          <w:rStyle w:val="FootnoteReference"/>
          <w:rFonts w:asciiTheme="majorHAnsi" w:hAnsiTheme="majorHAnsi" w:cs="Verdana"/>
          <w:sz w:val="20"/>
          <w:szCs w:val="20"/>
          <w:lang w:val="pt-BR"/>
        </w:rPr>
        <w:footnoteReference w:id="54"/>
      </w:r>
      <w:r w:rsidRPr="00BD5C64">
        <w:rPr>
          <w:rFonts w:asciiTheme="majorHAnsi" w:hAnsiTheme="majorHAnsi" w:cs="Verdana"/>
          <w:sz w:val="20"/>
          <w:szCs w:val="20"/>
          <w:lang w:val="pt-BR"/>
        </w:rPr>
        <w:t>.  Deste modo</w:t>
      </w:r>
      <w:r w:rsidRPr="00BD5C64">
        <w:rPr>
          <w:rFonts w:asciiTheme="majorHAnsi" w:hAnsiTheme="majorHAnsi"/>
          <w:sz w:val="20"/>
          <w:szCs w:val="20"/>
          <w:lang w:val="pt-BR"/>
        </w:rPr>
        <w:t xml:space="preserve">, o cumprimento das obrigações que impõe o  direito à vida </w:t>
      </w:r>
      <w:r w:rsidRPr="00BD5C64">
        <w:rPr>
          <w:rFonts w:asciiTheme="majorHAnsi" w:hAnsiTheme="majorHAnsi" w:cs="Verdana"/>
          <w:sz w:val="20"/>
          <w:szCs w:val="20"/>
          <w:lang w:val="pt-BR"/>
        </w:rPr>
        <w:t xml:space="preserve">não só pressupõe que nenhuma pessoa seja privada de sua vida arbitrariamente, mas também requer que os Estados tomem todas as medidas </w:t>
      </w:r>
      <w:r w:rsidRPr="00BD5C64">
        <w:rPr>
          <w:rFonts w:asciiTheme="majorHAnsi" w:hAnsiTheme="majorHAnsi"/>
          <w:sz w:val="20"/>
          <w:szCs w:val="20"/>
          <w:lang w:val="pt-BR"/>
        </w:rPr>
        <w:t>apropriadas</w:t>
      </w:r>
      <w:r w:rsidRPr="00BD5C64">
        <w:rPr>
          <w:rFonts w:asciiTheme="majorHAnsi" w:hAnsiTheme="majorHAnsi" w:cs="Verdana"/>
          <w:sz w:val="20"/>
          <w:szCs w:val="20"/>
          <w:lang w:val="pt-BR"/>
        </w:rPr>
        <w:t xml:space="preserve"> para proteger e preservar o direito à vida, de acordo com seu dever de garantir o pleno e livre </w:t>
      </w:r>
      <w:r w:rsidRPr="00BD5C64">
        <w:rPr>
          <w:rFonts w:asciiTheme="majorHAnsi" w:hAnsiTheme="majorHAnsi"/>
          <w:sz w:val="20"/>
          <w:szCs w:val="20"/>
          <w:lang w:val="pt-BR"/>
        </w:rPr>
        <w:t>exercício</w:t>
      </w:r>
      <w:r w:rsidRPr="00BD5C64">
        <w:rPr>
          <w:rFonts w:asciiTheme="majorHAnsi" w:hAnsiTheme="majorHAnsi" w:cs="Verdana"/>
          <w:sz w:val="20"/>
          <w:szCs w:val="20"/>
          <w:lang w:val="pt-BR"/>
        </w:rPr>
        <w:t xml:space="preserve"> dos direitos de todas as pessoas sob sua jurisdição</w:t>
      </w:r>
      <w:r w:rsidRPr="00BD5C64">
        <w:rPr>
          <w:rStyle w:val="FootnoteReference"/>
          <w:rFonts w:asciiTheme="majorHAnsi" w:hAnsiTheme="majorHAnsi"/>
          <w:sz w:val="20"/>
          <w:szCs w:val="20"/>
          <w:lang w:val="pt-BR"/>
        </w:rPr>
        <w:footnoteReference w:id="55"/>
      </w:r>
      <w:r w:rsidRPr="00BD5C64">
        <w:rPr>
          <w:rFonts w:asciiTheme="majorHAnsi" w:hAnsiTheme="majorHAnsi" w:cs="Verdana"/>
          <w:sz w:val="20"/>
          <w:szCs w:val="20"/>
          <w:lang w:val="pt-BR"/>
        </w:rPr>
        <w:t>.</w:t>
      </w:r>
    </w:p>
    <w:p w14:paraId="61E76BB0" w14:textId="77777777" w:rsidR="00F26998" w:rsidRPr="00BD5C64" w:rsidRDefault="00F26998" w:rsidP="00F26998">
      <w:pPr>
        <w:rPr>
          <w:rFonts w:asciiTheme="majorHAnsi" w:hAnsiTheme="majorHAnsi"/>
          <w:sz w:val="20"/>
          <w:szCs w:val="20"/>
          <w:lang w:val="pt-BR"/>
        </w:rPr>
      </w:pPr>
    </w:p>
    <w:p w14:paraId="061B2C43" w14:textId="77777777" w:rsidR="00F26998" w:rsidRPr="00BD5C64" w:rsidRDefault="00F26998"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hAnsiTheme="majorHAnsi"/>
          <w:sz w:val="20"/>
          <w:szCs w:val="20"/>
          <w:lang w:val="pt-BR"/>
        </w:rPr>
      </w:pPr>
      <w:r w:rsidRPr="00BD5C64">
        <w:rPr>
          <w:rFonts w:asciiTheme="majorHAnsi" w:hAnsiTheme="majorHAnsi"/>
          <w:sz w:val="20"/>
          <w:szCs w:val="20"/>
          <w:lang w:val="pt-BR"/>
        </w:rPr>
        <w:lastRenderedPageBreak/>
        <w:t xml:space="preserve">A responsabilidade internacional do Estado pode basear-se em atos ou omissões de qualquer poder ou órgão deste que violem a </w:t>
      </w:r>
      <w:r w:rsidRPr="00BD5C64">
        <w:rPr>
          <w:rFonts w:asciiTheme="majorHAnsi" w:eastAsia="Times New Roman" w:hAnsiTheme="majorHAnsi" w:cs="Arial"/>
          <w:bCs/>
          <w:iCs/>
          <w:sz w:val="20"/>
          <w:szCs w:val="20"/>
          <w:bdr w:val="none" w:sz="0" w:space="0" w:color="auto"/>
          <w:lang w:val="pt-BR"/>
        </w:rPr>
        <w:t>Declaração Americana dos Direitos e Deveres do Homem ou outros instrumentos internacionais de direitos humanos de que seja parte</w:t>
      </w:r>
      <w:r w:rsidRPr="00BD5C64">
        <w:rPr>
          <w:rFonts w:asciiTheme="majorHAnsi" w:hAnsiTheme="majorHAnsi"/>
          <w:sz w:val="20"/>
          <w:szCs w:val="20"/>
          <w:lang w:val="pt-BR"/>
        </w:rPr>
        <w:t>, e é gerada de forma imediata com o ilícito internacional”</w:t>
      </w:r>
      <w:r w:rsidRPr="00BD5C64">
        <w:rPr>
          <w:rFonts w:asciiTheme="majorHAnsi" w:hAnsiTheme="majorHAnsi"/>
          <w:sz w:val="20"/>
          <w:szCs w:val="20"/>
          <w:vertAlign w:val="superscript"/>
          <w:lang w:val="pt-BR"/>
        </w:rPr>
        <w:footnoteReference w:id="56"/>
      </w:r>
      <w:r w:rsidRPr="00BD5C64">
        <w:rPr>
          <w:rFonts w:asciiTheme="majorHAnsi" w:hAnsiTheme="majorHAnsi"/>
          <w:sz w:val="20"/>
          <w:szCs w:val="20"/>
          <w:lang w:val="pt-BR"/>
        </w:rPr>
        <w:t>.</w:t>
      </w:r>
    </w:p>
    <w:p w14:paraId="5B7DBA57" w14:textId="77777777" w:rsidR="002649F0" w:rsidRPr="006D1C74" w:rsidRDefault="002649F0" w:rsidP="002649F0">
      <w:pPr>
        <w:ind w:left="720"/>
        <w:rPr>
          <w:rFonts w:asciiTheme="majorHAnsi" w:eastAsia="Cambria" w:hAnsiTheme="majorHAnsi" w:cs="Cambria"/>
          <w:color w:val="000000"/>
          <w:sz w:val="20"/>
          <w:szCs w:val="20"/>
          <w:u w:color="000000"/>
          <w:lang w:val="pt-BR" w:eastAsia="es-ES"/>
        </w:rPr>
      </w:pPr>
    </w:p>
    <w:p w14:paraId="016277B2" w14:textId="77777777" w:rsidR="002649F0" w:rsidRPr="006D1C74" w:rsidRDefault="004754B6"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Leva</w:t>
      </w:r>
      <w:r w:rsidR="002649F0" w:rsidRPr="006D1C74">
        <w:rPr>
          <w:rFonts w:asciiTheme="majorHAnsi" w:hAnsiTheme="majorHAnsi"/>
          <w:sz w:val="20"/>
          <w:szCs w:val="20"/>
          <w:lang w:val="pt-BR"/>
        </w:rPr>
        <w:t>ndo</w:t>
      </w:r>
      <w:r w:rsidR="00F673C7" w:rsidRPr="006D1C74">
        <w:rPr>
          <w:rFonts w:asciiTheme="majorHAnsi" w:hAnsiTheme="majorHAnsi" w:cs="Verdana"/>
          <w:sz w:val="20"/>
          <w:szCs w:val="20"/>
          <w:lang w:val="pt-BR"/>
        </w:rPr>
        <w:t xml:space="preserve"> em </w:t>
      </w:r>
      <w:r w:rsidR="002649F0" w:rsidRPr="006D1C74">
        <w:rPr>
          <w:rFonts w:asciiTheme="majorHAnsi" w:hAnsiTheme="majorHAnsi" w:cs="Verdana"/>
          <w:sz w:val="20"/>
          <w:szCs w:val="20"/>
          <w:lang w:val="pt-BR"/>
        </w:rPr>
        <w:t>c</w:t>
      </w:r>
      <w:r w:rsidRPr="006D1C74">
        <w:rPr>
          <w:rFonts w:asciiTheme="majorHAnsi" w:hAnsiTheme="majorHAnsi" w:cs="Verdana"/>
          <w:sz w:val="20"/>
          <w:szCs w:val="20"/>
          <w:lang w:val="pt-BR"/>
        </w:rPr>
        <w:t>o</w:t>
      </w:r>
      <w:r w:rsidR="002649F0" w:rsidRPr="006D1C74">
        <w:rPr>
          <w:rFonts w:asciiTheme="majorHAnsi" w:hAnsiTheme="majorHAnsi" w:cs="Verdana"/>
          <w:sz w:val="20"/>
          <w:szCs w:val="20"/>
          <w:lang w:val="pt-BR"/>
        </w:rPr>
        <w:t>nta</w:t>
      </w:r>
      <w:r w:rsidR="00700267" w:rsidRPr="006D1C74">
        <w:rPr>
          <w:rFonts w:asciiTheme="majorHAnsi" w:hAnsiTheme="majorHAnsi" w:cs="Verdana"/>
          <w:sz w:val="20"/>
          <w:szCs w:val="20"/>
          <w:lang w:val="pt-BR"/>
        </w:rPr>
        <w:t xml:space="preserve"> a </w:t>
      </w:r>
      <w:r w:rsidR="002649F0" w:rsidRPr="006D1C74">
        <w:rPr>
          <w:rFonts w:asciiTheme="majorHAnsi" w:hAnsiTheme="majorHAnsi" w:cs="Verdana"/>
          <w:sz w:val="20"/>
          <w:szCs w:val="20"/>
          <w:lang w:val="pt-BR"/>
        </w:rPr>
        <w:t>natureza</w:t>
      </w:r>
      <w:r w:rsidR="00700267" w:rsidRPr="006D1C74">
        <w:rPr>
          <w:rFonts w:asciiTheme="majorHAnsi" w:hAnsiTheme="majorHAnsi" w:cs="Verdana"/>
          <w:sz w:val="20"/>
          <w:szCs w:val="20"/>
          <w:lang w:val="pt-BR"/>
        </w:rPr>
        <w:t xml:space="preserve"> dos </w:t>
      </w:r>
      <w:r w:rsidR="00F37852" w:rsidRPr="006D1C74">
        <w:rPr>
          <w:rFonts w:asciiTheme="majorHAnsi" w:hAnsiTheme="majorHAnsi" w:cs="Verdana"/>
          <w:sz w:val="20"/>
          <w:szCs w:val="20"/>
          <w:lang w:val="pt-BR"/>
        </w:rPr>
        <w:t>fato</w:t>
      </w:r>
      <w:r w:rsidR="002649F0" w:rsidRPr="006D1C74">
        <w:rPr>
          <w:rFonts w:asciiTheme="majorHAnsi" w:hAnsiTheme="majorHAnsi" w:cs="Verdana"/>
          <w:sz w:val="20"/>
          <w:szCs w:val="20"/>
          <w:lang w:val="pt-BR"/>
        </w:rPr>
        <w:t>s</w:t>
      </w:r>
      <w:r w:rsidR="00030019" w:rsidRPr="006D1C74">
        <w:rPr>
          <w:rFonts w:asciiTheme="majorHAnsi" w:hAnsiTheme="majorHAnsi" w:cs="Verdana"/>
          <w:sz w:val="20"/>
          <w:szCs w:val="20"/>
          <w:lang w:val="pt-BR"/>
        </w:rPr>
        <w:t xml:space="preserve"> do </w:t>
      </w:r>
      <w:r w:rsidR="002649F0" w:rsidRPr="006D1C74">
        <w:rPr>
          <w:rFonts w:asciiTheme="majorHAnsi" w:hAnsiTheme="majorHAnsi" w:cs="Verdana"/>
          <w:sz w:val="20"/>
          <w:szCs w:val="20"/>
          <w:lang w:val="pt-BR"/>
        </w:rPr>
        <w:t>presente caso,</w:t>
      </w:r>
      <w:r w:rsidR="00700267" w:rsidRPr="006D1C74">
        <w:rPr>
          <w:rFonts w:asciiTheme="majorHAnsi" w:hAnsiTheme="majorHAnsi" w:cs="Verdana"/>
          <w:sz w:val="20"/>
          <w:szCs w:val="20"/>
          <w:lang w:val="pt-BR"/>
        </w:rPr>
        <w:t xml:space="preserve"> a </w:t>
      </w:r>
      <w:r w:rsidR="00417BE8" w:rsidRPr="006D1C74">
        <w:rPr>
          <w:rFonts w:asciiTheme="majorHAnsi" w:hAnsiTheme="majorHAnsi" w:cs="Verdana"/>
          <w:sz w:val="20"/>
          <w:szCs w:val="20"/>
          <w:lang w:val="pt-BR"/>
        </w:rPr>
        <w:t>Comissão</w:t>
      </w:r>
      <w:r w:rsidR="002649F0" w:rsidRPr="006D1C74">
        <w:rPr>
          <w:rFonts w:asciiTheme="majorHAnsi" w:hAnsiTheme="majorHAnsi" w:cs="Verdana"/>
          <w:sz w:val="20"/>
          <w:szCs w:val="20"/>
          <w:lang w:val="pt-BR"/>
        </w:rPr>
        <w:t xml:space="preserve"> considera neces</w:t>
      </w:r>
      <w:r w:rsidRPr="006D1C74">
        <w:rPr>
          <w:rFonts w:asciiTheme="majorHAnsi" w:hAnsiTheme="majorHAnsi" w:cs="Verdana"/>
          <w:sz w:val="20"/>
          <w:szCs w:val="20"/>
          <w:lang w:val="pt-BR"/>
        </w:rPr>
        <w:t>sá</w:t>
      </w:r>
      <w:r w:rsidR="002649F0" w:rsidRPr="006D1C74">
        <w:rPr>
          <w:rFonts w:asciiTheme="majorHAnsi" w:hAnsiTheme="majorHAnsi" w:cs="Verdana"/>
          <w:sz w:val="20"/>
          <w:szCs w:val="20"/>
          <w:lang w:val="pt-BR"/>
        </w:rPr>
        <w:t>rio recordar</w:t>
      </w:r>
      <w:r w:rsidR="00700267" w:rsidRPr="006D1C74">
        <w:rPr>
          <w:rFonts w:asciiTheme="majorHAnsi" w:hAnsiTheme="majorHAnsi" w:cs="Verdana"/>
          <w:sz w:val="20"/>
          <w:szCs w:val="20"/>
          <w:lang w:val="pt-BR"/>
        </w:rPr>
        <w:t xml:space="preserve"> os </w:t>
      </w:r>
      <w:r w:rsidRPr="006D1C74">
        <w:rPr>
          <w:rFonts w:asciiTheme="majorHAnsi" w:hAnsiTheme="majorHAnsi" w:cs="Verdana"/>
          <w:sz w:val="20"/>
          <w:szCs w:val="20"/>
          <w:lang w:val="pt-BR"/>
        </w:rPr>
        <w:t>padrões</w:t>
      </w:r>
      <w:r w:rsidR="002649F0" w:rsidRPr="006D1C74">
        <w:rPr>
          <w:rFonts w:asciiTheme="majorHAnsi" w:hAnsiTheme="majorHAnsi" w:cs="Verdana"/>
          <w:sz w:val="20"/>
          <w:szCs w:val="20"/>
          <w:lang w:val="pt-BR"/>
        </w:rPr>
        <w:t xml:space="preserve"> pertinentes sobre</w:t>
      </w:r>
      <w:r w:rsidR="00700267" w:rsidRPr="006D1C74">
        <w:rPr>
          <w:rFonts w:asciiTheme="majorHAnsi" w:hAnsiTheme="majorHAnsi" w:cs="Verdana"/>
          <w:sz w:val="20"/>
          <w:szCs w:val="20"/>
          <w:lang w:val="pt-BR"/>
        </w:rPr>
        <w:t xml:space="preserve"> o </w:t>
      </w:r>
      <w:r w:rsidR="002649F0" w:rsidRPr="006D1C74">
        <w:rPr>
          <w:rFonts w:asciiTheme="majorHAnsi" w:hAnsiTheme="majorHAnsi" w:cs="Verdana"/>
          <w:sz w:val="20"/>
          <w:szCs w:val="20"/>
          <w:lang w:val="pt-BR"/>
        </w:rPr>
        <w:t>uso</w:t>
      </w:r>
      <w:r w:rsidR="00795010" w:rsidRPr="006D1C74">
        <w:rPr>
          <w:rFonts w:asciiTheme="majorHAnsi" w:hAnsiTheme="majorHAnsi" w:cs="Verdana"/>
          <w:sz w:val="20"/>
          <w:szCs w:val="20"/>
          <w:lang w:val="pt-BR"/>
        </w:rPr>
        <w:t xml:space="preserve"> da </w:t>
      </w:r>
      <w:r w:rsidR="002649F0" w:rsidRPr="006D1C74">
        <w:rPr>
          <w:rFonts w:asciiTheme="majorHAnsi" w:hAnsiTheme="majorHAnsi" w:cs="Verdana"/>
          <w:sz w:val="20"/>
          <w:szCs w:val="20"/>
          <w:lang w:val="pt-BR"/>
        </w:rPr>
        <w:t>f</w:t>
      </w:r>
      <w:r w:rsidRPr="006D1C74">
        <w:rPr>
          <w:rFonts w:asciiTheme="majorHAnsi" w:hAnsiTheme="majorHAnsi" w:cs="Verdana"/>
          <w:sz w:val="20"/>
          <w:szCs w:val="20"/>
          <w:lang w:val="pt-BR"/>
        </w:rPr>
        <w:t>orça</w:t>
      </w:r>
      <w:r w:rsidR="00BD3AB3" w:rsidRPr="006D1C74">
        <w:rPr>
          <w:rFonts w:asciiTheme="majorHAnsi" w:hAnsiTheme="majorHAnsi" w:cs="Verdana"/>
          <w:sz w:val="20"/>
          <w:szCs w:val="20"/>
          <w:lang w:val="pt-BR"/>
        </w:rPr>
        <w:t xml:space="preserve"> pelos </w:t>
      </w:r>
      <w:r w:rsidR="002649F0" w:rsidRPr="006D1C74">
        <w:rPr>
          <w:rFonts w:asciiTheme="majorHAnsi" w:hAnsiTheme="majorHAnsi" w:cs="Verdana"/>
          <w:sz w:val="20"/>
          <w:szCs w:val="20"/>
          <w:lang w:val="pt-BR"/>
        </w:rPr>
        <w:t>órg</w:t>
      </w:r>
      <w:r w:rsidRPr="006D1C74">
        <w:rPr>
          <w:rFonts w:asciiTheme="majorHAnsi" w:hAnsiTheme="majorHAnsi" w:cs="Verdana"/>
          <w:sz w:val="20"/>
          <w:szCs w:val="20"/>
          <w:lang w:val="pt-BR"/>
        </w:rPr>
        <w:t>ã</w:t>
      </w:r>
      <w:r w:rsidR="002649F0" w:rsidRPr="006D1C74">
        <w:rPr>
          <w:rFonts w:asciiTheme="majorHAnsi" w:hAnsiTheme="majorHAnsi" w:cs="Verdana"/>
          <w:sz w:val="20"/>
          <w:szCs w:val="20"/>
          <w:lang w:val="pt-BR"/>
        </w:rPr>
        <w:t>os de segur</w:t>
      </w:r>
      <w:r w:rsidRPr="006D1C74">
        <w:rPr>
          <w:rFonts w:asciiTheme="majorHAnsi" w:hAnsiTheme="majorHAnsi" w:cs="Verdana"/>
          <w:sz w:val="20"/>
          <w:szCs w:val="20"/>
          <w:lang w:val="pt-BR"/>
        </w:rPr>
        <w:t>ança</w:t>
      </w:r>
      <w:r w:rsidR="00F673C7" w:rsidRPr="006D1C74">
        <w:rPr>
          <w:rFonts w:asciiTheme="majorHAnsi" w:hAnsiTheme="majorHAnsi" w:cs="Verdana"/>
          <w:sz w:val="20"/>
          <w:szCs w:val="20"/>
          <w:lang w:val="pt-BR"/>
        </w:rPr>
        <w:t xml:space="preserve"> </w:t>
      </w:r>
      <w:r w:rsidR="002649F0" w:rsidRPr="006D1C74">
        <w:rPr>
          <w:rFonts w:asciiTheme="majorHAnsi" w:hAnsiTheme="majorHAnsi" w:cs="Verdana"/>
          <w:sz w:val="20"/>
          <w:szCs w:val="20"/>
          <w:lang w:val="pt-BR"/>
        </w:rPr>
        <w:t>estat</w:t>
      </w:r>
      <w:r w:rsidR="00700267" w:rsidRPr="006D1C74">
        <w:rPr>
          <w:rFonts w:asciiTheme="majorHAnsi" w:hAnsiTheme="majorHAnsi" w:cs="Verdana"/>
          <w:sz w:val="20"/>
          <w:szCs w:val="20"/>
          <w:lang w:val="pt-BR"/>
        </w:rPr>
        <w:t>ais</w:t>
      </w:r>
      <w:r w:rsidR="002649F0" w:rsidRPr="006D1C74">
        <w:rPr>
          <w:rFonts w:asciiTheme="majorHAnsi" w:hAnsiTheme="majorHAnsi" w:cs="Verdana"/>
          <w:sz w:val="20"/>
          <w:szCs w:val="20"/>
          <w:lang w:val="pt-BR"/>
        </w:rPr>
        <w:t>.</w:t>
      </w:r>
    </w:p>
    <w:p w14:paraId="3996A435" w14:textId="77777777" w:rsidR="002649F0" w:rsidRPr="006D1C74" w:rsidRDefault="002649F0" w:rsidP="002649F0">
      <w:pPr>
        <w:ind w:left="720"/>
        <w:rPr>
          <w:rFonts w:asciiTheme="majorHAnsi" w:eastAsia="Cambria" w:hAnsiTheme="majorHAnsi" w:cs="Verdana"/>
          <w:color w:val="000000"/>
          <w:sz w:val="20"/>
          <w:szCs w:val="20"/>
          <w:u w:color="000000"/>
          <w:lang w:val="pt-BR" w:eastAsia="es-ES"/>
        </w:rPr>
      </w:pPr>
    </w:p>
    <w:p w14:paraId="6326561A"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hAnsiTheme="majorHAnsi"/>
          <w:sz w:val="20"/>
          <w:szCs w:val="20"/>
          <w:lang w:val="pt-BR"/>
        </w:rPr>
      </w:pPr>
      <w:r w:rsidRPr="006D1C74">
        <w:rPr>
          <w:rFonts w:asciiTheme="majorHAnsi" w:eastAsia="Calibri" w:hAnsiTheme="majorHAnsi"/>
          <w:sz w:val="20"/>
          <w:szCs w:val="22"/>
          <w:bdr w:val="none" w:sz="0" w:space="0" w:color="auto"/>
          <w:lang w:val="pt-BR"/>
        </w:rPr>
        <w:t>A</w:t>
      </w:r>
      <w:r w:rsidR="000034DE" w:rsidRPr="006D1C74">
        <w:rPr>
          <w:rFonts w:asciiTheme="majorHAnsi" w:eastAsia="Calibri" w:hAnsiTheme="majorHAnsi"/>
          <w:sz w:val="20"/>
          <w:szCs w:val="22"/>
          <w:bdr w:val="none" w:sz="0" w:space="0" w:color="auto"/>
          <w:lang w:val="pt-BR"/>
        </w:rPr>
        <w:t xml:space="preserve"> esse</w:t>
      </w:r>
      <w:r w:rsidRPr="006D1C74">
        <w:rPr>
          <w:rFonts w:asciiTheme="majorHAnsi" w:eastAsia="Calibri" w:hAnsiTheme="majorHAnsi"/>
          <w:sz w:val="20"/>
          <w:szCs w:val="22"/>
          <w:bdr w:val="none" w:sz="0" w:space="0" w:color="auto"/>
          <w:lang w:val="pt-BR"/>
        </w:rPr>
        <w:t xml:space="preserve"> </w:t>
      </w:r>
      <w:r w:rsidR="00156036" w:rsidRPr="006D1C74">
        <w:rPr>
          <w:rFonts w:asciiTheme="majorHAnsi" w:eastAsia="Calibri" w:hAnsiTheme="majorHAnsi"/>
          <w:sz w:val="20"/>
          <w:szCs w:val="22"/>
          <w:bdr w:val="none" w:sz="0" w:space="0" w:color="auto"/>
          <w:lang w:val="pt-BR"/>
        </w:rPr>
        <w:t>respeito</w:t>
      </w:r>
      <w:r w:rsidRPr="006D1C74">
        <w:rPr>
          <w:rFonts w:asciiTheme="majorHAnsi" w:eastAsia="Calibri" w:hAnsiTheme="majorHAnsi"/>
          <w:sz w:val="20"/>
          <w:szCs w:val="22"/>
          <w:bdr w:val="none" w:sz="0" w:space="0" w:color="auto"/>
          <w:lang w:val="pt-BR"/>
        </w:rPr>
        <w:t>,</w:t>
      </w:r>
      <w:r w:rsidR="00700267" w:rsidRPr="006D1C74">
        <w:rPr>
          <w:rFonts w:asciiTheme="majorHAnsi" w:eastAsia="Calibri" w:hAnsiTheme="majorHAnsi"/>
          <w:sz w:val="20"/>
          <w:szCs w:val="22"/>
          <w:bdr w:val="none" w:sz="0" w:space="0" w:color="auto"/>
          <w:lang w:val="pt-BR"/>
        </w:rPr>
        <w:t xml:space="preserve"> a </w:t>
      </w:r>
      <w:r w:rsidRPr="006D1C74">
        <w:rPr>
          <w:rFonts w:asciiTheme="majorHAnsi" w:eastAsia="Calibri" w:hAnsiTheme="majorHAnsi"/>
          <w:sz w:val="20"/>
          <w:szCs w:val="22"/>
          <w:bdr w:val="none" w:sz="0" w:space="0" w:color="auto"/>
          <w:lang w:val="pt-BR"/>
        </w:rPr>
        <w:t>Corte estab</w:t>
      </w:r>
      <w:r w:rsidR="000034DE" w:rsidRPr="006D1C74">
        <w:rPr>
          <w:rFonts w:asciiTheme="majorHAnsi" w:eastAsia="Calibri" w:hAnsiTheme="majorHAnsi"/>
          <w:sz w:val="20"/>
          <w:szCs w:val="22"/>
          <w:bdr w:val="none" w:sz="0" w:space="0" w:color="auto"/>
          <w:lang w:val="pt-BR"/>
        </w:rPr>
        <w:t>e</w:t>
      </w:r>
      <w:r w:rsidRPr="006D1C74">
        <w:rPr>
          <w:rFonts w:asciiTheme="majorHAnsi" w:eastAsia="Calibri" w:hAnsiTheme="majorHAnsi"/>
          <w:sz w:val="20"/>
          <w:szCs w:val="22"/>
          <w:bdr w:val="none" w:sz="0" w:space="0" w:color="auto"/>
          <w:lang w:val="pt-BR"/>
        </w:rPr>
        <w:t>lec</w:t>
      </w:r>
      <w:r w:rsidR="000034DE" w:rsidRPr="006D1C74">
        <w:rPr>
          <w:rFonts w:asciiTheme="majorHAnsi" w:eastAsia="Calibri" w:hAnsiTheme="majorHAnsi"/>
          <w:sz w:val="20"/>
          <w:szCs w:val="22"/>
          <w:bdr w:val="none" w:sz="0" w:space="0" w:color="auto"/>
          <w:lang w:val="pt-BR"/>
        </w:rPr>
        <w:t>eu</w:t>
      </w:r>
      <w:r w:rsidRPr="006D1C74">
        <w:rPr>
          <w:rFonts w:asciiTheme="majorHAnsi" w:eastAsia="Calibri" w:hAnsiTheme="majorHAnsi"/>
          <w:sz w:val="20"/>
          <w:szCs w:val="22"/>
          <w:bdr w:val="none" w:sz="0" w:space="0" w:color="auto"/>
          <w:lang w:val="pt-BR"/>
        </w:rPr>
        <w:t xml:space="preserve"> que</w:t>
      </w:r>
      <w:r w:rsidR="00700267" w:rsidRPr="006D1C74">
        <w:rPr>
          <w:rFonts w:asciiTheme="majorHAnsi" w:eastAsia="Calibri" w:hAnsiTheme="majorHAnsi"/>
          <w:sz w:val="20"/>
          <w:szCs w:val="22"/>
          <w:bdr w:val="none" w:sz="0" w:space="0" w:color="auto"/>
          <w:lang w:val="pt-BR"/>
        </w:rPr>
        <w:t xml:space="preserve"> o </w:t>
      </w:r>
      <w:r w:rsidRPr="006D1C74">
        <w:rPr>
          <w:rFonts w:asciiTheme="majorHAnsi" w:eastAsia="Calibri" w:hAnsiTheme="majorHAnsi"/>
          <w:sz w:val="20"/>
          <w:szCs w:val="22"/>
          <w:bdr w:val="none" w:sz="0" w:space="0" w:color="auto"/>
          <w:lang w:val="pt-BR"/>
        </w:rPr>
        <w:t>Estado t</w:t>
      </w:r>
      <w:r w:rsidR="000034DE" w:rsidRPr="006D1C74">
        <w:rPr>
          <w:rFonts w:asciiTheme="majorHAnsi" w:eastAsia="Calibri" w:hAnsiTheme="majorHAnsi"/>
          <w:sz w:val="20"/>
          <w:szCs w:val="22"/>
          <w:bdr w:val="none" w:sz="0" w:space="0" w:color="auto"/>
          <w:lang w:val="pt-BR"/>
        </w:rPr>
        <w:t>em</w:t>
      </w:r>
      <w:r w:rsidR="00700267" w:rsidRPr="006D1C74">
        <w:rPr>
          <w:rFonts w:asciiTheme="majorHAnsi" w:eastAsia="Calibri" w:hAnsiTheme="majorHAnsi"/>
          <w:sz w:val="20"/>
          <w:szCs w:val="22"/>
          <w:bdr w:val="none" w:sz="0" w:space="0" w:color="auto"/>
          <w:lang w:val="pt-BR"/>
        </w:rPr>
        <w:t xml:space="preserve"> o </w:t>
      </w:r>
      <w:r w:rsidR="00585D35" w:rsidRPr="006D1C74">
        <w:rPr>
          <w:rFonts w:asciiTheme="majorHAnsi" w:eastAsia="Calibri" w:hAnsiTheme="majorHAnsi"/>
          <w:sz w:val="20"/>
          <w:szCs w:val="22"/>
          <w:bdr w:val="none" w:sz="0" w:space="0" w:color="auto"/>
          <w:lang w:val="pt-BR"/>
        </w:rPr>
        <w:t>dev</w:t>
      </w:r>
      <w:r w:rsidRPr="006D1C74">
        <w:rPr>
          <w:rFonts w:asciiTheme="majorHAnsi" w:eastAsia="Calibri" w:hAnsiTheme="majorHAnsi"/>
          <w:sz w:val="20"/>
          <w:szCs w:val="22"/>
          <w:bdr w:val="none" w:sz="0" w:space="0" w:color="auto"/>
          <w:lang w:val="pt-BR"/>
        </w:rPr>
        <w:t>er de ade</w:t>
      </w:r>
      <w:r w:rsidR="000034DE" w:rsidRPr="006D1C74">
        <w:rPr>
          <w:rFonts w:asciiTheme="majorHAnsi" w:eastAsia="Calibri" w:hAnsiTheme="majorHAnsi"/>
          <w:sz w:val="20"/>
          <w:szCs w:val="22"/>
          <w:bdr w:val="none" w:sz="0" w:space="0" w:color="auto"/>
          <w:lang w:val="pt-BR"/>
        </w:rPr>
        <w:t>q</w:t>
      </w:r>
      <w:r w:rsidRPr="006D1C74">
        <w:rPr>
          <w:rFonts w:asciiTheme="majorHAnsi" w:eastAsia="Calibri" w:hAnsiTheme="majorHAnsi"/>
          <w:sz w:val="20"/>
          <w:szCs w:val="22"/>
          <w:bdr w:val="none" w:sz="0" w:space="0" w:color="auto"/>
          <w:lang w:val="pt-BR"/>
        </w:rPr>
        <w:t>uar su</w:t>
      </w:r>
      <w:r w:rsidR="000034DE" w:rsidRPr="006D1C74">
        <w:rPr>
          <w:rFonts w:asciiTheme="majorHAnsi" w:eastAsia="Calibri" w:hAnsiTheme="majorHAnsi"/>
          <w:sz w:val="20"/>
          <w:szCs w:val="22"/>
          <w:bdr w:val="none" w:sz="0" w:space="0" w:color="auto"/>
          <w:lang w:val="pt-BR"/>
        </w:rPr>
        <w:t>a</w:t>
      </w:r>
      <w:r w:rsidRPr="006D1C74">
        <w:rPr>
          <w:rFonts w:asciiTheme="majorHAnsi" w:eastAsia="Calibri" w:hAnsiTheme="majorHAnsi"/>
          <w:sz w:val="20"/>
          <w:szCs w:val="22"/>
          <w:bdr w:val="none" w:sz="0" w:space="0" w:color="auto"/>
          <w:lang w:val="pt-BR"/>
        </w:rPr>
        <w:t xml:space="preserve"> legisla</w:t>
      </w:r>
      <w:r w:rsidR="00CF037E" w:rsidRPr="006D1C74">
        <w:rPr>
          <w:rFonts w:asciiTheme="majorHAnsi" w:eastAsia="Calibri" w:hAnsiTheme="majorHAnsi"/>
          <w:sz w:val="20"/>
          <w:szCs w:val="22"/>
          <w:bdr w:val="none" w:sz="0" w:space="0" w:color="auto"/>
          <w:lang w:val="pt-BR"/>
        </w:rPr>
        <w:t>ção</w:t>
      </w:r>
      <w:r w:rsidRPr="006D1C74">
        <w:rPr>
          <w:rFonts w:asciiTheme="majorHAnsi" w:eastAsia="Calibri" w:hAnsiTheme="majorHAnsi"/>
          <w:sz w:val="20"/>
          <w:szCs w:val="22"/>
          <w:bdr w:val="none" w:sz="0" w:space="0" w:color="auto"/>
          <w:lang w:val="pt-BR"/>
        </w:rPr>
        <w:t xml:space="preserve"> nacional</w:t>
      </w:r>
      <w:r w:rsidR="00CF037E" w:rsidRPr="006D1C74">
        <w:rPr>
          <w:rFonts w:asciiTheme="majorHAnsi" w:eastAsia="Calibri" w:hAnsiTheme="majorHAnsi"/>
          <w:sz w:val="20"/>
          <w:szCs w:val="22"/>
          <w:bdr w:val="none" w:sz="0" w:space="0" w:color="auto"/>
          <w:lang w:val="pt-BR"/>
        </w:rPr>
        <w:t xml:space="preserve"> e </w:t>
      </w:r>
      <w:r w:rsidRPr="006D1C74">
        <w:rPr>
          <w:rFonts w:asciiTheme="majorHAnsi" w:eastAsia="Calibri" w:hAnsiTheme="majorHAnsi"/>
          <w:sz w:val="20"/>
          <w:szCs w:val="22"/>
          <w:bdr w:val="none" w:sz="0" w:space="0" w:color="auto"/>
          <w:lang w:val="pt-BR"/>
        </w:rPr>
        <w:t>de “</w:t>
      </w:r>
      <w:r w:rsidR="00B146A8" w:rsidRPr="006D1C74">
        <w:rPr>
          <w:rFonts w:asciiTheme="majorHAnsi" w:eastAsia="Calibri" w:hAnsiTheme="majorHAnsi"/>
          <w:sz w:val="20"/>
          <w:szCs w:val="22"/>
          <w:bdr w:val="none" w:sz="0" w:space="0" w:color="auto"/>
          <w:lang w:val="pt-BR"/>
        </w:rPr>
        <w:t>assegurar</w:t>
      </w:r>
      <w:r w:rsidRPr="006D1C74">
        <w:rPr>
          <w:rFonts w:asciiTheme="majorHAnsi" w:eastAsia="Calibri" w:hAnsiTheme="majorHAnsi"/>
          <w:sz w:val="20"/>
          <w:szCs w:val="22"/>
          <w:bdr w:val="none" w:sz="0" w:space="0" w:color="auto"/>
          <w:lang w:val="pt-BR"/>
        </w:rPr>
        <w:t xml:space="preserve"> que s</w:t>
      </w:r>
      <w:r w:rsidR="00B146A8" w:rsidRPr="006D1C74">
        <w:rPr>
          <w:rFonts w:asciiTheme="majorHAnsi" w:eastAsia="Calibri" w:hAnsiTheme="majorHAnsi"/>
          <w:sz w:val="20"/>
          <w:szCs w:val="22"/>
          <w:bdr w:val="none" w:sz="0" w:space="0" w:color="auto"/>
          <w:lang w:val="pt-BR"/>
        </w:rPr>
        <w:t>e</w:t>
      </w:r>
      <w:r w:rsidRPr="006D1C74">
        <w:rPr>
          <w:rFonts w:asciiTheme="majorHAnsi" w:eastAsia="Calibri" w:hAnsiTheme="majorHAnsi"/>
          <w:sz w:val="20"/>
          <w:szCs w:val="22"/>
          <w:bdr w:val="none" w:sz="0" w:space="0" w:color="auto"/>
          <w:lang w:val="pt-BR"/>
        </w:rPr>
        <w:t xml:space="preserve">us </w:t>
      </w:r>
      <w:r w:rsidR="00B146A8" w:rsidRPr="006D1C74">
        <w:rPr>
          <w:rFonts w:asciiTheme="majorHAnsi" w:eastAsia="Calibri" w:hAnsiTheme="majorHAnsi"/>
          <w:sz w:val="20"/>
          <w:szCs w:val="22"/>
          <w:bdr w:val="none" w:sz="0" w:space="0" w:color="auto"/>
          <w:lang w:val="pt-BR"/>
        </w:rPr>
        <w:t>órgãos</w:t>
      </w:r>
      <w:r w:rsidRPr="006D1C74">
        <w:rPr>
          <w:rFonts w:asciiTheme="majorHAnsi" w:eastAsia="Calibri" w:hAnsiTheme="majorHAnsi"/>
          <w:sz w:val="20"/>
          <w:szCs w:val="22"/>
          <w:bdr w:val="none" w:sz="0" w:space="0" w:color="auto"/>
          <w:lang w:val="pt-BR"/>
        </w:rPr>
        <w:t xml:space="preserve"> de segur</w:t>
      </w:r>
      <w:r w:rsidR="00B146A8" w:rsidRPr="006D1C74">
        <w:rPr>
          <w:rFonts w:asciiTheme="majorHAnsi" w:eastAsia="Calibri" w:hAnsiTheme="majorHAnsi"/>
          <w:sz w:val="20"/>
          <w:szCs w:val="22"/>
          <w:bdr w:val="none" w:sz="0" w:space="0" w:color="auto"/>
          <w:lang w:val="pt-BR"/>
        </w:rPr>
        <w:t>ança</w:t>
      </w:r>
      <w:r w:rsidRPr="006D1C74">
        <w:rPr>
          <w:rFonts w:asciiTheme="majorHAnsi" w:eastAsia="Calibri" w:hAnsiTheme="majorHAnsi"/>
          <w:sz w:val="20"/>
          <w:szCs w:val="22"/>
          <w:bdr w:val="none" w:sz="0" w:space="0" w:color="auto"/>
          <w:lang w:val="pt-BR"/>
        </w:rPr>
        <w:t>, a</w:t>
      </w:r>
      <w:r w:rsidR="00B146A8" w:rsidRPr="006D1C74">
        <w:rPr>
          <w:rFonts w:asciiTheme="majorHAnsi" w:eastAsia="Calibri" w:hAnsiTheme="majorHAnsi"/>
          <w:sz w:val="20"/>
          <w:szCs w:val="22"/>
          <w:bdr w:val="none" w:sz="0" w:space="0" w:color="auto"/>
          <w:lang w:val="pt-BR"/>
        </w:rPr>
        <w:t>os</w:t>
      </w:r>
      <w:r w:rsidRPr="006D1C74">
        <w:rPr>
          <w:rFonts w:asciiTheme="majorHAnsi" w:eastAsia="Calibri" w:hAnsiTheme="majorHAnsi"/>
          <w:sz w:val="20"/>
          <w:szCs w:val="22"/>
          <w:bdr w:val="none" w:sz="0" w:space="0" w:color="auto"/>
          <w:lang w:val="pt-BR"/>
        </w:rPr>
        <w:t xml:space="preserve"> qu</w:t>
      </w:r>
      <w:r w:rsidR="00B146A8" w:rsidRPr="006D1C74">
        <w:rPr>
          <w:rFonts w:asciiTheme="majorHAnsi" w:eastAsia="Calibri" w:hAnsiTheme="majorHAnsi"/>
          <w:sz w:val="20"/>
          <w:szCs w:val="22"/>
          <w:bdr w:val="none" w:sz="0" w:space="0" w:color="auto"/>
          <w:lang w:val="pt-BR"/>
        </w:rPr>
        <w:t xml:space="preserve">ais é </w:t>
      </w:r>
      <w:r w:rsidR="006D1C74" w:rsidRPr="006D1C74">
        <w:rPr>
          <w:rFonts w:asciiTheme="majorHAnsi" w:eastAsia="Calibri" w:hAnsiTheme="majorHAnsi"/>
          <w:sz w:val="20"/>
          <w:szCs w:val="22"/>
          <w:bdr w:val="none" w:sz="0" w:space="0" w:color="auto"/>
          <w:lang w:val="pt-BR"/>
        </w:rPr>
        <w:t>atribuído</w:t>
      </w:r>
      <w:r w:rsidR="00700267" w:rsidRPr="006D1C74">
        <w:rPr>
          <w:rFonts w:asciiTheme="majorHAnsi" w:eastAsia="Calibri" w:hAnsiTheme="majorHAnsi"/>
          <w:sz w:val="20"/>
          <w:szCs w:val="22"/>
          <w:bdr w:val="none" w:sz="0" w:space="0" w:color="auto"/>
          <w:lang w:val="pt-BR"/>
        </w:rPr>
        <w:t xml:space="preserve"> o </w:t>
      </w:r>
      <w:r w:rsidRPr="006D1C74">
        <w:rPr>
          <w:rFonts w:asciiTheme="majorHAnsi" w:eastAsia="Calibri" w:hAnsiTheme="majorHAnsi"/>
          <w:sz w:val="20"/>
          <w:szCs w:val="22"/>
          <w:bdr w:val="none" w:sz="0" w:space="0" w:color="auto"/>
          <w:lang w:val="pt-BR"/>
        </w:rPr>
        <w:t>uso</w:t>
      </w:r>
      <w:r w:rsidR="00795010" w:rsidRPr="006D1C74">
        <w:rPr>
          <w:rFonts w:asciiTheme="majorHAnsi" w:eastAsia="Calibri" w:hAnsiTheme="majorHAnsi"/>
          <w:sz w:val="20"/>
          <w:szCs w:val="22"/>
          <w:bdr w:val="none" w:sz="0" w:space="0" w:color="auto"/>
          <w:lang w:val="pt-BR"/>
        </w:rPr>
        <w:t xml:space="preserve"> da </w:t>
      </w:r>
      <w:r w:rsidRPr="006D1C74">
        <w:rPr>
          <w:rFonts w:asciiTheme="majorHAnsi" w:eastAsia="Calibri" w:hAnsiTheme="majorHAnsi"/>
          <w:sz w:val="20"/>
          <w:szCs w:val="22"/>
          <w:bdr w:val="none" w:sz="0" w:space="0" w:color="auto"/>
          <w:lang w:val="pt-BR"/>
        </w:rPr>
        <w:t>f</w:t>
      </w:r>
      <w:r w:rsidR="00B146A8" w:rsidRPr="006D1C74">
        <w:rPr>
          <w:rFonts w:asciiTheme="majorHAnsi" w:eastAsia="Calibri" w:hAnsiTheme="majorHAnsi"/>
          <w:sz w:val="20"/>
          <w:szCs w:val="22"/>
          <w:bdr w:val="none" w:sz="0" w:space="0" w:color="auto"/>
          <w:lang w:val="pt-BR"/>
        </w:rPr>
        <w:t>orça</w:t>
      </w:r>
      <w:r w:rsidRPr="006D1C74">
        <w:rPr>
          <w:rFonts w:asciiTheme="majorHAnsi" w:eastAsia="Calibri" w:hAnsiTheme="majorHAnsi"/>
          <w:sz w:val="20"/>
          <w:szCs w:val="22"/>
          <w:bdr w:val="none" w:sz="0" w:space="0" w:color="auto"/>
          <w:lang w:val="pt-BR"/>
        </w:rPr>
        <w:t xml:space="preserve"> legítima, respe</w:t>
      </w:r>
      <w:r w:rsidR="00B146A8" w:rsidRPr="006D1C74">
        <w:rPr>
          <w:rFonts w:asciiTheme="majorHAnsi" w:eastAsia="Calibri" w:hAnsiTheme="majorHAnsi"/>
          <w:sz w:val="20"/>
          <w:szCs w:val="22"/>
          <w:bdr w:val="none" w:sz="0" w:space="0" w:color="auto"/>
          <w:lang w:val="pt-BR"/>
        </w:rPr>
        <w:t>i</w:t>
      </w:r>
      <w:r w:rsidRPr="006D1C74">
        <w:rPr>
          <w:rFonts w:asciiTheme="majorHAnsi" w:eastAsia="Calibri" w:hAnsiTheme="majorHAnsi"/>
          <w:sz w:val="20"/>
          <w:szCs w:val="22"/>
          <w:bdr w:val="none" w:sz="0" w:space="0" w:color="auto"/>
          <w:lang w:val="pt-BR"/>
        </w:rPr>
        <w:t>te</w:t>
      </w:r>
      <w:r w:rsidR="00B146A8" w:rsidRPr="006D1C74">
        <w:rPr>
          <w:rFonts w:asciiTheme="majorHAnsi" w:eastAsia="Calibri" w:hAnsiTheme="majorHAnsi"/>
          <w:sz w:val="20"/>
          <w:szCs w:val="22"/>
          <w:bdr w:val="none" w:sz="0" w:space="0" w:color="auto"/>
          <w:lang w:val="pt-BR"/>
        </w:rPr>
        <w:t>m</w:t>
      </w:r>
      <w:r w:rsidR="00700267" w:rsidRPr="006D1C74">
        <w:rPr>
          <w:rFonts w:asciiTheme="majorHAnsi" w:eastAsia="Calibri" w:hAnsiTheme="majorHAnsi"/>
          <w:sz w:val="20"/>
          <w:szCs w:val="22"/>
          <w:bdr w:val="none" w:sz="0" w:space="0" w:color="auto"/>
          <w:lang w:val="pt-BR"/>
        </w:rPr>
        <w:t xml:space="preserve"> o </w:t>
      </w:r>
      <w:r w:rsidR="00417BE8" w:rsidRPr="006D1C74">
        <w:rPr>
          <w:rFonts w:asciiTheme="majorHAnsi" w:eastAsia="Calibri" w:hAnsiTheme="majorHAnsi"/>
          <w:sz w:val="20"/>
          <w:szCs w:val="22"/>
          <w:bdr w:val="none" w:sz="0" w:space="0" w:color="auto"/>
          <w:lang w:val="pt-BR"/>
        </w:rPr>
        <w:t>direito</w:t>
      </w:r>
      <w:r w:rsidR="00030019" w:rsidRPr="006D1C74">
        <w:rPr>
          <w:rFonts w:asciiTheme="majorHAnsi" w:eastAsia="Calibri" w:hAnsiTheme="majorHAnsi"/>
          <w:sz w:val="20"/>
          <w:szCs w:val="22"/>
          <w:bdr w:val="none" w:sz="0" w:space="0" w:color="auto"/>
          <w:lang w:val="pt-BR"/>
        </w:rPr>
        <w:t xml:space="preserve"> à </w:t>
      </w:r>
      <w:r w:rsidRPr="006D1C74">
        <w:rPr>
          <w:rFonts w:asciiTheme="majorHAnsi" w:eastAsia="Calibri" w:hAnsiTheme="majorHAnsi"/>
          <w:sz w:val="20"/>
          <w:szCs w:val="22"/>
          <w:bdr w:val="none" w:sz="0" w:space="0" w:color="auto"/>
          <w:lang w:val="pt-BR"/>
        </w:rPr>
        <w:t>vida d</w:t>
      </w:r>
      <w:r w:rsidR="00B146A8" w:rsidRPr="006D1C74">
        <w:rPr>
          <w:rFonts w:asciiTheme="majorHAnsi" w:eastAsia="Calibri" w:hAnsiTheme="majorHAnsi"/>
          <w:sz w:val="20"/>
          <w:szCs w:val="22"/>
          <w:bdr w:val="none" w:sz="0" w:space="0" w:color="auto"/>
          <w:lang w:val="pt-BR"/>
        </w:rPr>
        <w:t xml:space="preserve">os que </w:t>
      </w:r>
      <w:r w:rsidRPr="006D1C74">
        <w:rPr>
          <w:rFonts w:asciiTheme="majorHAnsi" w:eastAsia="Calibri" w:hAnsiTheme="majorHAnsi"/>
          <w:sz w:val="20"/>
          <w:szCs w:val="22"/>
          <w:bdr w:val="none" w:sz="0" w:space="0" w:color="auto"/>
          <w:lang w:val="pt-BR"/>
        </w:rPr>
        <w:t>se enc</w:t>
      </w:r>
      <w:r w:rsidR="00B146A8" w:rsidRPr="006D1C74">
        <w:rPr>
          <w:rFonts w:asciiTheme="majorHAnsi" w:eastAsia="Calibri" w:hAnsiTheme="majorHAnsi"/>
          <w:sz w:val="20"/>
          <w:szCs w:val="22"/>
          <w:bdr w:val="none" w:sz="0" w:space="0" w:color="auto"/>
          <w:lang w:val="pt-BR"/>
        </w:rPr>
        <w:t xml:space="preserve">ontram sob </w:t>
      </w:r>
      <w:r w:rsidRPr="006D1C74">
        <w:rPr>
          <w:rFonts w:asciiTheme="majorHAnsi" w:eastAsia="Calibri" w:hAnsiTheme="majorHAnsi"/>
          <w:sz w:val="20"/>
          <w:szCs w:val="22"/>
          <w:bdr w:val="none" w:sz="0" w:space="0" w:color="auto"/>
          <w:lang w:val="pt-BR"/>
        </w:rPr>
        <w:t>su</w:t>
      </w:r>
      <w:r w:rsidR="00B146A8" w:rsidRPr="006D1C74">
        <w:rPr>
          <w:rFonts w:asciiTheme="majorHAnsi" w:eastAsia="Calibri" w:hAnsiTheme="majorHAnsi"/>
          <w:sz w:val="20"/>
          <w:szCs w:val="22"/>
          <w:bdr w:val="none" w:sz="0" w:space="0" w:color="auto"/>
          <w:lang w:val="pt-BR"/>
        </w:rPr>
        <w:t>a</w:t>
      </w:r>
      <w:r w:rsidRPr="006D1C74">
        <w:rPr>
          <w:rFonts w:asciiTheme="majorHAnsi" w:eastAsia="Calibri" w:hAnsiTheme="majorHAnsi"/>
          <w:sz w:val="20"/>
          <w:szCs w:val="22"/>
          <w:bdr w:val="none" w:sz="0" w:space="0" w:color="auto"/>
          <w:lang w:val="pt-BR"/>
        </w:rPr>
        <w:t xml:space="preserve"> jurisdi</w:t>
      </w:r>
      <w:r w:rsidR="00CF037E" w:rsidRPr="006D1C74">
        <w:rPr>
          <w:rFonts w:asciiTheme="majorHAnsi" w:eastAsia="Calibri" w:hAnsiTheme="majorHAnsi"/>
          <w:sz w:val="20"/>
          <w:szCs w:val="22"/>
          <w:bdr w:val="none" w:sz="0" w:space="0" w:color="auto"/>
          <w:lang w:val="pt-BR"/>
        </w:rPr>
        <w:t>ção</w:t>
      </w:r>
      <w:r w:rsidRPr="006D1C74">
        <w:rPr>
          <w:rFonts w:asciiTheme="majorHAnsi" w:eastAsia="Calibri" w:hAnsiTheme="majorHAnsi"/>
          <w:sz w:val="20"/>
          <w:szCs w:val="22"/>
          <w:bdr w:val="none" w:sz="0" w:space="0" w:color="auto"/>
          <w:lang w:val="pt-BR"/>
        </w:rPr>
        <w:t>”</w:t>
      </w:r>
      <w:r w:rsidRPr="006D1C74">
        <w:rPr>
          <w:rFonts w:asciiTheme="majorHAnsi" w:eastAsia="Calibri" w:hAnsiTheme="majorHAnsi" w:cs="Verdana"/>
          <w:sz w:val="20"/>
          <w:szCs w:val="22"/>
          <w:bdr w:val="none" w:sz="0" w:space="0" w:color="auto"/>
          <w:vertAlign w:val="superscript"/>
          <w:lang w:val="pt-BR"/>
        </w:rPr>
        <w:footnoteReference w:id="57"/>
      </w:r>
      <w:r w:rsidRPr="006D1C74">
        <w:rPr>
          <w:rFonts w:asciiTheme="majorHAnsi" w:eastAsia="Calibri" w:hAnsiTheme="majorHAnsi"/>
          <w:sz w:val="20"/>
          <w:szCs w:val="22"/>
          <w:bdr w:val="none" w:sz="0" w:space="0" w:color="auto"/>
          <w:lang w:val="pt-BR"/>
        </w:rPr>
        <w:t>.</w:t>
      </w:r>
      <w:r w:rsidRPr="006D1C74">
        <w:rPr>
          <w:rFonts w:asciiTheme="majorHAnsi" w:eastAsia="Calibri" w:hAnsiTheme="majorHAnsi"/>
          <w:i/>
          <w:sz w:val="20"/>
          <w:szCs w:val="22"/>
          <w:bdr w:val="none" w:sz="0" w:space="0" w:color="auto"/>
          <w:lang w:val="pt-BR"/>
        </w:rPr>
        <w:t xml:space="preserve"> </w:t>
      </w:r>
      <w:r w:rsidR="00B42161" w:rsidRPr="006D1C74">
        <w:rPr>
          <w:rFonts w:asciiTheme="majorHAnsi" w:eastAsia="Calibri" w:hAnsiTheme="majorHAnsi"/>
          <w:sz w:val="20"/>
          <w:szCs w:val="22"/>
          <w:bdr w:val="none" w:sz="0" w:space="0" w:color="auto"/>
          <w:lang w:val="pt-BR"/>
        </w:rPr>
        <w:t>O</w:t>
      </w:r>
      <w:r w:rsidRPr="006D1C74">
        <w:rPr>
          <w:rFonts w:asciiTheme="majorHAnsi" w:eastAsia="Calibri" w:hAnsiTheme="majorHAnsi"/>
          <w:sz w:val="20"/>
          <w:szCs w:val="22"/>
          <w:bdr w:val="none" w:sz="0" w:space="0" w:color="auto"/>
          <w:lang w:val="pt-BR"/>
        </w:rPr>
        <w:t xml:space="preserve"> Estado </w:t>
      </w:r>
      <w:r w:rsidR="00585D35" w:rsidRPr="006D1C74">
        <w:rPr>
          <w:rFonts w:asciiTheme="majorHAnsi" w:eastAsia="Calibri" w:hAnsiTheme="majorHAnsi"/>
          <w:sz w:val="20"/>
          <w:szCs w:val="22"/>
          <w:bdr w:val="none" w:sz="0" w:space="0" w:color="auto"/>
          <w:lang w:val="pt-BR"/>
        </w:rPr>
        <w:t>dev</w:t>
      </w:r>
      <w:r w:rsidRPr="006D1C74">
        <w:rPr>
          <w:rFonts w:asciiTheme="majorHAnsi" w:eastAsia="Calibri" w:hAnsiTheme="majorHAnsi"/>
          <w:sz w:val="20"/>
          <w:szCs w:val="22"/>
          <w:bdr w:val="none" w:sz="0" w:space="0" w:color="auto"/>
          <w:lang w:val="pt-BR"/>
        </w:rPr>
        <w:t>e ser claro</w:t>
      </w:r>
      <w:r w:rsidR="00217759" w:rsidRPr="006D1C74">
        <w:rPr>
          <w:rFonts w:asciiTheme="majorHAnsi" w:eastAsia="Calibri" w:hAnsiTheme="majorHAnsi"/>
          <w:sz w:val="20"/>
          <w:szCs w:val="22"/>
          <w:bdr w:val="none" w:sz="0" w:space="0" w:color="auto"/>
          <w:lang w:val="pt-BR"/>
        </w:rPr>
        <w:t xml:space="preserve"> ao </w:t>
      </w:r>
      <w:r w:rsidRPr="006D1C74">
        <w:rPr>
          <w:rFonts w:asciiTheme="majorHAnsi" w:eastAsia="Calibri" w:hAnsiTheme="majorHAnsi"/>
          <w:sz w:val="20"/>
          <w:szCs w:val="22"/>
          <w:bdr w:val="none" w:sz="0" w:space="0" w:color="auto"/>
          <w:lang w:val="pt-BR"/>
        </w:rPr>
        <w:t>formular políticas internas sobre</w:t>
      </w:r>
      <w:r w:rsidR="00700267" w:rsidRPr="006D1C74">
        <w:rPr>
          <w:rFonts w:asciiTheme="majorHAnsi" w:eastAsia="Calibri" w:hAnsiTheme="majorHAnsi"/>
          <w:sz w:val="20"/>
          <w:szCs w:val="22"/>
          <w:bdr w:val="none" w:sz="0" w:space="0" w:color="auto"/>
          <w:lang w:val="pt-BR"/>
        </w:rPr>
        <w:t xml:space="preserve"> o </w:t>
      </w:r>
      <w:r w:rsidRPr="006D1C74">
        <w:rPr>
          <w:rFonts w:asciiTheme="majorHAnsi" w:eastAsia="Calibri" w:hAnsiTheme="majorHAnsi"/>
          <w:sz w:val="20"/>
          <w:szCs w:val="22"/>
          <w:bdr w:val="none" w:sz="0" w:space="0" w:color="auto"/>
          <w:lang w:val="pt-BR"/>
        </w:rPr>
        <w:t>uso</w:t>
      </w:r>
      <w:r w:rsidR="00795010" w:rsidRPr="006D1C74">
        <w:rPr>
          <w:rFonts w:asciiTheme="majorHAnsi" w:eastAsia="Calibri" w:hAnsiTheme="majorHAnsi"/>
          <w:sz w:val="20"/>
          <w:szCs w:val="22"/>
          <w:bdr w:val="none" w:sz="0" w:space="0" w:color="auto"/>
          <w:lang w:val="pt-BR"/>
        </w:rPr>
        <w:t xml:space="preserve"> da </w:t>
      </w:r>
      <w:r w:rsidR="00B146A8" w:rsidRPr="006D1C74">
        <w:rPr>
          <w:rFonts w:asciiTheme="majorHAnsi" w:eastAsia="Calibri" w:hAnsiTheme="majorHAnsi"/>
          <w:sz w:val="20"/>
          <w:szCs w:val="22"/>
          <w:bdr w:val="none" w:sz="0" w:space="0" w:color="auto"/>
          <w:lang w:val="pt-BR"/>
        </w:rPr>
        <w:t>força</w:t>
      </w:r>
      <w:r w:rsidR="00CF037E" w:rsidRPr="006D1C74">
        <w:rPr>
          <w:rFonts w:asciiTheme="majorHAnsi" w:eastAsia="Calibri" w:hAnsiTheme="majorHAnsi"/>
          <w:sz w:val="20"/>
          <w:szCs w:val="22"/>
          <w:bdr w:val="none" w:sz="0" w:space="0" w:color="auto"/>
          <w:lang w:val="pt-BR"/>
        </w:rPr>
        <w:t xml:space="preserve"> e </w:t>
      </w:r>
      <w:r w:rsidRPr="006D1C74">
        <w:rPr>
          <w:rFonts w:asciiTheme="majorHAnsi" w:eastAsia="Calibri" w:hAnsiTheme="majorHAnsi"/>
          <w:sz w:val="20"/>
          <w:szCs w:val="22"/>
          <w:bdr w:val="none" w:sz="0" w:space="0" w:color="auto"/>
          <w:lang w:val="pt-BR"/>
        </w:rPr>
        <w:t xml:space="preserve">buscar </w:t>
      </w:r>
      <w:r w:rsidR="006D1C74" w:rsidRPr="006D1C74">
        <w:rPr>
          <w:rFonts w:asciiTheme="majorHAnsi" w:eastAsia="Calibri" w:hAnsiTheme="majorHAnsi"/>
          <w:sz w:val="20"/>
          <w:szCs w:val="22"/>
          <w:bdr w:val="none" w:sz="0" w:space="0" w:color="auto"/>
          <w:lang w:val="pt-BR"/>
        </w:rPr>
        <w:t>estratégias</w:t>
      </w:r>
      <w:r w:rsidRPr="006D1C74">
        <w:rPr>
          <w:rFonts w:asciiTheme="majorHAnsi" w:eastAsia="Calibri" w:hAnsiTheme="majorHAnsi"/>
          <w:sz w:val="20"/>
          <w:szCs w:val="22"/>
          <w:bdr w:val="none" w:sz="0" w:space="0" w:color="auto"/>
          <w:lang w:val="pt-BR"/>
        </w:rPr>
        <w:t xml:space="preserve"> para aplicar</w:t>
      </w:r>
      <w:r w:rsidR="00700267" w:rsidRPr="006D1C74">
        <w:rPr>
          <w:rFonts w:asciiTheme="majorHAnsi" w:eastAsia="Calibri" w:hAnsiTheme="majorHAnsi"/>
          <w:sz w:val="20"/>
          <w:szCs w:val="22"/>
          <w:bdr w:val="none" w:sz="0" w:space="0" w:color="auto"/>
          <w:lang w:val="pt-BR"/>
        </w:rPr>
        <w:t xml:space="preserve"> os </w:t>
      </w:r>
      <w:r w:rsidR="006D1C74" w:rsidRPr="006D1C74">
        <w:rPr>
          <w:rFonts w:asciiTheme="majorHAnsi" w:eastAsia="Calibri" w:hAnsiTheme="majorHAnsi"/>
          <w:i/>
          <w:sz w:val="20"/>
          <w:szCs w:val="22"/>
          <w:bdr w:val="none" w:sz="0" w:space="0" w:color="auto"/>
          <w:lang w:val="pt-BR"/>
        </w:rPr>
        <w:t>Princípios</w:t>
      </w:r>
      <w:r w:rsidRPr="006D1C74">
        <w:rPr>
          <w:rFonts w:asciiTheme="majorHAnsi" w:eastAsia="Calibri" w:hAnsiTheme="majorHAnsi"/>
          <w:i/>
          <w:sz w:val="20"/>
          <w:szCs w:val="22"/>
          <w:bdr w:val="none" w:sz="0" w:space="0" w:color="auto"/>
          <w:lang w:val="pt-BR"/>
        </w:rPr>
        <w:t xml:space="preserve"> básicos sobre</w:t>
      </w:r>
      <w:r w:rsidR="00700267" w:rsidRPr="006D1C74">
        <w:rPr>
          <w:rFonts w:asciiTheme="majorHAnsi" w:eastAsia="Calibri" w:hAnsiTheme="majorHAnsi"/>
          <w:i/>
          <w:sz w:val="20"/>
          <w:szCs w:val="22"/>
          <w:bdr w:val="none" w:sz="0" w:space="0" w:color="auto"/>
          <w:lang w:val="pt-BR"/>
        </w:rPr>
        <w:t xml:space="preserve"> o </w:t>
      </w:r>
      <w:r w:rsidR="006D1C74" w:rsidRPr="006D1C74">
        <w:rPr>
          <w:rFonts w:asciiTheme="majorHAnsi" w:eastAsia="Calibri" w:hAnsiTheme="majorHAnsi"/>
          <w:i/>
          <w:sz w:val="20"/>
          <w:szCs w:val="22"/>
          <w:bdr w:val="none" w:sz="0" w:space="0" w:color="auto"/>
          <w:lang w:val="pt-BR"/>
        </w:rPr>
        <w:t>emprego</w:t>
      </w:r>
      <w:r w:rsidR="00795010" w:rsidRPr="006D1C74">
        <w:rPr>
          <w:rFonts w:asciiTheme="majorHAnsi" w:eastAsia="Calibri" w:hAnsiTheme="majorHAnsi"/>
          <w:i/>
          <w:sz w:val="20"/>
          <w:szCs w:val="22"/>
          <w:bdr w:val="none" w:sz="0" w:space="0" w:color="auto"/>
          <w:lang w:val="pt-BR"/>
        </w:rPr>
        <w:t xml:space="preserve"> da </w:t>
      </w:r>
      <w:r w:rsidR="00B146A8" w:rsidRPr="006D1C74">
        <w:rPr>
          <w:rFonts w:asciiTheme="majorHAnsi" w:eastAsia="Calibri" w:hAnsiTheme="majorHAnsi"/>
          <w:i/>
          <w:sz w:val="20"/>
          <w:szCs w:val="22"/>
          <w:bdr w:val="none" w:sz="0" w:space="0" w:color="auto"/>
          <w:lang w:val="pt-BR"/>
        </w:rPr>
        <w:t>força</w:t>
      </w:r>
      <w:r w:rsidR="00CF037E" w:rsidRPr="006D1C74">
        <w:rPr>
          <w:rFonts w:asciiTheme="majorHAnsi" w:eastAsia="Calibri" w:hAnsiTheme="majorHAnsi"/>
          <w:i/>
          <w:sz w:val="20"/>
          <w:szCs w:val="22"/>
          <w:bdr w:val="none" w:sz="0" w:space="0" w:color="auto"/>
          <w:lang w:val="pt-BR"/>
        </w:rPr>
        <w:t xml:space="preserve"> e </w:t>
      </w:r>
      <w:r w:rsidRPr="006D1C74">
        <w:rPr>
          <w:rFonts w:asciiTheme="majorHAnsi" w:eastAsia="Calibri" w:hAnsiTheme="majorHAnsi"/>
          <w:i/>
          <w:sz w:val="20"/>
          <w:szCs w:val="22"/>
          <w:bdr w:val="none" w:sz="0" w:space="0" w:color="auto"/>
          <w:lang w:val="pt-BR"/>
        </w:rPr>
        <w:t xml:space="preserve">de armas de </w:t>
      </w:r>
      <w:r w:rsidR="00135454" w:rsidRPr="006D1C74">
        <w:rPr>
          <w:rFonts w:asciiTheme="majorHAnsi" w:eastAsia="Calibri" w:hAnsiTheme="majorHAnsi"/>
          <w:i/>
          <w:sz w:val="20"/>
          <w:szCs w:val="22"/>
          <w:bdr w:val="none" w:sz="0" w:space="0" w:color="auto"/>
          <w:lang w:val="pt-BR"/>
        </w:rPr>
        <w:t>fog</w:t>
      </w:r>
      <w:r w:rsidRPr="006D1C74">
        <w:rPr>
          <w:rFonts w:asciiTheme="majorHAnsi" w:eastAsia="Calibri" w:hAnsiTheme="majorHAnsi"/>
          <w:i/>
          <w:sz w:val="20"/>
          <w:szCs w:val="22"/>
          <w:bdr w:val="none" w:sz="0" w:space="0" w:color="auto"/>
          <w:lang w:val="pt-BR"/>
        </w:rPr>
        <w:t>o</w:t>
      </w:r>
      <w:r w:rsidR="00BD3AB3" w:rsidRPr="006D1C74">
        <w:rPr>
          <w:rFonts w:asciiTheme="majorHAnsi" w:eastAsia="Calibri" w:hAnsiTheme="majorHAnsi"/>
          <w:i/>
          <w:sz w:val="20"/>
          <w:szCs w:val="22"/>
          <w:bdr w:val="none" w:sz="0" w:space="0" w:color="auto"/>
          <w:lang w:val="pt-BR"/>
        </w:rPr>
        <w:t xml:space="preserve"> pelos </w:t>
      </w:r>
      <w:r w:rsidR="006D1C74" w:rsidRPr="006D1C74">
        <w:rPr>
          <w:rFonts w:asciiTheme="majorHAnsi" w:eastAsia="Calibri" w:hAnsiTheme="majorHAnsi"/>
          <w:i/>
          <w:sz w:val="20"/>
          <w:szCs w:val="22"/>
          <w:bdr w:val="none" w:sz="0" w:space="0" w:color="auto"/>
          <w:lang w:val="pt-BR"/>
        </w:rPr>
        <w:t>funcionários</w:t>
      </w:r>
      <w:r w:rsidRPr="006D1C74">
        <w:rPr>
          <w:rFonts w:asciiTheme="majorHAnsi" w:eastAsia="Calibri" w:hAnsiTheme="majorHAnsi"/>
          <w:i/>
          <w:sz w:val="20"/>
          <w:szCs w:val="22"/>
          <w:bdr w:val="none" w:sz="0" w:space="0" w:color="auto"/>
          <w:lang w:val="pt-BR"/>
        </w:rPr>
        <w:t xml:space="preserve"> encar</w:t>
      </w:r>
      <w:r w:rsidR="00A51A0D">
        <w:rPr>
          <w:rFonts w:asciiTheme="majorHAnsi" w:eastAsia="Calibri" w:hAnsiTheme="majorHAnsi"/>
          <w:i/>
          <w:sz w:val="20"/>
          <w:szCs w:val="22"/>
          <w:bdr w:val="none" w:sz="0" w:space="0" w:color="auto"/>
          <w:lang w:val="pt-BR"/>
        </w:rPr>
        <w:t>re</w:t>
      </w:r>
      <w:r w:rsidRPr="006D1C74">
        <w:rPr>
          <w:rFonts w:asciiTheme="majorHAnsi" w:eastAsia="Calibri" w:hAnsiTheme="majorHAnsi"/>
          <w:i/>
          <w:sz w:val="20"/>
          <w:szCs w:val="22"/>
          <w:bdr w:val="none" w:sz="0" w:space="0" w:color="auto"/>
          <w:lang w:val="pt-BR"/>
        </w:rPr>
        <w:t>gados d</w:t>
      </w:r>
      <w:r w:rsidR="00B146A8" w:rsidRPr="006D1C74">
        <w:rPr>
          <w:rFonts w:asciiTheme="majorHAnsi" w:eastAsia="Calibri" w:hAnsiTheme="majorHAnsi"/>
          <w:i/>
          <w:sz w:val="20"/>
          <w:szCs w:val="22"/>
          <w:bdr w:val="none" w:sz="0" w:space="0" w:color="auto"/>
          <w:lang w:val="pt-BR"/>
        </w:rPr>
        <w:t>a aplicação da lei</w:t>
      </w:r>
      <w:r w:rsidRPr="006D1C74">
        <w:rPr>
          <w:rFonts w:asciiTheme="majorHAnsi" w:eastAsia="Calibri" w:hAnsiTheme="majorHAnsi" w:cs="Verdana"/>
          <w:sz w:val="20"/>
          <w:szCs w:val="22"/>
          <w:bdr w:val="none" w:sz="0" w:space="0" w:color="auto"/>
          <w:vertAlign w:val="superscript"/>
          <w:lang w:val="pt-BR"/>
        </w:rPr>
        <w:footnoteReference w:id="58"/>
      </w:r>
      <w:r w:rsidRPr="006D1C74">
        <w:rPr>
          <w:rFonts w:asciiTheme="majorHAnsi" w:eastAsia="Calibri" w:hAnsiTheme="majorHAnsi"/>
          <w:sz w:val="20"/>
          <w:szCs w:val="22"/>
          <w:bdr w:val="none" w:sz="0" w:space="0" w:color="auto"/>
          <w:lang w:val="pt-BR"/>
        </w:rPr>
        <w:t>.</w:t>
      </w:r>
      <w:r w:rsidR="00F673C7" w:rsidRPr="006D1C74">
        <w:rPr>
          <w:rFonts w:asciiTheme="majorHAnsi" w:eastAsia="Calibri" w:hAnsiTheme="majorHAnsi"/>
          <w:sz w:val="20"/>
          <w:szCs w:val="22"/>
          <w:bdr w:val="none" w:sz="0" w:space="0" w:color="auto"/>
          <w:lang w:val="pt-BR"/>
        </w:rPr>
        <w:t xml:space="preserve"> </w:t>
      </w:r>
      <w:r w:rsidR="00B146A8" w:rsidRPr="006D1C74">
        <w:rPr>
          <w:rFonts w:asciiTheme="majorHAnsi" w:eastAsia="Calibri" w:hAnsiTheme="majorHAnsi"/>
          <w:sz w:val="20"/>
          <w:szCs w:val="22"/>
          <w:bdr w:val="none" w:sz="0" w:space="0" w:color="auto"/>
          <w:lang w:val="pt-BR"/>
        </w:rPr>
        <w:t>N</w:t>
      </w:r>
      <w:r w:rsidRPr="006D1C74">
        <w:rPr>
          <w:rFonts w:asciiTheme="majorHAnsi" w:eastAsia="Calibri" w:hAnsiTheme="majorHAnsi"/>
          <w:sz w:val="20"/>
          <w:szCs w:val="22"/>
          <w:bdr w:val="none" w:sz="0" w:space="0" w:color="auto"/>
          <w:lang w:val="pt-BR"/>
        </w:rPr>
        <w:t>es</w:t>
      </w:r>
      <w:r w:rsidR="00A51A0D">
        <w:rPr>
          <w:rFonts w:asciiTheme="majorHAnsi" w:eastAsia="Calibri" w:hAnsiTheme="majorHAnsi"/>
          <w:sz w:val="20"/>
          <w:szCs w:val="22"/>
          <w:bdr w:val="none" w:sz="0" w:space="0" w:color="auto"/>
          <w:lang w:val="pt-BR"/>
        </w:rPr>
        <w:t>s</w:t>
      </w:r>
      <w:r w:rsidRPr="006D1C74">
        <w:rPr>
          <w:rFonts w:asciiTheme="majorHAnsi" w:eastAsia="Calibri" w:hAnsiTheme="majorHAnsi"/>
          <w:sz w:val="20"/>
          <w:szCs w:val="22"/>
          <w:bdr w:val="none" w:sz="0" w:space="0" w:color="auto"/>
          <w:lang w:val="pt-BR"/>
        </w:rPr>
        <w:t xml:space="preserve">e sentido, </w:t>
      </w:r>
      <w:r w:rsidR="00585D35" w:rsidRPr="006D1C74">
        <w:rPr>
          <w:rFonts w:asciiTheme="majorHAnsi" w:eastAsia="Calibri" w:hAnsiTheme="majorHAnsi"/>
          <w:sz w:val="20"/>
          <w:szCs w:val="22"/>
          <w:bdr w:val="none" w:sz="0" w:space="0" w:color="auto"/>
          <w:lang w:val="pt-BR"/>
        </w:rPr>
        <w:t>dev</w:t>
      </w:r>
      <w:r w:rsidRPr="006D1C74">
        <w:rPr>
          <w:rFonts w:asciiTheme="majorHAnsi" w:eastAsia="Calibri" w:hAnsiTheme="majorHAnsi"/>
          <w:sz w:val="20"/>
          <w:szCs w:val="22"/>
          <w:bdr w:val="none" w:sz="0" w:space="0" w:color="auto"/>
          <w:lang w:val="pt-BR"/>
        </w:rPr>
        <w:t>e dotar</w:t>
      </w:r>
      <w:r w:rsidR="00135454" w:rsidRPr="006D1C74">
        <w:rPr>
          <w:rFonts w:asciiTheme="majorHAnsi" w:eastAsia="Calibri" w:hAnsiTheme="majorHAnsi"/>
          <w:sz w:val="20"/>
          <w:szCs w:val="22"/>
          <w:bdr w:val="none" w:sz="0" w:space="0" w:color="auto"/>
          <w:lang w:val="pt-BR"/>
        </w:rPr>
        <w:t xml:space="preserve"> os </w:t>
      </w:r>
      <w:r w:rsidRPr="006D1C74">
        <w:rPr>
          <w:rFonts w:asciiTheme="majorHAnsi" w:eastAsia="Calibri" w:hAnsiTheme="majorHAnsi"/>
          <w:sz w:val="20"/>
          <w:szCs w:val="22"/>
          <w:bdr w:val="none" w:sz="0" w:space="0" w:color="auto"/>
          <w:lang w:val="pt-BR"/>
        </w:rPr>
        <w:t>agentes de di</w:t>
      </w:r>
      <w:r w:rsidR="00B146A8" w:rsidRPr="006D1C74">
        <w:rPr>
          <w:rFonts w:asciiTheme="majorHAnsi" w:eastAsia="Calibri" w:hAnsiTheme="majorHAnsi"/>
          <w:sz w:val="20"/>
          <w:szCs w:val="22"/>
          <w:bdr w:val="none" w:sz="0" w:space="0" w:color="auto"/>
          <w:lang w:val="pt-BR"/>
        </w:rPr>
        <w:t>ver</w:t>
      </w:r>
      <w:r w:rsidRPr="006D1C74">
        <w:rPr>
          <w:rFonts w:asciiTheme="majorHAnsi" w:eastAsia="Calibri" w:hAnsiTheme="majorHAnsi"/>
          <w:sz w:val="20"/>
          <w:szCs w:val="22"/>
          <w:bdr w:val="none" w:sz="0" w:space="0" w:color="auto"/>
          <w:lang w:val="pt-BR"/>
        </w:rPr>
        <w:t>sos tipos de armas, muni</w:t>
      </w:r>
      <w:r w:rsidR="00CF037E" w:rsidRPr="006D1C74">
        <w:rPr>
          <w:rFonts w:asciiTheme="majorHAnsi" w:eastAsia="Calibri" w:hAnsiTheme="majorHAnsi"/>
          <w:sz w:val="20"/>
          <w:szCs w:val="22"/>
          <w:bdr w:val="none" w:sz="0" w:space="0" w:color="auto"/>
          <w:lang w:val="pt-BR"/>
        </w:rPr>
        <w:t xml:space="preserve">ções e </w:t>
      </w:r>
      <w:r w:rsidRPr="006D1C74">
        <w:rPr>
          <w:rFonts w:asciiTheme="majorHAnsi" w:eastAsia="Calibri" w:hAnsiTheme="majorHAnsi"/>
          <w:sz w:val="20"/>
          <w:szCs w:val="22"/>
          <w:bdr w:val="none" w:sz="0" w:space="0" w:color="auto"/>
          <w:lang w:val="pt-BR"/>
        </w:rPr>
        <w:t>equip</w:t>
      </w:r>
      <w:r w:rsidR="00B146A8" w:rsidRPr="006D1C74">
        <w:rPr>
          <w:rFonts w:asciiTheme="majorHAnsi" w:eastAsia="Calibri" w:hAnsiTheme="majorHAnsi"/>
          <w:sz w:val="20"/>
          <w:szCs w:val="22"/>
          <w:bdr w:val="none" w:sz="0" w:space="0" w:color="auto"/>
          <w:lang w:val="pt-BR"/>
        </w:rPr>
        <w:t>ament</w:t>
      </w:r>
      <w:r w:rsidRPr="006D1C74">
        <w:rPr>
          <w:rFonts w:asciiTheme="majorHAnsi" w:eastAsia="Calibri" w:hAnsiTheme="majorHAnsi"/>
          <w:sz w:val="20"/>
          <w:szCs w:val="22"/>
          <w:bdr w:val="none" w:sz="0" w:space="0" w:color="auto"/>
          <w:lang w:val="pt-BR"/>
        </w:rPr>
        <w:t>o de prote</w:t>
      </w:r>
      <w:r w:rsidR="00CF037E" w:rsidRPr="006D1C74">
        <w:rPr>
          <w:rFonts w:asciiTheme="majorHAnsi" w:eastAsia="Calibri" w:hAnsiTheme="majorHAnsi"/>
          <w:sz w:val="20"/>
          <w:szCs w:val="22"/>
          <w:bdr w:val="none" w:sz="0" w:space="0" w:color="auto"/>
          <w:lang w:val="pt-BR"/>
        </w:rPr>
        <w:t>ção</w:t>
      </w:r>
      <w:r w:rsidRPr="006D1C74">
        <w:rPr>
          <w:rFonts w:asciiTheme="majorHAnsi" w:eastAsia="Calibri" w:hAnsiTheme="majorHAnsi"/>
          <w:sz w:val="20"/>
          <w:szCs w:val="22"/>
          <w:bdr w:val="none" w:sz="0" w:space="0" w:color="auto"/>
          <w:lang w:val="pt-BR"/>
        </w:rPr>
        <w:t xml:space="preserve"> que l</w:t>
      </w:r>
      <w:r w:rsidR="00B146A8" w:rsidRPr="006D1C74">
        <w:rPr>
          <w:rFonts w:asciiTheme="majorHAnsi" w:eastAsia="Calibri" w:hAnsiTheme="majorHAnsi"/>
          <w:sz w:val="20"/>
          <w:szCs w:val="22"/>
          <w:bdr w:val="none" w:sz="0" w:space="0" w:color="auto"/>
          <w:lang w:val="pt-BR"/>
        </w:rPr>
        <w:t>h</w:t>
      </w:r>
      <w:r w:rsidRPr="006D1C74">
        <w:rPr>
          <w:rFonts w:asciiTheme="majorHAnsi" w:eastAsia="Calibri" w:hAnsiTheme="majorHAnsi"/>
          <w:sz w:val="20"/>
          <w:szCs w:val="22"/>
          <w:bdr w:val="none" w:sz="0" w:space="0" w:color="auto"/>
          <w:lang w:val="pt-BR"/>
        </w:rPr>
        <w:t xml:space="preserve">es </w:t>
      </w:r>
      <w:r w:rsidR="006D1C74" w:rsidRPr="006D1C74">
        <w:rPr>
          <w:rFonts w:asciiTheme="majorHAnsi" w:eastAsia="Calibri" w:hAnsiTheme="majorHAnsi"/>
          <w:sz w:val="20"/>
          <w:szCs w:val="22"/>
          <w:bdr w:val="none" w:sz="0" w:space="0" w:color="auto"/>
          <w:lang w:val="pt-BR"/>
        </w:rPr>
        <w:t>permitam</w:t>
      </w:r>
      <w:r w:rsidRPr="006D1C74">
        <w:rPr>
          <w:rFonts w:asciiTheme="majorHAnsi" w:eastAsia="Calibri" w:hAnsiTheme="majorHAnsi"/>
          <w:sz w:val="20"/>
          <w:szCs w:val="22"/>
          <w:bdr w:val="none" w:sz="0" w:space="0" w:color="auto"/>
          <w:lang w:val="pt-BR"/>
        </w:rPr>
        <w:t xml:space="preserve"> ade</w:t>
      </w:r>
      <w:r w:rsidR="003705A2">
        <w:rPr>
          <w:rFonts w:asciiTheme="majorHAnsi" w:eastAsia="Calibri" w:hAnsiTheme="majorHAnsi"/>
          <w:sz w:val="20"/>
          <w:szCs w:val="22"/>
          <w:bdr w:val="none" w:sz="0" w:space="0" w:color="auto"/>
          <w:lang w:val="pt-BR"/>
        </w:rPr>
        <w:t>qua</w:t>
      </w:r>
      <w:r w:rsidRPr="006D1C74">
        <w:rPr>
          <w:rFonts w:asciiTheme="majorHAnsi" w:eastAsia="Calibri" w:hAnsiTheme="majorHAnsi"/>
          <w:sz w:val="20"/>
          <w:szCs w:val="22"/>
          <w:bdr w:val="none" w:sz="0" w:space="0" w:color="auto"/>
          <w:lang w:val="pt-BR"/>
        </w:rPr>
        <w:t xml:space="preserve">r materialmente </w:t>
      </w:r>
      <w:r w:rsidR="00517ACA" w:rsidRPr="006D1C74">
        <w:rPr>
          <w:rFonts w:asciiTheme="majorHAnsi" w:eastAsia="Calibri" w:hAnsiTheme="majorHAnsi"/>
          <w:sz w:val="20"/>
          <w:szCs w:val="22"/>
          <w:bdr w:val="none" w:sz="0" w:space="0" w:color="auto"/>
          <w:lang w:val="pt-BR"/>
        </w:rPr>
        <w:t>sua</w:t>
      </w:r>
      <w:r w:rsidRPr="006D1C74">
        <w:rPr>
          <w:rFonts w:asciiTheme="majorHAnsi" w:eastAsia="Calibri" w:hAnsiTheme="majorHAnsi"/>
          <w:sz w:val="20"/>
          <w:szCs w:val="22"/>
          <w:bdr w:val="none" w:sz="0" w:space="0" w:color="auto"/>
          <w:lang w:val="pt-BR"/>
        </w:rPr>
        <w:t xml:space="preserve"> rea</w:t>
      </w:r>
      <w:r w:rsidR="00CF037E" w:rsidRPr="006D1C74">
        <w:rPr>
          <w:rFonts w:asciiTheme="majorHAnsi" w:eastAsia="Calibri" w:hAnsiTheme="majorHAnsi"/>
          <w:sz w:val="20"/>
          <w:szCs w:val="22"/>
          <w:bdr w:val="none" w:sz="0" w:space="0" w:color="auto"/>
          <w:lang w:val="pt-BR"/>
        </w:rPr>
        <w:t>ção</w:t>
      </w:r>
      <w:r w:rsidRPr="006D1C74">
        <w:rPr>
          <w:rFonts w:asciiTheme="majorHAnsi" w:eastAsia="Calibri" w:hAnsiTheme="majorHAnsi"/>
          <w:sz w:val="20"/>
          <w:szCs w:val="22"/>
          <w:bdr w:val="none" w:sz="0" w:space="0" w:color="auto"/>
          <w:lang w:val="pt-BR"/>
        </w:rPr>
        <w:t xml:space="preserve"> de forma proporcional</w:t>
      </w:r>
      <w:r w:rsidR="00135454" w:rsidRPr="006D1C74">
        <w:rPr>
          <w:rFonts w:asciiTheme="majorHAnsi" w:eastAsia="Calibri" w:hAnsiTheme="majorHAnsi"/>
          <w:sz w:val="20"/>
          <w:szCs w:val="22"/>
          <w:bdr w:val="none" w:sz="0" w:space="0" w:color="auto"/>
          <w:lang w:val="pt-BR"/>
        </w:rPr>
        <w:t xml:space="preserve"> aos </w:t>
      </w:r>
      <w:r w:rsidR="00F37852" w:rsidRPr="006D1C74">
        <w:rPr>
          <w:rFonts w:asciiTheme="majorHAnsi" w:eastAsia="Calibri" w:hAnsiTheme="majorHAnsi"/>
          <w:sz w:val="20"/>
          <w:szCs w:val="22"/>
          <w:bdr w:val="none" w:sz="0" w:space="0" w:color="auto"/>
          <w:lang w:val="pt-BR"/>
        </w:rPr>
        <w:t>fato</w:t>
      </w:r>
      <w:r w:rsidRPr="006D1C74">
        <w:rPr>
          <w:rFonts w:asciiTheme="majorHAnsi" w:eastAsia="Calibri" w:hAnsiTheme="majorHAnsi"/>
          <w:sz w:val="20"/>
          <w:szCs w:val="22"/>
          <w:bdr w:val="none" w:sz="0" w:space="0" w:color="auto"/>
          <w:lang w:val="pt-BR"/>
        </w:rPr>
        <w:t>s</w:t>
      </w:r>
      <w:r w:rsidR="00F673C7" w:rsidRPr="006D1C74">
        <w:rPr>
          <w:rFonts w:asciiTheme="majorHAnsi" w:eastAsia="Calibri" w:hAnsiTheme="majorHAnsi"/>
          <w:sz w:val="20"/>
          <w:szCs w:val="22"/>
          <w:bdr w:val="none" w:sz="0" w:space="0" w:color="auto"/>
          <w:lang w:val="pt-BR"/>
        </w:rPr>
        <w:t xml:space="preserve"> em </w:t>
      </w:r>
      <w:r w:rsidRPr="006D1C74">
        <w:rPr>
          <w:rFonts w:asciiTheme="majorHAnsi" w:eastAsia="Calibri" w:hAnsiTheme="majorHAnsi"/>
          <w:sz w:val="20"/>
          <w:szCs w:val="22"/>
          <w:bdr w:val="none" w:sz="0" w:space="0" w:color="auto"/>
          <w:lang w:val="pt-BR"/>
        </w:rPr>
        <w:t>que interven</w:t>
      </w:r>
      <w:r w:rsidR="00B146A8" w:rsidRPr="006D1C74">
        <w:rPr>
          <w:rFonts w:asciiTheme="majorHAnsi" w:eastAsia="Calibri" w:hAnsiTheme="majorHAnsi"/>
          <w:sz w:val="20"/>
          <w:szCs w:val="22"/>
          <w:bdr w:val="none" w:sz="0" w:space="0" w:color="auto"/>
          <w:lang w:val="pt-BR"/>
        </w:rPr>
        <w:t>ham</w:t>
      </w:r>
      <w:r w:rsidR="00CF037E" w:rsidRPr="006D1C74">
        <w:rPr>
          <w:rFonts w:asciiTheme="majorHAnsi" w:eastAsia="Calibri" w:hAnsiTheme="majorHAnsi"/>
          <w:sz w:val="20"/>
          <w:szCs w:val="22"/>
          <w:bdr w:val="none" w:sz="0" w:space="0" w:color="auto"/>
          <w:lang w:val="pt-BR"/>
        </w:rPr>
        <w:t xml:space="preserve"> e </w:t>
      </w:r>
      <w:r w:rsidRPr="006D1C74">
        <w:rPr>
          <w:rFonts w:asciiTheme="majorHAnsi" w:eastAsia="Calibri" w:hAnsiTheme="majorHAnsi"/>
          <w:sz w:val="20"/>
          <w:szCs w:val="22"/>
          <w:bdr w:val="none" w:sz="0" w:space="0" w:color="auto"/>
          <w:lang w:val="pt-BR"/>
        </w:rPr>
        <w:t>restringir</w:t>
      </w:r>
      <w:r w:rsidR="00F673C7" w:rsidRPr="006D1C74">
        <w:rPr>
          <w:rFonts w:asciiTheme="majorHAnsi" w:eastAsia="Calibri" w:hAnsiTheme="majorHAnsi"/>
          <w:sz w:val="20"/>
          <w:szCs w:val="22"/>
          <w:bdr w:val="none" w:sz="0" w:space="0" w:color="auto"/>
          <w:lang w:val="pt-BR"/>
        </w:rPr>
        <w:t xml:space="preserve"> na </w:t>
      </w:r>
      <w:r w:rsidR="00C6461F" w:rsidRPr="006D1C74">
        <w:rPr>
          <w:rFonts w:asciiTheme="majorHAnsi" w:eastAsia="Calibri" w:hAnsiTheme="majorHAnsi"/>
          <w:sz w:val="20"/>
          <w:szCs w:val="22"/>
          <w:bdr w:val="none" w:sz="0" w:space="0" w:color="auto"/>
          <w:lang w:val="pt-BR"/>
        </w:rPr>
        <w:t>maio</w:t>
      </w:r>
      <w:r w:rsidRPr="006D1C74">
        <w:rPr>
          <w:rFonts w:asciiTheme="majorHAnsi" w:eastAsia="Calibri" w:hAnsiTheme="majorHAnsi"/>
          <w:sz w:val="20"/>
          <w:szCs w:val="22"/>
          <w:bdr w:val="none" w:sz="0" w:space="0" w:color="auto"/>
          <w:lang w:val="pt-BR"/>
        </w:rPr>
        <w:t>r medida pos</w:t>
      </w:r>
      <w:r w:rsidR="00B146A8" w:rsidRPr="006D1C74">
        <w:rPr>
          <w:rFonts w:asciiTheme="majorHAnsi" w:eastAsia="Calibri" w:hAnsiTheme="majorHAnsi"/>
          <w:sz w:val="20"/>
          <w:szCs w:val="22"/>
          <w:bdr w:val="none" w:sz="0" w:space="0" w:color="auto"/>
          <w:lang w:val="pt-BR"/>
        </w:rPr>
        <w:t>sível</w:t>
      </w:r>
      <w:r w:rsidR="00700267" w:rsidRPr="006D1C74">
        <w:rPr>
          <w:rFonts w:asciiTheme="majorHAnsi" w:eastAsia="Calibri" w:hAnsiTheme="majorHAnsi"/>
          <w:sz w:val="20"/>
          <w:szCs w:val="22"/>
          <w:bdr w:val="none" w:sz="0" w:space="0" w:color="auto"/>
          <w:lang w:val="pt-BR"/>
        </w:rPr>
        <w:t xml:space="preserve"> o </w:t>
      </w:r>
      <w:r w:rsidRPr="006D1C74">
        <w:rPr>
          <w:rFonts w:asciiTheme="majorHAnsi" w:eastAsia="Calibri" w:hAnsiTheme="majorHAnsi"/>
          <w:sz w:val="20"/>
          <w:szCs w:val="22"/>
          <w:bdr w:val="none" w:sz="0" w:space="0" w:color="auto"/>
          <w:lang w:val="pt-BR"/>
        </w:rPr>
        <w:t>uso de armas let</w:t>
      </w:r>
      <w:r w:rsidR="00700267" w:rsidRPr="006D1C74">
        <w:rPr>
          <w:rFonts w:asciiTheme="majorHAnsi" w:eastAsia="Calibri" w:hAnsiTheme="majorHAnsi"/>
          <w:sz w:val="20"/>
          <w:szCs w:val="22"/>
          <w:bdr w:val="none" w:sz="0" w:space="0" w:color="auto"/>
          <w:lang w:val="pt-BR"/>
        </w:rPr>
        <w:t>ais</w:t>
      </w:r>
      <w:r w:rsidRPr="006D1C74">
        <w:rPr>
          <w:rFonts w:asciiTheme="majorHAnsi" w:eastAsia="Calibri" w:hAnsiTheme="majorHAnsi"/>
          <w:sz w:val="20"/>
          <w:szCs w:val="22"/>
          <w:bdr w:val="none" w:sz="0" w:space="0" w:color="auto"/>
          <w:lang w:val="pt-BR"/>
        </w:rPr>
        <w:t xml:space="preserve"> que p</w:t>
      </w:r>
      <w:r w:rsidR="00B146A8" w:rsidRPr="006D1C74">
        <w:rPr>
          <w:rFonts w:asciiTheme="majorHAnsi" w:eastAsia="Calibri" w:hAnsiTheme="majorHAnsi"/>
          <w:sz w:val="20"/>
          <w:szCs w:val="22"/>
          <w:bdr w:val="none" w:sz="0" w:space="0" w:color="auto"/>
          <w:lang w:val="pt-BR"/>
        </w:rPr>
        <w:t>ossam</w:t>
      </w:r>
      <w:r w:rsidRPr="006D1C74">
        <w:rPr>
          <w:rFonts w:asciiTheme="majorHAnsi" w:eastAsia="Calibri" w:hAnsiTheme="majorHAnsi"/>
          <w:sz w:val="20"/>
          <w:szCs w:val="22"/>
          <w:bdr w:val="none" w:sz="0" w:space="0" w:color="auto"/>
          <w:lang w:val="pt-BR"/>
        </w:rPr>
        <w:t xml:space="preserve"> </w:t>
      </w:r>
      <w:r w:rsidR="00A51A0D">
        <w:rPr>
          <w:rFonts w:asciiTheme="majorHAnsi" w:eastAsia="Calibri" w:hAnsiTheme="majorHAnsi"/>
          <w:sz w:val="20"/>
          <w:szCs w:val="22"/>
          <w:bdr w:val="none" w:sz="0" w:space="0" w:color="auto"/>
          <w:lang w:val="pt-BR"/>
        </w:rPr>
        <w:t>provoc</w:t>
      </w:r>
      <w:r w:rsidRPr="006D1C74">
        <w:rPr>
          <w:rFonts w:asciiTheme="majorHAnsi" w:eastAsia="Calibri" w:hAnsiTheme="majorHAnsi"/>
          <w:sz w:val="20"/>
          <w:szCs w:val="22"/>
          <w:bdr w:val="none" w:sz="0" w:space="0" w:color="auto"/>
          <w:lang w:val="pt-BR"/>
        </w:rPr>
        <w:t>ar le</w:t>
      </w:r>
      <w:r w:rsidR="0094446B" w:rsidRPr="006D1C74">
        <w:rPr>
          <w:rFonts w:asciiTheme="majorHAnsi" w:eastAsia="Calibri" w:hAnsiTheme="majorHAnsi"/>
          <w:sz w:val="20"/>
          <w:szCs w:val="22"/>
          <w:bdr w:val="none" w:sz="0" w:space="0" w:color="auto"/>
          <w:lang w:val="pt-BR"/>
        </w:rPr>
        <w:t>são</w:t>
      </w:r>
      <w:r w:rsidRPr="006D1C74">
        <w:rPr>
          <w:rFonts w:asciiTheme="majorHAnsi" w:eastAsia="Calibri" w:hAnsiTheme="majorHAnsi"/>
          <w:sz w:val="20"/>
          <w:szCs w:val="22"/>
          <w:bdr w:val="none" w:sz="0" w:space="0" w:color="auto"/>
          <w:lang w:val="pt-BR"/>
        </w:rPr>
        <w:t xml:space="preserve"> o</w:t>
      </w:r>
      <w:r w:rsidR="00B146A8" w:rsidRPr="006D1C74">
        <w:rPr>
          <w:rFonts w:asciiTheme="majorHAnsi" w:eastAsia="Calibri" w:hAnsiTheme="majorHAnsi"/>
          <w:sz w:val="20"/>
          <w:szCs w:val="22"/>
          <w:bdr w:val="none" w:sz="0" w:space="0" w:color="auto"/>
          <w:lang w:val="pt-BR"/>
        </w:rPr>
        <w:t>u</w:t>
      </w:r>
      <w:r w:rsidRPr="006D1C74">
        <w:rPr>
          <w:rFonts w:asciiTheme="majorHAnsi" w:eastAsia="Calibri" w:hAnsiTheme="majorHAnsi"/>
          <w:sz w:val="20"/>
          <w:szCs w:val="22"/>
          <w:bdr w:val="none" w:sz="0" w:space="0" w:color="auto"/>
          <w:lang w:val="pt-BR"/>
        </w:rPr>
        <w:t xml:space="preserve"> </w:t>
      </w:r>
      <w:r w:rsidR="00FC2F62" w:rsidRPr="006D1C74">
        <w:rPr>
          <w:rFonts w:asciiTheme="majorHAnsi" w:eastAsia="Calibri" w:hAnsiTheme="majorHAnsi"/>
          <w:sz w:val="20"/>
          <w:szCs w:val="22"/>
          <w:bdr w:val="none" w:sz="0" w:space="0" w:color="auto"/>
          <w:lang w:val="pt-BR"/>
        </w:rPr>
        <w:t>morte</w:t>
      </w:r>
      <w:r w:rsidRPr="006D1C74">
        <w:rPr>
          <w:rFonts w:asciiTheme="majorHAnsi" w:eastAsia="Calibri" w:hAnsiTheme="majorHAnsi"/>
          <w:sz w:val="20"/>
          <w:szCs w:val="22"/>
          <w:bdr w:val="none" w:sz="0" w:space="0" w:color="auto"/>
          <w:vertAlign w:val="superscript"/>
          <w:lang w:val="pt-BR"/>
        </w:rPr>
        <w:footnoteReference w:id="59"/>
      </w:r>
      <w:r w:rsidRPr="006D1C74">
        <w:rPr>
          <w:rFonts w:asciiTheme="majorHAnsi" w:eastAsia="Calibri" w:hAnsiTheme="majorHAnsi"/>
          <w:sz w:val="20"/>
          <w:szCs w:val="22"/>
          <w:bdr w:val="none" w:sz="0" w:space="0" w:color="auto"/>
          <w:lang w:val="pt-BR"/>
        </w:rPr>
        <w:t>.</w:t>
      </w:r>
    </w:p>
    <w:p w14:paraId="50C2085F" w14:textId="77777777" w:rsidR="002649F0" w:rsidRPr="006D1C74" w:rsidRDefault="002649F0" w:rsidP="002649F0">
      <w:pPr>
        <w:ind w:left="720"/>
        <w:rPr>
          <w:rFonts w:ascii="Cambria" w:eastAsia="Cambria" w:hAnsi="Cambria" w:cs="Cambria"/>
          <w:color w:val="000000"/>
          <w:u w:color="000000"/>
          <w:lang w:val="pt-BR" w:eastAsia="es-ES"/>
        </w:rPr>
      </w:pPr>
    </w:p>
    <w:p w14:paraId="3EC8180D" w14:textId="77777777" w:rsidR="002649F0" w:rsidRPr="006D1C74" w:rsidRDefault="00B146A8"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Por</w:t>
      </w:r>
      <w:r w:rsidR="002649F0" w:rsidRPr="006D1C74">
        <w:rPr>
          <w:rFonts w:asciiTheme="majorHAnsi" w:hAnsiTheme="majorHAnsi"/>
          <w:sz w:val="20"/>
          <w:szCs w:val="20"/>
          <w:lang w:val="pt-BR"/>
        </w:rPr>
        <w:t xml:space="preserve"> su</w:t>
      </w:r>
      <w:r w:rsidRPr="006D1C74">
        <w:rPr>
          <w:rFonts w:asciiTheme="majorHAnsi" w:hAnsiTheme="majorHAnsi"/>
          <w:sz w:val="20"/>
          <w:szCs w:val="20"/>
          <w:lang w:val="pt-BR"/>
        </w:rPr>
        <w:t>a</w:t>
      </w:r>
      <w:r w:rsidR="002649F0" w:rsidRPr="006D1C74">
        <w:rPr>
          <w:rFonts w:asciiTheme="majorHAnsi" w:hAnsiTheme="majorHAnsi"/>
          <w:sz w:val="20"/>
          <w:szCs w:val="20"/>
          <w:lang w:val="pt-BR"/>
        </w:rPr>
        <w:t xml:space="preserve"> vez,</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 xml:space="preserve">Estado </w:t>
      </w:r>
      <w:r w:rsidR="00585D35" w:rsidRPr="006D1C74">
        <w:rPr>
          <w:rFonts w:asciiTheme="majorHAnsi" w:hAnsiTheme="majorHAnsi"/>
          <w:sz w:val="20"/>
          <w:szCs w:val="20"/>
          <w:lang w:val="pt-BR"/>
        </w:rPr>
        <w:t>dev</w:t>
      </w:r>
      <w:r w:rsidR="002649F0" w:rsidRPr="006D1C74">
        <w:rPr>
          <w:rFonts w:asciiTheme="majorHAnsi" w:hAnsiTheme="majorHAnsi"/>
          <w:sz w:val="20"/>
          <w:szCs w:val="20"/>
          <w:lang w:val="pt-BR"/>
        </w:rPr>
        <w:t>e capacitar s</w:t>
      </w:r>
      <w:r w:rsidR="00A51A0D">
        <w:rPr>
          <w:rFonts w:asciiTheme="majorHAnsi" w:hAnsiTheme="majorHAnsi"/>
          <w:sz w:val="20"/>
          <w:szCs w:val="20"/>
          <w:lang w:val="pt-BR"/>
        </w:rPr>
        <w:t>e</w:t>
      </w:r>
      <w:r w:rsidR="002649F0" w:rsidRPr="006D1C74">
        <w:rPr>
          <w:rFonts w:asciiTheme="majorHAnsi" w:hAnsiTheme="majorHAnsi"/>
          <w:sz w:val="20"/>
          <w:szCs w:val="20"/>
          <w:lang w:val="pt-BR"/>
        </w:rPr>
        <w:t>us agentes a</w:t>
      </w:r>
      <w:r w:rsidR="00F673C7" w:rsidRPr="006D1C74">
        <w:rPr>
          <w:rFonts w:asciiTheme="majorHAnsi" w:hAnsiTheme="majorHAnsi"/>
          <w:sz w:val="20"/>
          <w:szCs w:val="20"/>
          <w:lang w:val="pt-BR"/>
        </w:rPr>
        <w:t xml:space="preserve"> fim </w:t>
      </w:r>
      <w:r w:rsidR="002649F0" w:rsidRPr="006D1C74">
        <w:rPr>
          <w:rFonts w:asciiTheme="majorHAnsi" w:hAnsiTheme="majorHAnsi"/>
          <w:sz w:val="20"/>
          <w:szCs w:val="20"/>
          <w:lang w:val="pt-BR"/>
        </w:rPr>
        <w:t>de que con</w:t>
      </w:r>
      <w:r w:rsidRPr="006D1C74">
        <w:rPr>
          <w:rFonts w:asciiTheme="majorHAnsi" w:hAnsiTheme="majorHAnsi"/>
          <w:sz w:val="20"/>
          <w:szCs w:val="20"/>
          <w:lang w:val="pt-BR"/>
        </w:rPr>
        <w:t>heçam</w:t>
      </w:r>
      <w:r w:rsidR="00700267" w:rsidRPr="006D1C74">
        <w:rPr>
          <w:rFonts w:asciiTheme="majorHAnsi" w:hAnsiTheme="majorHAnsi"/>
          <w:sz w:val="20"/>
          <w:szCs w:val="20"/>
          <w:lang w:val="pt-BR"/>
        </w:rPr>
        <w:t xml:space="preserve"> as </w:t>
      </w:r>
      <w:r w:rsidR="002649F0" w:rsidRPr="006D1C74">
        <w:rPr>
          <w:rFonts w:asciiTheme="majorHAnsi" w:hAnsiTheme="majorHAnsi"/>
          <w:sz w:val="20"/>
          <w:szCs w:val="20"/>
          <w:lang w:val="pt-BR"/>
        </w:rPr>
        <w:t>disposi</w:t>
      </w:r>
      <w:r w:rsidR="00CF037E" w:rsidRPr="006D1C74">
        <w:rPr>
          <w:rFonts w:asciiTheme="majorHAnsi" w:hAnsiTheme="majorHAnsi"/>
          <w:sz w:val="20"/>
          <w:szCs w:val="20"/>
          <w:lang w:val="pt-BR"/>
        </w:rPr>
        <w:t>ções</w:t>
      </w:r>
      <w:r w:rsidR="002649F0" w:rsidRPr="006D1C74">
        <w:rPr>
          <w:rFonts w:asciiTheme="majorHAnsi" w:hAnsiTheme="majorHAnsi"/>
          <w:sz w:val="20"/>
          <w:szCs w:val="20"/>
          <w:lang w:val="pt-BR"/>
        </w:rPr>
        <w:t xml:space="preserve"> leg</w:t>
      </w:r>
      <w:r w:rsidR="00700267" w:rsidRPr="006D1C74">
        <w:rPr>
          <w:rFonts w:asciiTheme="majorHAnsi" w:hAnsiTheme="majorHAnsi"/>
          <w:sz w:val="20"/>
          <w:szCs w:val="20"/>
          <w:lang w:val="pt-BR"/>
        </w:rPr>
        <w:t>ais</w:t>
      </w:r>
      <w:r w:rsidR="002649F0" w:rsidRPr="006D1C74">
        <w:rPr>
          <w:rFonts w:asciiTheme="majorHAnsi" w:hAnsiTheme="majorHAnsi"/>
          <w:sz w:val="20"/>
          <w:szCs w:val="20"/>
          <w:lang w:val="pt-BR"/>
        </w:rPr>
        <w:t xml:space="preserve"> que </w:t>
      </w:r>
      <w:r w:rsidR="006D1C74" w:rsidRPr="006D1C74">
        <w:rPr>
          <w:rFonts w:asciiTheme="majorHAnsi" w:hAnsiTheme="majorHAnsi"/>
          <w:sz w:val="20"/>
          <w:szCs w:val="20"/>
          <w:lang w:val="pt-BR"/>
        </w:rPr>
        <w:t>permitem</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uso</w:t>
      </w:r>
      <w:r w:rsidR="00D74A93" w:rsidRPr="006D1C74">
        <w:rPr>
          <w:rFonts w:asciiTheme="majorHAnsi" w:hAnsiTheme="majorHAnsi"/>
          <w:sz w:val="20"/>
          <w:szCs w:val="20"/>
          <w:lang w:val="pt-BR"/>
        </w:rPr>
        <w:t xml:space="preserve"> das </w:t>
      </w:r>
      <w:r w:rsidR="002649F0" w:rsidRPr="006D1C74">
        <w:rPr>
          <w:rFonts w:asciiTheme="majorHAnsi" w:hAnsiTheme="majorHAnsi"/>
          <w:sz w:val="20"/>
          <w:szCs w:val="20"/>
          <w:lang w:val="pt-BR"/>
        </w:rPr>
        <w:t xml:space="preserve">armas de </w:t>
      </w:r>
      <w:r w:rsidR="00135454" w:rsidRPr="006D1C74">
        <w:rPr>
          <w:rFonts w:asciiTheme="majorHAnsi" w:hAnsiTheme="majorHAnsi"/>
          <w:sz w:val="20"/>
          <w:szCs w:val="20"/>
          <w:lang w:val="pt-BR"/>
        </w:rPr>
        <w:t>fog</w:t>
      </w:r>
      <w:r w:rsidR="002649F0" w:rsidRPr="006D1C74">
        <w:rPr>
          <w:rFonts w:asciiTheme="majorHAnsi" w:hAnsiTheme="majorHAnsi"/>
          <w:sz w:val="20"/>
          <w:szCs w:val="20"/>
          <w:lang w:val="pt-BR"/>
        </w:rPr>
        <w:t>o</w:t>
      </w:r>
      <w:r w:rsidR="00CF037E" w:rsidRPr="006D1C74">
        <w:rPr>
          <w:rFonts w:asciiTheme="majorHAnsi" w:hAnsiTheme="majorHAnsi"/>
          <w:sz w:val="20"/>
          <w:szCs w:val="20"/>
          <w:lang w:val="pt-BR"/>
        </w:rPr>
        <w:t xml:space="preserve"> e </w:t>
      </w:r>
      <w:r w:rsidR="002649F0" w:rsidRPr="006D1C74">
        <w:rPr>
          <w:rFonts w:asciiTheme="majorHAnsi" w:hAnsiTheme="majorHAnsi"/>
          <w:sz w:val="20"/>
          <w:szCs w:val="20"/>
          <w:lang w:val="pt-BR"/>
        </w:rPr>
        <w:t>ten</w:t>
      </w:r>
      <w:r w:rsidRPr="006D1C74">
        <w:rPr>
          <w:rFonts w:asciiTheme="majorHAnsi" w:hAnsiTheme="majorHAnsi"/>
          <w:sz w:val="20"/>
          <w:szCs w:val="20"/>
          <w:lang w:val="pt-BR"/>
        </w:rPr>
        <w:t>ham</w:t>
      </w:r>
      <w:r w:rsidR="00700267" w:rsidRPr="006D1C74">
        <w:rPr>
          <w:rFonts w:asciiTheme="majorHAnsi" w:hAnsiTheme="majorHAnsi"/>
          <w:sz w:val="20"/>
          <w:szCs w:val="20"/>
          <w:lang w:val="pt-BR"/>
        </w:rPr>
        <w:t xml:space="preserve"> o </w:t>
      </w:r>
      <w:r w:rsidRPr="006D1C74">
        <w:rPr>
          <w:rFonts w:asciiTheme="majorHAnsi" w:hAnsiTheme="majorHAnsi"/>
          <w:sz w:val="20"/>
          <w:szCs w:val="20"/>
          <w:lang w:val="pt-BR"/>
        </w:rPr>
        <w:t>trein</w:t>
      </w:r>
      <w:r w:rsidR="002649F0" w:rsidRPr="006D1C74">
        <w:rPr>
          <w:rFonts w:asciiTheme="majorHAnsi" w:hAnsiTheme="majorHAnsi"/>
          <w:sz w:val="20"/>
          <w:szCs w:val="20"/>
          <w:lang w:val="pt-BR"/>
        </w:rPr>
        <w:t>a</w:t>
      </w:r>
      <w:r w:rsidR="00700267" w:rsidRPr="006D1C74">
        <w:rPr>
          <w:rFonts w:asciiTheme="majorHAnsi" w:hAnsiTheme="majorHAnsi"/>
          <w:sz w:val="20"/>
          <w:szCs w:val="20"/>
          <w:lang w:val="pt-BR"/>
        </w:rPr>
        <w:t>mento</w:t>
      </w:r>
      <w:r w:rsidR="002649F0" w:rsidRPr="006D1C74">
        <w:rPr>
          <w:rFonts w:asciiTheme="majorHAnsi" w:hAnsiTheme="majorHAnsi"/>
          <w:sz w:val="20"/>
          <w:szCs w:val="20"/>
          <w:lang w:val="pt-BR"/>
        </w:rPr>
        <w:t xml:space="preserve"> </w:t>
      </w:r>
      <w:r w:rsidR="006D1C74" w:rsidRPr="006D1C74">
        <w:rPr>
          <w:rFonts w:asciiTheme="majorHAnsi" w:hAnsiTheme="majorHAnsi"/>
          <w:sz w:val="20"/>
          <w:szCs w:val="20"/>
          <w:lang w:val="pt-BR"/>
        </w:rPr>
        <w:t>adequado</w:t>
      </w:r>
      <w:r w:rsidR="002649F0" w:rsidRPr="006D1C74">
        <w:rPr>
          <w:rFonts w:asciiTheme="majorHAnsi" w:hAnsiTheme="majorHAnsi"/>
          <w:sz w:val="20"/>
          <w:szCs w:val="20"/>
          <w:lang w:val="pt-BR"/>
        </w:rPr>
        <w:t xml:space="preserve"> para que,</w:t>
      </w:r>
      <w:r w:rsidR="00F673C7" w:rsidRPr="006D1C74">
        <w:rPr>
          <w:rFonts w:asciiTheme="majorHAnsi" w:hAnsiTheme="majorHAnsi"/>
          <w:sz w:val="20"/>
          <w:szCs w:val="20"/>
          <w:lang w:val="pt-BR"/>
        </w:rPr>
        <w:t xml:space="preserve"> </w:t>
      </w:r>
      <w:r w:rsidR="002649F0" w:rsidRPr="006D1C74">
        <w:rPr>
          <w:rFonts w:asciiTheme="majorHAnsi" w:hAnsiTheme="majorHAnsi"/>
          <w:sz w:val="20"/>
          <w:szCs w:val="20"/>
          <w:lang w:val="pt-BR"/>
        </w:rPr>
        <w:t xml:space="preserve">caso </w:t>
      </w:r>
      <w:r w:rsidR="006D1C74" w:rsidRPr="006D1C74">
        <w:rPr>
          <w:rFonts w:asciiTheme="majorHAnsi" w:hAnsiTheme="majorHAnsi"/>
          <w:sz w:val="20"/>
          <w:szCs w:val="20"/>
          <w:lang w:val="pt-BR"/>
        </w:rPr>
        <w:t>devam</w:t>
      </w:r>
      <w:r w:rsidR="002649F0" w:rsidRPr="006D1C74">
        <w:rPr>
          <w:rFonts w:asciiTheme="majorHAnsi" w:hAnsiTheme="majorHAnsi"/>
          <w:sz w:val="20"/>
          <w:szCs w:val="20"/>
          <w:lang w:val="pt-BR"/>
        </w:rPr>
        <w:t xml:space="preserve"> decidir acerca de </w:t>
      </w:r>
      <w:r w:rsidR="006D1C74" w:rsidRPr="006D1C74">
        <w:rPr>
          <w:rFonts w:asciiTheme="majorHAnsi" w:hAnsiTheme="majorHAnsi"/>
          <w:sz w:val="20"/>
          <w:szCs w:val="20"/>
          <w:lang w:val="pt-BR"/>
        </w:rPr>
        <w:t>seu</w:t>
      </w:r>
      <w:r w:rsidR="002649F0" w:rsidRPr="006D1C74">
        <w:rPr>
          <w:rFonts w:asciiTheme="majorHAnsi" w:hAnsiTheme="majorHAnsi"/>
          <w:sz w:val="20"/>
          <w:szCs w:val="20"/>
          <w:lang w:val="pt-BR"/>
        </w:rPr>
        <w:t xml:space="preserve"> uso, pos</w:t>
      </w:r>
      <w:r w:rsidRPr="006D1C74">
        <w:rPr>
          <w:rFonts w:asciiTheme="majorHAnsi" w:hAnsiTheme="majorHAnsi"/>
          <w:sz w:val="20"/>
          <w:szCs w:val="20"/>
          <w:lang w:val="pt-BR"/>
        </w:rPr>
        <w:t>suam</w:t>
      </w:r>
      <w:r w:rsidR="00700267" w:rsidRPr="006D1C74">
        <w:rPr>
          <w:rFonts w:asciiTheme="majorHAnsi" w:hAnsiTheme="majorHAnsi"/>
          <w:sz w:val="20"/>
          <w:szCs w:val="20"/>
          <w:lang w:val="pt-BR"/>
        </w:rPr>
        <w:t xml:space="preserve"> os </w:t>
      </w:r>
      <w:r w:rsidR="002649F0" w:rsidRPr="006D1C74">
        <w:rPr>
          <w:rFonts w:asciiTheme="majorHAnsi" w:hAnsiTheme="majorHAnsi"/>
          <w:sz w:val="20"/>
          <w:szCs w:val="20"/>
          <w:lang w:val="pt-BR"/>
        </w:rPr>
        <w:t xml:space="preserve">elementos de </w:t>
      </w:r>
      <w:r w:rsidR="00C57688" w:rsidRPr="006D1C74">
        <w:rPr>
          <w:rFonts w:asciiTheme="majorHAnsi" w:hAnsiTheme="majorHAnsi"/>
          <w:sz w:val="20"/>
          <w:szCs w:val="20"/>
          <w:lang w:val="pt-BR"/>
        </w:rPr>
        <w:t xml:space="preserve">formação do </w:t>
      </w:r>
      <w:r w:rsidR="002649F0" w:rsidRPr="006D1C74">
        <w:rPr>
          <w:rFonts w:asciiTheme="majorHAnsi" w:hAnsiTheme="majorHAnsi"/>
          <w:sz w:val="20"/>
          <w:szCs w:val="20"/>
          <w:lang w:val="pt-BR"/>
        </w:rPr>
        <w:t>ju</w:t>
      </w:r>
      <w:r w:rsidR="00C57688" w:rsidRPr="006D1C74">
        <w:rPr>
          <w:rFonts w:asciiTheme="majorHAnsi" w:hAnsiTheme="majorHAnsi"/>
          <w:sz w:val="20"/>
          <w:szCs w:val="20"/>
          <w:lang w:val="pt-BR"/>
        </w:rPr>
        <w:t>íz</w:t>
      </w:r>
      <w:r w:rsidR="002649F0" w:rsidRPr="006D1C74">
        <w:rPr>
          <w:rFonts w:asciiTheme="majorHAnsi" w:hAnsiTheme="majorHAnsi"/>
          <w:sz w:val="20"/>
          <w:szCs w:val="20"/>
          <w:lang w:val="pt-BR"/>
        </w:rPr>
        <w:t xml:space="preserve">o para </w:t>
      </w:r>
      <w:r w:rsidRPr="006D1C74">
        <w:rPr>
          <w:rFonts w:asciiTheme="majorHAnsi" w:hAnsiTheme="majorHAnsi"/>
          <w:sz w:val="20"/>
          <w:szCs w:val="20"/>
          <w:lang w:val="pt-BR"/>
        </w:rPr>
        <w:t>fazê-</w:t>
      </w:r>
      <w:r w:rsidR="002649F0" w:rsidRPr="006D1C74">
        <w:rPr>
          <w:rFonts w:asciiTheme="majorHAnsi" w:hAnsiTheme="majorHAnsi"/>
          <w:sz w:val="20"/>
          <w:szCs w:val="20"/>
          <w:lang w:val="pt-BR"/>
        </w:rPr>
        <w:t>lo</w:t>
      </w:r>
      <w:r w:rsidR="002649F0" w:rsidRPr="006D1C74">
        <w:rPr>
          <w:rFonts w:asciiTheme="majorHAnsi" w:hAnsiTheme="majorHAnsi" w:cs="Verdana"/>
          <w:sz w:val="20"/>
          <w:szCs w:val="20"/>
          <w:vertAlign w:val="superscript"/>
          <w:lang w:val="pt-BR"/>
        </w:rPr>
        <w:footnoteReference w:id="60"/>
      </w:r>
      <w:r w:rsidR="002649F0" w:rsidRPr="006D1C74">
        <w:rPr>
          <w:rFonts w:asciiTheme="majorHAnsi" w:hAnsiTheme="majorHAnsi"/>
          <w:sz w:val="20"/>
          <w:szCs w:val="20"/>
          <w:lang w:val="pt-BR"/>
        </w:rPr>
        <w:t xml:space="preserve">. </w:t>
      </w:r>
    </w:p>
    <w:p w14:paraId="1D4F8803" w14:textId="77777777" w:rsidR="002649F0" w:rsidRPr="006D1C74" w:rsidRDefault="002649F0" w:rsidP="002649F0">
      <w:pPr>
        <w:ind w:left="720"/>
        <w:rPr>
          <w:rFonts w:asciiTheme="majorHAnsi" w:eastAsia="Cambria" w:hAnsiTheme="majorHAnsi" w:cs="Cambria"/>
          <w:color w:val="000000"/>
          <w:sz w:val="20"/>
          <w:szCs w:val="20"/>
          <w:u w:color="000000"/>
          <w:lang w:val="pt-BR" w:eastAsia="es-ES"/>
        </w:rPr>
      </w:pPr>
    </w:p>
    <w:p w14:paraId="0F21940A"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hAnsiTheme="majorHAnsi"/>
          <w:sz w:val="20"/>
          <w:szCs w:val="20"/>
          <w:lang w:val="pt-BR"/>
        </w:rPr>
      </w:pPr>
      <w:r w:rsidRPr="006D1C74">
        <w:rPr>
          <w:rFonts w:asciiTheme="majorHAnsi" w:hAnsiTheme="majorHAnsi" w:cs="Verdana"/>
          <w:sz w:val="20"/>
          <w:szCs w:val="20"/>
          <w:lang w:val="pt-BR"/>
        </w:rPr>
        <w:t xml:space="preserve"> </w:t>
      </w:r>
      <w:r w:rsidR="00B42161" w:rsidRPr="006D1C74">
        <w:rPr>
          <w:rFonts w:asciiTheme="majorHAnsi" w:hAnsiTheme="majorHAnsi" w:cs="Verdana"/>
          <w:sz w:val="20"/>
          <w:szCs w:val="20"/>
          <w:lang w:val="pt-BR"/>
        </w:rPr>
        <w:t>A</w:t>
      </w:r>
      <w:r w:rsidRPr="006D1C74">
        <w:rPr>
          <w:rFonts w:asciiTheme="majorHAnsi" w:hAnsiTheme="majorHAnsi"/>
          <w:sz w:val="20"/>
          <w:szCs w:val="20"/>
          <w:lang w:val="pt-BR"/>
        </w:rPr>
        <w:t xml:space="preserve"> CIDH </w:t>
      </w:r>
      <w:r w:rsidR="00C57688" w:rsidRPr="006D1C74">
        <w:rPr>
          <w:rFonts w:asciiTheme="majorHAnsi" w:hAnsiTheme="majorHAnsi"/>
          <w:sz w:val="20"/>
          <w:szCs w:val="20"/>
          <w:lang w:val="pt-BR"/>
        </w:rPr>
        <w:t xml:space="preserve">assinalou </w:t>
      </w:r>
      <w:r w:rsidRPr="006D1C74">
        <w:rPr>
          <w:rFonts w:asciiTheme="majorHAnsi" w:hAnsiTheme="majorHAnsi"/>
          <w:sz w:val="20"/>
          <w:szCs w:val="20"/>
          <w:lang w:val="pt-BR"/>
        </w:rPr>
        <w:t xml:space="preserve">que </w:t>
      </w:r>
      <w:r w:rsidR="00C57688" w:rsidRPr="006D1C74">
        <w:rPr>
          <w:rFonts w:asciiTheme="majorHAnsi" w:hAnsiTheme="majorHAnsi"/>
          <w:sz w:val="20"/>
          <w:szCs w:val="20"/>
          <w:lang w:val="pt-BR"/>
        </w:rPr>
        <w:t>ess</w:t>
      </w:r>
      <w:r w:rsidRPr="006D1C74">
        <w:rPr>
          <w:rFonts w:asciiTheme="majorHAnsi" w:hAnsiTheme="majorHAnsi"/>
          <w:sz w:val="20"/>
          <w:szCs w:val="20"/>
          <w:lang w:val="pt-BR"/>
        </w:rPr>
        <w:t>a facul</w:t>
      </w:r>
      <w:r w:rsidR="006D1C74">
        <w:rPr>
          <w:rFonts w:asciiTheme="majorHAnsi" w:hAnsiTheme="majorHAnsi"/>
          <w:sz w:val="20"/>
          <w:szCs w:val="20"/>
          <w:lang w:val="pt-BR"/>
        </w:rPr>
        <w:t>d</w:t>
      </w:r>
      <w:r w:rsidRPr="006D1C74">
        <w:rPr>
          <w:rFonts w:asciiTheme="majorHAnsi" w:hAnsiTheme="majorHAnsi"/>
          <w:sz w:val="20"/>
          <w:szCs w:val="20"/>
          <w:lang w:val="pt-BR"/>
        </w:rPr>
        <w:t>ad</w:t>
      </w:r>
      <w:r w:rsidR="006D1C74">
        <w:rPr>
          <w:rFonts w:asciiTheme="majorHAnsi" w:hAnsiTheme="majorHAnsi"/>
          <w:sz w:val="20"/>
          <w:szCs w:val="20"/>
          <w:lang w:val="pt-BR"/>
        </w:rPr>
        <w:t>e</w:t>
      </w:r>
      <w:r w:rsidRPr="006D1C74">
        <w:rPr>
          <w:rFonts w:asciiTheme="majorHAnsi" w:hAnsiTheme="majorHAnsi"/>
          <w:sz w:val="20"/>
          <w:szCs w:val="20"/>
          <w:lang w:val="pt-BR"/>
        </w:rPr>
        <w:t xml:space="preserve"> </w:t>
      </w:r>
      <w:r w:rsidR="00585D35" w:rsidRPr="006D1C74">
        <w:rPr>
          <w:rFonts w:asciiTheme="majorHAnsi" w:hAnsiTheme="majorHAnsi"/>
          <w:sz w:val="20"/>
          <w:szCs w:val="20"/>
          <w:lang w:val="pt-BR"/>
        </w:rPr>
        <w:t>dev</w:t>
      </w:r>
      <w:r w:rsidRPr="006D1C74">
        <w:rPr>
          <w:rFonts w:asciiTheme="majorHAnsi" w:hAnsiTheme="majorHAnsi"/>
          <w:sz w:val="20"/>
          <w:szCs w:val="20"/>
          <w:lang w:val="pt-BR"/>
        </w:rPr>
        <w:t>e estar restringida a</w:t>
      </w:r>
      <w:r w:rsidR="00030019" w:rsidRPr="006D1C74">
        <w:rPr>
          <w:rFonts w:asciiTheme="majorHAnsi" w:hAnsiTheme="majorHAnsi"/>
          <w:sz w:val="20"/>
          <w:szCs w:val="20"/>
          <w:lang w:val="pt-BR"/>
        </w:rPr>
        <w:t xml:space="preserve"> uma </w:t>
      </w:r>
      <w:r w:rsidRPr="006D1C74">
        <w:rPr>
          <w:rFonts w:asciiTheme="majorHAnsi" w:hAnsiTheme="majorHAnsi"/>
          <w:sz w:val="20"/>
          <w:szCs w:val="20"/>
          <w:lang w:val="pt-BR"/>
        </w:rPr>
        <w:t>finali</w:t>
      </w:r>
      <w:r w:rsidR="00F673C7" w:rsidRPr="006D1C74">
        <w:rPr>
          <w:rFonts w:asciiTheme="majorHAnsi" w:hAnsiTheme="majorHAnsi"/>
          <w:sz w:val="20"/>
          <w:szCs w:val="20"/>
          <w:lang w:val="pt-BR"/>
        </w:rPr>
        <w:t xml:space="preserve">dade </w:t>
      </w:r>
      <w:r w:rsidRPr="006D1C74">
        <w:rPr>
          <w:rFonts w:asciiTheme="majorHAnsi" w:hAnsiTheme="majorHAnsi"/>
          <w:sz w:val="20"/>
          <w:szCs w:val="20"/>
          <w:lang w:val="pt-BR"/>
        </w:rPr>
        <w:t xml:space="preserve">legítima, </w:t>
      </w:r>
      <w:r w:rsidR="006D1C74" w:rsidRPr="006D1C74">
        <w:rPr>
          <w:rFonts w:asciiTheme="majorHAnsi" w:hAnsiTheme="majorHAnsi"/>
          <w:sz w:val="20"/>
          <w:szCs w:val="20"/>
          <w:lang w:val="pt-BR"/>
        </w:rPr>
        <w:t>necessária</w:t>
      </w:r>
      <w:r w:rsidR="00CF037E" w:rsidRPr="006D1C74">
        <w:rPr>
          <w:rFonts w:asciiTheme="majorHAnsi" w:hAnsiTheme="majorHAnsi"/>
          <w:sz w:val="20"/>
          <w:szCs w:val="20"/>
          <w:lang w:val="pt-BR"/>
        </w:rPr>
        <w:t xml:space="preserve"> e </w:t>
      </w:r>
      <w:r w:rsidRPr="006D1C74">
        <w:rPr>
          <w:rFonts w:asciiTheme="majorHAnsi" w:hAnsiTheme="majorHAnsi"/>
          <w:sz w:val="20"/>
          <w:szCs w:val="20"/>
          <w:lang w:val="pt-BR"/>
        </w:rPr>
        <w:t>proporcional</w:t>
      </w:r>
      <w:r w:rsidRPr="006D1C74">
        <w:rPr>
          <w:rFonts w:asciiTheme="majorHAnsi" w:hAnsiTheme="majorHAnsi"/>
          <w:sz w:val="20"/>
          <w:szCs w:val="20"/>
          <w:vertAlign w:val="superscript"/>
          <w:lang w:val="pt-BR"/>
        </w:rPr>
        <w:footnoteReference w:id="61"/>
      </w:r>
      <w:r w:rsidRPr="006D1C74">
        <w:rPr>
          <w:rFonts w:asciiTheme="majorHAnsi" w:hAnsiTheme="majorHAnsi"/>
          <w:sz w:val="20"/>
          <w:szCs w:val="20"/>
          <w:lang w:val="pt-BR"/>
        </w:rPr>
        <w:t xml:space="preserve">. </w:t>
      </w:r>
      <w:r w:rsidR="00C57688" w:rsidRPr="006D1C74">
        <w:rPr>
          <w:rFonts w:asciiTheme="majorHAnsi" w:hAnsiTheme="majorHAnsi"/>
          <w:sz w:val="20"/>
          <w:szCs w:val="20"/>
          <w:lang w:val="pt-BR"/>
        </w:rPr>
        <w:t>Iss</w:t>
      </w:r>
      <w:r w:rsidRPr="006D1C74">
        <w:rPr>
          <w:rFonts w:asciiTheme="majorHAnsi" w:hAnsiTheme="majorHAnsi"/>
          <w:sz w:val="20"/>
          <w:szCs w:val="20"/>
          <w:lang w:val="pt-BR"/>
        </w:rPr>
        <w:t>o implica que</w:t>
      </w:r>
      <w:r w:rsidR="00C57688" w:rsidRPr="006D1C74">
        <w:rPr>
          <w:rFonts w:asciiTheme="majorHAnsi" w:hAnsiTheme="majorHAnsi"/>
          <w:sz w:val="20"/>
          <w:szCs w:val="20"/>
          <w:lang w:val="pt-BR"/>
        </w:rPr>
        <w:t>,</w:t>
      </w:r>
      <w:r w:rsidRPr="006D1C74">
        <w:rPr>
          <w:rFonts w:asciiTheme="majorHAnsi" w:hAnsiTheme="majorHAnsi"/>
          <w:sz w:val="20"/>
          <w:szCs w:val="20"/>
          <w:lang w:val="pt-BR"/>
        </w:rPr>
        <w:t xml:space="preserve"> s</w:t>
      </w:r>
      <w:r w:rsidR="00C57688" w:rsidRPr="006D1C74">
        <w:rPr>
          <w:rFonts w:asciiTheme="majorHAnsi" w:hAnsiTheme="majorHAnsi"/>
          <w:sz w:val="20"/>
          <w:szCs w:val="20"/>
          <w:lang w:val="pt-BR"/>
        </w:rPr>
        <w:t>e</w:t>
      </w:r>
      <w:r w:rsidR="00030019" w:rsidRPr="006D1C74">
        <w:rPr>
          <w:rFonts w:asciiTheme="majorHAnsi" w:hAnsiTheme="majorHAnsi"/>
          <w:sz w:val="20"/>
          <w:szCs w:val="20"/>
          <w:lang w:val="pt-BR"/>
        </w:rPr>
        <w:t xml:space="preserve"> uma </w:t>
      </w:r>
      <w:r w:rsidR="00CA7940" w:rsidRPr="006D1C74">
        <w:rPr>
          <w:rFonts w:asciiTheme="majorHAnsi" w:hAnsiTheme="majorHAnsi"/>
          <w:sz w:val="20"/>
          <w:szCs w:val="20"/>
          <w:lang w:val="pt-BR"/>
        </w:rPr>
        <w:t>pessoa</w:t>
      </w:r>
      <w:r w:rsidRPr="006D1C74">
        <w:rPr>
          <w:rFonts w:asciiTheme="majorHAnsi" w:hAnsiTheme="majorHAnsi"/>
          <w:sz w:val="20"/>
          <w:szCs w:val="20"/>
          <w:lang w:val="pt-BR"/>
        </w:rPr>
        <w:t xml:space="preserve"> </w:t>
      </w:r>
      <w:r w:rsidR="006D1C74" w:rsidRPr="006D1C74">
        <w:rPr>
          <w:rFonts w:asciiTheme="majorHAnsi" w:hAnsiTheme="majorHAnsi"/>
          <w:sz w:val="20"/>
          <w:szCs w:val="20"/>
          <w:lang w:val="pt-BR"/>
        </w:rPr>
        <w:t>perde</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 xml:space="preserve">vida </w:t>
      </w:r>
      <w:r w:rsidR="00C57688" w:rsidRPr="006D1C74">
        <w:rPr>
          <w:rFonts w:asciiTheme="majorHAnsi" w:hAnsiTheme="majorHAnsi"/>
          <w:sz w:val="20"/>
          <w:szCs w:val="20"/>
          <w:lang w:val="pt-BR"/>
        </w:rPr>
        <w:t>em</w:t>
      </w:r>
      <w:r w:rsidRPr="006D1C74">
        <w:rPr>
          <w:rFonts w:asciiTheme="majorHAnsi" w:hAnsiTheme="majorHAnsi"/>
          <w:sz w:val="20"/>
          <w:szCs w:val="20"/>
          <w:lang w:val="pt-BR"/>
        </w:rPr>
        <w:t xml:space="preserve"> </w:t>
      </w:r>
      <w:r w:rsidR="006D1C74" w:rsidRPr="006D1C74">
        <w:rPr>
          <w:rFonts w:asciiTheme="majorHAnsi" w:hAnsiTheme="majorHAnsi"/>
          <w:sz w:val="20"/>
          <w:szCs w:val="20"/>
          <w:lang w:val="pt-BR"/>
        </w:rPr>
        <w:t>consequência</w:t>
      </w:r>
      <w:r w:rsidR="00030019" w:rsidRPr="006D1C74">
        <w:rPr>
          <w:rFonts w:asciiTheme="majorHAnsi" w:hAnsiTheme="majorHAnsi"/>
          <w:sz w:val="20"/>
          <w:szCs w:val="20"/>
          <w:lang w:val="pt-BR"/>
        </w:rPr>
        <w:t xml:space="preserve"> do </w:t>
      </w:r>
      <w:r w:rsidRPr="006D1C74">
        <w:rPr>
          <w:rFonts w:asciiTheme="majorHAnsi" w:hAnsiTheme="majorHAnsi"/>
          <w:sz w:val="20"/>
          <w:szCs w:val="20"/>
          <w:lang w:val="pt-BR"/>
        </w:rPr>
        <w:t>uso</w:t>
      </w:r>
      <w:r w:rsidR="00795010" w:rsidRPr="006D1C74">
        <w:rPr>
          <w:rFonts w:asciiTheme="majorHAnsi" w:hAnsiTheme="majorHAnsi"/>
          <w:sz w:val="20"/>
          <w:szCs w:val="20"/>
          <w:lang w:val="pt-BR"/>
        </w:rPr>
        <w:t xml:space="preserve"> da </w:t>
      </w:r>
      <w:r w:rsidR="00B146A8" w:rsidRPr="006D1C74">
        <w:rPr>
          <w:rFonts w:asciiTheme="majorHAnsi" w:hAnsiTheme="majorHAnsi"/>
          <w:sz w:val="20"/>
          <w:szCs w:val="20"/>
          <w:lang w:val="pt-BR"/>
        </w:rPr>
        <w:t>força</w:t>
      </w:r>
      <w:r w:rsidRPr="006D1C74">
        <w:rPr>
          <w:rFonts w:asciiTheme="majorHAnsi" w:hAnsiTheme="majorHAnsi"/>
          <w:sz w:val="20"/>
          <w:szCs w:val="20"/>
          <w:lang w:val="pt-BR"/>
        </w:rPr>
        <w:t xml:space="preserve"> por agentes</w:t>
      </w:r>
      <w:r w:rsidR="00D74A93" w:rsidRPr="006D1C74">
        <w:rPr>
          <w:rFonts w:asciiTheme="majorHAnsi" w:hAnsiTheme="majorHAnsi"/>
          <w:sz w:val="20"/>
          <w:szCs w:val="20"/>
          <w:lang w:val="pt-BR"/>
        </w:rPr>
        <w:t xml:space="preserve"> das </w:t>
      </w:r>
      <w:r w:rsidR="00B146A8" w:rsidRPr="006D1C74">
        <w:rPr>
          <w:rFonts w:asciiTheme="majorHAnsi" w:hAnsiTheme="majorHAnsi"/>
          <w:sz w:val="20"/>
          <w:szCs w:val="20"/>
          <w:lang w:val="pt-BR"/>
        </w:rPr>
        <w:t>força</w:t>
      </w:r>
      <w:r w:rsidRPr="006D1C74">
        <w:rPr>
          <w:rFonts w:asciiTheme="majorHAnsi" w:hAnsiTheme="majorHAnsi"/>
          <w:sz w:val="20"/>
          <w:szCs w:val="20"/>
          <w:lang w:val="pt-BR"/>
        </w:rPr>
        <w:t>s</w:t>
      </w:r>
      <w:r w:rsidR="00030019" w:rsidRPr="006D1C74">
        <w:rPr>
          <w:rFonts w:asciiTheme="majorHAnsi" w:hAnsiTheme="majorHAnsi"/>
          <w:sz w:val="20"/>
          <w:szCs w:val="20"/>
          <w:lang w:val="pt-BR"/>
        </w:rPr>
        <w:t xml:space="preserve"> d</w:t>
      </w:r>
      <w:r w:rsidR="00C57688" w:rsidRPr="006D1C74">
        <w:rPr>
          <w:rFonts w:asciiTheme="majorHAnsi" w:hAnsiTheme="majorHAnsi"/>
          <w:sz w:val="20"/>
          <w:szCs w:val="20"/>
          <w:lang w:val="pt-BR"/>
        </w:rPr>
        <w:t>a</w:t>
      </w:r>
      <w:r w:rsidR="00030019" w:rsidRPr="006D1C74">
        <w:rPr>
          <w:rFonts w:asciiTheme="majorHAnsi" w:hAnsiTheme="majorHAnsi"/>
          <w:sz w:val="20"/>
          <w:szCs w:val="20"/>
          <w:lang w:val="pt-BR"/>
        </w:rPr>
        <w:t xml:space="preserve"> </w:t>
      </w:r>
      <w:r w:rsidR="00585D35" w:rsidRPr="006D1C74">
        <w:rPr>
          <w:rFonts w:asciiTheme="majorHAnsi" w:hAnsiTheme="majorHAnsi"/>
          <w:sz w:val="20"/>
          <w:szCs w:val="20"/>
          <w:lang w:val="pt-BR"/>
        </w:rPr>
        <w:t>ordem</w:t>
      </w:r>
      <w:r w:rsidRPr="006D1C74">
        <w:rPr>
          <w:rFonts w:asciiTheme="majorHAnsi" w:hAnsiTheme="majorHAnsi"/>
          <w:sz w:val="20"/>
          <w:szCs w:val="20"/>
          <w:lang w:val="pt-BR"/>
        </w:rPr>
        <w:t xml:space="preserve"> que</w:t>
      </w:r>
      <w:r w:rsidR="00F673C7" w:rsidRPr="006D1C74">
        <w:rPr>
          <w:rFonts w:asciiTheme="majorHAnsi" w:hAnsiTheme="majorHAnsi"/>
          <w:sz w:val="20"/>
          <w:szCs w:val="20"/>
          <w:lang w:val="pt-BR"/>
        </w:rPr>
        <w:t xml:space="preserve"> não </w:t>
      </w:r>
      <w:r w:rsidRPr="006D1C74">
        <w:rPr>
          <w:rFonts w:asciiTheme="majorHAnsi" w:hAnsiTheme="majorHAnsi"/>
          <w:sz w:val="20"/>
          <w:szCs w:val="20"/>
          <w:lang w:val="pt-BR"/>
        </w:rPr>
        <w:t xml:space="preserve">se </w:t>
      </w:r>
      <w:r w:rsidR="00C57688" w:rsidRPr="006D1C74">
        <w:rPr>
          <w:rFonts w:asciiTheme="majorHAnsi" w:hAnsiTheme="majorHAnsi"/>
          <w:sz w:val="20"/>
          <w:szCs w:val="20"/>
          <w:lang w:val="pt-BR"/>
        </w:rPr>
        <w:t>atenha</w:t>
      </w:r>
      <w:r w:rsidRPr="006D1C74">
        <w:rPr>
          <w:rFonts w:asciiTheme="majorHAnsi" w:hAnsiTheme="majorHAnsi"/>
          <w:sz w:val="20"/>
          <w:szCs w:val="20"/>
          <w:lang w:val="pt-BR"/>
        </w:rPr>
        <w:t xml:space="preserve"> a </w:t>
      </w:r>
      <w:r w:rsidR="00C57688" w:rsidRPr="006D1C74">
        <w:rPr>
          <w:rFonts w:asciiTheme="majorHAnsi" w:hAnsiTheme="majorHAnsi"/>
          <w:sz w:val="20"/>
          <w:szCs w:val="20"/>
          <w:lang w:val="pt-BR"/>
        </w:rPr>
        <w:t>esse</w:t>
      </w:r>
      <w:r w:rsidRPr="006D1C74">
        <w:rPr>
          <w:rFonts w:asciiTheme="majorHAnsi" w:hAnsiTheme="majorHAnsi"/>
          <w:sz w:val="20"/>
          <w:szCs w:val="20"/>
          <w:lang w:val="pt-BR"/>
        </w:rPr>
        <w:t xml:space="preserve">s requisitos, </w:t>
      </w:r>
      <w:r w:rsidR="006D1C74" w:rsidRPr="006D1C74">
        <w:rPr>
          <w:rFonts w:asciiTheme="majorHAnsi" w:hAnsiTheme="majorHAnsi"/>
          <w:sz w:val="20"/>
          <w:szCs w:val="20"/>
          <w:lang w:val="pt-BR"/>
        </w:rPr>
        <w:t>esse</w:t>
      </w:r>
      <w:r w:rsidRPr="006D1C74">
        <w:rPr>
          <w:rFonts w:asciiTheme="majorHAnsi" w:hAnsiTheme="majorHAnsi"/>
          <w:sz w:val="20"/>
          <w:szCs w:val="20"/>
          <w:lang w:val="pt-BR"/>
        </w:rPr>
        <w:t xml:space="preserve"> </w:t>
      </w:r>
      <w:r w:rsidR="00F37852" w:rsidRPr="006D1C74">
        <w:rPr>
          <w:rFonts w:asciiTheme="majorHAnsi" w:hAnsiTheme="majorHAnsi"/>
          <w:sz w:val="20"/>
          <w:szCs w:val="20"/>
          <w:lang w:val="pt-BR"/>
        </w:rPr>
        <w:t>fato</w:t>
      </w:r>
      <w:r w:rsidRPr="006D1C74">
        <w:rPr>
          <w:rFonts w:asciiTheme="majorHAnsi" w:hAnsiTheme="majorHAnsi"/>
          <w:sz w:val="20"/>
          <w:szCs w:val="20"/>
          <w:lang w:val="pt-BR"/>
        </w:rPr>
        <w:t xml:space="preserve"> equival</w:t>
      </w:r>
      <w:r w:rsidR="00C57688" w:rsidRPr="006D1C74">
        <w:rPr>
          <w:rFonts w:asciiTheme="majorHAnsi" w:hAnsiTheme="majorHAnsi"/>
          <w:sz w:val="20"/>
          <w:szCs w:val="20"/>
          <w:lang w:val="pt-BR"/>
        </w:rPr>
        <w:t>e</w:t>
      </w:r>
      <w:r w:rsidRPr="006D1C74">
        <w:rPr>
          <w:rFonts w:asciiTheme="majorHAnsi" w:hAnsiTheme="majorHAnsi"/>
          <w:sz w:val="20"/>
          <w:szCs w:val="20"/>
          <w:lang w:val="pt-BR"/>
        </w:rPr>
        <w:t>rá a</w:t>
      </w:r>
      <w:r w:rsidR="00030019" w:rsidRPr="006D1C74">
        <w:rPr>
          <w:rFonts w:asciiTheme="majorHAnsi" w:hAnsiTheme="majorHAnsi"/>
          <w:sz w:val="20"/>
          <w:szCs w:val="20"/>
          <w:lang w:val="pt-BR"/>
        </w:rPr>
        <w:t xml:space="preserve"> uma </w:t>
      </w:r>
      <w:r w:rsidRPr="006D1C74">
        <w:rPr>
          <w:rFonts w:asciiTheme="majorHAnsi" w:hAnsiTheme="majorHAnsi"/>
          <w:sz w:val="20"/>
          <w:szCs w:val="20"/>
          <w:lang w:val="pt-BR"/>
        </w:rPr>
        <w:t>priva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arbitr</w:t>
      </w:r>
      <w:r w:rsidR="00A51A0D">
        <w:rPr>
          <w:rFonts w:asciiTheme="majorHAnsi" w:hAnsiTheme="majorHAnsi"/>
          <w:sz w:val="20"/>
          <w:szCs w:val="20"/>
          <w:lang w:val="pt-BR"/>
        </w:rPr>
        <w:t>á</w:t>
      </w:r>
      <w:r w:rsidRPr="006D1C74">
        <w:rPr>
          <w:rFonts w:asciiTheme="majorHAnsi" w:hAnsiTheme="majorHAnsi"/>
          <w:sz w:val="20"/>
          <w:szCs w:val="20"/>
          <w:lang w:val="pt-BR"/>
        </w:rPr>
        <w:t>ria</w:t>
      </w:r>
      <w:r w:rsidR="00795010" w:rsidRPr="006D1C74">
        <w:rPr>
          <w:rFonts w:asciiTheme="majorHAnsi" w:hAnsiTheme="majorHAnsi"/>
          <w:sz w:val="20"/>
          <w:szCs w:val="20"/>
          <w:lang w:val="pt-BR"/>
        </w:rPr>
        <w:t xml:space="preserve"> da </w:t>
      </w:r>
      <w:r w:rsidRPr="006D1C74">
        <w:rPr>
          <w:rFonts w:asciiTheme="majorHAnsi" w:hAnsiTheme="majorHAnsi"/>
          <w:sz w:val="20"/>
          <w:szCs w:val="20"/>
          <w:lang w:val="pt-BR"/>
        </w:rPr>
        <w:t>vida</w:t>
      </w:r>
      <w:r w:rsidRPr="006D1C74">
        <w:rPr>
          <w:rFonts w:asciiTheme="majorHAnsi" w:hAnsiTheme="majorHAnsi"/>
          <w:sz w:val="20"/>
          <w:szCs w:val="20"/>
          <w:vertAlign w:val="superscript"/>
          <w:lang w:val="pt-BR"/>
        </w:rPr>
        <w:footnoteReference w:id="62"/>
      </w:r>
      <w:r w:rsidRPr="006D1C74">
        <w:rPr>
          <w:rFonts w:asciiTheme="majorHAnsi" w:hAnsiTheme="majorHAnsi"/>
          <w:sz w:val="20"/>
          <w:szCs w:val="20"/>
          <w:lang w:val="pt-BR"/>
        </w:rPr>
        <w:t xml:space="preserve">. Por </w:t>
      </w:r>
      <w:r w:rsidR="006D1C74" w:rsidRPr="006D1C74">
        <w:rPr>
          <w:rFonts w:asciiTheme="majorHAnsi" w:hAnsiTheme="majorHAnsi"/>
          <w:sz w:val="20"/>
          <w:szCs w:val="20"/>
          <w:lang w:val="pt-BR"/>
        </w:rPr>
        <w:t>sua</w:t>
      </w:r>
      <w:r w:rsidRPr="006D1C74">
        <w:rPr>
          <w:rFonts w:asciiTheme="majorHAnsi" w:hAnsiTheme="majorHAnsi"/>
          <w:sz w:val="20"/>
          <w:szCs w:val="20"/>
          <w:lang w:val="pt-BR"/>
        </w:rPr>
        <w:t xml:space="preserve"> </w:t>
      </w:r>
      <w:r w:rsidR="00C57688" w:rsidRPr="006D1C74">
        <w:rPr>
          <w:rFonts w:asciiTheme="majorHAnsi" w:hAnsiTheme="majorHAnsi"/>
          <w:sz w:val="20"/>
          <w:szCs w:val="20"/>
          <w:lang w:val="pt-BR"/>
        </w:rPr>
        <w:t>vez</w:t>
      </w:r>
      <w:r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 xml:space="preserve">Corte </w:t>
      </w:r>
      <w:r w:rsidR="00C57688" w:rsidRPr="006D1C74">
        <w:rPr>
          <w:rFonts w:asciiTheme="majorHAnsi" w:hAnsiTheme="majorHAnsi"/>
          <w:sz w:val="20"/>
          <w:szCs w:val="20"/>
          <w:lang w:val="pt-BR"/>
        </w:rPr>
        <w:t>assinalou</w:t>
      </w:r>
      <w:r w:rsidRPr="006D1C74">
        <w:rPr>
          <w:rFonts w:asciiTheme="majorHAnsi" w:hAnsiTheme="majorHAnsi"/>
          <w:sz w:val="20"/>
          <w:szCs w:val="20"/>
          <w:lang w:val="pt-BR"/>
        </w:rPr>
        <w:t xml:space="preserve"> que t</w:t>
      </w:r>
      <w:r w:rsidR="00700267" w:rsidRPr="006D1C74">
        <w:rPr>
          <w:rFonts w:asciiTheme="majorHAnsi" w:hAnsiTheme="majorHAnsi"/>
          <w:sz w:val="20"/>
          <w:szCs w:val="20"/>
          <w:lang w:val="pt-BR"/>
        </w:rPr>
        <w:t>ais</w:t>
      </w:r>
      <w:r w:rsidRPr="006D1C74">
        <w:rPr>
          <w:rFonts w:asciiTheme="majorHAnsi" w:hAnsiTheme="majorHAnsi"/>
          <w:sz w:val="20"/>
          <w:szCs w:val="20"/>
          <w:lang w:val="pt-BR"/>
        </w:rPr>
        <w:t xml:space="preserve"> requisitos </w:t>
      </w:r>
      <w:r w:rsidR="006D1C74" w:rsidRPr="006D1C74">
        <w:rPr>
          <w:rFonts w:asciiTheme="majorHAnsi" w:hAnsiTheme="majorHAnsi"/>
          <w:sz w:val="20"/>
          <w:szCs w:val="20"/>
          <w:lang w:val="pt-BR"/>
        </w:rPr>
        <w:t>implicam</w:t>
      </w:r>
      <w:r w:rsidR="00B146A8" w:rsidRPr="006D1C74">
        <w:rPr>
          <w:rFonts w:asciiTheme="majorHAnsi" w:hAnsiTheme="majorHAnsi"/>
          <w:sz w:val="20"/>
          <w:szCs w:val="20"/>
          <w:lang w:val="pt-BR"/>
        </w:rPr>
        <w:t xml:space="preserve"> o </w:t>
      </w:r>
      <w:r w:rsidR="00154D0D" w:rsidRPr="006D1C74">
        <w:rPr>
          <w:rFonts w:asciiTheme="majorHAnsi" w:hAnsiTheme="majorHAnsi"/>
          <w:sz w:val="20"/>
          <w:szCs w:val="20"/>
          <w:lang w:val="pt-BR"/>
        </w:rPr>
        <w:t>seguinte</w:t>
      </w:r>
      <w:r w:rsidRPr="006D1C74">
        <w:rPr>
          <w:rFonts w:asciiTheme="majorHAnsi" w:hAnsiTheme="majorHAnsi"/>
          <w:sz w:val="20"/>
          <w:szCs w:val="20"/>
          <w:lang w:val="pt-BR"/>
        </w:rPr>
        <w:t>:</w:t>
      </w:r>
    </w:p>
    <w:p w14:paraId="1638F8E9" w14:textId="77777777" w:rsidR="002649F0" w:rsidRPr="006D1C74" w:rsidRDefault="002649F0" w:rsidP="002649F0">
      <w:pPr>
        <w:ind w:left="720"/>
        <w:rPr>
          <w:rFonts w:asciiTheme="majorHAnsi" w:eastAsia="Cambria" w:hAnsiTheme="majorHAnsi" w:cs="Cambria"/>
          <w:color w:val="000000"/>
          <w:sz w:val="20"/>
          <w:szCs w:val="20"/>
          <w:u w:color="000000"/>
          <w:lang w:val="pt-BR" w:eastAsia="es-ES"/>
        </w:rPr>
      </w:pPr>
    </w:p>
    <w:p w14:paraId="22B1BBBE"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pt-BR"/>
        </w:rPr>
      </w:pPr>
      <w:r w:rsidRPr="006D1C74">
        <w:rPr>
          <w:rFonts w:asciiTheme="majorHAnsi" w:hAnsiTheme="majorHAnsi"/>
          <w:sz w:val="18"/>
          <w:szCs w:val="18"/>
          <w:lang w:val="pt-BR"/>
        </w:rPr>
        <w:t xml:space="preserve">i) </w:t>
      </w:r>
      <w:r w:rsidRPr="006D1C74">
        <w:rPr>
          <w:rFonts w:asciiTheme="majorHAnsi" w:hAnsiTheme="majorHAnsi"/>
          <w:i/>
          <w:sz w:val="18"/>
          <w:szCs w:val="18"/>
          <w:u w:val="single"/>
          <w:lang w:val="pt-BR"/>
        </w:rPr>
        <w:t>Finali</w:t>
      </w:r>
      <w:r w:rsidR="00F673C7" w:rsidRPr="006D1C74">
        <w:rPr>
          <w:rFonts w:asciiTheme="majorHAnsi" w:hAnsiTheme="majorHAnsi"/>
          <w:i/>
          <w:sz w:val="18"/>
          <w:szCs w:val="18"/>
          <w:u w:val="single"/>
          <w:lang w:val="pt-BR"/>
        </w:rPr>
        <w:t xml:space="preserve">dade </w:t>
      </w:r>
      <w:r w:rsidRPr="006D1C74">
        <w:rPr>
          <w:rFonts w:asciiTheme="majorHAnsi" w:hAnsiTheme="majorHAnsi"/>
          <w:i/>
          <w:sz w:val="18"/>
          <w:szCs w:val="18"/>
          <w:u w:val="single"/>
          <w:lang w:val="pt-BR"/>
        </w:rPr>
        <w:t>legítima</w:t>
      </w:r>
      <w:r w:rsidRPr="006D1C74">
        <w:rPr>
          <w:rFonts w:asciiTheme="majorHAnsi" w:hAnsiTheme="majorHAnsi"/>
          <w:i/>
          <w:sz w:val="18"/>
          <w:szCs w:val="18"/>
          <w:lang w:val="pt-BR"/>
        </w:rPr>
        <w:t>:</w:t>
      </w:r>
      <w:r w:rsidR="00700267" w:rsidRPr="006D1C74">
        <w:rPr>
          <w:rFonts w:asciiTheme="majorHAnsi" w:hAnsiTheme="majorHAnsi"/>
          <w:sz w:val="18"/>
          <w:szCs w:val="18"/>
          <w:lang w:val="pt-BR"/>
        </w:rPr>
        <w:t xml:space="preserve"> o </w:t>
      </w:r>
      <w:r w:rsidRPr="006D1C74">
        <w:rPr>
          <w:rFonts w:asciiTheme="majorHAnsi" w:hAnsiTheme="majorHAnsi"/>
          <w:sz w:val="18"/>
          <w:szCs w:val="18"/>
          <w:lang w:val="pt-BR"/>
        </w:rPr>
        <w:t>uso</w:t>
      </w:r>
      <w:r w:rsidR="00795010" w:rsidRPr="006D1C74">
        <w:rPr>
          <w:rFonts w:asciiTheme="majorHAnsi" w:hAnsiTheme="majorHAnsi"/>
          <w:sz w:val="18"/>
          <w:szCs w:val="18"/>
          <w:lang w:val="pt-BR"/>
        </w:rPr>
        <w:t xml:space="preserve"> da </w:t>
      </w:r>
      <w:r w:rsidR="00B146A8" w:rsidRPr="006D1C74">
        <w:rPr>
          <w:rFonts w:asciiTheme="majorHAnsi" w:hAnsiTheme="majorHAnsi"/>
          <w:sz w:val="18"/>
          <w:szCs w:val="18"/>
          <w:lang w:val="pt-BR"/>
        </w:rPr>
        <w:t>força</w:t>
      </w:r>
      <w:r w:rsidRPr="006D1C74">
        <w:rPr>
          <w:rFonts w:asciiTheme="majorHAnsi" w:hAnsiTheme="majorHAnsi"/>
          <w:sz w:val="18"/>
          <w:szCs w:val="18"/>
          <w:lang w:val="pt-BR"/>
        </w:rPr>
        <w:t xml:space="preserve"> </w:t>
      </w:r>
      <w:r w:rsidR="00585D35" w:rsidRPr="006D1C74">
        <w:rPr>
          <w:rFonts w:asciiTheme="majorHAnsi" w:hAnsiTheme="majorHAnsi"/>
          <w:sz w:val="18"/>
          <w:szCs w:val="18"/>
          <w:lang w:val="pt-BR"/>
        </w:rPr>
        <w:t>dev</w:t>
      </w:r>
      <w:r w:rsidRPr="006D1C74">
        <w:rPr>
          <w:rFonts w:asciiTheme="majorHAnsi" w:hAnsiTheme="majorHAnsi"/>
          <w:sz w:val="18"/>
          <w:szCs w:val="18"/>
          <w:lang w:val="pt-BR"/>
        </w:rPr>
        <w:t xml:space="preserve">e estar dirigido a </w:t>
      </w:r>
      <w:r w:rsidR="00C57688" w:rsidRPr="006D1C74">
        <w:rPr>
          <w:rFonts w:asciiTheme="majorHAnsi" w:hAnsiTheme="majorHAnsi"/>
          <w:sz w:val="18"/>
          <w:szCs w:val="18"/>
          <w:lang w:val="pt-BR"/>
        </w:rPr>
        <w:t>atingir</w:t>
      </w:r>
      <w:r w:rsidR="00030019" w:rsidRPr="006D1C74">
        <w:rPr>
          <w:rFonts w:asciiTheme="majorHAnsi" w:hAnsiTheme="majorHAnsi"/>
          <w:sz w:val="18"/>
          <w:szCs w:val="18"/>
          <w:lang w:val="pt-BR"/>
        </w:rPr>
        <w:t xml:space="preserve"> um </w:t>
      </w:r>
      <w:r w:rsidRPr="006D1C74">
        <w:rPr>
          <w:rFonts w:asciiTheme="majorHAnsi" w:hAnsiTheme="majorHAnsi"/>
          <w:sz w:val="18"/>
          <w:szCs w:val="18"/>
          <w:lang w:val="pt-BR"/>
        </w:rPr>
        <w:t>objetivo legítimo. […]</w:t>
      </w:r>
    </w:p>
    <w:p w14:paraId="177C2B3D"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pt-BR"/>
        </w:rPr>
      </w:pPr>
    </w:p>
    <w:p w14:paraId="11937404"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pt-BR"/>
        </w:rPr>
      </w:pPr>
      <w:r w:rsidRPr="006D1C74">
        <w:rPr>
          <w:rFonts w:asciiTheme="majorHAnsi" w:hAnsiTheme="majorHAnsi"/>
          <w:sz w:val="18"/>
          <w:szCs w:val="18"/>
          <w:lang w:val="pt-BR"/>
        </w:rPr>
        <w:t xml:space="preserve">ii) </w:t>
      </w:r>
      <w:r w:rsidRPr="006D1C74">
        <w:rPr>
          <w:rFonts w:asciiTheme="majorHAnsi" w:hAnsiTheme="majorHAnsi"/>
          <w:i/>
          <w:sz w:val="18"/>
          <w:szCs w:val="18"/>
          <w:u w:val="single"/>
          <w:lang w:val="pt-BR"/>
        </w:rPr>
        <w:t xml:space="preserve">Absoluta </w:t>
      </w:r>
      <w:r w:rsidR="00CA6F81" w:rsidRPr="006D1C74">
        <w:rPr>
          <w:rFonts w:asciiTheme="majorHAnsi" w:hAnsiTheme="majorHAnsi"/>
          <w:i/>
          <w:sz w:val="18"/>
          <w:szCs w:val="18"/>
          <w:u w:val="single"/>
          <w:lang w:val="pt-BR"/>
        </w:rPr>
        <w:t>necessi</w:t>
      </w:r>
      <w:r w:rsidRPr="006D1C74">
        <w:rPr>
          <w:rFonts w:asciiTheme="majorHAnsi" w:hAnsiTheme="majorHAnsi"/>
          <w:i/>
          <w:sz w:val="18"/>
          <w:szCs w:val="18"/>
          <w:u w:val="single"/>
          <w:lang w:val="pt-BR"/>
        </w:rPr>
        <w:t>dad</w:t>
      </w:r>
      <w:r w:rsidR="00B146A8" w:rsidRPr="006D1C74">
        <w:rPr>
          <w:rFonts w:asciiTheme="majorHAnsi" w:hAnsiTheme="majorHAnsi"/>
          <w:i/>
          <w:sz w:val="18"/>
          <w:szCs w:val="18"/>
          <w:u w:val="single"/>
          <w:lang w:val="pt-BR"/>
        </w:rPr>
        <w:t>e</w:t>
      </w:r>
      <w:r w:rsidRPr="006D1C74">
        <w:rPr>
          <w:rFonts w:asciiTheme="majorHAnsi" w:hAnsiTheme="majorHAnsi"/>
          <w:i/>
          <w:sz w:val="18"/>
          <w:szCs w:val="18"/>
          <w:lang w:val="pt-BR"/>
        </w:rPr>
        <w:t>:</w:t>
      </w:r>
      <w:r w:rsidR="00F37852" w:rsidRPr="006D1C74">
        <w:rPr>
          <w:rFonts w:asciiTheme="majorHAnsi" w:hAnsiTheme="majorHAnsi"/>
          <w:sz w:val="18"/>
          <w:szCs w:val="18"/>
          <w:lang w:val="pt-BR"/>
        </w:rPr>
        <w:t xml:space="preserve"> é </w:t>
      </w:r>
      <w:r w:rsidRPr="006D1C74">
        <w:rPr>
          <w:rFonts w:asciiTheme="majorHAnsi" w:hAnsiTheme="majorHAnsi"/>
          <w:sz w:val="18"/>
          <w:szCs w:val="18"/>
          <w:lang w:val="pt-BR"/>
        </w:rPr>
        <w:t>preciso verificar s</w:t>
      </w:r>
      <w:r w:rsidR="00C57688" w:rsidRPr="006D1C74">
        <w:rPr>
          <w:rFonts w:asciiTheme="majorHAnsi" w:hAnsiTheme="majorHAnsi"/>
          <w:sz w:val="18"/>
          <w:szCs w:val="18"/>
          <w:lang w:val="pt-BR"/>
        </w:rPr>
        <w:t>e</w:t>
      </w:r>
      <w:r w:rsidRPr="006D1C74">
        <w:rPr>
          <w:rFonts w:asciiTheme="majorHAnsi" w:hAnsiTheme="majorHAnsi"/>
          <w:sz w:val="18"/>
          <w:szCs w:val="18"/>
          <w:lang w:val="pt-BR"/>
        </w:rPr>
        <w:t xml:space="preserve"> </w:t>
      </w:r>
      <w:r w:rsidR="006D1C74" w:rsidRPr="006D1C74">
        <w:rPr>
          <w:rFonts w:asciiTheme="majorHAnsi" w:hAnsiTheme="majorHAnsi"/>
          <w:sz w:val="18"/>
          <w:szCs w:val="18"/>
          <w:lang w:val="pt-BR"/>
        </w:rPr>
        <w:t>existem</w:t>
      </w:r>
      <w:r w:rsidRPr="006D1C74">
        <w:rPr>
          <w:rFonts w:asciiTheme="majorHAnsi" w:hAnsiTheme="majorHAnsi"/>
          <w:sz w:val="18"/>
          <w:szCs w:val="18"/>
          <w:lang w:val="pt-BR"/>
        </w:rPr>
        <w:t xml:space="preserve"> </w:t>
      </w:r>
      <w:r w:rsidR="00CF037E" w:rsidRPr="006D1C74">
        <w:rPr>
          <w:rFonts w:asciiTheme="majorHAnsi" w:hAnsiTheme="majorHAnsi"/>
          <w:sz w:val="18"/>
          <w:szCs w:val="18"/>
          <w:lang w:val="pt-BR"/>
        </w:rPr>
        <w:t>outr</w:t>
      </w:r>
      <w:r w:rsidRPr="006D1C74">
        <w:rPr>
          <w:rFonts w:asciiTheme="majorHAnsi" w:hAnsiTheme="majorHAnsi"/>
          <w:sz w:val="18"/>
          <w:szCs w:val="18"/>
          <w:lang w:val="pt-BR"/>
        </w:rPr>
        <w:t>os meios dispon</w:t>
      </w:r>
      <w:r w:rsidR="00C57688" w:rsidRPr="006D1C74">
        <w:rPr>
          <w:rFonts w:asciiTheme="majorHAnsi" w:hAnsiTheme="majorHAnsi"/>
          <w:sz w:val="18"/>
          <w:szCs w:val="18"/>
          <w:lang w:val="pt-BR"/>
        </w:rPr>
        <w:t>ívei</w:t>
      </w:r>
      <w:r w:rsidRPr="006D1C74">
        <w:rPr>
          <w:rFonts w:asciiTheme="majorHAnsi" w:hAnsiTheme="majorHAnsi"/>
          <w:sz w:val="18"/>
          <w:szCs w:val="18"/>
          <w:lang w:val="pt-BR"/>
        </w:rPr>
        <w:t>s menos lesivos para tutelar</w:t>
      </w:r>
      <w:r w:rsidR="00700267" w:rsidRPr="006D1C74">
        <w:rPr>
          <w:rFonts w:asciiTheme="majorHAnsi" w:hAnsiTheme="majorHAnsi"/>
          <w:sz w:val="18"/>
          <w:szCs w:val="18"/>
          <w:lang w:val="pt-BR"/>
        </w:rPr>
        <w:t xml:space="preserve"> a </w:t>
      </w:r>
      <w:r w:rsidRPr="006D1C74">
        <w:rPr>
          <w:rFonts w:asciiTheme="majorHAnsi" w:hAnsiTheme="majorHAnsi"/>
          <w:sz w:val="18"/>
          <w:szCs w:val="18"/>
          <w:lang w:val="pt-BR"/>
        </w:rPr>
        <w:t>vida e integri</w:t>
      </w:r>
      <w:r w:rsidR="00F673C7" w:rsidRPr="006D1C74">
        <w:rPr>
          <w:rFonts w:asciiTheme="majorHAnsi" w:hAnsiTheme="majorHAnsi"/>
          <w:sz w:val="18"/>
          <w:szCs w:val="18"/>
          <w:lang w:val="pt-BR"/>
        </w:rPr>
        <w:t xml:space="preserve">dade </w:t>
      </w:r>
      <w:r w:rsidR="00795010" w:rsidRPr="006D1C74">
        <w:rPr>
          <w:rFonts w:asciiTheme="majorHAnsi" w:hAnsiTheme="majorHAnsi"/>
          <w:sz w:val="18"/>
          <w:szCs w:val="18"/>
          <w:lang w:val="pt-BR"/>
        </w:rPr>
        <w:t xml:space="preserve">da </w:t>
      </w:r>
      <w:r w:rsidR="00CA7940" w:rsidRPr="006D1C74">
        <w:rPr>
          <w:rFonts w:asciiTheme="majorHAnsi" w:hAnsiTheme="majorHAnsi"/>
          <w:sz w:val="18"/>
          <w:szCs w:val="18"/>
          <w:lang w:val="pt-BR"/>
        </w:rPr>
        <w:t>pessoa</w:t>
      </w:r>
      <w:r w:rsidRPr="006D1C74">
        <w:rPr>
          <w:rFonts w:asciiTheme="majorHAnsi" w:hAnsiTheme="majorHAnsi"/>
          <w:sz w:val="18"/>
          <w:szCs w:val="18"/>
          <w:lang w:val="pt-BR"/>
        </w:rPr>
        <w:t xml:space="preserve"> o</w:t>
      </w:r>
      <w:r w:rsidR="00C57688" w:rsidRPr="006D1C74">
        <w:rPr>
          <w:rFonts w:asciiTheme="majorHAnsi" w:hAnsiTheme="majorHAnsi"/>
          <w:sz w:val="18"/>
          <w:szCs w:val="18"/>
          <w:lang w:val="pt-BR"/>
        </w:rPr>
        <w:t>u</w:t>
      </w:r>
      <w:r w:rsidRPr="006D1C74">
        <w:rPr>
          <w:rFonts w:asciiTheme="majorHAnsi" w:hAnsiTheme="majorHAnsi"/>
          <w:sz w:val="18"/>
          <w:szCs w:val="18"/>
          <w:lang w:val="pt-BR"/>
        </w:rPr>
        <w:t xml:space="preserve"> situa</w:t>
      </w:r>
      <w:r w:rsidR="00CF037E" w:rsidRPr="006D1C74">
        <w:rPr>
          <w:rFonts w:asciiTheme="majorHAnsi" w:hAnsiTheme="majorHAnsi"/>
          <w:sz w:val="18"/>
          <w:szCs w:val="18"/>
          <w:lang w:val="pt-BR"/>
        </w:rPr>
        <w:t>ção</w:t>
      </w:r>
      <w:r w:rsidRPr="006D1C74">
        <w:rPr>
          <w:rFonts w:asciiTheme="majorHAnsi" w:hAnsiTheme="majorHAnsi"/>
          <w:sz w:val="18"/>
          <w:szCs w:val="18"/>
          <w:lang w:val="pt-BR"/>
        </w:rPr>
        <w:t xml:space="preserve"> que se pretende proteger, </w:t>
      </w:r>
      <w:r w:rsidR="00C57688" w:rsidRPr="006D1C74">
        <w:rPr>
          <w:rFonts w:asciiTheme="majorHAnsi" w:hAnsiTheme="majorHAnsi"/>
          <w:sz w:val="18"/>
          <w:szCs w:val="18"/>
          <w:lang w:val="pt-BR"/>
        </w:rPr>
        <w:t>em</w:t>
      </w:r>
      <w:r w:rsidRPr="006D1C74">
        <w:rPr>
          <w:rFonts w:asciiTheme="majorHAnsi" w:hAnsiTheme="majorHAnsi"/>
          <w:sz w:val="18"/>
          <w:szCs w:val="18"/>
          <w:lang w:val="pt-BR"/>
        </w:rPr>
        <w:t xml:space="preserve"> conformi</w:t>
      </w:r>
      <w:r w:rsidR="00F673C7" w:rsidRPr="006D1C74">
        <w:rPr>
          <w:rFonts w:asciiTheme="majorHAnsi" w:hAnsiTheme="majorHAnsi"/>
          <w:sz w:val="18"/>
          <w:szCs w:val="18"/>
          <w:lang w:val="pt-BR"/>
        </w:rPr>
        <w:t xml:space="preserve">dade com </w:t>
      </w:r>
      <w:r w:rsidR="00700267" w:rsidRPr="006D1C74">
        <w:rPr>
          <w:rFonts w:asciiTheme="majorHAnsi" w:hAnsiTheme="majorHAnsi"/>
          <w:sz w:val="18"/>
          <w:szCs w:val="18"/>
          <w:lang w:val="pt-BR"/>
        </w:rPr>
        <w:t xml:space="preserve">as </w:t>
      </w:r>
      <w:r w:rsidR="003171F3" w:rsidRPr="006D1C74">
        <w:rPr>
          <w:rFonts w:asciiTheme="majorHAnsi" w:hAnsiTheme="majorHAnsi"/>
          <w:sz w:val="18"/>
          <w:szCs w:val="18"/>
          <w:lang w:val="pt-BR"/>
        </w:rPr>
        <w:t>circunstâncias</w:t>
      </w:r>
      <w:r w:rsidR="00030019" w:rsidRPr="006D1C74">
        <w:rPr>
          <w:rFonts w:asciiTheme="majorHAnsi" w:hAnsiTheme="majorHAnsi"/>
          <w:sz w:val="18"/>
          <w:szCs w:val="18"/>
          <w:lang w:val="pt-BR"/>
        </w:rPr>
        <w:t xml:space="preserve"> do </w:t>
      </w:r>
      <w:r w:rsidRPr="006D1C74">
        <w:rPr>
          <w:rFonts w:asciiTheme="majorHAnsi" w:hAnsiTheme="majorHAnsi"/>
          <w:sz w:val="18"/>
          <w:szCs w:val="18"/>
          <w:lang w:val="pt-BR"/>
        </w:rPr>
        <w:t xml:space="preserve">caso. Esta Corte </w:t>
      </w:r>
      <w:r w:rsidR="00C57688" w:rsidRPr="006D1C74">
        <w:rPr>
          <w:rFonts w:asciiTheme="majorHAnsi" w:hAnsiTheme="majorHAnsi"/>
          <w:sz w:val="18"/>
          <w:szCs w:val="18"/>
          <w:lang w:val="pt-BR"/>
        </w:rPr>
        <w:t>assinalou</w:t>
      </w:r>
      <w:r w:rsidRPr="006D1C74">
        <w:rPr>
          <w:rFonts w:asciiTheme="majorHAnsi" w:hAnsiTheme="majorHAnsi"/>
          <w:sz w:val="18"/>
          <w:szCs w:val="18"/>
          <w:lang w:val="pt-BR"/>
        </w:rPr>
        <w:t xml:space="preserve"> que</w:t>
      </w:r>
      <w:r w:rsidR="00F673C7" w:rsidRPr="006D1C74">
        <w:rPr>
          <w:rFonts w:asciiTheme="majorHAnsi" w:hAnsiTheme="majorHAnsi"/>
          <w:sz w:val="18"/>
          <w:szCs w:val="18"/>
          <w:lang w:val="pt-BR"/>
        </w:rPr>
        <w:t xml:space="preserve"> não </w:t>
      </w:r>
      <w:r w:rsidRPr="006D1C74">
        <w:rPr>
          <w:rFonts w:asciiTheme="majorHAnsi" w:hAnsiTheme="majorHAnsi"/>
          <w:sz w:val="18"/>
          <w:szCs w:val="18"/>
          <w:lang w:val="pt-BR"/>
        </w:rPr>
        <w:t>se p</w:t>
      </w:r>
      <w:r w:rsidR="00C57688" w:rsidRPr="006D1C74">
        <w:rPr>
          <w:rFonts w:asciiTheme="majorHAnsi" w:hAnsiTheme="majorHAnsi"/>
          <w:sz w:val="18"/>
          <w:szCs w:val="18"/>
          <w:lang w:val="pt-BR"/>
        </w:rPr>
        <w:t>o</w:t>
      </w:r>
      <w:r w:rsidRPr="006D1C74">
        <w:rPr>
          <w:rFonts w:asciiTheme="majorHAnsi" w:hAnsiTheme="majorHAnsi"/>
          <w:sz w:val="18"/>
          <w:szCs w:val="18"/>
          <w:lang w:val="pt-BR"/>
        </w:rPr>
        <w:t xml:space="preserve">de concluir que </w:t>
      </w:r>
      <w:r w:rsidR="00C57688" w:rsidRPr="006D1C74">
        <w:rPr>
          <w:rFonts w:asciiTheme="majorHAnsi" w:hAnsiTheme="majorHAnsi"/>
          <w:sz w:val="18"/>
          <w:szCs w:val="18"/>
          <w:lang w:val="pt-BR"/>
        </w:rPr>
        <w:t>fi</w:t>
      </w:r>
      <w:r w:rsidRPr="006D1C74">
        <w:rPr>
          <w:rFonts w:asciiTheme="majorHAnsi" w:hAnsiTheme="majorHAnsi"/>
          <w:sz w:val="18"/>
          <w:szCs w:val="18"/>
          <w:lang w:val="pt-BR"/>
        </w:rPr>
        <w:t>que a</w:t>
      </w:r>
      <w:r w:rsidR="00C57688" w:rsidRPr="006D1C74">
        <w:rPr>
          <w:rFonts w:asciiTheme="majorHAnsi" w:hAnsiTheme="majorHAnsi"/>
          <w:sz w:val="18"/>
          <w:szCs w:val="18"/>
          <w:lang w:val="pt-BR"/>
        </w:rPr>
        <w:t>bon</w:t>
      </w:r>
      <w:r w:rsidRPr="006D1C74">
        <w:rPr>
          <w:rFonts w:asciiTheme="majorHAnsi" w:hAnsiTheme="majorHAnsi"/>
          <w:sz w:val="18"/>
          <w:szCs w:val="18"/>
          <w:lang w:val="pt-BR"/>
        </w:rPr>
        <w:t>ado</w:t>
      </w:r>
      <w:r w:rsidR="00700267" w:rsidRPr="006D1C74">
        <w:rPr>
          <w:rFonts w:asciiTheme="majorHAnsi" w:hAnsiTheme="majorHAnsi"/>
          <w:sz w:val="18"/>
          <w:szCs w:val="18"/>
          <w:lang w:val="pt-BR"/>
        </w:rPr>
        <w:t xml:space="preserve"> o </w:t>
      </w:r>
      <w:r w:rsidRPr="006D1C74">
        <w:rPr>
          <w:rFonts w:asciiTheme="majorHAnsi" w:hAnsiTheme="majorHAnsi"/>
          <w:sz w:val="18"/>
          <w:szCs w:val="18"/>
          <w:lang w:val="pt-BR"/>
        </w:rPr>
        <w:t xml:space="preserve">requisito de “absoluta </w:t>
      </w:r>
      <w:r w:rsidR="006D1C74" w:rsidRPr="006D1C74">
        <w:rPr>
          <w:rFonts w:asciiTheme="majorHAnsi" w:hAnsiTheme="majorHAnsi"/>
          <w:sz w:val="18"/>
          <w:szCs w:val="18"/>
          <w:lang w:val="pt-BR"/>
        </w:rPr>
        <w:t>necessidade</w:t>
      </w:r>
      <w:r w:rsidRPr="006D1C74">
        <w:rPr>
          <w:rFonts w:asciiTheme="majorHAnsi" w:hAnsiTheme="majorHAnsi"/>
          <w:sz w:val="18"/>
          <w:szCs w:val="18"/>
          <w:lang w:val="pt-BR"/>
        </w:rPr>
        <w:t>” para utilizar</w:t>
      </w:r>
      <w:r w:rsidR="00700267" w:rsidRPr="006D1C74">
        <w:rPr>
          <w:rFonts w:asciiTheme="majorHAnsi" w:hAnsiTheme="majorHAnsi"/>
          <w:sz w:val="18"/>
          <w:szCs w:val="18"/>
          <w:lang w:val="pt-BR"/>
        </w:rPr>
        <w:t xml:space="preserve"> a </w:t>
      </w:r>
      <w:r w:rsidR="00B146A8" w:rsidRPr="006D1C74">
        <w:rPr>
          <w:rFonts w:asciiTheme="majorHAnsi" w:hAnsiTheme="majorHAnsi"/>
          <w:sz w:val="18"/>
          <w:szCs w:val="18"/>
          <w:lang w:val="pt-BR"/>
        </w:rPr>
        <w:t>força</w:t>
      </w:r>
      <w:r w:rsidRPr="006D1C74">
        <w:rPr>
          <w:rFonts w:asciiTheme="majorHAnsi" w:hAnsiTheme="majorHAnsi"/>
          <w:sz w:val="18"/>
          <w:szCs w:val="18"/>
          <w:lang w:val="pt-BR"/>
        </w:rPr>
        <w:t xml:space="preserve"> contra </w:t>
      </w:r>
      <w:r w:rsidR="00CA7940" w:rsidRPr="006D1C74">
        <w:rPr>
          <w:rFonts w:asciiTheme="majorHAnsi" w:hAnsiTheme="majorHAnsi"/>
          <w:sz w:val="18"/>
          <w:szCs w:val="18"/>
          <w:lang w:val="pt-BR"/>
        </w:rPr>
        <w:t>pessoa</w:t>
      </w:r>
      <w:r w:rsidRPr="006D1C74">
        <w:rPr>
          <w:rFonts w:asciiTheme="majorHAnsi" w:hAnsiTheme="majorHAnsi"/>
          <w:sz w:val="18"/>
          <w:szCs w:val="18"/>
          <w:lang w:val="pt-BR"/>
        </w:rPr>
        <w:t xml:space="preserve">s </w:t>
      </w:r>
      <w:r w:rsidR="006D1C74" w:rsidRPr="006D1C74">
        <w:rPr>
          <w:rFonts w:asciiTheme="majorHAnsi" w:hAnsiTheme="majorHAnsi"/>
          <w:sz w:val="18"/>
          <w:szCs w:val="18"/>
          <w:lang w:val="pt-BR"/>
        </w:rPr>
        <w:t>quando</w:t>
      </w:r>
      <w:r w:rsidRPr="006D1C74">
        <w:rPr>
          <w:rFonts w:asciiTheme="majorHAnsi" w:hAnsiTheme="majorHAnsi"/>
          <w:sz w:val="18"/>
          <w:szCs w:val="18"/>
          <w:lang w:val="pt-BR"/>
        </w:rPr>
        <w:t xml:space="preserve"> estas</w:t>
      </w:r>
      <w:r w:rsidR="00F673C7" w:rsidRPr="006D1C74">
        <w:rPr>
          <w:rFonts w:asciiTheme="majorHAnsi" w:hAnsiTheme="majorHAnsi"/>
          <w:sz w:val="18"/>
          <w:szCs w:val="18"/>
          <w:lang w:val="pt-BR"/>
        </w:rPr>
        <w:t xml:space="preserve"> não </w:t>
      </w:r>
      <w:r w:rsidR="006D1C74" w:rsidRPr="006D1C74">
        <w:rPr>
          <w:rFonts w:asciiTheme="majorHAnsi" w:hAnsiTheme="majorHAnsi"/>
          <w:sz w:val="18"/>
          <w:szCs w:val="18"/>
          <w:lang w:val="pt-BR"/>
        </w:rPr>
        <w:t>representam</w:t>
      </w:r>
      <w:r w:rsidR="00030019" w:rsidRPr="006D1C74">
        <w:rPr>
          <w:rFonts w:asciiTheme="majorHAnsi" w:hAnsiTheme="majorHAnsi"/>
          <w:sz w:val="18"/>
          <w:szCs w:val="18"/>
          <w:lang w:val="pt-BR"/>
        </w:rPr>
        <w:t xml:space="preserve"> um </w:t>
      </w:r>
      <w:r w:rsidR="006D1C74" w:rsidRPr="006D1C74">
        <w:rPr>
          <w:rFonts w:asciiTheme="majorHAnsi" w:hAnsiTheme="majorHAnsi"/>
          <w:sz w:val="18"/>
          <w:szCs w:val="18"/>
          <w:lang w:val="pt-BR"/>
        </w:rPr>
        <w:t>perigo</w:t>
      </w:r>
      <w:r w:rsidRPr="006D1C74">
        <w:rPr>
          <w:rFonts w:asciiTheme="majorHAnsi" w:hAnsiTheme="majorHAnsi"/>
          <w:sz w:val="18"/>
          <w:szCs w:val="18"/>
          <w:lang w:val="pt-BR"/>
        </w:rPr>
        <w:t xml:space="preserve"> </w:t>
      </w:r>
      <w:r w:rsidR="006D1C74" w:rsidRPr="006D1C74">
        <w:rPr>
          <w:rFonts w:asciiTheme="majorHAnsi" w:hAnsiTheme="majorHAnsi"/>
          <w:sz w:val="18"/>
          <w:szCs w:val="18"/>
          <w:lang w:val="pt-BR"/>
        </w:rPr>
        <w:t>direto</w:t>
      </w:r>
      <w:r w:rsidRPr="006D1C74">
        <w:rPr>
          <w:rFonts w:asciiTheme="majorHAnsi" w:hAnsiTheme="majorHAnsi"/>
          <w:sz w:val="18"/>
          <w:szCs w:val="18"/>
          <w:lang w:val="pt-BR"/>
        </w:rPr>
        <w:t xml:space="preserve">, “inclusive </w:t>
      </w:r>
      <w:r w:rsidR="006D1C74" w:rsidRPr="006D1C74">
        <w:rPr>
          <w:rFonts w:asciiTheme="majorHAnsi" w:hAnsiTheme="majorHAnsi"/>
          <w:sz w:val="18"/>
          <w:szCs w:val="18"/>
          <w:lang w:val="pt-BR"/>
        </w:rPr>
        <w:t>quando</w:t>
      </w:r>
      <w:r w:rsidR="00700267" w:rsidRPr="006D1C74">
        <w:rPr>
          <w:rFonts w:asciiTheme="majorHAnsi" w:hAnsiTheme="majorHAnsi"/>
          <w:sz w:val="18"/>
          <w:szCs w:val="18"/>
          <w:lang w:val="pt-BR"/>
        </w:rPr>
        <w:t xml:space="preserve"> a </w:t>
      </w:r>
      <w:r w:rsidRPr="006D1C74">
        <w:rPr>
          <w:rFonts w:asciiTheme="majorHAnsi" w:hAnsiTheme="majorHAnsi"/>
          <w:sz w:val="18"/>
          <w:szCs w:val="18"/>
          <w:lang w:val="pt-BR"/>
        </w:rPr>
        <w:t>falta</w:t>
      </w:r>
      <w:r w:rsidR="00030019" w:rsidRPr="006D1C74">
        <w:rPr>
          <w:rFonts w:asciiTheme="majorHAnsi" w:hAnsiTheme="majorHAnsi"/>
          <w:sz w:val="18"/>
          <w:szCs w:val="18"/>
          <w:lang w:val="pt-BR"/>
        </w:rPr>
        <w:t xml:space="preserve"> do </w:t>
      </w:r>
      <w:r w:rsidRPr="006D1C74">
        <w:rPr>
          <w:rFonts w:asciiTheme="majorHAnsi" w:hAnsiTheme="majorHAnsi"/>
          <w:sz w:val="18"/>
          <w:szCs w:val="18"/>
          <w:lang w:val="pt-BR"/>
        </w:rPr>
        <w:t>uso</w:t>
      </w:r>
      <w:r w:rsidR="00795010" w:rsidRPr="006D1C74">
        <w:rPr>
          <w:rFonts w:asciiTheme="majorHAnsi" w:hAnsiTheme="majorHAnsi"/>
          <w:sz w:val="18"/>
          <w:szCs w:val="18"/>
          <w:lang w:val="pt-BR"/>
        </w:rPr>
        <w:t xml:space="preserve"> da </w:t>
      </w:r>
      <w:r w:rsidR="00B146A8" w:rsidRPr="006D1C74">
        <w:rPr>
          <w:rFonts w:asciiTheme="majorHAnsi" w:hAnsiTheme="majorHAnsi"/>
          <w:sz w:val="18"/>
          <w:szCs w:val="18"/>
          <w:lang w:val="pt-BR"/>
        </w:rPr>
        <w:t>força</w:t>
      </w:r>
      <w:r w:rsidRPr="006D1C74">
        <w:rPr>
          <w:rFonts w:asciiTheme="majorHAnsi" w:hAnsiTheme="majorHAnsi"/>
          <w:sz w:val="18"/>
          <w:szCs w:val="18"/>
          <w:lang w:val="pt-BR"/>
        </w:rPr>
        <w:t xml:space="preserve"> resultar</w:t>
      </w:r>
      <w:r w:rsidR="00F673C7" w:rsidRPr="006D1C74">
        <w:rPr>
          <w:rFonts w:asciiTheme="majorHAnsi" w:hAnsiTheme="majorHAnsi"/>
          <w:sz w:val="18"/>
          <w:szCs w:val="18"/>
          <w:lang w:val="pt-BR"/>
        </w:rPr>
        <w:t xml:space="preserve"> na </w:t>
      </w:r>
      <w:r w:rsidR="006D1C74" w:rsidRPr="006D1C74">
        <w:rPr>
          <w:rFonts w:asciiTheme="majorHAnsi" w:hAnsiTheme="majorHAnsi"/>
          <w:sz w:val="18"/>
          <w:szCs w:val="18"/>
          <w:lang w:val="pt-BR"/>
        </w:rPr>
        <w:t>perda</w:t>
      </w:r>
      <w:r w:rsidR="00795010" w:rsidRPr="006D1C74">
        <w:rPr>
          <w:rFonts w:asciiTheme="majorHAnsi" w:hAnsiTheme="majorHAnsi"/>
          <w:sz w:val="18"/>
          <w:szCs w:val="18"/>
          <w:lang w:val="pt-BR"/>
        </w:rPr>
        <w:t xml:space="preserve"> da </w:t>
      </w:r>
      <w:r w:rsidRPr="006D1C74">
        <w:rPr>
          <w:rFonts w:asciiTheme="majorHAnsi" w:hAnsiTheme="majorHAnsi"/>
          <w:sz w:val="18"/>
          <w:szCs w:val="18"/>
          <w:lang w:val="pt-BR"/>
        </w:rPr>
        <w:t>oportuni</w:t>
      </w:r>
      <w:r w:rsidR="00F673C7" w:rsidRPr="006D1C74">
        <w:rPr>
          <w:rFonts w:asciiTheme="majorHAnsi" w:hAnsiTheme="majorHAnsi"/>
          <w:sz w:val="18"/>
          <w:szCs w:val="18"/>
          <w:lang w:val="pt-BR"/>
        </w:rPr>
        <w:t xml:space="preserve">dade </w:t>
      </w:r>
      <w:r w:rsidRPr="006D1C74">
        <w:rPr>
          <w:rFonts w:asciiTheme="majorHAnsi" w:hAnsiTheme="majorHAnsi"/>
          <w:sz w:val="18"/>
          <w:szCs w:val="18"/>
          <w:lang w:val="pt-BR"/>
        </w:rPr>
        <w:t>de captura”. […]</w:t>
      </w:r>
    </w:p>
    <w:p w14:paraId="60D68169"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720" w:right="387"/>
        <w:jc w:val="both"/>
        <w:rPr>
          <w:rFonts w:asciiTheme="majorHAnsi" w:hAnsiTheme="majorHAnsi"/>
          <w:sz w:val="18"/>
          <w:szCs w:val="18"/>
          <w:lang w:val="pt-BR"/>
        </w:rPr>
      </w:pPr>
    </w:p>
    <w:p w14:paraId="202F8FAF"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20"/>
          <w:szCs w:val="20"/>
          <w:lang w:val="pt-BR"/>
        </w:rPr>
      </w:pPr>
      <w:r w:rsidRPr="006D1C74">
        <w:rPr>
          <w:rFonts w:asciiTheme="majorHAnsi" w:hAnsiTheme="majorHAnsi"/>
          <w:sz w:val="18"/>
          <w:szCs w:val="18"/>
          <w:lang w:val="pt-BR"/>
        </w:rPr>
        <w:t xml:space="preserve">iii) </w:t>
      </w:r>
      <w:r w:rsidRPr="006D1C74">
        <w:rPr>
          <w:rFonts w:asciiTheme="majorHAnsi" w:hAnsiTheme="majorHAnsi"/>
          <w:i/>
          <w:sz w:val="18"/>
          <w:szCs w:val="18"/>
          <w:u w:val="single"/>
          <w:lang w:val="pt-BR"/>
        </w:rPr>
        <w:t>Proporcionalidad</w:t>
      </w:r>
      <w:r w:rsidR="00B146A8" w:rsidRPr="006D1C74">
        <w:rPr>
          <w:rFonts w:asciiTheme="majorHAnsi" w:hAnsiTheme="majorHAnsi"/>
          <w:i/>
          <w:sz w:val="18"/>
          <w:szCs w:val="18"/>
          <w:u w:val="single"/>
          <w:lang w:val="pt-BR"/>
        </w:rPr>
        <w:t>e</w:t>
      </w:r>
      <w:r w:rsidRPr="006D1C74">
        <w:rPr>
          <w:rFonts w:asciiTheme="majorHAnsi" w:hAnsiTheme="majorHAnsi"/>
          <w:i/>
          <w:sz w:val="18"/>
          <w:szCs w:val="18"/>
          <w:lang w:val="pt-BR"/>
        </w:rPr>
        <w:t>:</w:t>
      </w:r>
      <w:r w:rsidR="00700267" w:rsidRPr="006D1C74">
        <w:rPr>
          <w:rFonts w:asciiTheme="majorHAnsi" w:hAnsiTheme="majorHAnsi"/>
          <w:sz w:val="18"/>
          <w:szCs w:val="18"/>
          <w:lang w:val="pt-BR"/>
        </w:rPr>
        <w:t xml:space="preserve"> o </w:t>
      </w:r>
      <w:r w:rsidR="006D1C74" w:rsidRPr="006D1C74">
        <w:rPr>
          <w:rFonts w:asciiTheme="majorHAnsi" w:hAnsiTheme="majorHAnsi"/>
          <w:sz w:val="18"/>
          <w:szCs w:val="18"/>
          <w:lang w:val="pt-BR"/>
        </w:rPr>
        <w:t>nível</w:t>
      </w:r>
      <w:r w:rsidRPr="006D1C74">
        <w:rPr>
          <w:rFonts w:asciiTheme="majorHAnsi" w:hAnsiTheme="majorHAnsi"/>
          <w:sz w:val="18"/>
          <w:szCs w:val="18"/>
          <w:lang w:val="pt-BR"/>
        </w:rPr>
        <w:t xml:space="preserve"> de </w:t>
      </w:r>
      <w:r w:rsidR="00B146A8" w:rsidRPr="006D1C74">
        <w:rPr>
          <w:rFonts w:asciiTheme="majorHAnsi" w:hAnsiTheme="majorHAnsi"/>
          <w:sz w:val="18"/>
          <w:szCs w:val="18"/>
          <w:lang w:val="pt-BR"/>
        </w:rPr>
        <w:t>força</w:t>
      </w:r>
      <w:r w:rsidRPr="006D1C74">
        <w:rPr>
          <w:rFonts w:asciiTheme="majorHAnsi" w:hAnsiTheme="majorHAnsi"/>
          <w:sz w:val="18"/>
          <w:szCs w:val="18"/>
          <w:lang w:val="pt-BR"/>
        </w:rPr>
        <w:t xml:space="preserve"> utilizado </w:t>
      </w:r>
      <w:r w:rsidR="00585D35" w:rsidRPr="006D1C74">
        <w:rPr>
          <w:rFonts w:asciiTheme="majorHAnsi" w:hAnsiTheme="majorHAnsi"/>
          <w:sz w:val="18"/>
          <w:szCs w:val="18"/>
          <w:lang w:val="pt-BR"/>
        </w:rPr>
        <w:t>dev</w:t>
      </w:r>
      <w:r w:rsidRPr="006D1C74">
        <w:rPr>
          <w:rFonts w:asciiTheme="majorHAnsi" w:hAnsiTheme="majorHAnsi"/>
          <w:sz w:val="18"/>
          <w:szCs w:val="18"/>
          <w:lang w:val="pt-BR"/>
        </w:rPr>
        <w:t xml:space="preserve">e </w:t>
      </w:r>
      <w:r w:rsidR="00C57688" w:rsidRPr="006D1C74">
        <w:rPr>
          <w:rFonts w:asciiTheme="majorHAnsi" w:hAnsiTheme="majorHAnsi"/>
          <w:sz w:val="18"/>
          <w:szCs w:val="18"/>
          <w:lang w:val="pt-BR"/>
        </w:rPr>
        <w:t xml:space="preserve">estar de </w:t>
      </w:r>
      <w:r w:rsidRPr="006D1C74">
        <w:rPr>
          <w:rFonts w:asciiTheme="majorHAnsi" w:hAnsiTheme="majorHAnsi"/>
          <w:sz w:val="18"/>
          <w:szCs w:val="18"/>
          <w:lang w:val="pt-BR"/>
        </w:rPr>
        <w:t>acord</w:t>
      </w:r>
      <w:r w:rsidR="00C57688" w:rsidRPr="006D1C74">
        <w:rPr>
          <w:rFonts w:asciiTheme="majorHAnsi" w:hAnsiTheme="majorHAnsi"/>
          <w:sz w:val="18"/>
          <w:szCs w:val="18"/>
          <w:lang w:val="pt-BR"/>
        </w:rPr>
        <w:t>o</w:t>
      </w:r>
      <w:r w:rsidR="00F673C7" w:rsidRPr="006D1C74">
        <w:rPr>
          <w:rFonts w:asciiTheme="majorHAnsi" w:hAnsiTheme="majorHAnsi"/>
          <w:sz w:val="18"/>
          <w:szCs w:val="18"/>
          <w:lang w:val="pt-BR"/>
        </w:rPr>
        <w:t xml:space="preserve"> com </w:t>
      </w:r>
      <w:r w:rsidR="00700267" w:rsidRPr="006D1C74">
        <w:rPr>
          <w:rFonts w:asciiTheme="majorHAnsi" w:hAnsiTheme="majorHAnsi"/>
          <w:sz w:val="18"/>
          <w:szCs w:val="18"/>
          <w:lang w:val="pt-BR"/>
        </w:rPr>
        <w:t xml:space="preserve">o </w:t>
      </w:r>
      <w:r w:rsidR="006D1C74" w:rsidRPr="006D1C74">
        <w:rPr>
          <w:rFonts w:asciiTheme="majorHAnsi" w:hAnsiTheme="majorHAnsi"/>
          <w:sz w:val="18"/>
          <w:szCs w:val="18"/>
          <w:lang w:val="pt-BR"/>
        </w:rPr>
        <w:t>nível</w:t>
      </w:r>
      <w:r w:rsidRPr="006D1C74">
        <w:rPr>
          <w:rFonts w:asciiTheme="majorHAnsi" w:hAnsiTheme="majorHAnsi"/>
          <w:sz w:val="18"/>
          <w:szCs w:val="18"/>
          <w:lang w:val="pt-BR"/>
        </w:rPr>
        <w:t xml:space="preserve"> de </w:t>
      </w:r>
      <w:r w:rsidR="006D1C74" w:rsidRPr="006D1C74">
        <w:rPr>
          <w:rFonts w:asciiTheme="majorHAnsi" w:hAnsiTheme="majorHAnsi"/>
          <w:sz w:val="18"/>
          <w:szCs w:val="18"/>
          <w:lang w:val="pt-BR"/>
        </w:rPr>
        <w:t>resistência</w:t>
      </w:r>
      <w:r w:rsidRPr="006D1C74">
        <w:rPr>
          <w:rFonts w:asciiTheme="majorHAnsi" w:hAnsiTheme="majorHAnsi"/>
          <w:sz w:val="18"/>
          <w:szCs w:val="18"/>
          <w:lang w:val="pt-BR"/>
        </w:rPr>
        <w:t xml:space="preserve"> </w:t>
      </w:r>
      <w:r w:rsidR="006D1C74" w:rsidRPr="006D1C74">
        <w:rPr>
          <w:rFonts w:asciiTheme="majorHAnsi" w:hAnsiTheme="majorHAnsi"/>
          <w:sz w:val="18"/>
          <w:szCs w:val="18"/>
          <w:lang w:val="pt-BR"/>
        </w:rPr>
        <w:t>oferecido</w:t>
      </w:r>
      <w:r w:rsidRPr="006D1C74">
        <w:rPr>
          <w:rFonts w:asciiTheme="majorHAnsi" w:hAnsiTheme="majorHAnsi"/>
          <w:sz w:val="18"/>
          <w:szCs w:val="18"/>
          <w:lang w:val="pt-BR"/>
        </w:rPr>
        <w:t>,</w:t>
      </w:r>
      <w:r w:rsidR="00B146A8" w:rsidRPr="006D1C74">
        <w:rPr>
          <w:rFonts w:asciiTheme="majorHAnsi" w:hAnsiTheme="majorHAnsi"/>
          <w:sz w:val="18"/>
          <w:szCs w:val="18"/>
          <w:lang w:val="pt-BR"/>
        </w:rPr>
        <w:t xml:space="preserve"> o </w:t>
      </w:r>
      <w:r w:rsidR="00C57688" w:rsidRPr="006D1C74">
        <w:rPr>
          <w:rFonts w:asciiTheme="majorHAnsi" w:hAnsiTheme="majorHAnsi"/>
          <w:sz w:val="18"/>
          <w:szCs w:val="18"/>
          <w:lang w:val="pt-BR"/>
        </w:rPr>
        <w:t>que</w:t>
      </w:r>
      <w:r w:rsidRPr="006D1C74">
        <w:rPr>
          <w:rFonts w:asciiTheme="majorHAnsi" w:hAnsiTheme="majorHAnsi"/>
          <w:sz w:val="18"/>
          <w:szCs w:val="18"/>
          <w:lang w:val="pt-BR"/>
        </w:rPr>
        <w:t xml:space="preserve"> implica</w:t>
      </w:r>
      <w:r w:rsidR="00030019" w:rsidRPr="006D1C74">
        <w:rPr>
          <w:rFonts w:asciiTheme="majorHAnsi" w:hAnsiTheme="majorHAnsi"/>
          <w:sz w:val="18"/>
          <w:szCs w:val="18"/>
          <w:lang w:val="pt-BR"/>
        </w:rPr>
        <w:t xml:space="preserve"> um </w:t>
      </w:r>
      <w:r w:rsidR="006D1C74" w:rsidRPr="006D1C74">
        <w:rPr>
          <w:rFonts w:asciiTheme="majorHAnsi" w:hAnsiTheme="majorHAnsi"/>
          <w:sz w:val="18"/>
          <w:szCs w:val="18"/>
          <w:lang w:val="pt-BR"/>
        </w:rPr>
        <w:t>equilíbrio</w:t>
      </w:r>
      <w:r w:rsidRPr="006D1C74">
        <w:rPr>
          <w:rFonts w:asciiTheme="majorHAnsi" w:hAnsiTheme="majorHAnsi"/>
          <w:sz w:val="18"/>
          <w:szCs w:val="18"/>
          <w:lang w:val="pt-BR"/>
        </w:rPr>
        <w:t xml:space="preserve"> entre</w:t>
      </w:r>
      <w:r w:rsidR="00700267" w:rsidRPr="006D1C74">
        <w:rPr>
          <w:rFonts w:asciiTheme="majorHAnsi" w:hAnsiTheme="majorHAnsi"/>
          <w:sz w:val="18"/>
          <w:szCs w:val="18"/>
          <w:lang w:val="pt-BR"/>
        </w:rPr>
        <w:t xml:space="preserve"> a </w:t>
      </w:r>
      <w:r w:rsidRPr="006D1C74">
        <w:rPr>
          <w:rFonts w:asciiTheme="majorHAnsi" w:hAnsiTheme="majorHAnsi"/>
          <w:sz w:val="18"/>
          <w:szCs w:val="18"/>
          <w:lang w:val="pt-BR"/>
        </w:rPr>
        <w:t>situa</w:t>
      </w:r>
      <w:r w:rsidR="00CF037E" w:rsidRPr="006D1C74">
        <w:rPr>
          <w:rFonts w:asciiTheme="majorHAnsi" w:hAnsiTheme="majorHAnsi"/>
          <w:sz w:val="18"/>
          <w:szCs w:val="18"/>
          <w:lang w:val="pt-BR"/>
        </w:rPr>
        <w:t>ção</w:t>
      </w:r>
      <w:r w:rsidR="00030019" w:rsidRPr="006D1C74">
        <w:rPr>
          <w:rFonts w:asciiTheme="majorHAnsi" w:hAnsiTheme="majorHAnsi"/>
          <w:sz w:val="18"/>
          <w:szCs w:val="18"/>
          <w:lang w:val="pt-BR"/>
        </w:rPr>
        <w:t xml:space="preserve"> </w:t>
      </w:r>
      <w:r w:rsidRPr="006D1C74">
        <w:rPr>
          <w:rFonts w:asciiTheme="majorHAnsi" w:hAnsiTheme="majorHAnsi"/>
          <w:sz w:val="18"/>
          <w:szCs w:val="18"/>
          <w:lang w:val="pt-BR"/>
        </w:rPr>
        <w:t>enfrenta</w:t>
      </w:r>
      <w:r w:rsidR="00C57688" w:rsidRPr="006D1C74">
        <w:rPr>
          <w:rFonts w:asciiTheme="majorHAnsi" w:hAnsiTheme="majorHAnsi"/>
          <w:sz w:val="18"/>
          <w:szCs w:val="18"/>
          <w:lang w:val="pt-BR"/>
        </w:rPr>
        <w:t>da</w:t>
      </w:r>
      <w:r w:rsidR="00700267" w:rsidRPr="006D1C74">
        <w:rPr>
          <w:rFonts w:asciiTheme="majorHAnsi" w:hAnsiTheme="majorHAnsi"/>
          <w:sz w:val="18"/>
          <w:szCs w:val="18"/>
          <w:lang w:val="pt-BR"/>
        </w:rPr>
        <w:t xml:space="preserve"> </w:t>
      </w:r>
      <w:r w:rsidR="00C57688" w:rsidRPr="006D1C74">
        <w:rPr>
          <w:rFonts w:asciiTheme="majorHAnsi" w:hAnsiTheme="majorHAnsi"/>
          <w:sz w:val="18"/>
          <w:szCs w:val="18"/>
          <w:lang w:val="pt-BR"/>
        </w:rPr>
        <w:t>pel</w:t>
      </w:r>
      <w:r w:rsidR="00700267" w:rsidRPr="006D1C74">
        <w:rPr>
          <w:rFonts w:asciiTheme="majorHAnsi" w:hAnsiTheme="majorHAnsi"/>
          <w:sz w:val="18"/>
          <w:szCs w:val="18"/>
          <w:lang w:val="pt-BR"/>
        </w:rPr>
        <w:t xml:space="preserve">o </w:t>
      </w:r>
      <w:r w:rsidR="006D1C74" w:rsidRPr="006D1C74">
        <w:rPr>
          <w:rFonts w:asciiTheme="majorHAnsi" w:hAnsiTheme="majorHAnsi"/>
          <w:sz w:val="18"/>
          <w:szCs w:val="18"/>
          <w:lang w:val="pt-BR"/>
        </w:rPr>
        <w:t>funcionário</w:t>
      </w:r>
      <w:r w:rsidR="00CF037E" w:rsidRPr="006D1C74">
        <w:rPr>
          <w:rFonts w:asciiTheme="majorHAnsi" w:hAnsiTheme="majorHAnsi"/>
          <w:sz w:val="18"/>
          <w:szCs w:val="18"/>
          <w:lang w:val="pt-BR"/>
        </w:rPr>
        <w:t xml:space="preserve"> e </w:t>
      </w:r>
      <w:r w:rsidR="006D1C74" w:rsidRPr="006D1C74">
        <w:rPr>
          <w:rFonts w:asciiTheme="majorHAnsi" w:hAnsiTheme="majorHAnsi"/>
          <w:sz w:val="18"/>
          <w:szCs w:val="18"/>
          <w:lang w:val="pt-BR"/>
        </w:rPr>
        <w:t>sua</w:t>
      </w:r>
      <w:r w:rsidRPr="006D1C74">
        <w:rPr>
          <w:rFonts w:asciiTheme="majorHAnsi" w:hAnsiTheme="majorHAnsi"/>
          <w:sz w:val="18"/>
          <w:szCs w:val="18"/>
          <w:lang w:val="pt-BR"/>
        </w:rPr>
        <w:t xml:space="preserve"> </w:t>
      </w:r>
      <w:r w:rsidR="006D1C74" w:rsidRPr="006D1C74">
        <w:rPr>
          <w:rFonts w:asciiTheme="majorHAnsi" w:hAnsiTheme="majorHAnsi"/>
          <w:sz w:val="18"/>
          <w:szCs w:val="18"/>
          <w:lang w:val="pt-BR"/>
        </w:rPr>
        <w:t>resposta</w:t>
      </w:r>
      <w:r w:rsidRPr="006D1C74">
        <w:rPr>
          <w:rFonts w:asciiTheme="majorHAnsi" w:hAnsiTheme="majorHAnsi"/>
          <w:sz w:val="18"/>
          <w:szCs w:val="18"/>
          <w:lang w:val="pt-BR"/>
        </w:rPr>
        <w:t>, considerando</w:t>
      </w:r>
      <w:r w:rsidR="00700267" w:rsidRPr="006D1C74">
        <w:rPr>
          <w:rFonts w:asciiTheme="majorHAnsi" w:hAnsiTheme="majorHAnsi"/>
          <w:sz w:val="18"/>
          <w:szCs w:val="18"/>
          <w:lang w:val="pt-BR"/>
        </w:rPr>
        <w:t xml:space="preserve"> o </w:t>
      </w:r>
      <w:r w:rsidR="006D1C74" w:rsidRPr="006D1C74">
        <w:rPr>
          <w:rFonts w:asciiTheme="majorHAnsi" w:hAnsiTheme="majorHAnsi"/>
          <w:sz w:val="18"/>
          <w:szCs w:val="18"/>
          <w:lang w:val="pt-BR"/>
        </w:rPr>
        <w:t>dano</w:t>
      </w:r>
      <w:r w:rsidRPr="006D1C74">
        <w:rPr>
          <w:rFonts w:asciiTheme="majorHAnsi" w:hAnsiTheme="majorHAnsi"/>
          <w:sz w:val="18"/>
          <w:szCs w:val="18"/>
          <w:lang w:val="pt-BR"/>
        </w:rPr>
        <w:t xml:space="preserve"> potencial que </w:t>
      </w:r>
      <w:r w:rsidR="006D1C74" w:rsidRPr="006D1C74">
        <w:rPr>
          <w:rFonts w:asciiTheme="majorHAnsi" w:hAnsiTheme="majorHAnsi"/>
          <w:sz w:val="18"/>
          <w:szCs w:val="18"/>
          <w:lang w:val="pt-BR"/>
        </w:rPr>
        <w:t>poderia</w:t>
      </w:r>
      <w:r w:rsidRPr="006D1C74">
        <w:rPr>
          <w:rFonts w:asciiTheme="majorHAnsi" w:hAnsiTheme="majorHAnsi"/>
          <w:sz w:val="18"/>
          <w:szCs w:val="18"/>
          <w:lang w:val="pt-BR"/>
        </w:rPr>
        <w:t xml:space="preserve"> ser </w:t>
      </w:r>
      <w:r w:rsidR="00C57688" w:rsidRPr="006D1C74">
        <w:rPr>
          <w:rFonts w:asciiTheme="majorHAnsi" w:hAnsiTheme="majorHAnsi"/>
          <w:sz w:val="18"/>
          <w:szCs w:val="18"/>
          <w:lang w:val="pt-BR"/>
        </w:rPr>
        <w:t>provoc</w:t>
      </w:r>
      <w:r w:rsidRPr="006D1C74">
        <w:rPr>
          <w:rFonts w:asciiTheme="majorHAnsi" w:hAnsiTheme="majorHAnsi"/>
          <w:sz w:val="18"/>
          <w:szCs w:val="18"/>
          <w:lang w:val="pt-BR"/>
        </w:rPr>
        <w:t>ado. As</w:t>
      </w:r>
      <w:r w:rsidR="00C57688" w:rsidRPr="006D1C74">
        <w:rPr>
          <w:rFonts w:asciiTheme="majorHAnsi" w:hAnsiTheme="majorHAnsi"/>
          <w:sz w:val="18"/>
          <w:szCs w:val="18"/>
          <w:lang w:val="pt-BR"/>
        </w:rPr>
        <w:t>sim</w:t>
      </w:r>
      <w:r w:rsidRPr="006D1C74">
        <w:rPr>
          <w:rFonts w:asciiTheme="majorHAnsi" w:hAnsiTheme="majorHAnsi"/>
          <w:sz w:val="18"/>
          <w:szCs w:val="18"/>
          <w:lang w:val="pt-BR"/>
        </w:rPr>
        <w:t>,</w:t>
      </w:r>
      <w:r w:rsidR="00700267" w:rsidRPr="006D1C74">
        <w:rPr>
          <w:rFonts w:asciiTheme="majorHAnsi" w:hAnsiTheme="majorHAnsi"/>
          <w:sz w:val="18"/>
          <w:szCs w:val="18"/>
          <w:lang w:val="pt-BR"/>
        </w:rPr>
        <w:t xml:space="preserve"> os </w:t>
      </w:r>
      <w:r w:rsidRPr="006D1C74">
        <w:rPr>
          <w:rFonts w:asciiTheme="majorHAnsi" w:hAnsiTheme="majorHAnsi"/>
          <w:sz w:val="18"/>
          <w:szCs w:val="18"/>
          <w:lang w:val="pt-BR"/>
        </w:rPr>
        <w:t xml:space="preserve">agentes </w:t>
      </w:r>
      <w:r w:rsidR="006D1C74" w:rsidRPr="006D1C74">
        <w:rPr>
          <w:rFonts w:asciiTheme="majorHAnsi" w:hAnsiTheme="majorHAnsi"/>
          <w:sz w:val="18"/>
          <w:szCs w:val="18"/>
          <w:lang w:val="pt-BR"/>
        </w:rPr>
        <w:t>devem</w:t>
      </w:r>
      <w:r w:rsidRPr="006D1C74">
        <w:rPr>
          <w:rFonts w:asciiTheme="majorHAnsi" w:hAnsiTheme="majorHAnsi"/>
          <w:sz w:val="18"/>
          <w:szCs w:val="18"/>
          <w:lang w:val="pt-BR"/>
        </w:rPr>
        <w:t xml:space="preserve"> aplicar</w:t>
      </w:r>
      <w:r w:rsidR="00030019" w:rsidRPr="006D1C74">
        <w:rPr>
          <w:rFonts w:asciiTheme="majorHAnsi" w:hAnsiTheme="majorHAnsi"/>
          <w:sz w:val="18"/>
          <w:szCs w:val="18"/>
          <w:lang w:val="pt-BR"/>
        </w:rPr>
        <w:t xml:space="preserve"> um </w:t>
      </w:r>
      <w:r w:rsidR="006D1C74" w:rsidRPr="006D1C74">
        <w:rPr>
          <w:rFonts w:asciiTheme="majorHAnsi" w:hAnsiTheme="majorHAnsi"/>
          <w:sz w:val="18"/>
          <w:szCs w:val="18"/>
          <w:lang w:val="pt-BR"/>
        </w:rPr>
        <w:t>critério</w:t>
      </w:r>
      <w:r w:rsidRPr="006D1C74">
        <w:rPr>
          <w:rFonts w:asciiTheme="majorHAnsi" w:hAnsiTheme="majorHAnsi"/>
          <w:sz w:val="18"/>
          <w:szCs w:val="18"/>
          <w:lang w:val="pt-BR"/>
        </w:rPr>
        <w:t xml:space="preserve"> de uso diferenciado</w:t>
      </w:r>
      <w:r w:rsidR="00795010" w:rsidRPr="006D1C74">
        <w:rPr>
          <w:rFonts w:asciiTheme="majorHAnsi" w:hAnsiTheme="majorHAnsi"/>
          <w:sz w:val="18"/>
          <w:szCs w:val="18"/>
          <w:lang w:val="pt-BR"/>
        </w:rPr>
        <w:t xml:space="preserve"> da </w:t>
      </w:r>
      <w:r w:rsidR="00B146A8" w:rsidRPr="006D1C74">
        <w:rPr>
          <w:rFonts w:asciiTheme="majorHAnsi" w:hAnsiTheme="majorHAnsi"/>
          <w:sz w:val="18"/>
          <w:szCs w:val="18"/>
          <w:lang w:val="pt-BR"/>
        </w:rPr>
        <w:t>força</w:t>
      </w:r>
      <w:r w:rsidRPr="006D1C74">
        <w:rPr>
          <w:rFonts w:asciiTheme="majorHAnsi" w:hAnsiTheme="majorHAnsi"/>
          <w:sz w:val="18"/>
          <w:szCs w:val="18"/>
          <w:lang w:val="pt-BR"/>
        </w:rPr>
        <w:t>, determinando</w:t>
      </w:r>
      <w:r w:rsidR="00700267" w:rsidRPr="006D1C74">
        <w:rPr>
          <w:rFonts w:asciiTheme="majorHAnsi" w:hAnsiTheme="majorHAnsi"/>
          <w:sz w:val="18"/>
          <w:szCs w:val="18"/>
          <w:lang w:val="pt-BR"/>
        </w:rPr>
        <w:t xml:space="preserve"> o </w:t>
      </w:r>
      <w:r w:rsidRPr="006D1C74">
        <w:rPr>
          <w:rFonts w:asciiTheme="majorHAnsi" w:hAnsiTheme="majorHAnsi"/>
          <w:sz w:val="18"/>
          <w:szCs w:val="18"/>
          <w:lang w:val="pt-BR"/>
        </w:rPr>
        <w:t>gra</w:t>
      </w:r>
      <w:r w:rsidR="00C57688" w:rsidRPr="006D1C74">
        <w:rPr>
          <w:rFonts w:asciiTheme="majorHAnsi" w:hAnsiTheme="majorHAnsi"/>
          <w:sz w:val="18"/>
          <w:szCs w:val="18"/>
          <w:lang w:val="pt-BR"/>
        </w:rPr>
        <w:t>u</w:t>
      </w:r>
      <w:r w:rsidRPr="006D1C74">
        <w:rPr>
          <w:rFonts w:asciiTheme="majorHAnsi" w:hAnsiTheme="majorHAnsi"/>
          <w:sz w:val="18"/>
          <w:szCs w:val="18"/>
          <w:lang w:val="pt-BR"/>
        </w:rPr>
        <w:t xml:space="preserve"> de coopera</w:t>
      </w:r>
      <w:r w:rsidR="00CF037E" w:rsidRPr="006D1C74">
        <w:rPr>
          <w:rFonts w:asciiTheme="majorHAnsi" w:hAnsiTheme="majorHAnsi"/>
          <w:sz w:val="18"/>
          <w:szCs w:val="18"/>
          <w:lang w:val="pt-BR"/>
        </w:rPr>
        <w:t>ção</w:t>
      </w:r>
      <w:r w:rsidRPr="006D1C74">
        <w:rPr>
          <w:rFonts w:asciiTheme="majorHAnsi" w:hAnsiTheme="majorHAnsi"/>
          <w:sz w:val="18"/>
          <w:szCs w:val="18"/>
          <w:lang w:val="pt-BR"/>
        </w:rPr>
        <w:t xml:space="preserve">, </w:t>
      </w:r>
      <w:r w:rsidR="006D1C74" w:rsidRPr="006D1C74">
        <w:rPr>
          <w:rFonts w:asciiTheme="majorHAnsi" w:hAnsiTheme="majorHAnsi"/>
          <w:sz w:val="18"/>
          <w:szCs w:val="18"/>
          <w:lang w:val="pt-BR"/>
        </w:rPr>
        <w:t>resistência</w:t>
      </w:r>
      <w:r w:rsidRPr="006D1C74">
        <w:rPr>
          <w:rFonts w:asciiTheme="majorHAnsi" w:hAnsiTheme="majorHAnsi"/>
          <w:sz w:val="18"/>
          <w:szCs w:val="18"/>
          <w:lang w:val="pt-BR"/>
        </w:rPr>
        <w:t xml:space="preserve"> o</w:t>
      </w:r>
      <w:r w:rsidR="00C57688" w:rsidRPr="006D1C74">
        <w:rPr>
          <w:rFonts w:asciiTheme="majorHAnsi" w:hAnsiTheme="majorHAnsi"/>
          <w:sz w:val="18"/>
          <w:szCs w:val="18"/>
          <w:lang w:val="pt-BR"/>
        </w:rPr>
        <w:t>u</w:t>
      </w:r>
      <w:r w:rsidRPr="006D1C74">
        <w:rPr>
          <w:rFonts w:asciiTheme="majorHAnsi" w:hAnsiTheme="majorHAnsi"/>
          <w:sz w:val="18"/>
          <w:szCs w:val="18"/>
          <w:lang w:val="pt-BR"/>
        </w:rPr>
        <w:t xml:space="preserve"> </w:t>
      </w:r>
      <w:r w:rsidR="006D1C74" w:rsidRPr="006D1C74">
        <w:rPr>
          <w:rFonts w:asciiTheme="majorHAnsi" w:hAnsiTheme="majorHAnsi"/>
          <w:sz w:val="18"/>
          <w:szCs w:val="18"/>
          <w:lang w:val="pt-BR"/>
        </w:rPr>
        <w:t>agressão</w:t>
      </w:r>
      <w:r w:rsidRPr="006D1C74">
        <w:rPr>
          <w:rFonts w:asciiTheme="majorHAnsi" w:hAnsiTheme="majorHAnsi"/>
          <w:sz w:val="18"/>
          <w:szCs w:val="18"/>
          <w:lang w:val="pt-BR"/>
        </w:rPr>
        <w:t xml:space="preserve"> </w:t>
      </w:r>
      <w:r w:rsidR="00C57688" w:rsidRPr="006D1C74">
        <w:rPr>
          <w:rFonts w:asciiTheme="majorHAnsi" w:hAnsiTheme="majorHAnsi"/>
          <w:sz w:val="18"/>
          <w:szCs w:val="18"/>
          <w:lang w:val="pt-BR"/>
        </w:rPr>
        <w:t>por</w:t>
      </w:r>
      <w:r w:rsidRPr="006D1C74">
        <w:rPr>
          <w:rFonts w:asciiTheme="majorHAnsi" w:hAnsiTheme="majorHAnsi"/>
          <w:sz w:val="18"/>
          <w:szCs w:val="18"/>
          <w:lang w:val="pt-BR"/>
        </w:rPr>
        <w:t xml:space="preserve"> parte</w:t>
      </w:r>
      <w:r w:rsidR="00030019" w:rsidRPr="006D1C74">
        <w:rPr>
          <w:rFonts w:asciiTheme="majorHAnsi" w:hAnsiTheme="majorHAnsi"/>
          <w:sz w:val="18"/>
          <w:szCs w:val="18"/>
          <w:lang w:val="pt-BR"/>
        </w:rPr>
        <w:t xml:space="preserve"> do </w:t>
      </w:r>
      <w:r w:rsidR="006D1C74" w:rsidRPr="006D1C74">
        <w:rPr>
          <w:rFonts w:asciiTheme="majorHAnsi" w:hAnsiTheme="majorHAnsi"/>
          <w:sz w:val="18"/>
          <w:szCs w:val="18"/>
          <w:lang w:val="pt-BR"/>
        </w:rPr>
        <w:t>sujeito</w:t>
      </w:r>
      <w:r w:rsidR="00217759" w:rsidRPr="006D1C74">
        <w:rPr>
          <w:rFonts w:asciiTheme="majorHAnsi" w:hAnsiTheme="majorHAnsi"/>
          <w:sz w:val="18"/>
          <w:szCs w:val="18"/>
          <w:lang w:val="pt-BR"/>
        </w:rPr>
        <w:t xml:space="preserve"> </w:t>
      </w:r>
      <w:r w:rsidR="00CA6F81" w:rsidRPr="006D1C74">
        <w:rPr>
          <w:rFonts w:asciiTheme="majorHAnsi" w:hAnsiTheme="majorHAnsi"/>
          <w:sz w:val="18"/>
          <w:szCs w:val="18"/>
          <w:lang w:val="pt-BR"/>
        </w:rPr>
        <w:t xml:space="preserve">em relação </w:t>
      </w:r>
      <w:r w:rsidR="00217759" w:rsidRPr="006D1C74">
        <w:rPr>
          <w:rFonts w:asciiTheme="majorHAnsi" w:hAnsiTheme="majorHAnsi"/>
          <w:sz w:val="18"/>
          <w:szCs w:val="18"/>
          <w:lang w:val="pt-BR"/>
        </w:rPr>
        <w:t xml:space="preserve">ao </w:t>
      </w:r>
      <w:r w:rsidR="006D1C74" w:rsidRPr="006D1C74">
        <w:rPr>
          <w:rFonts w:asciiTheme="majorHAnsi" w:hAnsiTheme="majorHAnsi"/>
          <w:sz w:val="18"/>
          <w:szCs w:val="18"/>
          <w:lang w:val="pt-BR"/>
        </w:rPr>
        <w:t>qual</w:t>
      </w:r>
      <w:r w:rsidRPr="006D1C74">
        <w:rPr>
          <w:rFonts w:asciiTheme="majorHAnsi" w:hAnsiTheme="majorHAnsi"/>
          <w:sz w:val="18"/>
          <w:szCs w:val="18"/>
          <w:lang w:val="pt-BR"/>
        </w:rPr>
        <w:t xml:space="preserve"> se pretende intervir </w:t>
      </w:r>
      <w:r w:rsidR="00C57688" w:rsidRPr="006D1C74">
        <w:rPr>
          <w:rFonts w:asciiTheme="majorHAnsi" w:hAnsiTheme="majorHAnsi"/>
          <w:sz w:val="18"/>
          <w:szCs w:val="18"/>
          <w:lang w:val="pt-BR"/>
        </w:rPr>
        <w:t>e</w:t>
      </w:r>
      <w:r w:rsidRPr="006D1C74">
        <w:rPr>
          <w:rFonts w:asciiTheme="majorHAnsi" w:hAnsiTheme="majorHAnsi"/>
          <w:sz w:val="18"/>
          <w:szCs w:val="18"/>
          <w:lang w:val="pt-BR"/>
        </w:rPr>
        <w:t>,</w:t>
      </w:r>
      <w:r w:rsidR="00F673C7" w:rsidRPr="006D1C74">
        <w:rPr>
          <w:rFonts w:asciiTheme="majorHAnsi" w:hAnsiTheme="majorHAnsi"/>
          <w:sz w:val="18"/>
          <w:szCs w:val="18"/>
          <w:lang w:val="pt-BR"/>
        </w:rPr>
        <w:t xml:space="preserve"> com </w:t>
      </w:r>
      <w:r w:rsidR="00C57688" w:rsidRPr="006D1C74">
        <w:rPr>
          <w:rFonts w:asciiTheme="majorHAnsi" w:hAnsiTheme="majorHAnsi"/>
          <w:sz w:val="18"/>
          <w:szCs w:val="18"/>
          <w:lang w:val="pt-BR"/>
        </w:rPr>
        <w:t>iss</w:t>
      </w:r>
      <w:r w:rsidRPr="006D1C74">
        <w:rPr>
          <w:rFonts w:asciiTheme="majorHAnsi" w:hAnsiTheme="majorHAnsi"/>
          <w:sz w:val="18"/>
          <w:szCs w:val="18"/>
          <w:lang w:val="pt-BR"/>
        </w:rPr>
        <w:t xml:space="preserve">o, </w:t>
      </w:r>
      <w:r w:rsidR="006D1C74" w:rsidRPr="006D1C74">
        <w:rPr>
          <w:rFonts w:asciiTheme="majorHAnsi" w:hAnsiTheme="majorHAnsi"/>
          <w:sz w:val="18"/>
          <w:szCs w:val="18"/>
          <w:lang w:val="pt-BR"/>
        </w:rPr>
        <w:t>empregar</w:t>
      </w:r>
      <w:r w:rsidRPr="006D1C74">
        <w:rPr>
          <w:rFonts w:asciiTheme="majorHAnsi" w:hAnsiTheme="majorHAnsi"/>
          <w:sz w:val="18"/>
          <w:szCs w:val="18"/>
          <w:lang w:val="pt-BR"/>
        </w:rPr>
        <w:t xml:space="preserve"> táticas de negocia</w:t>
      </w:r>
      <w:r w:rsidR="00CF037E" w:rsidRPr="006D1C74">
        <w:rPr>
          <w:rFonts w:asciiTheme="majorHAnsi" w:hAnsiTheme="majorHAnsi"/>
          <w:sz w:val="18"/>
          <w:szCs w:val="18"/>
          <w:lang w:val="pt-BR"/>
        </w:rPr>
        <w:t>ção</w:t>
      </w:r>
      <w:r w:rsidRPr="006D1C74">
        <w:rPr>
          <w:rFonts w:asciiTheme="majorHAnsi" w:hAnsiTheme="majorHAnsi"/>
          <w:sz w:val="18"/>
          <w:szCs w:val="18"/>
          <w:lang w:val="pt-BR"/>
        </w:rPr>
        <w:t xml:space="preserve">, </w:t>
      </w:r>
      <w:r w:rsidR="006D1C74" w:rsidRPr="006D1C74">
        <w:rPr>
          <w:rFonts w:asciiTheme="majorHAnsi" w:hAnsiTheme="majorHAnsi"/>
          <w:sz w:val="18"/>
          <w:szCs w:val="18"/>
          <w:lang w:val="pt-BR"/>
        </w:rPr>
        <w:t>controle</w:t>
      </w:r>
      <w:r w:rsidRPr="006D1C74">
        <w:rPr>
          <w:rFonts w:asciiTheme="majorHAnsi" w:hAnsiTheme="majorHAnsi"/>
          <w:sz w:val="18"/>
          <w:szCs w:val="18"/>
          <w:lang w:val="pt-BR"/>
        </w:rPr>
        <w:t xml:space="preserve"> o</w:t>
      </w:r>
      <w:r w:rsidR="00C57688" w:rsidRPr="006D1C74">
        <w:rPr>
          <w:rFonts w:asciiTheme="majorHAnsi" w:hAnsiTheme="majorHAnsi"/>
          <w:sz w:val="18"/>
          <w:szCs w:val="18"/>
          <w:lang w:val="pt-BR"/>
        </w:rPr>
        <w:t>u</w:t>
      </w:r>
      <w:r w:rsidRPr="006D1C74">
        <w:rPr>
          <w:rFonts w:asciiTheme="majorHAnsi" w:hAnsiTheme="majorHAnsi"/>
          <w:sz w:val="18"/>
          <w:szCs w:val="18"/>
          <w:lang w:val="pt-BR"/>
        </w:rPr>
        <w:t xml:space="preserve"> uso d</w:t>
      </w:r>
      <w:r w:rsidR="00552496">
        <w:rPr>
          <w:rFonts w:asciiTheme="majorHAnsi" w:hAnsiTheme="majorHAnsi"/>
          <w:sz w:val="18"/>
          <w:szCs w:val="18"/>
          <w:lang w:val="pt-BR"/>
        </w:rPr>
        <w:t>a</w:t>
      </w:r>
      <w:r w:rsidRPr="006D1C74">
        <w:rPr>
          <w:rFonts w:asciiTheme="majorHAnsi" w:hAnsiTheme="majorHAnsi"/>
          <w:sz w:val="18"/>
          <w:szCs w:val="18"/>
          <w:lang w:val="pt-BR"/>
        </w:rPr>
        <w:t xml:space="preserve"> </w:t>
      </w:r>
      <w:r w:rsidR="00B146A8" w:rsidRPr="006D1C74">
        <w:rPr>
          <w:rFonts w:asciiTheme="majorHAnsi" w:hAnsiTheme="majorHAnsi"/>
          <w:sz w:val="18"/>
          <w:szCs w:val="18"/>
          <w:lang w:val="pt-BR"/>
        </w:rPr>
        <w:t>força</w:t>
      </w:r>
      <w:r w:rsidRPr="006D1C74">
        <w:rPr>
          <w:rFonts w:asciiTheme="majorHAnsi" w:hAnsiTheme="majorHAnsi"/>
          <w:sz w:val="18"/>
          <w:szCs w:val="18"/>
          <w:lang w:val="pt-BR"/>
        </w:rPr>
        <w:t xml:space="preserve">, </w:t>
      </w:r>
      <w:r w:rsidR="00C57688" w:rsidRPr="006D1C74">
        <w:rPr>
          <w:rFonts w:asciiTheme="majorHAnsi" w:hAnsiTheme="majorHAnsi"/>
          <w:sz w:val="18"/>
          <w:szCs w:val="18"/>
          <w:lang w:val="pt-BR"/>
        </w:rPr>
        <w:t>conforme o caso</w:t>
      </w:r>
      <w:r w:rsidRPr="006D1C74">
        <w:rPr>
          <w:rFonts w:asciiTheme="majorHAnsi" w:hAnsiTheme="majorHAnsi"/>
          <w:sz w:val="18"/>
          <w:szCs w:val="18"/>
          <w:vertAlign w:val="superscript"/>
          <w:lang w:val="pt-BR"/>
        </w:rPr>
        <w:footnoteReference w:id="63"/>
      </w:r>
      <w:r w:rsidRPr="006D1C74">
        <w:rPr>
          <w:rFonts w:asciiTheme="majorHAnsi" w:hAnsiTheme="majorHAnsi"/>
          <w:sz w:val="18"/>
          <w:szCs w:val="18"/>
          <w:lang w:val="pt-BR"/>
        </w:rPr>
        <w:t>.</w:t>
      </w:r>
    </w:p>
    <w:p w14:paraId="5BA7EDAF"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jc w:val="both"/>
        <w:rPr>
          <w:rFonts w:asciiTheme="majorHAnsi" w:eastAsia="Batang" w:hAnsiTheme="majorHAnsi" w:cs="Arial"/>
          <w:sz w:val="20"/>
          <w:szCs w:val="20"/>
          <w:bdr w:val="none" w:sz="0" w:space="0" w:color="auto"/>
          <w:lang w:val="pt-BR"/>
        </w:rPr>
      </w:pPr>
    </w:p>
    <w:p w14:paraId="54564CDB"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pt-BR"/>
        </w:rPr>
      </w:pPr>
      <w:r w:rsidRPr="006D1C74">
        <w:rPr>
          <w:rFonts w:asciiTheme="majorHAnsi" w:hAnsiTheme="majorHAnsi"/>
          <w:sz w:val="20"/>
          <w:szCs w:val="20"/>
          <w:lang w:val="pt-BR"/>
        </w:rPr>
        <w:lastRenderedPageBreak/>
        <w:t>Por con</w:t>
      </w:r>
      <w:r w:rsidR="00154D0D" w:rsidRPr="006D1C74">
        <w:rPr>
          <w:rFonts w:asciiTheme="majorHAnsi" w:hAnsiTheme="majorHAnsi"/>
          <w:sz w:val="20"/>
          <w:szCs w:val="20"/>
          <w:lang w:val="pt-BR"/>
        </w:rPr>
        <w:t>seguinte</w:t>
      </w:r>
      <w:r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o </w:t>
      </w:r>
      <w:r w:rsidRPr="006D1C74">
        <w:rPr>
          <w:rFonts w:asciiTheme="majorHAnsi" w:hAnsiTheme="majorHAnsi"/>
          <w:sz w:val="20"/>
          <w:szCs w:val="20"/>
          <w:lang w:val="pt-BR"/>
        </w:rPr>
        <w:t xml:space="preserve">Estado </w:t>
      </w:r>
      <w:r w:rsidR="00585D35" w:rsidRPr="006D1C74">
        <w:rPr>
          <w:rFonts w:asciiTheme="majorHAnsi" w:hAnsiTheme="majorHAnsi"/>
          <w:sz w:val="20"/>
          <w:szCs w:val="20"/>
          <w:lang w:val="pt-BR"/>
        </w:rPr>
        <w:t>dev</w:t>
      </w:r>
      <w:r w:rsidRPr="006D1C74">
        <w:rPr>
          <w:rFonts w:asciiTheme="majorHAnsi" w:hAnsiTheme="majorHAnsi"/>
          <w:sz w:val="20"/>
          <w:szCs w:val="20"/>
          <w:lang w:val="pt-BR"/>
        </w:rPr>
        <w:t>e demo</w:t>
      </w:r>
      <w:r w:rsidR="005536FD" w:rsidRPr="006D1C74">
        <w:rPr>
          <w:rFonts w:asciiTheme="majorHAnsi" w:hAnsiTheme="majorHAnsi"/>
          <w:sz w:val="20"/>
          <w:szCs w:val="20"/>
          <w:lang w:val="pt-BR"/>
        </w:rPr>
        <w:t>n</w:t>
      </w:r>
      <w:r w:rsidRPr="006D1C74">
        <w:rPr>
          <w:rFonts w:asciiTheme="majorHAnsi" w:hAnsiTheme="majorHAnsi"/>
          <w:sz w:val="20"/>
          <w:szCs w:val="20"/>
          <w:lang w:val="pt-BR"/>
        </w:rPr>
        <w:t>strar</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finali</w:t>
      </w:r>
      <w:r w:rsidR="00F673C7" w:rsidRPr="006D1C74">
        <w:rPr>
          <w:rFonts w:asciiTheme="majorHAnsi" w:hAnsiTheme="majorHAnsi"/>
          <w:sz w:val="20"/>
          <w:szCs w:val="20"/>
          <w:lang w:val="pt-BR"/>
        </w:rPr>
        <w:t xml:space="preserve">dade </w:t>
      </w:r>
      <w:r w:rsidRPr="006D1C74">
        <w:rPr>
          <w:rFonts w:asciiTheme="majorHAnsi" w:hAnsiTheme="majorHAnsi"/>
          <w:sz w:val="20"/>
          <w:szCs w:val="20"/>
          <w:lang w:val="pt-BR"/>
        </w:rPr>
        <w:t>legítima,</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 xml:space="preserve">absoluta </w:t>
      </w:r>
      <w:r w:rsidR="00CA6F81" w:rsidRPr="006D1C74">
        <w:rPr>
          <w:rFonts w:asciiTheme="majorHAnsi" w:hAnsiTheme="majorHAnsi"/>
          <w:sz w:val="20"/>
          <w:szCs w:val="20"/>
          <w:lang w:val="pt-BR"/>
        </w:rPr>
        <w:t>necessi</w:t>
      </w:r>
      <w:r w:rsidR="00F673C7" w:rsidRPr="006D1C74">
        <w:rPr>
          <w:rFonts w:asciiTheme="majorHAnsi" w:hAnsiTheme="majorHAnsi"/>
          <w:sz w:val="20"/>
          <w:szCs w:val="20"/>
          <w:lang w:val="pt-BR"/>
        </w:rPr>
        <w:t xml:space="preserve">dade </w:t>
      </w:r>
      <w:r w:rsidR="00CF037E" w:rsidRPr="006D1C74">
        <w:rPr>
          <w:rFonts w:asciiTheme="majorHAnsi" w:hAnsiTheme="majorHAnsi"/>
          <w:sz w:val="20"/>
          <w:szCs w:val="20"/>
          <w:lang w:val="pt-BR"/>
        </w:rPr>
        <w:t>e</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proporcionali</w:t>
      </w:r>
      <w:r w:rsidR="00F673C7" w:rsidRPr="006D1C74">
        <w:rPr>
          <w:rFonts w:asciiTheme="majorHAnsi" w:hAnsiTheme="majorHAnsi"/>
          <w:sz w:val="20"/>
          <w:szCs w:val="20"/>
          <w:lang w:val="pt-BR"/>
        </w:rPr>
        <w:t xml:space="preserve">dade </w:t>
      </w:r>
      <w:r w:rsidR="00030019" w:rsidRPr="006D1C74">
        <w:rPr>
          <w:rFonts w:asciiTheme="majorHAnsi" w:hAnsiTheme="majorHAnsi"/>
          <w:sz w:val="20"/>
          <w:szCs w:val="20"/>
          <w:lang w:val="pt-BR"/>
        </w:rPr>
        <w:t xml:space="preserve">do </w:t>
      </w:r>
      <w:r w:rsidRPr="006D1C74">
        <w:rPr>
          <w:rFonts w:asciiTheme="majorHAnsi" w:hAnsiTheme="majorHAnsi"/>
          <w:sz w:val="20"/>
          <w:szCs w:val="20"/>
          <w:lang w:val="pt-BR"/>
        </w:rPr>
        <w:t>uso</w:t>
      </w:r>
      <w:r w:rsidR="00795010" w:rsidRPr="006D1C74">
        <w:rPr>
          <w:rFonts w:asciiTheme="majorHAnsi" w:hAnsiTheme="majorHAnsi"/>
          <w:sz w:val="20"/>
          <w:szCs w:val="20"/>
          <w:lang w:val="pt-BR"/>
        </w:rPr>
        <w:t xml:space="preserve"> da </w:t>
      </w:r>
      <w:r w:rsidR="00B146A8" w:rsidRPr="006D1C74">
        <w:rPr>
          <w:rFonts w:asciiTheme="majorHAnsi" w:hAnsiTheme="majorHAnsi"/>
          <w:sz w:val="20"/>
          <w:szCs w:val="20"/>
          <w:lang w:val="pt-BR"/>
        </w:rPr>
        <w:t>força</w:t>
      </w:r>
      <w:r w:rsidR="00030019" w:rsidRPr="006D1C74">
        <w:rPr>
          <w:rFonts w:asciiTheme="majorHAnsi" w:hAnsiTheme="majorHAnsi"/>
          <w:sz w:val="20"/>
          <w:szCs w:val="20"/>
          <w:lang w:val="pt-BR"/>
        </w:rPr>
        <w:t xml:space="preserve"> à </w:t>
      </w:r>
      <w:r w:rsidRPr="006D1C74">
        <w:rPr>
          <w:rFonts w:asciiTheme="majorHAnsi" w:hAnsiTheme="majorHAnsi"/>
          <w:sz w:val="20"/>
          <w:szCs w:val="20"/>
          <w:lang w:val="pt-BR"/>
        </w:rPr>
        <w:t>luz</w:t>
      </w:r>
      <w:r w:rsidR="00D74A93" w:rsidRPr="006D1C74">
        <w:rPr>
          <w:rFonts w:asciiTheme="majorHAnsi" w:hAnsiTheme="majorHAnsi"/>
          <w:sz w:val="20"/>
          <w:szCs w:val="20"/>
          <w:lang w:val="pt-BR"/>
        </w:rPr>
        <w:t xml:space="preserve"> das </w:t>
      </w:r>
      <w:r w:rsidR="003171F3" w:rsidRPr="006D1C74">
        <w:rPr>
          <w:rFonts w:asciiTheme="majorHAnsi" w:hAnsiTheme="majorHAnsi"/>
          <w:sz w:val="20"/>
          <w:szCs w:val="20"/>
          <w:lang w:val="pt-BR"/>
        </w:rPr>
        <w:t>circunstâncias</w:t>
      </w:r>
      <w:r w:rsidRPr="006D1C74">
        <w:rPr>
          <w:rFonts w:asciiTheme="majorHAnsi" w:hAnsiTheme="majorHAnsi"/>
          <w:sz w:val="20"/>
          <w:szCs w:val="20"/>
          <w:lang w:val="pt-BR"/>
        </w:rPr>
        <w:t xml:space="preserve"> particulares</w:t>
      </w:r>
      <w:r w:rsidR="00030019" w:rsidRPr="006D1C74">
        <w:rPr>
          <w:rFonts w:asciiTheme="majorHAnsi" w:hAnsiTheme="majorHAnsi"/>
          <w:sz w:val="20"/>
          <w:szCs w:val="20"/>
          <w:lang w:val="pt-BR"/>
        </w:rPr>
        <w:t xml:space="preserve"> do </w:t>
      </w:r>
      <w:r w:rsidRPr="006D1C74">
        <w:rPr>
          <w:rFonts w:asciiTheme="majorHAnsi" w:hAnsiTheme="majorHAnsi"/>
          <w:sz w:val="20"/>
          <w:szCs w:val="20"/>
          <w:lang w:val="pt-BR"/>
        </w:rPr>
        <w:t>caso. A</w:t>
      </w:r>
      <w:r w:rsidR="0003449B" w:rsidRPr="006D1C74">
        <w:rPr>
          <w:rFonts w:asciiTheme="majorHAnsi" w:hAnsiTheme="majorHAnsi"/>
          <w:sz w:val="20"/>
          <w:szCs w:val="20"/>
          <w:lang w:val="pt-BR"/>
        </w:rPr>
        <w:t>lém disso</w:t>
      </w:r>
      <w:r w:rsidRPr="006D1C74">
        <w:rPr>
          <w:rFonts w:asciiTheme="majorHAnsi" w:hAnsiTheme="majorHAnsi"/>
          <w:sz w:val="20"/>
          <w:szCs w:val="20"/>
          <w:lang w:val="pt-BR"/>
        </w:rPr>
        <w:t xml:space="preserve">, </w:t>
      </w:r>
      <w:r w:rsidR="005536FD" w:rsidRPr="006D1C74">
        <w:rPr>
          <w:rFonts w:asciiTheme="majorHAnsi" w:hAnsiTheme="majorHAnsi"/>
          <w:sz w:val="20"/>
          <w:szCs w:val="20"/>
          <w:lang w:val="pt-BR"/>
        </w:rPr>
        <w:t>em</w:t>
      </w:r>
      <w:r w:rsidRPr="006D1C74">
        <w:rPr>
          <w:rFonts w:asciiTheme="majorHAnsi" w:hAnsiTheme="majorHAnsi"/>
          <w:sz w:val="20"/>
          <w:szCs w:val="20"/>
          <w:lang w:val="pt-BR"/>
        </w:rPr>
        <w:t xml:space="preserve"> </w:t>
      </w:r>
      <w:r w:rsidR="006D1C74" w:rsidRPr="006D1C74">
        <w:rPr>
          <w:rFonts w:asciiTheme="majorHAnsi" w:hAnsiTheme="majorHAnsi"/>
          <w:sz w:val="20"/>
          <w:szCs w:val="20"/>
          <w:lang w:val="pt-BR"/>
        </w:rPr>
        <w:t>consequência</w:t>
      </w:r>
      <w:r w:rsidRPr="006D1C74">
        <w:rPr>
          <w:rFonts w:asciiTheme="majorHAnsi" w:hAnsiTheme="majorHAnsi"/>
          <w:sz w:val="20"/>
          <w:szCs w:val="20"/>
          <w:lang w:val="pt-BR"/>
        </w:rPr>
        <w:t xml:space="preserve"> de</w:t>
      </w:r>
      <w:r w:rsidR="005536FD" w:rsidRPr="006D1C74">
        <w:rPr>
          <w:rFonts w:asciiTheme="majorHAnsi" w:hAnsiTheme="majorHAnsi"/>
          <w:sz w:val="20"/>
          <w:szCs w:val="20"/>
          <w:lang w:val="pt-BR"/>
        </w:rPr>
        <w:t>sses</w:t>
      </w:r>
      <w:r w:rsidRPr="006D1C74">
        <w:rPr>
          <w:rFonts w:asciiTheme="majorHAnsi" w:hAnsiTheme="majorHAnsi"/>
          <w:sz w:val="20"/>
          <w:szCs w:val="20"/>
          <w:lang w:val="pt-BR"/>
        </w:rPr>
        <w:t xml:space="preserve"> </w:t>
      </w:r>
      <w:r w:rsidR="00945B80" w:rsidRPr="006D1C74">
        <w:rPr>
          <w:rFonts w:asciiTheme="majorHAnsi" w:hAnsiTheme="majorHAnsi"/>
          <w:sz w:val="20"/>
          <w:szCs w:val="20"/>
          <w:lang w:val="pt-BR"/>
        </w:rPr>
        <w:t>requisitos</w:t>
      </w:r>
      <w:r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Pr="006D1C74">
        <w:rPr>
          <w:rFonts w:asciiTheme="majorHAnsi" w:hAnsiTheme="majorHAnsi"/>
          <w:sz w:val="20"/>
          <w:szCs w:val="20"/>
          <w:lang w:val="pt-BR"/>
        </w:rPr>
        <w:t xml:space="preserve"> rec</w:t>
      </w:r>
      <w:r w:rsidR="005536FD" w:rsidRPr="006D1C74">
        <w:rPr>
          <w:rFonts w:asciiTheme="majorHAnsi" w:hAnsiTheme="majorHAnsi"/>
          <w:sz w:val="20"/>
          <w:szCs w:val="20"/>
          <w:lang w:val="pt-BR"/>
        </w:rPr>
        <w:t>o</w:t>
      </w:r>
      <w:r w:rsidRPr="006D1C74">
        <w:rPr>
          <w:rFonts w:asciiTheme="majorHAnsi" w:hAnsiTheme="majorHAnsi"/>
          <w:sz w:val="20"/>
          <w:szCs w:val="20"/>
          <w:lang w:val="pt-BR"/>
        </w:rPr>
        <w:t>rda que</w:t>
      </w:r>
      <w:r w:rsidR="00700267" w:rsidRPr="006D1C74">
        <w:rPr>
          <w:rFonts w:asciiTheme="majorHAnsi" w:hAnsiTheme="majorHAnsi"/>
          <w:sz w:val="20"/>
          <w:szCs w:val="20"/>
          <w:lang w:val="pt-BR"/>
        </w:rPr>
        <w:t xml:space="preserve"> os </w:t>
      </w:r>
      <w:r w:rsidRPr="006D1C74">
        <w:rPr>
          <w:rFonts w:asciiTheme="majorHAnsi" w:hAnsiTheme="majorHAnsi"/>
          <w:sz w:val="20"/>
          <w:szCs w:val="20"/>
          <w:lang w:val="pt-BR"/>
        </w:rPr>
        <w:t>agentes estat</w:t>
      </w:r>
      <w:r w:rsidR="00700267" w:rsidRPr="006D1C74">
        <w:rPr>
          <w:rFonts w:asciiTheme="majorHAnsi" w:hAnsiTheme="majorHAnsi"/>
          <w:sz w:val="20"/>
          <w:szCs w:val="20"/>
          <w:lang w:val="pt-BR"/>
        </w:rPr>
        <w:t>ais</w:t>
      </w:r>
      <w:r w:rsidRPr="006D1C74">
        <w:rPr>
          <w:rFonts w:asciiTheme="majorHAnsi" w:hAnsiTheme="majorHAnsi"/>
          <w:sz w:val="20"/>
          <w:szCs w:val="20"/>
          <w:lang w:val="pt-BR"/>
        </w:rPr>
        <w:t xml:space="preserve"> que interv</w:t>
      </w:r>
      <w:r w:rsidR="005536FD" w:rsidRPr="006D1C74">
        <w:rPr>
          <w:rFonts w:asciiTheme="majorHAnsi" w:hAnsiTheme="majorHAnsi"/>
          <w:sz w:val="20"/>
          <w:szCs w:val="20"/>
          <w:lang w:val="pt-BR"/>
        </w:rPr>
        <w:t>êm</w:t>
      </w:r>
      <w:r w:rsidR="00F673C7" w:rsidRPr="006D1C74">
        <w:rPr>
          <w:rFonts w:asciiTheme="majorHAnsi" w:hAnsiTheme="majorHAnsi"/>
          <w:sz w:val="20"/>
          <w:szCs w:val="20"/>
          <w:lang w:val="pt-BR"/>
        </w:rPr>
        <w:t xml:space="preserve"> em </w:t>
      </w:r>
      <w:r w:rsidRPr="006D1C74">
        <w:rPr>
          <w:rFonts w:asciiTheme="majorHAnsi" w:hAnsiTheme="majorHAnsi"/>
          <w:sz w:val="20"/>
          <w:szCs w:val="20"/>
          <w:lang w:val="pt-BR"/>
        </w:rPr>
        <w:t>opera</w:t>
      </w:r>
      <w:r w:rsidR="005536FD" w:rsidRPr="006D1C74">
        <w:rPr>
          <w:rFonts w:asciiTheme="majorHAnsi" w:hAnsiTheme="majorHAnsi"/>
          <w:sz w:val="20"/>
          <w:szCs w:val="20"/>
          <w:lang w:val="pt-BR"/>
        </w:rPr>
        <w:t>ções</w:t>
      </w:r>
      <w:r w:rsidRPr="006D1C74">
        <w:rPr>
          <w:rFonts w:asciiTheme="majorHAnsi" w:hAnsiTheme="majorHAnsi"/>
          <w:sz w:val="20"/>
          <w:szCs w:val="20"/>
          <w:lang w:val="pt-BR"/>
        </w:rPr>
        <w:t xml:space="preserve"> </w:t>
      </w:r>
      <w:r w:rsidR="006D1C74" w:rsidRPr="006D1C74">
        <w:rPr>
          <w:rFonts w:asciiTheme="majorHAnsi" w:hAnsiTheme="majorHAnsi"/>
          <w:sz w:val="20"/>
          <w:szCs w:val="20"/>
          <w:lang w:val="pt-BR"/>
        </w:rPr>
        <w:t>devem</w:t>
      </w:r>
      <w:r w:rsidRPr="006D1C74">
        <w:rPr>
          <w:rFonts w:asciiTheme="majorHAnsi" w:hAnsiTheme="majorHAnsi"/>
          <w:sz w:val="20"/>
          <w:szCs w:val="20"/>
          <w:lang w:val="pt-BR"/>
        </w:rPr>
        <w:t xml:space="preserve"> aplicar </w:t>
      </w:r>
      <w:r w:rsidR="006D1C74" w:rsidRPr="006D1C74">
        <w:rPr>
          <w:rFonts w:asciiTheme="majorHAnsi" w:hAnsiTheme="majorHAnsi"/>
          <w:sz w:val="20"/>
          <w:szCs w:val="20"/>
          <w:lang w:val="pt-BR"/>
        </w:rPr>
        <w:t>critérios</w:t>
      </w:r>
      <w:r w:rsidRPr="006D1C74">
        <w:rPr>
          <w:rFonts w:asciiTheme="majorHAnsi" w:hAnsiTheme="majorHAnsi"/>
          <w:sz w:val="20"/>
          <w:szCs w:val="20"/>
          <w:lang w:val="pt-BR"/>
        </w:rPr>
        <w:t xml:space="preserve"> de “uso diferenciado</w:t>
      </w:r>
      <w:r w:rsidR="00CF037E" w:rsidRPr="006D1C74">
        <w:rPr>
          <w:rFonts w:asciiTheme="majorHAnsi" w:hAnsiTheme="majorHAnsi"/>
          <w:sz w:val="20"/>
          <w:szCs w:val="20"/>
          <w:lang w:val="pt-BR"/>
        </w:rPr>
        <w:t xml:space="preserve"> e </w:t>
      </w:r>
      <w:r w:rsidR="006D1C74" w:rsidRPr="006D1C74">
        <w:rPr>
          <w:rFonts w:asciiTheme="majorHAnsi" w:hAnsiTheme="majorHAnsi"/>
          <w:sz w:val="20"/>
          <w:szCs w:val="20"/>
          <w:lang w:val="pt-BR"/>
        </w:rPr>
        <w:t>progressivo</w:t>
      </w:r>
      <w:r w:rsidR="00795010" w:rsidRPr="006D1C74">
        <w:rPr>
          <w:rFonts w:asciiTheme="majorHAnsi" w:hAnsiTheme="majorHAnsi"/>
          <w:sz w:val="20"/>
          <w:szCs w:val="20"/>
          <w:lang w:val="pt-BR"/>
        </w:rPr>
        <w:t xml:space="preserve"> da </w:t>
      </w:r>
      <w:r w:rsidR="00B146A8" w:rsidRPr="006D1C74">
        <w:rPr>
          <w:rFonts w:asciiTheme="majorHAnsi" w:hAnsiTheme="majorHAnsi"/>
          <w:sz w:val="20"/>
          <w:szCs w:val="20"/>
          <w:lang w:val="pt-BR"/>
        </w:rPr>
        <w:t>força</w:t>
      </w:r>
      <w:r w:rsidRPr="006D1C74">
        <w:rPr>
          <w:rFonts w:asciiTheme="majorHAnsi" w:hAnsiTheme="majorHAnsi"/>
          <w:sz w:val="20"/>
          <w:szCs w:val="20"/>
          <w:lang w:val="pt-BR"/>
        </w:rPr>
        <w:t>, determinando</w:t>
      </w:r>
      <w:r w:rsidR="00700267" w:rsidRPr="006D1C74">
        <w:rPr>
          <w:rFonts w:asciiTheme="majorHAnsi" w:hAnsiTheme="majorHAnsi"/>
          <w:sz w:val="20"/>
          <w:szCs w:val="20"/>
          <w:lang w:val="pt-BR"/>
        </w:rPr>
        <w:t xml:space="preserve"> o </w:t>
      </w:r>
      <w:r w:rsidRPr="006D1C74">
        <w:rPr>
          <w:rFonts w:asciiTheme="majorHAnsi" w:hAnsiTheme="majorHAnsi"/>
          <w:sz w:val="20"/>
          <w:szCs w:val="20"/>
          <w:lang w:val="pt-BR"/>
        </w:rPr>
        <w:t>gra</w:t>
      </w:r>
      <w:r w:rsidR="005536FD" w:rsidRPr="006D1C74">
        <w:rPr>
          <w:rFonts w:asciiTheme="majorHAnsi" w:hAnsiTheme="majorHAnsi"/>
          <w:sz w:val="20"/>
          <w:szCs w:val="20"/>
          <w:lang w:val="pt-BR"/>
        </w:rPr>
        <w:t>u</w:t>
      </w:r>
      <w:r w:rsidRPr="006D1C74">
        <w:rPr>
          <w:rFonts w:asciiTheme="majorHAnsi" w:hAnsiTheme="majorHAnsi"/>
          <w:sz w:val="20"/>
          <w:szCs w:val="20"/>
          <w:lang w:val="pt-BR"/>
        </w:rPr>
        <w:t xml:space="preserve"> de coopera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w:t>
      </w:r>
      <w:r w:rsidR="006D1C74" w:rsidRPr="006D1C74">
        <w:rPr>
          <w:rFonts w:asciiTheme="majorHAnsi" w:hAnsiTheme="majorHAnsi"/>
          <w:sz w:val="20"/>
          <w:szCs w:val="20"/>
          <w:lang w:val="pt-BR"/>
        </w:rPr>
        <w:t>resistência</w:t>
      </w:r>
      <w:r w:rsidRPr="006D1C74">
        <w:rPr>
          <w:rFonts w:asciiTheme="majorHAnsi" w:hAnsiTheme="majorHAnsi"/>
          <w:sz w:val="20"/>
          <w:szCs w:val="20"/>
          <w:lang w:val="pt-BR"/>
        </w:rPr>
        <w:t xml:space="preserve"> o</w:t>
      </w:r>
      <w:r w:rsidR="005536FD" w:rsidRPr="006D1C74">
        <w:rPr>
          <w:rFonts w:asciiTheme="majorHAnsi" w:hAnsiTheme="majorHAnsi"/>
          <w:sz w:val="20"/>
          <w:szCs w:val="20"/>
          <w:lang w:val="pt-BR"/>
        </w:rPr>
        <w:t>u</w:t>
      </w:r>
      <w:r w:rsidRPr="006D1C74">
        <w:rPr>
          <w:rFonts w:asciiTheme="majorHAnsi" w:hAnsiTheme="majorHAnsi"/>
          <w:sz w:val="20"/>
          <w:szCs w:val="20"/>
          <w:lang w:val="pt-BR"/>
        </w:rPr>
        <w:t xml:space="preserve"> </w:t>
      </w:r>
      <w:r w:rsidR="006D1C74" w:rsidRPr="006D1C74">
        <w:rPr>
          <w:rFonts w:asciiTheme="majorHAnsi" w:hAnsiTheme="majorHAnsi"/>
          <w:sz w:val="20"/>
          <w:szCs w:val="20"/>
          <w:lang w:val="pt-BR"/>
        </w:rPr>
        <w:t>agressão</w:t>
      </w:r>
      <w:r w:rsidRPr="006D1C74">
        <w:rPr>
          <w:rFonts w:asciiTheme="majorHAnsi" w:hAnsiTheme="majorHAnsi"/>
          <w:sz w:val="20"/>
          <w:szCs w:val="20"/>
          <w:lang w:val="pt-BR"/>
        </w:rPr>
        <w:t xml:space="preserve"> por parte</w:t>
      </w:r>
      <w:r w:rsidR="00030019" w:rsidRPr="006D1C74">
        <w:rPr>
          <w:rFonts w:asciiTheme="majorHAnsi" w:hAnsiTheme="majorHAnsi"/>
          <w:sz w:val="20"/>
          <w:szCs w:val="20"/>
          <w:lang w:val="pt-BR"/>
        </w:rPr>
        <w:t xml:space="preserve"> do </w:t>
      </w:r>
      <w:r w:rsidR="006D1C74" w:rsidRPr="006D1C74">
        <w:rPr>
          <w:rFonts w:asciiTheme="majorHAnsi" w:hAnsiTheme="majorHAnsi"/>
          <w:sz w:val="20"/>
          <w:szCs w:val="20"/>
          <w:lang w:val="pt-BR"/>
        </w:rPr>
        <w:t>sujeito</w:t>
      </w:r>
      <w:r w:rsidR="00217759" w:rsidRPr="006D1C74">
        <w:rPr>
          <w:rFonts w:asciiTheme="majorHAnsi" w:hAnsiTheme="majorHAnsi"/>
          <w:sz w:val="20"/>
          <w:szCs w:val="20"/>
          <w:lang w:val="pt-BR"/>
        </w:rPr>
        <w:t xml:space="preserve"> </w:t>
      </w:r>
      <w:r w:rsidR="005536FD" w:rsidRPr="006D1C74">
        <w:rPr>
          <w:rFonts w:asciiTheme="majorHAnsi" w:hAnsiTheme="majorHAnsi"/>
          <w:sz w:val="20"/>
          <w:szCs w:val="20"/>
          <w:lang w:val="pt-BR"/>
        </w:rPr>
        <w:t xml:space="preserve">em relação </w:t>
      </w:r>
      <w:r w:rsidR="00217759" w:rsidRPr="006D1C74">
        <w:rPr>
          <w:rFonts w:asciiTheme="majorHAnsi" w:hAnsiTheme="majorHAnsi"/>
          <w:sz w:val="20"/>
          <w:szCs w:val="20"/>
          <w:lang w:val="pt-BR"/>
        </w:rPr>
        <w:t xml:space="preserve">ao </w:t>
      </w:r>
      <w:r w:rsidR="006D1C74" w:rsidRPr="006D1C74">
        <w:rPr>
          <w:rFonts w:asciiTheme="majorHAnsi" w:hAnsiTheme="majorHAnsi"/>
          <w:sz w:val="20"/>
          <w:szCs w:val="20"/>
          <w:lang w:val="pt-BR"/>
        </w:rPr>
        <w:t>qual</w:t>
      </w:r>
      <w:r w:rsidRPr="006D1C74">
        <w:rPr>
          <w:rFonts w:asciiTheme="majorHAnsi" w:hAnsiTheme="majorHAnsi"/>
          <w:sz w:val="20"/>
          <w:szCs w:val="20"/>
          <w:lang w:val="pt-BR"/>
        </w:rPr>
        <w:t xml:space="preserve"> se pretende intervir,</w:t>
      </w:r>
      <w:r w:rsidR="00CF037E" w:rsidRPr="006D1C74">
        <w:rPr>
          <w:rFonts w:asciiTheme="majorHAnsi" w:hAnsiTheme="majorHAnsi"/>
          <w:sz w:val="20"/>
          <w:szCs w:val="20"/>
          <w:lang w:val="pt-BR"/>
        </w:rPr>
        <w:t xml:space="preserve"> e</w:t>
      </w:r>
      <w:r w:rsidR="00F673C7" w:rsidRPr="006D1C74">
        <w:rPr>
          <w:rFonts w:asciiTheme="majorHAnsi" w:hAnsiTheme="majorHAnsi"/>
          <w:sz w:val="20"/>
          <w:szCs w:val="20"/>
          <w:lang w:val="pt-BR"/>
        </w:rPr>
        <w:t xml:space="preserve"> com </w:t>
      </w:r>
      <w:r w:rsidR="005536FD" w:rsidRPr="006D1C74">
        <w:rPr>
          <w:rFonts w:asciiTheme="majorHAnsi" w:hAnsiTheme="majorHAnsi"/>
          <w:sz w:val="20"/>
          <w:szCs w:val="20"/>
          <w:lang w:val="pt-BR"/>
        </w:rPr>
        <w:t>iss</w:t>
      </w:r>
      <w:r w:rsidRPr="006D1C74">
        <w:rPr>
          <w:rFonts w:asciiTheme="majorHAnsi" w:hAnsiTheme="majorHAnsi"/>
          <w:sz w:val="20"/>
          <w:szCs w:val="20"/>
          <w:lang w:val="pt-BR"/>
        </w:rPr>
        <w:t xml:space="preserve">o </w:t>
      </w:r>
      <w:r w:rsidR="006D1C74" w:rsidRPr="006D1C74">
        <w:rPr>
          <w:rFonts w:asciiTheme="majorHAnsi" w:hAnsiTheme="majorHAnsi"/>
          <w:sz w:val="20"/>
          <w:szCs w:val="20"/>
          <w:lang w:val="pt-BR"/>
        </w:rPr>
        <w:t>empregar</w:t>
      </w:r>
      <w:r w:rsidRPr="006D1C74">
        <w:rPr>
          <w:rFonts w:asciiTheme="majorHAnsi" w:hAnsiTheme="majorHAnsi"/>
          <w:sz w:val="20"/>
          <w:szCs w:val="20"/>
          <w:lang w:val="pt-BR"/>
        </w:rPr>
        <w:t xml:space="preserve"> táticas de negocia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w:t>
      </w:r>
      <w:r w:rsidR="006D1C74" w:rsidRPr="006D1C74">
        <w:rPr>
          <w:rFonts w:asciiTheme="majorHAnsi" w:hAnsiTheme="majorHAnsi"/>
          <w:sz w:val="20"/>
          <w:szCs w:val="20"/>
          <w:lang w:val="pt-BR"/>
        </w:rPr>
        <w:t>controle</w:t>
      </w:r>
      <w:r w:rsidRPr="006D1C74">
        <w:rPr>
          <w:rFonts w:asciiTheme="majorHAnsi" w:hAnsiTheme="majorHAnsi"/>
          <w:sz w:val="20"/>
          <w:szCs w:val="20"/>
          <w:lang w:val="pt-BR"/>
        </w:rPr>
        <w:t xml:space="preserve"> o</w:t>
      </w:r>
      <w:r w:rsidR="005536FD" w:rsidRPr="006D1C74">
        <w:rPr>
          <w:rFonts w:asciiTheme="majorHAnsi" w:hAnsiTheme="majorHAnsi"/>
          <w:sz w:val="20"/>
          <w:szCs w:val="20"/>
          <w:lang w:val="pt-BR"/>
        </w:rPr>
        <w:t>u</w:t>
      </w:r>
      <w:r w:rsidRPr="006D1C74">
        <w:rPr>
          <w:rFonts w:asciiTheme="majorHAnsi" w:hAnsiTheme="majorHAnsi"/>
          <w:sz w:val="20"/>
          <w:szCs w:val="20"/>
          <w:lang w:val="pt-BR"/>
        </w:rPr>
        <w:t xml:space="preserve"> uso</w:t>
      </w:r>
      <w:r w:rsidR="00795010" w:rsidRPr="006D1C74">
        <w:rPr>
          <w:rFonts w:asciiTheme="majorHAnsi" w:hAnsiTheme="majorHAnsi"/>
          <w:sz w:val="20"/>
          <w:szCs w:val="20"/>
          <w:lang w:val="pt-BR"/>
        </w:rPr>
        <w:t xml:space="preserve"> da </w:t>
      </w:r>
      <w:r w:rsidR="00B146A8" w:rsidRPr="006D1C74">
        <w:rPr>
          <w:rFonts w:asciiTheme="majorHAnsi" w:hAnsiTheme="majorHAnsi"/>
          <w:sz w:val="20"/>
          <w:szCs w:val="20"/>
          <w:lang w:val="pt-BR"/>
        </w:rPr>
        <w:t>força</w:t>
      </w:r>
      <w:r w:rsidR="005536FD" w:rsidRPr="006D1C74">
        <w:rPr>
          <w:rFonts w:asciiTheme="majorHAnsi" w:hAnsiTheme="majorHAnsi"/>
          <w:sz w:val="20"/>
          <w:szCs w:val="20"/>
          <w:lang w:val="pt-BR"/>
        </w:rPr>
        <w:t>, conforme o caso</w:t>
      </w:r>
      <w:r w:rsidRPr="006D1C74">
        <w:rPr>
          <w:rFonts w:asciiTheme="majorHAnsi" w:hAnsiTheme="majorHAnsi"/>
          <w:sz w:val="20"/>
          <w:szCs w:val="20"/>
          <w:lang w:val="pt-BR"/>
        </w:rPr>
        <w:t>”</w:t>
      </w:r>
      <w:r w:rsidRPr="006D1C74">
        <w:rPr>
          <w:rFonts w:asciiTheme="majorHAnsi" w:hAnsiTheme="majorHAnsi"/>
          <w:sz w:val="20"/>
          <w:szCs w:val="20"/>
          <w:vertAlign w:val="superscript"/>
          <w:lang w:val="pt-BR"/>
        </w:rPr>
        <w:footnoteReference w:id="64"/>
      </w:r>
      <w:r w:rsidRPr="006D1C74">
        <w:rPr>
          <w:rFonts w:asciiTheme="majorHAnsi" w:hAnsiTheme="majorHAnsi"/>
          <w:sz w:val="20"/>
          <w:szCs w:val="20"/>
          <w:lang w:val="pt-BR"/>
        </w:rPr>
        <w:t>.</w:t>
      </w:r>
    </w:p>
    <w:p w14:paraId="0DCF582F"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jc w:val="both"/>
        <w:rPr>
          <w:rFonts w:asciiTheme="majorHAnsi" w:eastAsia="Batang" w:hAnsiTheme="majorHAnsi" w:cs="Arial"/>
          <w:sz w:val="20"/>
          <w:szCs w:val="20"/>
          <w:bdr w:val="none" w:sz="0" w:space="0" w:color="auto"/>
          <w:lang w:val="pt-BR"/>
        </w:rPr>
      </w:pPr>
    </w:p>
    <w:p w14:paraId="6676C8C1"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pt-BR"/>
        </w:rPr>
      </w:pPr>
      <w:r w:rsidRPr="006D1C74">
        <w:rPr>
          <w:rFonts w:asciiTheme="majorHAnsi" w:hAnsiTheme="majorHAnsi" w:cs="Verdana"/>
          <w:sz w:val="20"/>
          <w:szCs w:val="20"/>
          <w:lang w:val="pt-BR"/>
        </w:rPr>
        <w:t>A</w:t>
      </w:r>
      <w:r w:rsidR="005129DB" w:rsidRPr="006D1C74">
        <w:rPr>
          <w:rFonts w:asciiTheme="majorHAnsi" w:hAnsiTheme="majorHAnsi" w:cs="Verdana"/>
          <w:sz w:val="20"/>
          <w:szCs w:val="20"/>
          <w:lang w:val="pt-BR"/>
        </w:rPr>
        <w:t>lém disso</w:t>
      </w:r>
      <w:r w:rsidRPr="006D1C74">
        <w:rPr>
          <w:rFonts w:asciiTheme="majorHAnsi" w:hAnsiTheme="majorHAnsi" w:cs="Verdana"/>
          <w:sz w:val="20"/>
          <w:szCs w:val="20"/>
          <w:lang w:val="pt-BR"/>
        </w:rPr>
        <w:t>,</w:t>
      </w:r>
      <w:r w:rsidR="00700267" w:rsidRPr="006D1C74">
        <w:rPr>
          <w:rFonts w:asciiTheme="majorHAnsi" w:hAnsiTheme="majorHAnsi" w:cs="Verdana"/>
          <w:sz w:val="20"/>
          <w:szCs w:val="20"/>
          <w:lang w:val="pt-BR"/>
        </w:rPr>
        <w:t xml:space="preserve"> a </w:t>
      </w:r>
      <w:r w:rsidR="00417BE8" w:rsidRPr="006D1C74">
        <w:rPr>
          <w:rFonts w:asciiTheme="majorHAnsi" w:hAnsiTheme="majorHAnsi"/>
          <w:sz w:val="20"/>
          <w:szCs w:val="20"/>
          <w:lang w:val="pt-BR"/>
        </w:rPr>
        <w:t>Comissão</w:t>
      </w:r>
      <w:r w:rsidRPr="006D1C74">
        <w:rPr>
          <w:rFonts w:asciiTheme="majorHAnsi" w:hAnsiTheme="majorHAnsi"/>
          <w:sz w:val="20"/>
          <w:szCs w:val="20"/>
          <w:lang w:val="pt-BR"/>
        </w:rPr>
        <w:t xml:space="preserve"> observa que</w:t>
      </w:r>
      <w:r w:rsidR="00700267" w:rsidRPr="006D1C74">
        <w:rPr>
          <w:rFonts w:asciiTheme="majorHAnsi" w:hAnsiTheme="majorHAnsi"/>
          <w:sz w:val="20"/>
          <w:szCs w:val="20"/>
          <w:lang w:val="pt-BR"/>
        </w:rPr>
        <w:t xml:space="preserve"> os </w:t>
      </w:r>
      <w:r w:rsidR="006D1C74" w:rsidRPr="006D1C74">
        <w:rPr>
          <w:rFonts w:asciiTheme="majorHAnsi" w:hAnsiTheme="majorHAnsi"/>
          <w:i/>
          <w:sz w:val="20"/>
          <w:szCs w:val="20"/>
          <w:lang w:val="pt-BR"/>
        </w:rPr>
        <w:t>Princípios</w:t>
      </w:r>
      <w:r w:rsidRPr="006D1C74">
        <w:rPr>
          <w:rFonts w:asciiTheme="majorHAnsi" w:hAnsiTheme="majorHAnsi"/>
          <w:i/>
          <w:sz w:val="20"/>
          <w:szCs w:val="20"/>
          <w:lang w:val="pt-BR"/>
        </w:rPr>
        <w:t xml:space="preserve"> sobre</w:t>
      </w:r>
      <w:r w:rsidR="00700267" w:rsidRPr="006D1C74">
        <w:rPr>
          <w:rFonts w:asciiTheme="majorHAnsi" w:hAnsiTheme="majorHAnsi"/>
          <w:i/>
          <w:sz w:val="20"/>
          <w:szCs w:val="20"/>
          <w:lang w:val="pt-BR"/>
        </w:rPr>
        <w:t xml:space="preserve"> o </w:t>
      </w:r>
      <w:r w:rsidR="00254A36" w:rsidRPr="006D1C74">
        <w:rPr>
          <w:rFonts w:asciiTheme="majorHAnsi" w:hAnsiTheme="majorHAnsi"/>
          <w:i/>
          <w:sz w:val="20"/>
          <w:szCs w:val="20"/>
          <w:lang w:val="pt-BR"/>
        </w:rPr>
        <w:t>emprego</w:t>
      </w:r>
      <w:r w:rsidR="00795010" w:rsidRPr="006D1C74">
        <w:rPr>
          <w:rFonts w:asciiTheme="majorHAnsi" w:hAnsiTheme="majorHAnsi"/>
          <w:i/>
          <w:sz w:val="20"/>
          <w:szCs w:val="20"/>
          <w:lang w:val="pt-BR"/>
        </w:rPr>
        <w:t xml:space="preserve"> da </w:t>
      </w:r>
      <w:r w:rsidR="00B146A8" w:rsidRPr="006D1C74">
        <w:rPr>
          <w:rFonts w:asciiTheme="majorHAnsi" w:hAnsiTheme="majorHAnsi"/>
          <w:i/>
          <w:sz w:val="20"/>
          <w:szCs w:val="20"/>
          <w:lang w:val="pt-BR"/>
        </w:rPr>
        <w:t>força</w:t>
      </w:r>
      <w:r w:rsidRPr="006D1C74">
        <w:rPr>
          <w:rFonts w:asciiTheme="majorHAnsi" w:hAnsiTheme="majorHAnsi"/>
          <w:i/>
          <w:sz w:val="20"/>
          <w:szCs w:val="20"/>
          <w:lang w:val="pt-BR"/>
        </w:rPr>
        <w:t xml:space="preserve"> </w:t>
      </w:r>
      <w:r w:rsidR="00254A36" w:rsidRPr="006D1C74">
        <w:rPr>
          <w:rFonts w:asciiTheme="majorHAnsi" w:hAnsiTheme="majorHAnsi"/>
          <w:sz w:val="20"/>
          <w:szCs w:val="20"/>
          <w:lang w:val="pt-BR"/>
        </w:rPr>
        <w:t>autorizam</w:t>
      </w:r>
      <w:r w:rsidR="00700267" w:rsidRPr="006D1C74">
        <w:rPr>
          <w:rFonts w:asciiTheme="majorHAnsi" w:hAnsiTheme="majorHAnsi"/>
          <w:sz w:val="20"/>
          <w:szCs w:val="20"/>
          <w:lang w:val="pt-BR"/>
        </w:rPr>
        <w:t xml:space="preserve"> o </w:t>
      </w:r>
      <w:r w:rsidRPr="006D1C74">
        <w:rPr>
          <w:rFonts w:asciiTheme="majorHAnsi" w:hAnsiTheme="majorHAnsi"/>
          <w:sz w:val="20"/>
          <w:szCs w:val="20"/>
          <w:lang w:val="pt-BR"/>
        </w:rPr>
        <w:t xml:space="preserve">uso de armas de </w:t>
      </w:r>
      <w:r w:rsidR="00135454" w:rsidRPr="006D1C74">
        <w:rPr>
          <w:rFonts w:asciiTheme="majorHAnsi" w:hAnsiTheme="majorHAnsi"/>
          <w:sz w:val="20"/>
          <w:szCs w:val="20"/>
          <w:lang w:val="pt-BR"/>
        </w:rPr>
        <w:t>fog</w:t>
      </w:r>
      <w:r w:rsidRPr="006D1C74">
        <w:rPr>
          <w:rFonts w:asciiTheme="majorHAnsi" w:hAnsiTheme="majorHAnsi"/>
          <w:sz w:val="20"/>
          <w:szCs w:val="20"/>
          <w:lang w:val="pt-BR"/>
        </w:rPr>
        <w:t>o</w:t>
      </w:r>
      <w:r w:rsidR="00F673C7" w:rsidRPr="006D1C74">
        <w:rPr>
          <w:rFonts w:asciiTheme="majorHAnsi" w:hAnsiTheme="majorHAnsi"/>
          <w:sz w:val="20"/>
          <w:szCs w:val="20"/>
          <w:lang w:val="pt-BR"/>
        </w:rPr>
        <w:t xml:space="preserve"> com </w:t>
      </w:r>
      <w:r w:rsidRPr="006D1C74">
        <w:rPr>
          <w:rFonts w:asciiTheme="majorHAnsi" w:hAnsiTheme="majorHAnsi"/>
          <w:sz w:val="20"/>
          <w:szCs w:val="20"/>
          <w:lang w:val="pt-BR"/>
        </w:rPr>
        <w:t>“</w:t>
      </w:r>
      <w:r w:rsidR="005129DB" w:rsidRPr="006D1C74">
        <w:rPr>
          <w:rFonts w:asciiTheme="majorHAnsi" w:hAnsiTheme="majorHAnsi"/>
          <w:sz w:val="20"/>
          <w:szCs w:val="20"/>
          <w:lang w:val="pt-BR"/>
        </w:rPr>
        <w:t>o</w:t>
      </w:r>
      <w:r w:rsidRPr="006D1C74">
        <w:rPr>
          <w:rFonts w:asciiTheme="majorHAnsi" w:hAnsiTheme="majorHAnsi"/>
          <w:sz w:val="20"/>
          <w:szCs w:val="20"/>
          <w:lang w:val="pt-BR"/>
        </w:rPr>
        <w:t xml:space="preserve"> objet</w:t>
      </w:r>
      <w:r w:rsidR="005129DB" w:rsidRPr="006D1C74">
        <w:rPr>
          <w:rFonts w:asciiTheme="majorHAnsi" w:hAnsiTheme="majorHAnsi"/>
          <w:sz w:val="20"/>
          <w:szCs w:val="20"/>
          <w:lang w:val="pt-BR"/>
        </w:rPr>
        <w:t>iv</w:t>
      </w:r>
      <w:r w:rsidRPr="006D1C74">
        <w:rPr>
          <w:rFonts w:asciiTheme="majorHAnsi" w:hAnsiTheme="majorHAnsi"/>
          <w:sz w:val="20"/>
          <w:szCs w:val="20"/>
          <w:lang w:val="pt-BR"/>
        </w:rPr>
        <w:t xml:space="preserve">o de deter </w:t>
      </w:r>
      <w:r w:rsidR="00030019" w:rsidRPr="006D1C74">
        <w:rPr>
          <w:rFonts w:asciiTheme="majorHAnsi" w:hAnsiTheme="majorHAnsi"/>
          <w:sz w:val="20"/>
          <w:szCs w:val="20"/>
          <w:lang w:val="pt-BR"/>
        </w:rPr>
        <w:t xml:space="preserve">uma </w:t>
      </w:r>
      <w:r w:rsidR="00CA7940" w:rsidRPr="006D1C74">
        <w:rPr>
          <w:rFonts w:asciiTheme="majorHAnsi" w:hAnsiTheme="majorHAnsi"/>
          <w:sz w:val="20"/>
          <w:szCs w:val="20"/>
          <w:lang w:val="pt-BR"/>
        </w:rPr>
        <w:t>pessoa</w:t>
      </w:r>
      <w:r w:rsidRPr="006D1C74">
        <w:rPr>
          <w:rFonts w:asciiTheme="majorHAnsi" w:hAnsiTheme="majorHAnsi"/>
          <w:sz w:val="20"/>
          <w:szCs w:val="20"/>
          <w:lang w:val="pt-BR"/>
        </w:rPr>
        <w:t xml:space="preserve"> que represente pe</w:t>
      </w:r>
      <w:r w:rsidR="005129DB" w:rsidRPr="006D1C74">
        <w:rPr>
          <w:rFonts w:asciiTheme="majorHAnsi" w:hAnsiTheme="majorHAnsi"/>
          <w:sz w:val="20"/>
          <w:szCs w:val="20"/>
          <w:lang w:val="pt-BR"/>
        </w:rPr>
        <w:t>rigo</w:t>
      </w:r>
      <w:r w:rsidR="00CF037E" w:rsidRPr="006D1C74">
        <w:rPr>
          <w:rFonts w:asciiTheme="majorHAnsi" w:hAnsiTheme="majorHAnsi"/>
          <w:sz w:val="20"/>
          <w:szCs w:val="20"/>
          <w:lang w:val="pt-BR"/>
        </w:rPr>
        <w:t xml:space="preserve"> e </w:t>
      </w:r>
      <w:r w:rsidRPr="006D1C74">
        <w:rPr>
          <w:rFonts w:asciiTheme="majorHAnsi" w:hAnsiTheme="majorHAnsi"/>
          <w:sz w:val="20"/>
          <w:szCs w:val="20"/>
          <w:lang w:val="pt-BR"/>
        </w:rPr>
        <w:t>opon</w:t>
      </w:r>
      <w:r w:rsidR="005129DB" w:rsidRPr="006D1C74">
        <w:rPr>
          <w:rFonts w:asciiTheme="majorHAnsi" w:hAnsiTheme="majorHAnsi"/>
          <w:sz w:val="20"/>
          <w:szCs w:val="20"/>
          <w:lang w:val="pt-BR"/>
        </w:rPr>
        <w:t>h</w:t>
      </w:r>
      <w:r w:rsidRPr="006D1C74">
        <w:rPr>
          <w:rFonts w:asciiTheme="majorHAnsi" w:hAnsiTheme="majorHAnsi"/>
          <w:sz w:val="20"/>
          <w:szCs w:val="20"/>
          <w:lang w:val="pt-BR"/>
        </w:rPr>
        <w:t xml:space="preserve">a </w:t>
      </w:r>
      <w:r w:rsidR="00254A36" w:rsidRPr="006D1C74">
        <w:rPr>
          <w:rFonts w:asciiTheme="majorHAnsi" w:hAnsiTheme="majorHAnsi"/>
          <w:sz w:val="20"/>
          <w:szCs w:val="20"/>
          <w:lang w:val="pt-BR"/>
        </w:rPr>
        <w:t>resistência</w:t>
      </w:r>
      <w:r w:rsidRPr="006D1C74">
        <w:rPr>
          <w:rFonts w:asciiTheme="majorHAnsi" w:hAnsiTheme="majorHAnsi"/>
          <w:sz w:val="20"/>
          <w:szCs w:val="20"/>
          <w:lang w:val="pt-BR"/>
        </w:rPr>
        <w:t xml:space="preserve"> </w:t>
      </w:r>
      <w:r w:rsidR="005129DB" w:rsidRPr="006D1C74">
        <w:rPr>
          <w:rFonts w:asciiTheme="majorHAnsi" w:hAnsiTheme="majorHAnsi"/>
          <w:sz w:val="20"/>
          <w:szCs w:val="20"/>
          <w:lang w:val="pt-BR"/>
        </w:rPr>
        <w:t>à</w:t>
      </w:r>
      <w:r w:rsidRPr="006D1C74">
        <w:rPr>
          <w:rFonts w:asciiTheme="majorHAnsi" w:hAnsiTheme="majorHAnsi"/>
          <w:sz w:val="20"/>
          <w:szCs w:val="20"/>
          <w:lang w:val="pt-BR"/>
        </w:rPr>
        <w:t xml:space="preserve"> su</w:t>
      </w:r>
      <w:r w:rsidR="005129DB" w:rsidRPr="006D1C74">
        <w:rPr>
          <w:rFonts w:asciiTheme="majorHAnsi" w:hAnsiTheme="majorHAnsi"/>
          <w:sz w:val="20"/>
          <w:szCs w:val="20"/>
          <w:lang w:val="pt-BR"/>
        </w:rPr>
        <w:t>a</w:t>
      </w:r>
      <w:r w:rsidRPr="006D1C74">
        <w:rPr>
          <w:rFonts w:asciiTheme="majorHAnsi" w:hAnsiTheme="majorHAnsi"/>
          <w:sz w:val="20"/>
          <w:szCs w:val="20"/>
          <w:lang w:val="pt-BR"/>
        </w:rPr>
        <w:t xml:space="preserve"> </w:t>
      </w:r>
      <w:r w:rsidR="00254A36" w:rsidRPr="006D1C74">
        <w:rPr>
          <w:rFonts w:asciiTheme="majorHAnsi" w:hAnsiTheme="majorHAnsi"/>
          <w:sz w:val="20"/>
          <w:szCs w:val="20"/>
          <w:lang w:val="pt-BR"/>
        </w:rPr>
        <w:t>autoridade</w:t>
      </w:r>
      <w:r w:rsidRPr="006D1C74">
        <w:rPr>
          <w:rFonts w:asciiTheme="majorHAnsi" w:hAnsiTheme="majorHAnsi"/>
          <w:sz w:val="20"/>
          <w:szCs w:val="20"/>
          <w:lang w:val="pt-BR"/>
        </w:rPr>
        <w:t>”</w:t>
      </w:r>
      <w:r w:rsidRPr="006D1C74">
        <w:rPr>
          <w:rFonts w:asciiTheme="majorHAnsi" w:hAnsiTheme="majorHAnsi"/>
          <w:sz w:val="20"/>
          <w:szCs w:val="20"/>
          <w:vertAlign w:val="superscript"/>
          <w:lang w:val="pt-BR"/>
        </w:rPr>
        <w:footnoteReference w:id="65"/>
      </w:r>
      <w:r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w:t>
      </w:r>
      <w:r w:rsidR="005129DB" w:rsidRPr="006D1C74">
        <w:rPr>
          <w:rFonts w:asciiTheme="majorHAnsi" w:hAnsiTheme="majorHAnsi"/>
          <w:sz w:val="20"/>
          <w:szCs w:val="20"/>
          <w:lang w:val="pt-BR"/>
        </w:rPr>
        <w:t>S</w:t>
      </w:r>
      <w:r w:rsidR="00700267" w:rsidRPr="006D1C74">
        <w:rPr>
          <w:rFonts w:asciiTheme="majorHAnsi" w:hAnsiTheme="majorHAnsi"/>
          <w:sz w:val="20"/>
          <w:szCs w:val="20"/>
          <w:lang w:val="pt-BR"/>
        </w:rPr>
        <w:t xml:space="preserve">em </w:t>
      </w:r>
      <w:r w:rsidRPr="006D1C74">
        <w:rPr>
          <w:rFonts w:asciiTheme="majorHAnsi" w:hAnsiTheme="majorHAnsi"/>
          <w:sz w:val="20"/>
          <w:szCs w:val="20"/>
          <w:lang w:val="pt-BR"/>
        </w:rPr>
        <w:t>p</w:t>
      </w:r>
      <w:r w:rsidR="005129DB" w:rsidRPr="006D1C74">
        <w:rPr>
          <w:rFonts w:asciiTheme="majorHAnsi" w:hAnsiTheme="majorHAnsi"/>
          <w:sz w:val="20"/>
          <w:szCs w:val="20"/>
          <w:lang w:val="pt-BR"/>
        </w:rPr>
        <w:t>rejuízo disso</w:t>
      </w:r>
      <w:r w:rsidRPr="006D1C74">
        <w:rPr>
          <w:rFonts w:asciiTheme="majorHAnsi" w:hAnsiTheme="majorHAnsi"/>
          <w:sz w:val="20"/>
          <w:szCs w:val="20"/>
          <w:lang w:val="pt-BR"/>
        </w:rPr>
        <w:t>, como parte</w:t>
      </w:r>
      <w:r w:rsidR="00700267" w:rsidRPr="006D1C74">
        <w:rPr>
          <w:rFonts w:asciiTheme="majorHAnsi" w:hAnsiTheme="majorHAnsi"/>
          <w:sz w:val="20"/>
          <w:szCs w:val="20"/>
          <w:lang w:val="pt-BR"/>
        </w:rPr>
        <w:t xml:space="preserve"> dos </w:t>
      </w:r>
      <w:r w:rsidRPr="006D1C74">
        <w:rPr>
          <w:rFonts w:asciiTheme="majorHAnsi" w:hAnsiTheme="majorHAnsi"/>
          <w:sz w:val="20"/>
          <w:szCs w:val="20"/>
          <w:lang w:val="pt-BR"/>
        </w:rPr>
        <w:t xml:space="preserve">requisitos para que se </w:t>
      </w:r>
      <w:r w:rsidR="00254A36" w:rsidRPr="006D1C74">
        <w:rPr>
          <w:rFonts w:asciiTheme="majorHAnsi" w:hAnsiTheme="majorHAnsi"/>
          <w:sz w:val="20"/>
          <w:szCs w:val="20"/>
          <w:lang w:val="pt-BR"/>
        </w:rPr>
        <w:t>autorize</w:t>
      </w:r>
      <w:r w:rsidR="00F673C7" w:rsidRPr="006D1C74">
        <w:rPr>
          <w:rFonts w:asciiTheme="majorHAnsi" w:hAnsiTheme="majorHAnsi"/>
          <w:sz w:val="20"/>
          <w:szCs w:val="20"/>
          <w:lang w:val="pt-BR"/>
        </w:rPr>
        <w:t xml:space="preserve"> </w:t>
      </w:r>
      <w:r w:rsidR="005129DB" w:rsidRPr="006D1C74">
        <w:rPr>
          <w:rFonts w:asciiTheme="majorHAnsi" w:hAnsiTheme="majorHAnsi"/>
          <w:sz w:val="20"/>
          <w:szCs w:val="20"/>
          <w:lang w:val="pt-BR"/>
        </w:rPr>
        <w:t>nessa</w:t>
      </w:r>
      <w:r w:rsidRPr="006D1C74">
        <w:rPr>
          <w:rFonts w:asciiTheme="majorHAnsi" w:hAnsiTheme="majorHAnsi"/>
          <w:sz w:val="20"/>
          <w:szCs w:val="20"/>
          <w:lang w:val="pt-BR"/>
        </w:rPr>
        <w:t xml:space="preserve"> hipótes</w:t>
      </w:r>
      <w:r w:rsidR="005129DB" w:rsidRPr="006D1C74">
        <w:rPr>
          <w:rFonts w:asciiTheme="majorHAnsi" w:hAnsiTheme="majorHAnsi"/>
          <w:sz w:val="20"/>
          <w:szCs w:val="20"/>
          <w:lang w:val="pt-BR"/>
        </w:rPr>
        <w:t>e</w:t>
      </w:r>
      <w:r w:rsidR="00700267" w:rsidRPr="006D1C74">
        <w:rPr>
          <w:rFonts w:asciiTheme="majorHAnsi" w:hAnsiTheme="majorHAnsi"/>
          <w:sz w:val="20"/>
          <w:szCs w:val="20"/>
          <w:lang w:val="pt-BR"/>
        </w:rPr>
        <w:t xml:space="preserve"> o </w:t>
      </w:r>
      <w:r w:rsidRPr="006D1C74">
        <w:rPr>
          <w:rFonts w:asciiTheme="majorHAnsi" w:hAnsiTheme="majorHAnsi"/>
          <w:sz w:val="20"/>
          <w:szCs w:val="20"/>
          <w:lang w:val="pt-BR"/>
        </w:rPr>
        <w:t>uso</w:t>
      </w:r>
      <w:r w:rsidR="00795010" w:rsidRPr="006D1C74">
        <w:rPr>
          <w:rFonts w:asciiTheme="majorHAnsi" w:hAnsiTheme="majorHAnsi"/>
          <w:sz w:val="20"/>
          <w:szCs w:val="20"/>
          <w:lang w:val="pt-BR"/>
        </w:rPr>
        <w:t xml:space="preserve"> da </w:t>
      </w:r>
      <w:r w:rsidR="00B146A8" w:rsidRPr="006D1C74">
        <w:rPr>
          <w:rFonts w:asciiTheme="majorHAnsi" w:hAnsiTheme="majorHAnsi"/>
          <w:sz w:val="20"/>
          <w:szCs w:val="20"/>
          <w:lang w:val="pt-BR"/>
        </w:rPr>
        <w:t>força</w:t>
      </w:r>
      <w:r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os </w:t>
      </w:r>
      <w:r w:rsidR="00254A36" w:rsidRPr="006D1C74">
        <w:rPr>
          <w:rFonts w:asciiTheme="majorHAnsi" w:hAnsiTheme="majorHAnsi"/>
          <w:sz w:val="20"/>
          <w:szCs w:val="20"/>
          <w:lang w:val="pt-BR"/>
        </w:rPr>
        <w:t>Princípios</w:t>
      </w:r>
      <w:r w:rsidRPr="006D1C74">
        <w:rPr>
          <w:rFonts w:asciiTheme="majorHAnsi" w:hAnsiTheme="majorHAnsi"/>
          <w:sz w:val="20"/>
          <w:szCs w:val="20"/>
          <w:lang w:val="pt-BR"/>
        </w:rPr>
        <w:t xml:space="preserve"> </w:t>
      </w:r>
      <w:r w:rsidR="005129DB" w:rsidRPr="006D1C74">
        <w:rPr>
          <w:rFonts w:asciiTheme="majorHAnsi" w:hAnsiTheme="majorHAnsi"/>
          <w:sz w:val="20"/>
          <w:szCs w:val="20"/>
          <w:lang w:val="pt-BR"/>
        </w:rPr>
        <w:t>assinalam</w:t>
      </w:r>
      <w:r w:rsidRPr="006D1C74">
        <w:rPr>
          <w:rFonts w:asciiTheme="majorHAnsi" w:hAnsiTheme="majorHAnsi"/>
          <w:sz w:val="20"/>
          <w:szCs w:val="20"/>
          <w:lang w:val="pt-BR"/>
        </w:rPr>
        <w:t>: i) so</w:t>
      </w:r>
      <w:r w:rsidR="005129DB" w:rsidRPr="006D1C74">
        <w:rPr>
          <w:rFonts w:asciiTheme="majorHAnsi" w:hAnsiTheme="majorHAnsi"/>
          <w:sz w:val="20"/>
          <w:szCs w:val="20"/>
          <w:lang w:val="pt-BR"/>
        </w:rPr>
        <w:t>mente</w:t>
      </w:r>
      <w:r w:rsidRPr="006D1C74">
        <w:rPr>
          <w:rFonts w:asciiTheme="majorHAnsi" w:hAnsiTheme="majorHAnsi"/>
          <w:sz w:val="20"/>
          <w:szCs w:val="20"/>
          <w:lang w:val="pt-BR"/>
        </w:rPr>
        <w:t xml:space="preserve"> pod</w:t>
      </w:r>
      <w:r w:rsidR="005129DB" w:rsidRPr="006D1C74">
        <w:rPr>
          <w:rFonts w:asciiTheme="majorHAnsi" w:hAnsiTheme="majorHAnsi"/>
          <w:sz w:val="20"/>
          <w:szCs w:val="20"/>
          <w:lang w:val="pt-BR"/>
        </w:rPr>
        <w:t xml:space="preserve">er ser usada </w:t>
      </w:r>
      <w:r w:rsidRPr="006D1C74">
        <w:rPr>
          <w:rFonts w:asciiTheme="majorHAnsi" w:hAnsiTheme="majorHAnsi"/>
          <w:sz w:val="20"/>
          <w:szCs w:val="20"/>
          <w:lang w:val="pt-BR"/>
        </w:rPr>
        <w:t xml:space="preserve">caso </w:t>
      </w:r>
      <w:r w:rsidR="0002682A">
        <w:rPr>
          <w:rFonts w:asciiTheme="majorHAnsi" w:hAnsiTheme="majorHAnsi"/>
          <w:sz w:val="20"/>
          <w:szCs w:val="20"/>
          <w:lang w:val="pt-BR"/>
        </w:rPr>
        <w:t>sejam</w:t>
      </w:r>
      <w:r w:rsidRPr="006D1C74">
        <w:rPr>
          <w:rFonts w:asciiTheme="majorHAnsi" w:hAnsiTheme="majorHAnsi"/>
          <w:sz w:val="20"/>
          <w:szCs w:val="20"/>
          <w:lang w:val="pt-BR"/>
        </w:rPr>
        <w:t xml:space="preserve"> insuficientes medidas menos extremas para </w:t>
      </w:r>
      <w:r w:rsidR="005129DB" w:rsidRPr="006D1C74">
        <w:rPr>
          <w:rFonts w:asciiTheme="majorHAnsi" w:hAnsiTheme="majorHAnsi"/>
          <w:sz w:val="20"/>
          <w:szCs w:val="20"/>
          <w:lang w:val="pt-BR"/>
        </w:rPr>
        <w:t>atingir</w:t>
      </w:r>
      <w:r w:rsidRPr="006D1C74">
        <w:rPr>
          <w:rFonts w:asciiTheme="majorHAnsi" w:hAnsiTheme="majorHAnsi"/>
          <w:sz w:val="20"/>
          <w:szCs w:val="20"/>
          <w:lang w:val="pt-BR"/>
        </w:rPr>
        <w:t xml:space="preserve"> </w:t>
      </w:r>
      <w:r w:rsidR="005129DB" w:rsidRPr="006D1C74">
        <w:rPr>
          <w:rFonts w:asciiTheme="majorHAnsi" w:hAnsiTheme="majorHAnsi"/>
          <w:sz w:val="20"/>
          <w:szCs w:val="20"/>
          <w:lang w:val="pt-BR"/>
        </w:rPr>
        <w:t>tais</w:t>
      </w:r>
      <w:r w:rsidRPr="006D1C74">
        <w:rPr>
          <w:rFonts w:asciiTheme="majorHAnsi" w:hAnsiTheme="majorHAnsi"/>
          <w:sz w:val="20"/>
          <w:szCs w:val="20"/>
          <w:lang w:val="pt-BR"/>
        </w:rPr>
        <w:t xml:space="preserve"> objetivos; ii) </w:t>
      </w:r>
      <w:r w:rsidR="00585D35" w:rsidRPr="006D1C74">
        <w:rPr>
          <w:rFonts w:asciiTheme="majorHAnsi" w:hAnsiTheme="majorHAnsi"/>
          <w:sz w:val="20"/>
          <w:szCs w:val="20"/>
          <w:lang w:val="pt-BR"/>
        </w:rPr>
        <w:t>dev</w:t>
      </w:r>
      <w:r w:rsidRPr="006D1C74">
        <w:rPr>
          <w:rFonts w:asciiTheme="majorHAnsi" w:hAnsiTheme="majorHAnsi"/>
          <w:sz w:val="20"/>
          <w:szCs w:val="20"/>
          <w:lang w:val="pt-BR"/>
        </w:rPr>
        <w:t xml:space="preserve">e </w:t>
      </w:r>
      <w:r w:rsidR="005129DB" w:rsidRPr="006D1C74">
        <w:rPr>
          <w:rFonts w:asciiTheme="majorHAnsi" w:hAnsiTheme="majorHAnsi"/>
          <w:sz w:val="20"/>
          <w:szCs w:val="20"/>
          <w:lang w:val="pt-BR"/>
        </w:rPr>
        <w:t xml:space="preserve">ser </w:t>
      </w:r>
      <w:r w:rsidRPr="006D1C74">
        <w:rPr>
          <w:rFonts w:asciiTheme="majorHAnsi" w:hAnsiTheme="majorHAnsi"/>
          <w:sz w:val="20"/>
          <w:szCs w:val="20"/>
          <w:lang w:val="pt-BR"/>
        </w:rPr>
        <w:t>utiliza</w:t>
      </w:r>
      <w:r w:rsidR="005129DB" w:rsidRPr="006D1C74">
        <w:rPr>
          <w:rFonts w:asciiTheme="majorHAnsi" w:hAnsiTheme="majorHAnsi"/>
          <w:sz w:val="20"/>
          <w:szCs w:val="20"/>
          <w:lang w:val="pt-BR"/>
        </w:rPr>
        <w:t>da</w:t>
      </w:r>
      <w:r w:rsidRPr="006D1C74">
        <w:rPr>
          <w:rFonts w:asciiTheme="majorHAnsi" w:hAnsiTheme="majorHAnsi"/>
          <w:sz w:val="20"/>
          <w:szCs w:val="20"/>
          <w:lang w:val="pt-BR"/>
        </w:rPr>
        <w:t xml:space="preserve"> “</w:t>
      </w:r>
      <w:r w:rsidR="005129DB" w:rsidRPr="006D1C74">
        <w:rPr>
          <w:rFonts w:asciiTheme="majorHAnsi" w:hAnsiTheme="majorHAnsi"/>
          <w:sz w:val="20"/>
          <w:szCs w:val="20"/>
          <w:lang w:val="pt-BR"/>
        </w:rPr>
        <w:t>q</w:t>
      </w:r>
      <w:r w:rsidRPr="006D1C74">
        <w:rPr>
          <w:rFonts w:asciiTheme="majorHAnsi" w:hAnsiTheme="majorHAnsi"/>
          <w:sz w:val="20"/>
          <w:szCs w:val="20"/>
          <w:lang w:val="pt-BR"/>
        </w:rPr>
        <w:t xml:space="preserve">uando </w:t>
      </w:r>
      <w:r w:rsidR="005129DB" w:rsidRPr="006D1C74">
        <w:rPr>
          <w:rFonts w:asciiTheme="majorHAnsi" w:hAnsiTheme="majorHAnsi"/>
          <w:sz w:val="20"/>
          <w:szCs w:val="20"/>
          <w:lang w:val="pt-BR"/>
        </w:rPr>
        <w:t>for</w:t>
      </w:r>
      <w:r w:rsidRPr="006D1C74">
        <w:rPr>
          <w:rFonts w:asciiTheme="majorHAnsi" w:hAnsiTheme="majorHAnsi"/>
          <w:sz w:val="20"/>
          <w:szCs w:val="20"/>
          <w:lang w:val="pt-BR"/>
        </w:rPr>
        <w:t xml:space="preserve"> </w:t>
      </w:r>
      <w:r w:rsidR="0002682A" w:rsidRPr="006D1C74">
        <w:rPr>
          <w:rFonts w:asciiTheme="majorHAnsi" w:hAnsiTheme="majorHAnsi"/>
          <w:sz w:val="20"/>
          <w:szCs w:val="20"/>
          <w:lang w:val="pt-BR"/>
        </w:rPr>
        <w:t>estritamente</w:t>
      </w:r>
      <w:r w:rsidRPr="006D1C74">
        <w:rPr>
          <w:rFonts w:asciiTheme="majorHAnsi" w:hAnsiTheme="majorHAnsi"/>
          <w:sz w:val="20"/>
          <w:szCs w:val="20"/>
          <w:lang w:val="pt-BR"/>
        </w:rPr>
        <w:t xml:space="preserve"> inevit</w:t>
      </w:r>
      <w:r w:rsidR="005129DB" w:rsidRPr="006D1C74">
        <w:rPr>
          <w:rFonts w:asciiTheme="majorHAnsi" w:hAnsiTheme="majorHAnsi"/>
          <w:sz w:val="20"/>
          <w:szCs w:val="20"/>
          <w:lang w:val="pt-BR"/>
        </w:rPr>
        <w:t>ável</w:t>
      </w:r>
      <w:r w:rsidRPr="006D1C74">
        <w:rPr>
          <w:rFonts w:asciiTheme="majorHAnsi" w:hAnsiTheme="majorHAnsi"/>
          <w:sz w:val="20"/>
          <w:szCs w:val="20"/>
          <w:lang w:val="pt-BR"/>
        </w:rPr>
        <w:t xml:space="preserve"> para proteger</w:t>
      </w:r>
      <w:r w:rsidR="00030019" w:rsidRPr="006D1C74">
        <w:rPr>
          <w:rFonts w:asciiTheme="majorHAnsi" w:hAnsiTheme="majorHAnsi"/>
          <w:sz w:val="20"/>
          <w:szCs w:val="20"/>
          <w:lang w:val="pt-BR"/>
        </w:rPr>
        <w:t xml:space="preserve"> uma </w:t>
      </w:r>
      <w:r w:rsidRPr="006D1C74">
        <w:rPr>
          <w:rFonts w:asciiTheme="majorHAnsi" w:hAnsiTheme="majorHAnsi"/>
          <w:sz w:val="20"/>
          <w:szCs w:val="20"/>
          <w:lang w:val="pt-BR"/>
        </w:rPr>
        <w:t>vida”; iii)</w:t>
      </w:r>
      <w:r w:rsidR="00700267" w:rsidRPr="006D1C74">
        <w:rPr>
          <w:rFonts w:asciiTheme="majorHAnsi" w:hAnsiTheme="majorHAnsi"/>
          <w:sz w:val="20"/>
          <w:szCs w:val="20"/>
          <w:lang w:val="pt-BR"/>
        </w:rPr>
        <w:t xml:space="preserve"> os </w:t>
      </w:r>
      <w:r w:rsidR="0002682A" w:rsidRPr="006D1C74">
        <w:rPr>
          <w:rFonts w:asciiTheme="majorHAnsi" w:hAnsiTheme="majorHAnsi"/>
          <w:sz w:val="20"/>
          <w:szCs w:val="20"/>
          <w:lang w:val="pt-BR"/>
        </w:rPr>
        <w:t>funcionários</w:t>
      </w:r>
      <w:r w:rsidRPr="006D1C74">
        <w:rPr>
          <w:rFonts w:asciiTheme="majorHAnsi" w:hAnsiTheme="majorHAnsi"/>
          <w:sz w:val="20"/>
          <w:szCs w:val="20"/>
          <w:lang w:val="pt-BR"/>
        </w:rPr>
        <w:t xml:space="preserve"> te</w:t>
      </w:r>
      <w:r w:rsidR="005129DB" w:rsidRPr="006D1C74">
        <w:rPr>
          <w:rFonts w:asciiTheme="majorHAnsi" w:hAnsiTheme="majorHAnsi"/>
          <w:sz w:val="20"/>
          <w:szCs w:val="20"/>
          <w:lang w:val="pt-BR"/>
        </w:rPr>
        <w:t>riam</w:t>
      </w:r>
      <w:r w:rsidRPr="006D1C74">
        <w:rPr>
          <w:rFonts w:asciiTheme="majorHAnsi" w:hAnsiTheme="majorHAnsi"/>
          <w:sz w:val="20"/>
          <w:szCs w:val="20"/>
          <w:lang w:val="pt-BR"/>
        </w:rPr>
        <w:t xml:space="preserve"> que dar</w:t>
      </w:r>
      <w:r w:rsidR="00030019" w:rsidRPr="006D1C74">
        <w:rPr>
          <w:rFonts w:asciiTheme="majorHAnsi" w:hAnsiTheme="majorHAnsi"/>
          <w:sz w:val="20"/>
          <w:szCs w:val="20"/>
          <w:lang w:val="pt-BR"/>
        </w:rPr>
        <w:t xml:space="preserve"> uma </w:t>
      </w:r>
      <w:r w:rsidRPr="006D1C74">
        <w:rPr>
          <w:rFonts w:asciiTheme="majorHAnsi" w:hAnsiTheme="majorHAnsi"/>
          <w:sz w:val="20"/>
          <w:szCs w:val="20"/>
          <w:lang w:val="pt-BR"/>
        </w:rPr>
        <w:t xml:space="preserve">“clara </w:t>
      </w:r>
      <w:r w:rsidR="0002682A" w:rsidRPr="006D1C74">
        <w:rPr>
          <w:rFonts w:asciiTheme="majorHAnsi" w:hAnsiTheme="majorHAnsi"/>
          <w:sz w:val="20"/>
          <w:szCs w:val="20"/>
          <w:lang w:val="pt-BR"/>
        </w:rPr>
        <w:t>advertência</w:t>
      </w:r>
      <w:r w:rsidRPr="006D1C74">
        <w:rPr>
          <w:rFonts w:asciiTheme="majorHAnsi" w:hAnsiTheme="majorHAnsi"/>
          <w:sz w:val="20"/>
          <w:szCs w:val="20"/>
          <w:lang w:val="pt-BR"/>
        </w:rPr>
        <w:t xml:space="preserve"> de </w:t>
      </w:r>
      <w:r w:rsidR="00517ACA" w:rsidRPr="006D1C74">
        <w:rPr>
          <w:rFonts w:asciiTheme="majorHAnsi" w:hAnsiTheme="majorHAnsi"/>
          <w:sz w:val="20"/>
          <w:szCs w:val="20"/>
          <w:lang w:val="pt-BR"/>
        </w:rPr>
        <w:t>sua</w:t>
      </w:r>
      <w:r w:rsidRPr="006D1C74">
        <w:rPr>
          <w:rFonts w:asciiTheme="majorHAnsi" w:hAnsiTheme="majorHAnsi"/>
          <w:sz w:val="20"/>
          <w:szCs w:val="20"/>
          <w:lang w:val="pt-BR"/>
        </w:rPr>
        <w:t xml:space="preserve"> inten</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de </w:t>
      </w:r>
      <w:r w:rsidR="0002682A" w:rsidRPr="006D1C74">
        <w:rPr>
          <w:rFonts w:asciiTheme="majorHAnsi" w:hAnsiTheme="majorHAnsi"/>
          <w:sz w:val="20"/>
          <w:szCs w:val="20"/>
          <w:lang w:val="pt-BR"/>
        </w:rPr>
        <w:t>empregar</w:t>
      </w:r>
      <w:r w:rsidRPr="006D1C74">
        <w:rPr>
          <w:rFonts w:asciiTheme="majorHAnsi" w:hAnsiTheme="majorHAnsi"/>
          <w:sz w:val="20"/>
          <w:szCs w:val="20"/>
          <w:lang w:val="pt-BR"/>
        </w:rPr>
        <w:t xml:space="preserve"> armas de </w:t>
      </w:r>
      <w:r w:rsidR="00135454" w:rsidRPr="006D1C74">
        <w:rPr>
          <w:rFonts w:asciiTheme="majorHAnsi" w:hAnsiTheme="majorHAnsi"/>
          <w:sz w:val="20"/>
          <w:szCs w:val="20"/>
          <w:lang w:val="pt-BR"/>
        </w:rPr>
        <w:t>fog</w:t>
      </w:r>
      <w:r w:rsidRPr="006D1C74">
        <w:rPr>
          <w:rFonts w:asciiTheme="majorHAnsi" w:hAnsiTheme="majorHAnsi"/>
          <w:sz w:val="20"/>
          <w:szCs w:val="20"/>
          <w:lang w:val="pt-BR"/>
        </w:rPr>
        <w:t>o”</w:t>
      </w:r>
      <w:r w:rsidR="00BE2E69">
        <w:rPr>
          <w:rFonts w:asciiTheme="majorHAnsi" w:hAnsiTheme="majorHAnsi"/>
          <w:sz w:val="20"/>
          <w:szCs w:val="20"/>
          <w:lang w:val="pt-BR"/>
        </w:rPr>
        <w:t>;</w:t>
      </w:r>
      <w:r w:rsidR="00CF037E" w:rsidRPr="006D1C74">
        <w:rPr>
          <w:rFonts w:asciiTheme="majorHAnsi" w:hAnsiTheme="majorHAnsi"/>
          <w:sz w:val="20"/>
          <w:szCs w:val="20"/>
          <w:lang w:val="pt-BR"/>
        </w:rPr>
        <w:t xml:space="preserve"> e </w:t>
      </w:r>
      <w:r w:rsidRPr="006D1C74">
        <w:rPr>
          <w:rFonts w:asciiTheme="majorHAnsi" w:hAnsiTheme="majorHAnsi"/>
          <w:sz w:val="20"/>
          <w:szCs w:val="20"/>
          <w:lang w:val="pt-BR"/>
        </w:rPr>
        <w:t xml:space="preserve">iv) </w:t>
      </w:r>
      <w:r w:rsidR="005129DB" w:rsidRPr="006D1C74">
        <w:rPr>
          <w:rFonts w:asciiTheme="majorHAnsi" w:hAnsiTheme="majorHAnsi"/>
          <w:sz w:val="20"/>
          <w:szCs w:val="20"/>
          <w:lang w:val="pt-BR"/>
        </w:rPr>
        <w:t>ess</w:t>
      </w:r>
      <w:r w:rsidRPr="006D1C74">
        <w:rPr>
          <w:rFonts w:asciiTheme="majorHAnsi" w:hAnsiTheme="majorHAnsi"/>
          <w:sz w:val="20"/>
          <w:szCs w:val="20"/>
          <w:lang w:val="pt-BR"/>
        </w:rPr>
        <w:t xml:space="preserve">a </w:t>
      </w:r>
      <w:r w:rsidR="0002682A" w:rsidRPr="006D1C74">
        <w:rPr>
          <w:rFonts w:asciiTheme="majorHAnsi" w:hAnsiTheme="majorHAnsi"/>
          <w:sz w:val="20"/>
          <w:szCs w:val="20"/>
          <w:lang w:val="pt-BR"/>
        </w:rPr>
        <w:t>advertência</w:t>
      </w:r>
      <w:r w:rsidRPr="006D1C74">
        <w:rPr>
          <w:rFonts w:asciiTheme="majorHAnsi" w:hAnsiTheme="majorHAnsi"/>
          <w:sz w:val="20"/>
          <w:szCs w:val="20"/>
          <w:lang w:val="pt-BR"/>
        </w:rPr>
        <w:t xml:space="preserve"> </w:t>
      </w:r>
      <w:r w:rsidR="00585D35" w:rsidRPr="006D1C74">
        <w:rPr>
          <w:rFonts w:asciiTheme="majorHAnsi" w:hAnsiTheme="majorHAnsi"/>
          <w:sz w:val="20"/>
          <w:szCs w:val="20"/>
          <w:lang w:val="pt-BR"/>
        </w:rPr>
        <w:t>dev</w:t>
      </w:r>
      <w:r w:rsidRPr="006D1C74">
        <w:rPr>
          <w:rFonts w:asciiTheme="majorHAnsi" w:hAnsiTheme="majorHAnsi"/>
          <w:sz w:val="20"/>
          <w:szCs w:val="20"/>
          <w:lang w:val="pt-BR"/>
        </w:rPr>
        <w:t>e</w:t>
      </w:r>
      <w:r w:rsidR="005129DB" w:rsidRPr="006D1C74">
        <w:rPr>
          <w:rFonts w:asciiTheme="majorHAnsi" w:hAnsiTheme="majorHAnsi"/>
          <w:sz w:val="20"/>
          <w:szCs w:val="20"/>
          <w:lang w:val="pt-BR"/>
        </w:rPr>
        <w:t xml:space="preserve"> ser dada </w:t>
      </w:r>
      <w:r w:rsidR="00F673C7" w:rsidRPr="006D1C74">
        <w:rPr>
          <w:rFonts w:asciiTheme="majorHAnsi" w:hAnsiTheme="majorHAnsi"/>
          <w:sz w:val="20"/>
          <w:szCs w:val="20"/>
          <w:lang w:val="pt-BR"/>
        </w:rPr>
        <w:t xml:space="preserve">com </w:t>
      </w:r>
      <w:r w:rsidR="0002682A" w:rsidRPr="006D1C74">
        <w:rPr>
          <w:rFonts w:asciiTheme="majorHAnsi" w:hAnsiTheme="majorHAnsi"/>
          <w:sz w:val="20"/>
          <w:szCs w:val="20"/>
          <w:lang w:val="pt-BR"/>
        </w:rPr>
        <w:t>tempo</w:t>
      </w:r>
      <w:r w:rsidRPr="006D1C74">
        <w:rPr>
          <w:rFonts w:asciiTheme="majorHAnsi" w:hAnsiTheme="majorHAnsi"/>
          <w:sz w:val="20"/>
          <w:szCs w:val="20"/>
          <w:lang w:val="pt-BR"/>
        </w:rPr>
        <w:t xml:space="preserve"> suficiente</w:t>
      </w:r>
      <w:r w:rsidR="005129DB" w:rsidRPr="006D1C74">
        <w:rPr>
          <w:rFonts w:asciiTheme="majorHAnsi" w:hAnsiTheme="majorHAnsi"/>
          <w:sz w:val="20"/>
          <w:szCs w:val="20"/>
          <w:lang w:val="pt-BR"/>
        </w:rPr>
        <w:t>,</w:t>
      </w:r>
      <w:r w:rsidRPr="006D1C74">
        <w:rPr>
          <w:rFonts w:asciiTheme="majorHAnsi" w:hAnsiTheme="majorHAnsi"/>
          <w:sz w:val="20"/>
          <w:szCs w:val="20"/>
          <w:lang w:val="pt-BR"/>
        </w:rPr>
        <w:t xml:space="preserve"> salvo </w:t>
      </w:r>
      <w:r w:rsidR="005129DB" w:rsidRPr="006D1C74">
        <w:rPr>
          <w:rFonts w:asciiTheme="majorHAnsi" w:hAnsiTheme="majorHAnsi"/>
          <w:sz w:val="20"/>
          <w:szCs w:val="20"/>
          <w:lang w:val="pt-BR"/>
        </w:rPr>
        <w:t>s</w:t>
      </w:r>
      <w:r w:rsidRPr="006D1C74">
        <w:rPr>
          <w:rFonts w:asciiTheme="majorHAnsi" w:hAnsiTheme="majorHAnsi"/>
          <w:sz w:val="20"/>
          <w:szCs w:val="20"/>
          <w:lang w:val="pt-BR"/>
        </w:rPr>
        <w:t>e</w:t>
      </w:r>
      <w:r w:rsidR="005129DB" w:rsidRPr="006D1C74">
        <w:rPr>
          <w:rFonts w:asciiTheme="majorHAnsi" w:hAnsiTheme="majorHAnsi"/>
          <w:sz w:val="20"/>
          <w:szCs w:val="20"/>
          <w:lang w:val="pt-BR"/>
        </w:rPr>
        <w:t>,</w:t>
      </w:r>
      <w:r w:rsidR="00217759" w:rsidRPr="006D1C74">
        <w:rPr>
          <w:rFonts w:asciiTheme="majorHAnsi" w:hAnsiTheme="majorHAnsi"/>
          <w:sz w:val="20"/>
          <w:szCs w:val="20"/>
          <w:lang w:val="pt-BR"/>
        </w:rPr>
        <w:t xml:space="preserve"> ao </w:t>
      </w:r>
      <w:r w:rsidRPr="006D1C74">
        <w:rPr>
          <w:rFonts w:asciiTheme="majorHAnsi" w:hAnsiTheme="majorHAnsi"/>
          <w:sz w:val="20"/>
          <w:szCs w:val="20"/>
          <w:lang w:val="pt-BR"/>
        </w:rPr>
        <w:t xml:space="preserve">dar </w:t>
      </w:r>
      <w:r w:rsidR="005129DB" w:rsidRPr="006D1C74">
        <w:rPr>
          <w:rFonts w:asciiTheme="majorHAnsi" w:hAnsiTheme="majorHAnsi"/>
          <w:sz w:val="20"/>
          <w:szCs w:val="20"/>
          <w:lang w:val="pt-BR"/>
        </w:rPr>
        <w:t>tal</w:t>
      </w:r>
      <w:r w:rsidRPr="006D1C74">
        <w:rPr>
          <w:rFonts w:asciiTheme="majorHAnsi" w:hAnsiTheme="majorHAnsi"/>
          <w:sz w:val="20"/>
          <w:szCs w:val="20"/>
          <w:lang w:val="pt-BR"/>
        </w:rPr>
        <w:t xml:space="preserve"> </w:t>
      </w:r>
      <w:r w:rsidR="0002682A" w:rsidRPr="006D1C74">
        <w:rPr>
          <w:rFonts w:asciiTheme="majorHAnsi" w:hAnsiTheme="majorHAnsi"/>
          <w:sz w:val="20"/>
          <w:szCs w:val="20"/>
          <w:lang w:val="pt-BR"/>
        </w:rPr>
        <w:t>advertência</w:t>
      </w:r>
      <w:r w:rsidR="005129DB" w:rsidRPr="006D1C74">
        <w:rPr>
          <w:rFonts w:asciiTheme="majorHAnsi" w:hAnsiTheme="majorHAnsi"/>
          <w:sz w:val="20"/>
          <w:szCs w:val="20"/>
          <w:lang w:val="pt-BR"/>
        </w:rPr>
        <w:t>,</w:t>
      </w:r>
      <w:r w:rsidRPr="006D1C74">
        <w:rPr>
          <w:rFonts w:asciiTheme="majorHAnsi" w:hAnsiTheme="majorHAnsi"/>
          <w:sz w:val="20"/>
          <w:szCs w:val="20"/>
          <w:lang w:val="pt-BR"/>
        </w:rPr>
        <w:t xml:space="preserve"> se </w:t>
      </w:r>
      <w:r w:rsidR="005129DB" w:rsidRPr="006D1C74">
        <w:rPr>
          <w:rFonts w:asciiTheme="majorHAnsi" w:hAnsiTheme="majorHAnsi"/>
          <w:sz w:val="20"/>
          <w:szCs w:val="20"/>
          <w:lang w:val="pt-BR"/>
        </w:rPr>
        <w:t xml:space="preserve">coloquem em risco </w:t>
      </w:r>
      <w:r w:rsidR="00135454" w:rsidRPr="006D1C74">
        <w:rPr>
          <w:rFonts w:asciiTheme="majorHAnsi" w:hAnsiTheme="majorHAnsi"/>
          <w:sz w:val="20"/>
          <w:szCs w:val="20"/>
          <w:lang w:val="pt-BR"/>
        </w:rPr>
        <w:t xml:space="preserve">os </w:t>
      </w:r>
      <w:r w:rsidR="0002682A" w:rsidRPr="006D1C74">
        <w:rPr>
          <w:rFonts w:asciiTheme="majorHAnsi" w:hAnsiTheme="majorHAnsi"/>
          <w:sz w:val="20"/>
          <w:szCs w:val="20"/>
          <w:lang w:val="pt-BR"/>
        </w:rPr>
        <w:t>próprios</w:t>
      </w:r>
      <w:r w:rsidRPr="006D1C74">
        <w:rPr>
          <w:rFonts w:asciiTheme="majorHAnsi" w:hAnsiTheme="majorHAnsi"/>
          <w:sz w:val="20"/>
          <w:szCs w:val="20"/>
          <w:lang w:val="pt-BR"/>
        </w:rPr>
        <w:t xml:space="preserve"> </w:t>
      </w:r>
      <w:r w:rsidR="00517ACA" w:rsidRPr="006D1C74">
        <w:rPr>
          <w:rFonts w:asciiTheme="majorHAnsi" w:hAnsiTheme="majorHAnsi"/>
          <w:sz w:val="20"/>
          <w:szCs w:val="20"/>
          <w:lang w:val="pt-BR"/>
        </w:rPr>
        <w:t>funcionários</w:t>
      </w:r>
      <w:r w:rsidRPr="006D1C74">
        <w:rPr>
          <w:rFonts w:asciiTheme="majorHAnsi" w:hAnsiTheme="majorHAnsi"/>
          <w:sz w:val="20"/>
          <w:szCs w:val="20"/>
          <w:lang w:val="pt-BR"/>
        </w:rPr>
        <w:t xml:space="preserve"> o</w:t>
      </w:r>
      <w:r w:rsidR="005129DB" w:rsidRPr="006D1C74">
        <w:rPr>
          <w:rFonts w:asciiTheme="majorHAnsi" w:hAnsiTheme="majorHAnsi"/>
          <w:sz w:val="20"/>
          <w:szCs w:val="20"/>
          <w:lang w:val="pt-BR"/>
        </w:rPr>
        <w:t>u</w:t>
      </w:r>
      <w:r w:rsidRPr="006D1C74">
        <w:rPr>
          <w:rFonts w:asciiTheme="majorHAnsi" w:hAnsiTheme="majorHAnsi"/>
          <w:sz w:val="20"/>
          <w:szCs w:val="20"/>
          <w:lang w:val="pt-BR"/>
        </w:rPr>
        <w:t xml:space="preserve"> </w:t>
      </w:r>
      <w:r w:rsidR="00CF037E" w:rsidRPr="006D1C74">
        <w:rPr>
          <w:rFonts w:asciiTheme="majorHAnsi" w:hAnsiTheme="majorHAnsi"/>
          <w:sz w:val="20"/>
          <w:szCs w:val="20"/>
          <w:lang w:val="pt-BR"/>
        </w:rPr>
        <w:t>outr</w:t>
      </w:r>
      <w:r w:rsidRPr="006D1C74">
        <w:rPr>
          <w:rFonts w:asciiTheme="majorHAnsi" w:hAnsiTheme="majorHAnsi"/>
          <w:sz w:val="20"/>
          <w:szCs w:val="20"/>
          <w:lang w:val="pt-BR"/>
        </w:rPr>
        <w:t xml:space="preserve">as </w:t>
      </w:r>
      <w:r w:rsidR="00CA7940" w:rsidRPr="006D1C74">
        <w:rPr>
          <w:rFonts w:asciiTheme="majorHAnsi" w:hAnsiTheme="majorHAnsi"/>
          <w:sz w:val="20"/>
          <w:szCs w:val="20"/>
          <w:lang w:val="pt-BR"/>
        </w:rPr>
        <w:t>pessoa</w:t>
      </w:r>
      <w:r w:rsidRPr="006D1C74">
        <w:rPr>
          <w:rFonts w:asciiTheme="majorHAnsi" w:hAnsiTheme="majorHAnsi"/>
          <w:sz w:val="20"/>
          <w:szCs w:val="20"/>
          <w:lang w:val="pt-BR"/>
        </w:rPr>
        <w:t>s.</w:t>
      </w:r>
    </w:p>
    <w:p w14:paraId="76009177"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jc w:val="both"/>
        <w:rPr>
          <w:rFonts w:asciiTheme="majorHAnsi" w:eastAsia="Batang" w:hAnsiTheme="majorHAnsi" w:cs="Arial"/>
          <w:sz w:val="20"/>
          <w:szCs w:val="20"/>
          <w:bdr w:val="none" w:sz="0" w:space="0" w:color="auto"/>
          <w:lang w:val="pt-BR"/>
        </w:rPr>
      </w:pPr>
    </w:p>
    <w:p w14:paraId="0ED97E04" w14:textId="77777777" w:rsidR="002649F0" w:rsidRPr="006D1C74" w:rsidRDefault="005129DB"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pt-BR"/>
        </w:rPr>
      </w:pPr>
      <w:r w:rsidRPr="006D1C74">
        <w:rPr>
          <w:rFonts w:asciiTheme="majorHAnsi" w:hAnsiTheme="majorHAnsi"/>
          <w:sz w:val="20"/>
          <w:szCs w:val="20"/>
          <w:lang w:val="pt-BR"/>
        </w:rPr>
        <w:t>N</w:t>
      </w:r>
      <w:r w:rsidR="00700267" w:rsidRPr="006D1C74">
        <w:rPr>
          <w:rFonts w:asciiTheme="majorHAnsi" w:hAnsiTheme="majorHAnsi"/>
          <w:sz w:val="20"/>
          <w:szCs w:val="20"/>
          <w:lang w:val="pt-BR"/>
        </w:rPr>
        <w:t xml:space="preserve">o </w:t>
      </w:r>
      <w:r w:rsidR="00550CE8" w:rsidRPr="006D1C74">
        <w:rPr>
          <w:rFonts w:asciiTheme="majorHAnsi" w:hAnsiTheme="majorHAnsi"/>
          <w:sz w:val="20"/>
          <w:szCs w:val="20"/>
          <w:lang w:val="pt-BR"/>
        </w:rPr>
        <w:t xml:space="preserve">presente </w:t>
      </w:r>
      <w:r w:rsidR="002649F0" w:rsidRPr="006D1C74">
        <w:rPr>
          <w:rFonts w:asciiTheme="majorHAnsi" w:hAnsiTheme="majorHAnsi"/>
          <w:sz w:val="20"/>
          <w:szCs w:val="20"/>
          <w:lang w:val="pt-BR"/>
        </w:rPr>
        <w:t>caso</w:t>
      </w:r>
      <w:r w:rsidR="00F673C7" w:rsidRPr="006D1C74">
        <w:rPr>
          <w:rFonts w:asciiTheme="majorHAnsi" w:hAnsiTheme="majorHAnsi"/>
          <w:sz w:val="20"/>
          <w:szCs w:val="20"/>
          <w:lang w:val="pt-BR"/>
        </w:rPr>
        <w:t xml:space="preserve"> não </w:t>
      </w:r>
      <w:r w:rsidR="002649F0" w:rsidRPr="006D1C74">
        <w:rPr>
          <w:rFonts w:ascii="Cambria" w:hAnsi="Cambria"/>
          <w:sz w:val="20"/>
          <w:szCs w:val="20"/>
          <w:lang w:val="pt-BR"/>
        </w:rPr>
        <w:t>h</w:t>
      </w:r>
      <w:r w:rsidRPr="006D1C74">
        <w:rPr>
          <w:rFonts w:ascii="Cambria" w:hAnsi="Cambria"/>
          <w:sz w:val="20"/>
          <w:szCs w:val="20"/>
          <w:lang w:val="pt-BR"/>
        </w:rPr>
        <w:t>á</w:t>
      </w:r>
      <w:r w:rsidR="002649F0" w:rsidRPr="006D1C74">
        <w:rPr>
          <w:rFonts w:ascii="Cambria" w:hAnsi="Cambria"/>
          <w:sz w:val="20"/>
          <w:szCs w:val="20"/>
          <w:lang w:val="pt-BR"/>
        </w:rPr>
        <w:t xml:space="preserve"> </w:t>
      </w:r>
      <w:r w:rsidR="0002682A" w:rsidRPr="006D1C74">
        <w:rPr>
          <w:rFonts w:ascii="Cambria" w:hAnsi="Cambria"/>
          <w:sz w:val="20"/>
          <w:szCs w:val="20"/>
          <w:lang w:val="pt-BR"/>
        </w:rPr>
        <w:t>controvérsia</w:t>
      </w:r>
      <w:r w:rsidR="00F673C7" w:rsidRPr="006D1C74">
        <w:rPr>
          <w:rFonts w:ascii="Cambria" w:hAnsi="Cambria"/>
          <w:sz w:val="20"/>
          <w:szCs w:val="20"/>
          <w:lang w:val="pt-BR"/>
        </w:rPr>
        <w:t xml:space="preserve"> com </w:t>
      </w:r>
      <w:r w:rsidR="00156036" w:rsidRPr="006D1C74">
        <w:rPr>
          <w:rFonts w:ascii="Cambria" w:hAnsi="Cambria"/>
          <w:sz w:val="20"/>
          <w:szCs w:val="20"/>
          <w:lang w:val="pt-BR"/>
        </w:rPr>
        <w:t>respeito</w:t>
      </w:r>
      <w:r w:rsidR="00217759" w:rsidRPr="006D1C74">
        <w:rPr>
          <w:rFonts w:ascii="Cambria" w:hAnsi="Cambria"/>
          <w:sz w:val="20"/>
          <w:szCs w:val="20"/>
          <w:lang w:val="pt-BR"/>
        </w:rPr>
        <w:t xml:space="preserve"> ao </w:t>
      </w:r>
      <w:r w:rsidR="00F37852" w:rsidRPr="006D1C74">
        <w:rPr>
          <w:rFonts w:ascii="Cambria" w:hAnsi="Cambria"/>
          <w:sz w:val="20"/>
          <w:szCs w:val="20"/>
          <w:lang w:val="pt-BR"/>
        </w:rPr>
        <w:t>fato</w:t>
      </w:r>
      <w:r w:rsidR="002649F0" w:rsidRPr="006D1C74">
        <w:rPr>
          <w:rFonts w:ascii="Cambria" w:hAnsi="Cambria"/>
          <w:sz w:val="20"/>
          <w:szCs w:val="20"/>
          <w:lang w:val="pt-BR"/>
        </w:rPr>
        <w:t xml:space="preserve"> de que</w:t>
      </w:r>
      <w:r w:rsidR="00700267" w:rsidRPr="006D1C74">
        <w:rPr>
          <w:rFonts w:ascii="Cambria" w:hAnsi="Cambria"/>
          <w:sz w:val="20"/>
          <w:szCs w:val="20"/>
          <w:lang w:val="pt-BR"/>
        </w:rPr>
        <w:t xml:space="preserve"> a </w:t>
      </w:r>
      <w:r w:rsidR="00FC2F62" w:rsidRPr="006D1C74">
        <w:rPr>
          <w:rFonts w:ascii="Cambria" w:hAnsi="Cambria"/>
          <w:sz w:val="20"/>
          <w:szCs w:val="20"/>
          <w:lang w:val="pt-BR"/>
        </w:rPr>
        <w:t>morte</w:t>
      </w:r>
      <w:r w:rsidR="002649F0" w:rsidRPr="006D1C74">
        <w:rPr>
          <w:rFonts w:ascii="Cambria" w:hAnsi="Cambria"/>
          <w:sz w:val="20"/>
          <w:szCs w:val="20"/>
          <w:lang w:val="pt-BR"/>
        </w:rPr>
        <w:t xml:space="preserve"> de </w:t>
      </w:r>
      <w:r w:rsidR="002649F0" w:rsidRPr="006D1C74">
        <w:rPr>
          <w:rFonts w:ascii="Cambria" w:hAnsi="Cambria"/>
          <w:color w:val="000000"/>
          <w:sz w:val="20"/>
          <w:szCs w:val="20"/>
          <w:lang w:val="pt-BR"/>
        </w:rPr>
        <w:t>Antonio Tavares Pereira</w:t>
      </w:r>
      <w:r w:rsidR="00CA7940" w:rsidRPr="006D1C74">
        <w:rPr>
          <w:rFonts w:ascii="Cambria" w:hAnsi="Cambria"/>
          <w:sz w:val="20"/>
          <w:szCs w:val="20"/>
          <w:lang w:val="pt-BR"/>
        </w:rPr>
        <w:t xml:space="preserve"> foi </w:t>
      </w:r>
      <w:r w:rsidRPr="006D1C74">
        <w:rPr>
          <w:rFonts w:ascii="Cambria" w:hAnsi="Cambria"/>
          <w:sz w:val="20"/>
          <w:szCs w:val="20"/>
          <w:lang w:val="pt-BR"/>
        </w:rPr>
        <w:t>provoc</w:t>
      </w:r>
      <w:r w:rsidR="002649F0" w:rsidRPr="006D1C74">
        <w:rPr>
          <w:rFonts w:ascii="Cambria" w:hAnsi="Cambria"/>
          <w:sz w:val="20"/>
          <w:szCs w:val="20"/>
          <w:lang w:val="pt-BR"/>
        </w:rPr>
        <w:t>ada por agentes estat</w:t>
      </w:r>
      <w:r w:rsidR="00700267" w:rsidRPr="006D1C74">
        <w:rPr>
          <w:rFonts w:ascii="Cambria" w:hAnsi="Cambria"/>
          <w:sz w:val="20"/>
          <w:szCs w:val="20"/>
          <w:lang w:val="pt-BR"/>
        </w:rPr>
        <w:t>ais</w:t>
      </w:r>
      <w:r w:rsidR="002649F0" w:rsidRPr="006D1C74">
        <w:rPr>
          <w:rFonts w:ascii="Cambria" w:hAnsi="Cambria"/>
          <w:sz w:val="20"/>
          <w:szCs w:val="20"/>
          <w:lang w:val="pt-BR"/>
        </w:rPr>
        <w:t xml:space="preserve">. </w:t>
      </w:r>
      <w:r w:rsidRPr="006D1C74">
        <w:rPr>
          <w:rFonts w:ascii="Cambria" w:hAnsi="Cambria"/>
          <w:sz w:val="20"/>
          <w:szCs w:val="20"/>
          <w:lang w:val="pt-BR"/>
        </w:rPr>
        <w:t>Ficou</w:t>
      </w:r>
      <w:r w:rsidR="002649F0" w:rsidRPr="006D1C74">
        <w:rPr>
          <w:rFonts w:asciiTheme="majorHAnsi" w:hAnsiTheme="majorHAnsi"/>
          <w:sz w:val="20"/>
          <w:szCs w:val="20"/>
          <w:lang w:val="pt-BR"/>
        </w:rPr>
        <w:t xml:space="preserve"> demo</w:t>
      </w:r>
      <w:r w:rsidR="00BE2E69">
        <w:rPr>
          <w:rFonts w:asciiTheme="majorHAnsi" w:hAnsiTheme="majorHAnsi"/>
          <w:sz w:val="20"/>
          <w:szCs w:val="20"/>
          <w:lang w:val="pt-BR"/>
        </w:rPr>
        <w:t>n</w:t>
      </w:r>
      <w:r w:rsidR="002649F0" w:rsidRPr="006D1C74">
        <w:rPr>
          <w:rFonts w:asciiTheme="majorHAnsi" w:hAnsiTheme="majorHAnsi"/>
          <w:sz w:val="20"/>
          <w:szCs w:val="20"/>
          <w:lang w:val="pt-BR"/>
        </w:rPr>
        <w:t>strado que</w:t>
      </w:r>
      <w:r w:rsidR="00700267" w:rsidRPr="006D1C74">
        <w:rPr>
          <w:rFonts w:asciiTheme="majorHAnsi" w:hAnsiTheme="majorHAnsi"/>
          <w:sz w:val="20"/>
          <w:szCs w:val="20"/>
          <w:lang w:val="pt-BR"/>
        </w:rPr>
        <w:t xml:space="preserve"> os </w:t>
      </w:r>
      <w:r w:rsidR="002649F0" w:rsidRPr="006D1C74">
        <w:rPr>
          <w:rFonts w:asciiTheme="majorHAnsi" w:hAnsiTheme="majorHAnsi"/>
          <w:sz w:val="20"/>
          <w:szCs w:val="20"/>
          <w:lang w:val="pt-BR"/>
        </w:rPr>
        <w:t>agentes</w:t>
      </w:r>
      <w:r w:rsidR="00795010" w:rsidRPr="006D1C74">
        <w:rPr>
          <w:rFonts w:asciiTheme="majorHAnsi" w:hAnsiTheme="majorHAnsi"/>
          <w:sz w:val="20"/>
          <w:szCs w:val="20"/>
          <w:lang w:val="pt-BR"/>
        </w:rPr>
        <w:t xml:space="preserve"> da </w:t>
      </w:r>
      <w:r w:rsidR="00F37852" w:rsidRPr="006D1C74">
        <w:rPr>
          <w:rFonts w:asciiTheme="majorHAnsi" w:hAnsiTheme="majorHAnsi"/>
          <w:sz w:val="20"/>
          <w:szCs w:val="20"/>
          <w:lang w:val="pt-BR"/>
        </w:rPr>
        <w:t>polícia</w:t>
      </w:r>
      <w:r w:rsidR="002649F0" w:rsidRPr="006D1C74">
        <w:rPr>
          <w:rFonts w:asciiTheme="majorHAnsi" w:hAnsiTheme="majorHAnsi"/>
          <w:sz w:val="20"/>
          <w:szCs w:val="20"/>
          <w:lang w:val="pt-BR"/>
        </w:rPr>
        <w:t xml:space="preserve"> militar se </w:t>
      </w:r>
      <w:r w:rsidR="0002682A" w:rsidRPr="006D1C74">
        <w:rPr>
          <w:rFonts w:asciiTheme="majorHAnsi" w:hAnsiTheme="majorHAnsi"/>
          <w:sz w:val="20"/>
          <w:szCs w:val="20"/>
          <w:lang w:val="pt-BR"/>
        </w:rPr>
        <w:t>encontravam</w:t>
      </w:r>
      <w:r w:rsidR="00F673C7" w:rsidRPr="006D1C74">
        <w:rPr>
          <w:rFonts w:asciiTheme="majorHAnsi" w:hAnsiTheme="majorHAnsi"/>
          <w:sz w:val="20"/>
          <w:szCs w:val="20"/>
          <w:lang w:val="pt-BR"/>
        </w:rPr>
        <w:t xml:space="preserve"> em </w:t>
      </w:r>
      <w:r w:rsidRPr="006D1C74">
        <w:rPr>
          <w:rFonts w:asciiTheme="majorHAnsi" w:hAnsiTheme="majorHAnsi"/>
          <w:sz w:val="20"/>
          <w:szCs w:val="20"/>
          <w:lang w:val="pt-BR"/>
        </w:rPr>
        <w:t xml:space="preserve">suas </w:t>
      </w:r>
      <w:r w:rsidR="002649F0" w:rsidRPr="006D1C74">
        <w:rPr>
          <w:rFonts w:asciiTheme="majorHAnsi" w:hAnsiTheme="majorHAnsi"/>
          <w:sz w:val="20"/>
          <w:szCs w:val="20"/>
          <w:lang w:val="pt-BR"/>
        </w:rPr>
        <w:t>fun</w:t>
      </w:r>
      <w:r w:rsidR="00CF037E" w:rsidRPr="006D1C74">
        <w:rPr>
          <w:rFonts w:asciiTheme="majorHAnsi" w:hAnsiTheme="majorHAnsi"/>
          <w:sz w:val="20"/>
          <w:szCs w:val="20"/>
          <w:lang w:val="pt-BR"/>
        </w:rPr>
        <w:t>ções</w:t>
      </w:r>
      <w:r w:rsidR="002649F0" w:rsidRPr="006D1C74">
        <w:rPr>
          <w:rFonts w:asciiTheme="majorHAnsi" w:hAnsiTheme="majorHAnsi"/>
          <w:sz w:val="20"/>
          <w:szCs w:val="20"/>
          <w:lang w:val="pt-BR"/>
        </w:rPr>
        <w:t>; por con</w:t>
      </w:r>
      <w:r w:rsidR="00154D0D" w:rsidRPr="006D1C74">
        <w:rPr>
          <w:rFonts w:asciiTheme="majorHAnsi" w:hAnsiTheme="majorHAnsi"/>
          <w:sz w:val="20"/>
          <w:szCs w:val="20"/>
          <w:lang w:val="pt-BR"/>
        </w:rPr>
        <w:t>seguinte</w:t>
      </w:r>
      <w:r w:rsidR="002649F0" w:rsidRPr="006D1C74">
        <w:rPr>
          <w:rFonts w:asciiTheme="majorHAnsi" w:hAnsiTheme="majorHAnsi"/>
          <w:sz w:val="20"/>
          <w:szCs w:val="20"/>
          <w:lang w:val="pt-BR"/>
        </w:rPr>
        <w:t>, c</w:t>
      </w:r>
      <w:r w:rsidR="00BE2E69">
        <w:rPr>
          <w:rFonts w:asciiTheme="majorHAnsi" w:hAnsiTheme="majorHAnsi"/>
          <w:sz w:val="20"/>
          <w:szCs w:val="20"/>
          <w:lang w:val="pt-BR"/>
        </w:rPr>
        <w:t>abe</w:t>
      </w:r>
      <w:r w:rsidR="00217759" w:rsidRPr="006D1C74">
        <w:rPr>
          <w:rFonts w:asciiTheme="majorHAnsi" w:hAnsiTheme="majorHAnsi"/>
          <w:sz w:val="20"/>
          <w:szCs w:val="20"/>
          <w:lang w:val="pt-BR"/>
        </w:rPr>
        <w:t xml:space="preserve"> ao </w:t>
      </w:r>
      <w:r w:rsidR="002649F0" w:rsidRPr="006D1C74">
        <w:rPr>
          <w:rFonts w:asciiTheme="majorHAnsi" w:hAnsiTheme="majorHAnsi"/>
          <w:sz w:val="20"/>
          <w:szCs w:val="20"/>
          <w:lang w:val="pt-BR"/>
        </w:rPr>
        <w:t xml:space="preserve">Estado </w:t>
      </w:r>
      <w:r w:rsidRPr="006D1C74">
        <w:rPr>
          <w:rFonts w:asciiTheme="majorHAnsi" w:hAnsiTheme="majorHAnsi"/>
          <w:sz w:val="20"/>
          <w:szCs w:val="20"/>
          <w:lang w:val="pt-BR"/>
        </w:rPr>
        <w:t>d</w:t>
      </w:r>
      <w:r w:rsidR="002649F0" w:rsidRPr="006D1C74">
        <w:rPr>
          <w:rFonts w:asciiTheme="majorHAnsi" w:hAnsiTheme="majorHAnsi"/>
          <w:sz w:val="20"/>
          <w:szCs w:val="20"/>
          <w:lang w:val="pt-BR"/>
        </w:rPr>
        <w:t>ar</w:t>
      </w:r>
      <w:r w:rsidR="00030019" w:rsidRPr="006D1C74">
        <w:rPr>
          <w:rFonts w:asciiTheme="majorHAnsi" w:hAnsiTheme="majorHAnsi"/>
          <w:sz w:val="20"/>
          <w:szCs w:val="20"/>
          <w:lang w:val="pt-BR"/>
        </w:rPr>
        <w:t xml:space="preserve"> uma </w:t>
      </w:r>
      <w:r w:rsidR="002649F0" w:rsidRPr="006D1C74">
        <w:rPr>
          <w:rFonts w:asciiTheme="majorHAnsi" w:hAnsiTheme="majorHAnsi"/>
          <w:sz w:val="20"/>
          <w:szCs w:val="20"/>
          <w:lang w:val="pt-BR"/>
        </w:rPr>
        <w:t>explica</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w:t>
      </w:r>
      <w:r w:rsidR="0002682A" w:rsidRPr="006D1C74">
        <w:rPr>
          <w:rFonts w:asciiTheme="majorHAnsi" w:hAnsiTheme="majorHAnsi"/>
          <w:sz w:val="20"/>
          <w:szCs w:val="20"/>
          <w:lang w:val="pt-BR"/>
        </w:rPr>
        <w:t>satisfatória</w:t>
      </w:r>
      <w:r w:rsidR="00CA6F81" w:rsidRPr="006D1C74">
        <w:rPr>
          <w:rFonts w:asciiTheme="majorHAnsi" w:hAnsiTheme="majorHAnsi"/>
          <w:sz w:val="20"/>
          <w:szCs w:val="20"/>
          <w:lang w:val="pt-BR"/>
        </w:rPr>
        <w:t xml:space="preserve"> do </w:t>
      </w:r>
      <w:r w:rsidRPr="006D1C74">
        <w:rPr>
          <w:rFonts w:asciiTheme="majorHAnsi" w:hAnsiTheme="majorHAnsi"/>
          <w:sz w:val="20"/>
          <w:szCs w:val="20"/>
          <w:lang w:val="pt-BR"/>
        </w:rPr>
        <w:t>que ocorreu</w:t>
      </w:r>
      <w:r w:rsidR="00CF037E" w:rsidRPr="006D1C74">
        <w:rPr>
          <w:rFonts w:asciiTheme="majorHAnsi" w:hAnsiTheme="majorHAnsi"/>
          <w:sz w:val="20"/>
          <w:szCs w:val="20"/>
          <w:lang w:val="pt-BR"/>
        </w:rPr>
        <w:t xml:space="preserve"> e</w:t>
      </w:r>
      <w:r w:rsidR="00030019" w:rsidRPr="006D1C74">
        <w:rPr>
          <w:rFonts w:asciiTheme="majorHAnsi" w:hAnsiTheme="majorHAnsi"/>
          <w:sz w:val="20"/>
          <w:szCs w:val="20"/>
          <w:lang w:val="pt-BR"/>
        </w:rPr>
        <w:t xml:space="preserve"> do </w:t>
      </w:r>
      <w:r w:rsidR="0002682A" w:rsidRPr="006D1C74">
        <w:rPr>
          <w:rFonts w:asciiTheme="majorHAnsi" w:hAnsiTheme="majorHAnsi"/>
          <w:sz w:val="20"/>
          <w:szCs w:val="20"/>
          <w:lang w:val="pt-BR"/>
        </w:rPr>
        <w:t>estrito</w:t>
      </w:r>
      <w:r w:rsidR="002649F0" w:rsidRPr="006D1C74">
        <w:rPr>
          <w:rFonts w:asciiTheme="majorHAnsi" w:hAnsiTheme="majorHAnsi"/>
          <w:sz w:val="20"/>
          <w:szCs w:val="20"/>
          <w:lang w:val="pt-BR"/>
        </w:rPr>
        <w:t xml:space="preserve"> </w:t>
      </w:r>
      <w:r w:rsidR="00517ACA" w:rsidRPr="006D1C74">
        <w:rPr>
          <w:rFonts w:asciiTheme="majorHAnsi" w:hAnsiTheme="majorHAnsi"/>
          <w:sz w:val="20"/>
          <w:szCs w:val="20"/>
          <w:lang w:val="pt-BR"/>
        </w:rPr>
        <w:t>cumprimento</w:t>
      </w:r>
      <w:r w:rsidR="00700267" w:rsidRPr="006D1C74">
        <w:rPr>
          <w:rFonts w:asciiTheme="majorHAnsi" w:hAnsiTheme="majorHAnsi"/>
          <w:sz w:val="20"/>
          <w:szCs w:val="20"/>
          <w:lang w:val="pt-BR"/>
        </w:rPr>
        <w:t xml:space="preserve"> dos </w:t>
      </w:r>
      <w:r w:rsidR="002649F0" w:rsidRPr="006D1C74">
        <w:rPr>
          <w:rFonts w:asciiTheme="majorHAnsi" w:hAnsiTheme="majorHAnsi"/>
          <w:sz w:val="20"/>
          <w:szCs w:val="20"/>
          <w:lang w:val="pt-BR"/>
        </w:rPr>
        <w:t>requisitos</w:t>
      </w:r>
      <w:r w:rsidR="00FC2F62" w:rsidRPr="006D1C74">
        <w:rPr>
          <w:rFonts w:asciiTheme="majorHAnsi" w:hAnsiTheme="majorHAnsi"/>
          <w:sz w:val="20"/>
          <w:szCs w:val="20"/>
          <w:lang w:val="pt-BR"/>
        </w:rPr>
        <w:t xml:space="preserve"> no </w:t>
      </w:r>
      <w:r w:rsidR="002649F0" w:rsidRPr="006D1C74">
        <w:rPr>
          <w:rFonts w:asciiTheme="majorHAnsi" w:hAnsiTheme="majorHAnsi"/>
          <w:sz w:val="20"/>
          <w:szCs w:val="20"/>
          <w:lang w:val="pt-BR"/>
        </w:rPr>
        <w:t xml:space="preserve">caso concreto. </w:t>
      </w:r>
    </w:p>
    <w:p w14:paraId="48C415A0"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jc w:val="both"/>
        <w:rPr>
          <w:rFonts w:asciiTheme="majorHAnsi" w:eastAsia="Batang" w:hAnsiTheme="majorHAnsi" w:cs="Arial"/>
          <w:sz w:val="20"/>
          <w:szCs w:val="20"/>
          <w:bdr w:val="none" w:sz="0" w:space="0" w:color="auto"/>
          <w:lang w:val="pt-BR"/>
        </w:rPr>
      </w:pPr>
    </w:p>
    <w:p w14:paraId="257E817B" w14:textId="77777777" w:rsidR="002649F0" w:rsidRPr="006D1C74" w:rsidRDefault="00B4216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pt-BR"/>
        </w:rPr>
      </w:pPr>
      <w:r w:rsidRPr="006D1C74">
        <w:rPr>
          <w:rFonts w:asciiTheme="majorHAnsi" w:hAnsiTheme="majorHAnsi"/>
          <w:sz w:val="20"/>
          <w:szCs w:val="20"/>
          <w:lang w:val="pt-BR"/>
        </w:rPr>
        <w:t>A</w:t>
      </w:r>
      <w:r w:rsidR="002649F0" w:rsidRPr="006D1C74">
        <w:rPr>
          <w:rFonts w:asciiTheme="majorHAnsi" w:hAnsiTheme="majorHAnsi"/>
          <w:sz w:val="20"/>
          <w:szCs w:val="20"/>
          <w:lang w:val="pt-BR"/>
        </w:rPr>
        <w:t xml:space="preserve"> </w:t>
      </w:r>
      <w:r w:rsidR="00417BE8" w:rsidRPr="006D1C74">
        <w:rPr>
          <w:rFonts w:asciiTheme="majorHAnsi" w:hAnsiTheme="majorHAnsi"/>
          <w:sz w:val="20"/>
          <w:szCs w:val="20"/>
          <w:lang w:val="pt-BR"/>
        </w:rPr>
        <w:t>Comissão</w:t>
      </w:r>
      <w:r w:rsidR="002649F0" w:rsidRPr="006D1C74">
        <w:rPr>
          <w:rFonts w:asciiTheme="majorHAnsi" w:hAnsiTheme="majorHAnsi"/>
          <w:sz w:val="20"/>
          <w:szCs w:val="20"/>
          <w:lang w:val="pt-BR"/>
        </w:rPr>
        <w:t xml:space="preserve"> sub</w:t>
      </w:r>
      <w:r w:rsidR="005129DB" w:rsidRPr="006D1C74">
        <w:rPr>
          <w:rFonts w:asciiTheme="majorHAnsi" w:hAnsiTheme="majorHAnsi"/>
          <w:sz w:val="20"/>
          <w:szCs w:val="20"/>
          <w:lang w:val="pt-BR"/>
        </w:rPr>
        <w:t>linh</w:t>
      </w:r>
      <w:r w:rsidR="002649F0" w:rsidRPr="006D1C74">
        <w:rPr>
          <w:rFonts w:asciiTheme="majorHAnsi" w:hAnsiTheme="majorHAnsi"/>
          <w:sz w:val="20"/>
          <w:szCs w:val="20"/>
          <w:lang w:val="pt-BR"/>
        </w:rPr>
        <w:t>a que</w:t>
      </w:r>
      <w:r w:rsidR="00BE2E69">
        <w:rPr>
          <w:rFonts w:asciiTheme="majorHAnsi" w:hAnsiTheme="majorHAnsi"/>
          <w:sz w:val="20"/>
          <w:szCs w:val="20"/>
          <w:lang w:val="pt-BR"/>
        </w:rPr>
        <w:t>,</w:t>
      </w:r>
      <w:r w:rsidR="00700267" w:rsidRPr="006D1C74">
        <w:rPr>
          <w:rFonts w:asciiTheme="majorHAnsi" w:hAnsiTheme="majorHAnsi"/>
          <w:sz w:val="20"/>
          <w:szCs w:val="20"/>
          <w:lang w:val="pt-BR"/>
        </w:rPr>
        <w:t xml:space="preserve"> </w:t>
      </w:r>
      <w:r w:rsidR="00FC2F62" w:rsidRPr="006D1C74">
        <w:rPr>
          <w:rFonts w:asciiTheme="majorHAnsi" w:hAnsiTheme="majorHAnsi"/>
          <w:sz w:val="20"/>
          <w:szCs w:val="20"/>
          <w:lang w:val="pt-BR"/>
        </w:rPr>
        <w:t xml:space="preserve">no </w:t>
      </w:r>
      <w:r w:rsidR="00AB7F30" w:rsidRPr="006D1C74">
        <w:rPr>
          <w:rFonts w:asciiTheme="majorHAnsi" w:hAnsiTheme="majorHAnsi"/>
          <w:sz w:val="20"/>
          <w:szCs w:val="20"/>
          <w:lang w:val="pt-BR"/>
        </w:rPr>
        <w:t>processo</w:t>
      </w:r>
      <w:r w:rsidR="002649F0" w:rsidRPr="006D1C74">
        <w:rPr>
          <w:rFonts w:asciiTheme="majorHAnsi" w:hAnsiTheme="majorHAnsi"/>
          <w:sz w:val="20"/>
          <w:szCs w:val="20"/>
          <w:lang w:val="pt-BR"/>
        </w:rPr>
        <w:t xml:space="preserve"> internacional</w:t>
      </w:r>
      <w:r w:rsidR="00BE2E69">
        <w:rPr>
          <w:rFonts w:asciiTheme="majorHAnsi" w:hAnsiTheme="majorHAnsi"/>
          <w:sz w:val="20"/>
          <w:szCs w:val="20"/>
          <w:lang w:val="pt-BR"/>
        </w:rPr>
        <w:t>,</w:t>
      </w:r>
      <w:r w:rsidR="00030019" w:rsidRPr="006D1C74">
        <w:rPr>
          <w:rFonts w:asciiTheme="majorHAnsi" w:hAnsiTheme="majorHAnsi"/>
          <w:sz w:val="20"/>
          <w:szCs w:val="20"/>
          <w:lang w:val="pt-BR"/>
        </w:rPr>
        <w:t xml:space="preserve"> </w:t>
      </w:r>
      <w:r w:rsidR="005129DB" w:rsidRPr="006D1C74">
        <w:rPr>
          <w:rFonts w:asciiTheme="majorHAnsi" w:hAnsiTheme="majorHAnsi"/>
          <w:sz w:val="20"/>
          <w:szCs w:val="20"/>
          <w:lang w:val="pt-BR"/>
        </w:rPr>
        <w:t xml:space="preserve">o Estado brasileiro não deu </w:t>
      </w:r>
      <w:r w:rsidR="00030019" w:rsidRPr="006D1C74">
        <w:rPr>
          <w:rFonts w:asciiTheme="majorHAnsi" w:hAnsiTheme="majorHAnsi"/>
          <w:sz w:val="20"/>
          <w:szCs w:val="20"/>
          <w:lang w:val="pt-BR"/>
        </w:rPr>
        <w:t xml:space="preserve">uma </w:t>
      </w:r>
      <w:r w:rsidR="002649F0" w:rsidRPr="006D1C74">
        <w:rPr>
          <w:rFonts w:asciiTheme="majorHAnsi" w:hAnsiTheme="majorHAnsi"/>
          <w:sz w:val="20"/>
          <w:szCs w:val="20"/>
          <w:lang w:val="pt-BR"/>
        </w:rPr>
        <w:t>explica</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que permita considerar que</w:t>
      </w:r>
      <w:r w:rsidR="00700267" w:rsidRPr="006D1C74">
        <w:rPr>
          <w:rFonts w:asciiTheme="majorHAnsi" w:hAnsiTheme="majorHAnsi"/>
          <w:sz w:val="20"/>
          <w:szCs w:val="20"/>
          <w:lang w:val="pt-BR"/>
        </w:rPr>
        <w:t xml:space="preserve"> a </w:t>
      </w:r>
      <w:r w:rsidR="00FC2F62" w:rsidRPr="006D1C74">
        <w:rPr>
          <w:rFonts w:asciiTheme="majorHAnsi" w:hAnsiTheme="majorHAnsi"/>
          <w:sz w:val="20"/>
          <w:szCs w:val="20"/>
          <w:lang w:val="pt-BR"/>
        </w:rPr>
        <w:t>morte</w:t>
      </w:r>
      <w:r w:rsidR="00030019" w:rsidRPr="006D1C74">
        <w:rPr>
          <w:rFonts w:asciiTheme="majorHAnsi" w:hAnsiTheme="majorHAnsi"/>
          <w:sz w:val="20"/>
          <w:szCs w:val="20"/>
          <w:lang w:val="pt-BR"/>
        </w:rPr>
        <w:t xml:space="preserve"> do </w:t>
      </w:r>
      <w:r w:rsidR="0002682A" w:rsidRPr="006D1C74">
        <w:rPr>
          <w:rFonts w:asciiTheme="majorHAnsi" w:hAnsiTheme="majorHAnsi"/>
          <w:sz w:val="20"/>
          <w:szCs w:val="20"/>
          <w:lang w:val="pt-BR"/>
        </w:rPr>
        <w:t>senhor</w:t>
      </w:r>
      <w:r w:rsidR="002649F0" w:rsidRPr="006D1C74">
        <w:rPr>
          <w:rFonts w:asciiTheme="majorHAnsi" w:hAnsiTheme="majorHAnsi"/>
          <w:sz w:val="20"/>
          <w:szCs w:val="20"/>
          <w:lang w:val="pt-BR"/>
        </w:rPr>
        <w:t xml:space="preserve"> Antonio Tavares Pereira</w:t>
      </w:r>
      <w:r w:rsidR="00CA7940" w:rsidRPr="006D1C74">
        <w:rPr>
          <w:rFonts w:asciiTheme="majorHAnsi" w:hAnsiTheme="majorHAnsi"/>
          <w:sz w:val="20"/>
          <w:szCs w:val="20"/>
          <w:lang w:val="pt-BR"/>
        </w:rPr>
        <w:t xml:space="preserve"> foi </w:t>
      </w:r>
      <w:r w:rsidR="002649F0" w:rsidRPr="006D1C74">
        <w:rPr>
          <w:rFonts w:asciiTheme="majorHAnsi" w:hAnsiTheme="majorHAnsi"/>
          <w:sz w:val="20"/>
          <w:szCs w:val="20"/>
          <w:lang w:val="pt-BR"/>
        </w:rPr>
        <w:t>resultado</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uso legítimo</w:t>
      </w:r>
      <w:r w:rsidR="00795010" w:rsidRPr="006D1C74">
        <w:rPr>
          <w:rFonts w:asciiTheme="majorHAnsi" w:hAnsiTheme="majorHAnsi"/>
          <w:sz w:val="20"/>
          <w:szCs w:val="20"/>
          <w:lang w:val="pt-BR"/>
        </w:rPr>
        <w:t xml:space="preserve"> da </w:t>
      </w:r>
      <w:r w:rsidR="00B146A8" w:rsidRPr="006D1C74">
        <w:rPr>
          <w:rFonts w:asciiTheme="majorHAnsi" w:hAnsiTheme="majorHAnsi"/>
          <w:sz w:val="20"/>
          <w:szCs w:val="20"/>
          <w:lang w:val="pt-BR"/>
        </w:rPr>
        <w:t>força</w:t>
      </w:r>
      <w:r w:rsidR="002649F0" w:rsidRPr="006D1C74">
        <w:rPr>
          <w:rFonts w:asciiTheme="majorHAnsi" w:hAnsiTheme="majorHAnsi"/>
          <w:sz w:val="20"/>
          <w:szCs w:val="20"/>
          <w:lang w:val="pt-BR"/>
        </w:rPr>
        <w:t xml:space="preserve"> n</w:t>
      </w:r>
      <w:r w:rsidR="005129DB" w:rsidRPr="006D1C74">
        <w:rPr>
          <w:rFonts w:asciiTheme="majorHAnsi" w:hAnsiTheme="majorHAnsi"/>
          <w:sz w:val="20"/>
          <w:szCs w:val="20"/>
          <w:lang w:val="pt-BR"/>
        </w:rPr>
        <w:t>em</w:t>
      </w:r>
      <w:r w:rsidR="002649F0" w:rsidRPr="006D1C74">
        <w:rPr>
          <w:rFonts w:asciiTheme="majorHAnsi" w:hAnsiTheme="majorHAnsi"/>
          <w:sz w:val="20"/>
          <w:szCs w:val="20"/>
          <w:lang w:val="pt-BR"/>
        </w:rPr>
        <w:t xml:space="preserve"> se depr</w:t>
      </w:r>
      <w:r w:rsidR="005129DB" w:rsidRPr="006D1C74">
        <w:rPr>
          <w:rFonts w:asciiTheme="majorHAnsi" w:hAnsiTheme="majorHAnsi"/>
          <w:sz w:val="20"/>
          <w:szCs w:val="20"/>
          <w:lang w:val="pt-BR"/>
        </w:rPr>
        <w:t>e</w:t>
      </w:r>
      <w:r w:rsidR="002649F0" w:rsidRPr="006D1C74">
        <w:rPr>
          <w:rFonts w:asciiTheme="majorHAnsi" w:hAnsiTheme="majorHAnsi"/>
          <w:sz w:val="20"/>
          <w:szCs w:val="20"/>
          <w:lang w:val="pt-BR"/>
        </w:rPr>
        <w:t>ende tal informa</w:t>
      </w:r>
      <w:r w:rsidR="00CF037E" w:rsidRPr="006D1C74">
        <w:rPr>
          <w:rFonts w:asciiTheme="majorHAnsi" w:hAnsiTheme="majorHAnsi"/>
          <w:sz w:val="20"/>
          <w:szCs w:val="20"/>
          <w:lang w:val="pt-BR"/>
        </w:rPr>
        <w:t>ção</w:t>
      </w:r>
      <w:r w:rsidR="00030019" w:rsidRPr="006D1C74">
        <w:rPr>
          <w:rFonts w:asciiTheme="majorHAnsi" w:hAnsiTheme="majorHAnsi"/>
          <w:sz w:val="20"/>
          <w:szCs w:val="20"/>
          <w:lang w:val="pt-BR"/>
        </w:rPr>
        <w:t xml:space="preserve"> do </w:t>
      </w:r>
      <w:r w:rsidR="005129DB" w:rsidRPr="006D1C74">
        <w:rPr>
          <w:rFonts w:asciiTheme="majorHAnsi" w:hAnsiTheme="majorHAnsi"/>
          <w:sz w:val="20"/>
          <w:szCs w:val="20"/>
          <w:lang w:val="pt-BR"/>
        </w:rPr>
        <w:t>processo</w:t>
      </w:r>
      <w:r w:rsidR="002649F0"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w:t>
      </w:r>
      <w:r w:rsidR="005129DB" w:rsidRPr="006D1C74">
        <w:rPr>
          <w:rFonts w:asciiTheme="majorHAnsi" w:hAnsiTheme="majorHAnsi"/>
          <w:sz w:val="20"/>
          <w:szCs w:val="20"/>
          <w:lang w:val="pt-BR"/>
        </w:rPr>
        <w:t>P</w:t>
      </w:r>
      <w:r w:rsidR="00700267" w:rsidRPr="006D1C74">
        <w:rPr>
          <w:rFonts w:asciiTheme="majorHAnsi" w:hAnsiTheme="majorHAnsi"/>
          <w:sz w:val="20"/>
          <w:szCs w:val="20"/>
          <w:lang w:val="pt-BR"/>
        </w:rPr>
        <w:t xml:space="preserve">elo </w:t>
      </w:r>
      <w:r w:rsidR="00517ACA" w:rsidRPr="006D1C74">
        <w:rPr>
          <w:rFonts w:asciiTheme="majorHAnsi" w:hAnsiTheme="majorHAnsi"/>
          <w:sz w:val="20"/>
          <w:szCs w:val="20"/>
          <w:lang w:val="pt-BR"/>
        </w:rPr>
        <w:t>contrário</w:t>
      </w:r>
      <w:r w:rsidR="002649F0" w:rsidRPr="006D1C74">
        <w:rPr>
          <w:rFonts w:asciiTheme="majorHAnsi" w:hAnsiTheme="majorHAnsi"/>
          <w:sz w:val="20"/>
          <w:szCs w:val="20"/>
          <w:lang w:val="pt-BR"/>
        </w:rPr>
        <w:t xml:space="preserve">, </w:t>
      </w:r>
      <w:r w:rsidR="005129DB" w:rsidRPr="006D1C74">
        <w:rPr>
          <w:rFonts w:asciiTheme="majorHAnsi" w:hAnsiTheme="majorHAnsi"/>
          <w:sz w:val="20"/>
          <w:szCs w:val="20"/>
          <w:lang w:val="pt-BR"/>
        </w:rPr>
        <w:t>par</w:t>
      </w:r>
      <w:r w:rsidR="002649F0" w:rsidRPr="006D1C74">
        <w:rPr>
          <w:rFonts w:asciiTheme="majorHAnsi" w:hAnsiTheme="majorHAnsi"/>
          <w:sz w:val="20"/>
          <w:szCs w:val="20"/>
          <w:lang w:val="pt-BR"/>
        </w:rPr>
        <w:t xml:space="preserve">a </w:t>
      </w:r>
      <w:r w:rsidR="005129DB" w:rsidRPr="006D1C74">
        <w:rPr>
          <w:rFonts w:asciiTheme="majorHAnsi" w:hAnsiTheme="majorHAnsi"/>
          <w:sz w:val="20"/>
          <w:szCs w:val="20"/>
          <w:lang w:val="pt-BR"/>
        </w:rPr>
        <w:t>fins</w:t>
      </w:r>
      <w:r w:rsidR="00795010" w:rsidRPr="006D1C74">
        <w:rPr>
          <w:rFonts w:asciiTheme="majorHAnsi" w:hAnsiTheme="majorHAnsi"/>
          <w:sz w:val="20"/>
          <w:szCs w:val="20"/>
          <w:lang w:val="pt-BR"/>
        </w:rPr>
        <w:t xml:space="preserve"> d</w:t>
      </w:r>
      <w:r w:rsidR="00BE2E69">
        <w:rPr>
          <w:rFonts w:asciiTheme="majorHAnsi" w:hAnsiTheme="majorHAnsi"/>
          <w:sz w:val="20"/>
          <w:szCs w:val="20"/>
          <w:lang w:val="pt-BR"/>
        </w:rPr>
        <w:t>e</w:t>
      </w:r>
      <w:r w:rsidR="00795010" w:rsidRPr="006D1C74">
        <w:rPr>
          <w:rFonts w:asciiTheme="majorHAnsi" w:hAnsiTheme="majorHAnsi"/>
          <w:sz w:val="20"/>
          <w:szCs w:val="20"/>
          <w:lang w:val="pt-BR"/>
        </w:rPr>
        <w:t xml:space="preserve"> </w:t>
      </w:r>
      <w:r w:rsidR="002649F0" w:rsidRPr="006D1C74">
        <w:rPr>
          <w:rFonts w:asciiTheme="majorHAnsi" w:hAnsiTheme="majorHAnsi"/>
          <w:sz w:val="20"/>
          <w:szCs w:val="20"/>
          <w:lang w:val="pt-BR"/>
        </w:rPr>
        <w:t>determina</w:t>
      </w:r>
      <w:r w:rsidR="00CF037E" w:rsidRPr="006D1C74">
        <w:rPr>
          <w:rFonts w:asciiTheme="majorHAnsi" w:hAnsiTheme="majorHAnsi"/>
          <w:sz w:val="20"/>
          <w:szCs w:val="20"/>
          <w:lang w:val="pt-BR"/>
        </w:rPr>
        <w:t>ção</w:t>
      </w:r>
      <w:r w:rsidR="00795010" w:rsidRPr="006D1C74">
        <w:rPr>
          <w:rFonts w:asciiTheme="majorHAnsi" w:hAnsiTheme="majorHAnsi"/>
          <w:sz w:val="20"/>
          <w:szCs w:val="20"/>
          <w:lang w:val="pt-BR"/>
        </w:rPr>
        <w:t xml:space="preserve"> da </w:t>
      </w:r>
      <w:r w:rsidR="002649F0" w:rsidRPr="006D1C74">
        <w:rPr>
          <w:rFonts w:asciiTheme="majorHAnsi" w:hAnsiTheme="majorHAnsi"/>
          <w:sz w:val="20"/>
          <w:szCs w:val="20"/>
          <w:lang w:val="pt-BR"/>
        </w:rPr>
        <w:t>responsabili</w:t>
      </w:r>
      <w:r w:rsidR="00F673C7" w:rsidRPr="006D1C74">
        <w:rPr>
          <w:rFonts w:asciiTheme="majorHAnsi" w:hAnsiTheme="majorHAnsi"/>
          <w:sz w:val="20"/>
          <w:szCs w:val="20"/>
          <w:lang w:val="pt-BR"/>
        </w:rPr>
        <w:t xml:space="preserve">dade </w:t>
      </w:r>
      <w:r w:rsidR="002649F0" w:rsidRPr="006D1C74">
        <w:rPr>
          <w:rFonts w:asciiTheme="majorHAnsi" w:hAnsiTheme="majorHAnsi"/>
          <w:sz w:val="20"/>
          <w:szCs w:val="20"/>
          <w:lang w:val="pt-BR"/>
        </w:rPr>
        <w:t>internacional</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Estado,</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002649F0" w:rsidRPr="006D1C74">
        <w:rPr>
          <w:rFonts w:asciiTheme="majorHAnsi" w:hAnsiTheme="majorHAnsi"/>
          <w:sz w:val="20"/>
          <w:szCs w:val="20"/>
          <w:lang w:val="pt-BR"/>
        </w:rPr>
        <w:t xml:space="preserve"> destaca que</w:t>
      </w:r>
      <w:r w:rsidR="00F673C7" w:rsidRPr="006D1C74">
        <w:rPr>
          <w:rFonts w:asciiTheme="majorHAnsi" w:hAnsiTheme="majorHAnsi"/>
          <w:sz w:val="20"/>
          <w:szCs w:val="20"/>
          <w:lang w:val="pt-BR"/>
        </w:rPr>
        <w:t xml:space="preserve"> não </w:t>
      </w:r>
      <w:r w:rsidR="002649F0" w:rsidRPr="006D1C74">
        <w:rPr>
          <w:rFonts w:asciiTheme="majorHAnsi" w:hAnsiTheme="majorHAnsi"/>
          <w:sz w:val="20"/>
          <w:szCs w:val="20"/>
          <w:lang w:val="pt-BR"/>
        </w:rPr>
        <w:t>h</w:t>
      </w:r>
      <w:r w:rsidR="005129DB" w:rsidRPr="006D1C74">
        <w:rPr>
          <w:rFonts w:asciiTheme="majorHAnsi" w:hAnsiTheme="majorHAnsi"/>
          <w:sz w:val="20"/>
          <w:szCs w:val="20"/>
          <w:lang w:val="pt-BR"/>
        </w:rPr>
        <w:t>á</w:t>
      </w:r>
      <w:r w:rsidR="002649F0" w:rsidRPr="006D1C74">
        <w:rPr>
          <w:rFonts w:asciiTheme="majorHAnsi" w:hAnsiTheme="majorHAnsi"/>
          <w:sz w:val="20"/>
          <w:szCs w:val="20"/>
          <w:lang w:val="pt-BR"/>
        </w:rPr>
        <w:t xml:space="preserve"> </w:t>
      </w:r>
      <w:r w:rsidR="00BA111B" w:rsidRPr="006D1C74">
        <w:rPr>
          <w:rFonts w:asciiTheme="majorHAnsi" w:hAnsiTheme="majorHAnsi"/>
          <w:sz w:val="20"/>
          <w:szCs w:val="20"/>
          <w:lang w:val="pt-BR"/>
        </w:rPr>
        <w:t>controvérsia</w:t>
      </w:r>
      <w:r w:rsidR="002649F0" w:rsidRPr="006D1C74">
        <w:rPr>
          <w:rFonts w:asciiTheme="majorHAnsi" w:hAnsiTheme="majorHAnsi"/>
          <w:sz w:val="20"/>
          <w:szCs w:val="20"/>
          <w:lang w:val="pt-BR"/>
        </w:rPr>
        <w:t xml:space="preserve"> sobre </w:t>
      </w:r>
      <w:r w:rsidR="00BA111B" w:rsidRPr="006D1C74">
        <w:rPr>
          <w:rFonts w:asciiTheme="majorHAnsi" w:hAnsiTheme="majorHAnsi"/>
          <w:sz w:val="20"/>
          <w:szCs w:val="20"/>
          <w:lang w:val="pt-BR"/>
        </w:rPr>
        <w:t>três</w:t>
      </w:r>
      <w:r w:rsidR="002649F0" w:rsidRPr="006D1C74">
        <w:rPr>
          <w:rFonts w:asciiTheme="majorHAnsi" w:hAnsiTheme="majorHAnsi"/>
          <w:sz w:val="20"/>
          <w:szCs w:val="20"/>
          <w:lang w:val="pt-BR"/>
        </w:rPr>
        <w:t xml:space="preserve"> aspectos fundament</w:t>
      </w:r>
      <w:r w:rsidR="00700267" w:rsidRPr="006D1C74">
        <w:rPr>
          <w:rFonts w:asciiTheme="majorHAnsi" w:hAnsiTheme="majorHAnsi"/>
          <w:sz w:val="20"/>
          <w:szCs w:val="20"/>
          <w:lang w:val="pt-BR"/>
        </w:rPr>
        <w:t>ais</w:t>
      </w:r>
      <w:r w:rsidR="002649F0" w:rsidRPr="006D1C74">
        <w:rPr>
          <w:rFonts w:asciiTheme="majorHAnsi" w:hAnsiTheme="majorHAnsi"/>
          <w:sz w:val="20"/>
          <w:szCs w:val="20"/>
          <w:lang w:val="pt-BR"/>
        </w:rPr>
        <w:t xml:space="preserve">: i) </w:t>
      </w:r>
      <w:r w:rsidR="009661C6" w:rsidRPr="006D1C74">
        <w:rPr>
          <w:rFonts w:asciiTheme="majorHAnsi" w:hAnsiTheme="majorHAnsi"/>
          <w:sz w:val="20"/>
          <w:szCs w:val="20"/>
          <w:lang w:val="pt-BR"/>
        </w:rPr>
        <w:t>que</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 xml:space="preserve">disparo que </w:t>
      </w:r>
      <w:r w:rsidR="005129DB" w:rsidRPr="006D1C74">
        <w:rPr>
          <w:rFonts w:asciiTheme="majorHAnsi" w:hAnsiTheme="majorHAnsi"/>
          <w:sz w:val="20"/>
          <w:szCs w:val="20"/>
          <w:lang w:val="pt-BR"/>
        </w:rPr>
        <w:t>provocou</w:t>
      </w:r>
      <w:r w:rsidR="00700267" w:rsidRPr="006D1C74">
        <w:rPr>
          <w:rFonts w:asciiTheme="majorHAnsi" w:hAnsiTheme="majorHAnsi"/>
          <w:sz w:val="20"/>
          <w:szCs w:val="20"/>
          <w:lang w:val="pt-BR"/>
        </w:rPr>
        <w:t xml:space="preserve"> a </w:t>
      </w:r>
      <w:r w:rsidR="00FC2F62" w:rsidRPr="006D1C74">
        <w:rPr>
          <w:rFonts w:asciiTheme="majorHAnsi" w:hAnsiTheme="majorHAnsi"/>
          <w:sz w:val="20"/>
          <w:szCs w:val="20"/>
          <w:lang w:val="pt-BR"/>
        </w:rPr>
        <w:t>morte</w:t>
      </w:r>
      <w:r w:rsidR="002649F0" w:rsidRPr="006D1C74">
        <w:rPr>
          <w:rFonts w:asciiTheme="majorHAnsi" w:hAnsiTheme="majorHAnsi"/>
          <w:sz w:val="20"/>
          <w:szCs w:val="20"/>
          <w:lang w:val="pt-BR"/>
        </w:rPr>
        <w:t xml:space="preserve"> de Antonio Tavares Pereira </w:t>
      </w:r>
      <w:r w:rsidR="00550CE8" w:rsidRPr="006D1C74">
        <w:rPr>
          <w:rFonts w:asciiTheme="majorHAnsi" w:hAnsiTheme="majorHAnsi"/>
          <w:sz w:val="20"/>
          <w:szCs w:val="20"/>
          <w:lang w:val="pt-BR"/>
        </w:rPr>
        <w:t>prov</w:t>
      </w:r>
      <w:r w:rsidR="005129DB" w:rsidRPr="006D1C74">
        <w:rPr>
          <w:rFonts w:asciiTheme="majorHAnsi" w:hAnsiTheme="majorHAnsi"/>
          <w:sz w:val="20"/>
          <w:szCs w:val="20"/>
          <w:lang w:val="pt-BR"/>
        </w:rPr>
        <w:t>e</w:t>
      </w:r>
      <w:r w:rsidR="00550CE8" w:rsidRPr="006D1C74">
        <w:rPr>
          <w:rFonts w:asciiTheme="majorHAnsi" w:hAnsiTheme="majorHAnsi"/>
          <w:sz w:val="20"/>
          <w:szCs w:val="20"/>
          <w:lang w:val="pt-BR"/>
        </w:rPr>
        <w:t>io de</w:t>
      </w:r>
      <w:r w:rsidR="00030019" w:rsidRPr="006D1C74">
        <w:rPr>
          <w:rFonts w:asciiTheme="majorHAnsi" w:hAnsiTheme="majorHAnsi"/>
          <w:sz w:val="20"/>
          <w:szCs w:val="20"/>
          <w:lang w:val="pt-BR"/>
        </w:rPr>
        <w:t xml:space="preserve"> um </w:t>
      </w:r>
      <w:r w:rsidR="002649F0" w:rsidRPr="006D1C74">
        <w:rPr>
          <w:rFonts w:asciiTheme="majorHAnsi" w:hAnsiTheme="majorHAnsi"/>
          <w:sz w:val="20"/>
          <w:szCs w:val="20"/>
          <w:lang w:val="pt-BR"/>
        </w:rPr>
        <w:t>agente</w:t>
      </w:r>
      <w:r w:rsidR="00795010" w:rsidRPr="006D1C74">
        <w:rPr>
          <w:rFonts w:asciiTheme="majorHAnsi" w:hAnsiTheme="majorHAnsi"/>
          <w:sz w:val="20"/>
          <w:szCs w:val="20"/>
          <w:lang w:val="pt-BR"/>
        </w:rPr>
        <w:t xml:space="preserve"> da </w:t>
      </w:r>
      <w:r w:rsidR="00F37852" w:rsidRPr="006D1C74">
        <w:rPr>
          <w:rFonts w:asciiTheme="majorHAnsi" w:hAnsiTheme="majorHAnsi"/>
          <w:sz w:val="20"/>
          <w:szCs w:val="20"/>
          <w:lang w:val="pt-BR"/>
        </w:rPr>
        <w:t>polícia</w:t>
      </w:r>
      <w:r w:rsidR="00550CE8" w:rsidRPr="006D1C74">
        <w:rPr>
          <w:rFonts w:asciiTheme="majorHAnsi" w:hAnsiTheme="majorHAnsi"/>
          <w:sz w:val="20"/>
          <w:szCs w:val="20"/>
          <w:lang w:val="pt-BR"/>
        </w:rPr>
        <w:t xml:space="preserve"> militar</w:t>
      </w:r>
      <w:r w:rsidR="002649F0" w:rsidRPr="006D1C74">
        <w:rPr>
          <w:rFonts w:asciiTheme="majorHAnsi" w:hAnsiTheme="majorHAnsi"/>
          <w:sz w:val="20"/>
          <w:szCs w:val="20"/>
          <w:lang w:val="pt-BR"/>
        </w:rPr>
        <w:t xml:space="preserve">; ii) que </w:t>
      </w:r>
      <w:r w:rsidR="005129DB" w:rsidRPr="006D1C74">
        <w:rPr>
          <w:rFonts w:asciiTheme="majorHAnsi" w:hAnsiTheme="majorHAnsi"/>
          <w:sz w:val="20"/>
          <w:szCs w:val="20"/>
          <w:lang w:val="pt-BR"/>
        </w:rPr>
        <w:t>esse</w:t>
      </w:r>
      <w:r w:rsidR="002649F0" w:rsidRPr="006D1C74">
        <w:rPr>
          <w:rFonts w:asciiTheme="majorHAnsi" w:hAnsiTheme="majorHAnsi"/>
          <w:sz w:val="20"/>
          <w:szCs w:val="20"/>
          <w:lang w:val="pt-BR"/>
        </w:rPr>
        <w:t xml:space="preserve"> agente</w:t>
      </w:r>
      <w:r w:rsidR="00F673C7" w:rsidRPr="006D1C74">
        <w:rPr>
          <w:rFonts w:asciiTheme="majorHAnsi" w:hAnsiTheme="majorHAnsi"/>
          <w:sz w:val="20"/>
          <w:szCs w:val="20"/>
          <w:lang w:val="pt-BR"/>
        </w:rPr>
        <w:t xml:space="preserve"> não </w:t>
      </w:r>
      <w:r w:rsidR="00BA111B" w:rsidRPr="006D1C74">
        <w:rPr>
          <w:rFonts w:asciiTheme="majorHAnsi" w:hAnsiTheme="majorHAnsi"/>
          <w:sz w:val="20"/>
          <w:szCs w:val="20"/>
          <w:lang w:val="pt-BR"/>
        </w:rPr>
        <w:t>atuou</w:t>
      </w:r>
      <w:r w:rsidR="00F673C7" w:rsidRPr="006D1C74">
        <w:rPr>
          <w:rFonts w:asciiTheme="majorHAnsi" w:hAnsiTheme="majorHAnsi"/>
          <w:sz w:val="20"/>
          <w:szCs w:val="20"/>
          <w:lang w:val="pt-BR"/>
        </w:rPr>
        <w:t xml:space="preserve"> em </w:t>
      </w:r>
      <w:r w:rsidR="002649F0" w:rsidRPr="006D1C74">
        <w:rPr>
          <w:rFonts w:asciiTheme="majorHAnsi" w:hAnsiTheme="majorHAnsi"/>
          <w:sz w:val="20"/>
          <w:szCs w:val="20"/>
          <w:lang w:val="pt-BR"/>
        </w:rPr>
        <w:t xml:space="preserve">defesa </w:t>
      </w:r>
      <w:r w:rsidR="00BA111B" w:rsidRPr="006D1C74">
        <w:rPr>
          <w:rFonts w:asciiTheme="majorHAnsi" w:hAnsiTheme="majorHAnsi"/>
          <w:sz w:val="20"/>
          <w:szCs w:val="20"/>
          <w:lang w:val="pt-BR"/>
        </w:rPr>
        <w:t>própria</w:t>
      </w:r>
      <w:r w:rsidR="002649F0" w:rsidRPr="006D1C74">
        <w:rPr>
          <w:rFonts w:asciiTheme="majorHAnsi" w:hAnsiTheme="majorHAnsi"/>
          <w:sz w:val="20"/>
          <w:szCs w:val="20"/>
          <w:lang w:val="pt-BR"/>
        </w:rPr>
        <w:t xml:space="preserve">, </w:t>
      </w:r>
      <w:r w:rsidR="005129DB" w:rsidRPr="006D1C74">
        <w:rPr>
          <w:rFonts w:asciiTheme="majorHAnsi" w:hAnsiTheme="majorHAnsi"/>
          <w:sz w:val="20"/>
          <w:szCs w:val="20"/>
          <w:lang w:val="pt-BR"/>
        </w:rPr>
        <w:t>mas</w:t>
      </w:r>
      <w:r w:rsidR="002649F0" w:rsidRPr="006D1C74">
        <w:rPr>
          <w:rFonts w:asciiTheme="majorHAnsi" w:hAnsiTheme="majorHAnsi"/>
          <w:sz w:val="20"/>
          <w:szCs w:val="20"/>
          <w:lang w:val="pt-BR"/>
        </w:rPr>
        <w:t xml:space="preserve"> para atemorizar</w:t>
      </w:r>
      <w:r w:rsidR="00135454" w:rsidRPr="006D1C74">
        <w:rPr>
          <w:rFonts w:asciiTheme="majorHAnsi" w:hAnsiTheme="majorHAnsi"/>
          <w:sz w:val="20"/>
          <w:szCs w:val="20"/>
          <w:lang w:val="pt-BR"/>
        </w:rPr>
        <w:t xml:space="preserve"> os </w:t>
      </w:r>
      <w:r w:rsidR="002649F0" w:rsidRPr="006D1C74">
        <w:rPr>
          <w:rFonts w:asciiTheme="majorHAnsi" w:hAnsiTheme="majorHAnsi"/>
          <w:sz w:val="20"/>
          <w:szCs w:val="20"/>
          <w:lang w:val="pt-BR"/>
        </w:rPr>
        <w:t>manifestantes</w:t>
      </w:r>
      <w:r w:rsidR="00C142A1">
        <w:rPr>
          <w:rFonts w:asciiTheme="majorHAnsi" w:hAnsiTheme="majorHAnsi"/>
          <w:sz w:val="20"/>
          <w:szCs w:val="20"/>
          <w:lang w:val="pt-BR"/>
        </w:rPr>
        <w:t>;</w:t>
      </w:r>
      <w:r w:rsidR="00CF037E" w:rsidRPr="006D1C74">
        <w:rPr>
          <w:rFonts w:asciiTheme="majorHAnsi" w:hAnsiTheme="majorHAnsi"/>
          <w:sz w:val="20"/>
          <w:szCs w:val="20"/>
          <w:lang w:val="pt-BR"/>
        </w:rPr>
        <w:t xml:space="preserve"> e </w:t>
      </w:r>
      <w:r w:rsidR="002649F0" w:rsidRPr="006D1C74">
        <w:rPr>
          <w:rFonts w:asciiTheme="majorHAnsi" w:hAnsiTheme="majorHAnsi"/>
          <w:sz w:val="20"/>
          <w:szCs w:val="20"/>
          <w:lang w:val="pt-BR"/>
        </w:rPr>
        <w:t>iii) que</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disparo</w:t>
      </w:r>
      <w:r w:rsidR="00CA7940" w:rsidRPr="006D1C74">
        <w:rPr>
          <w:rFonts w:asciiTheme="majorHAnsi" w:hAnsiTheme="majorHAnsi"/>
          <w:sz w:val="20"/>
          <w:szCs w:val="20"/>
          <w:lang w:val="pt-BR"/>
        </w:rPr>
        <w:t xml:space="preserve"> foi </w:t>
      </w:r>
      <w:r w:rsidR="002649F0" w:rsidRPr="006D1C74">
        <w:rPr>
          <w:rFonts w:asciiTheme="majorHAnsi" w:hAnsiTheme="majorHAnsi"/>
          <w:sz w:val="20"/>
          <w:szCs w:val="20"/>
          <w:lang w:val="pt-BR"/>
        </w:rPr>
        <w:t xml:space="preserve">realizado </w:t>
      </w:r>
      <w:r w:rsidR="00BA111B" w:rsidRPr="006D1C74">
        <w:rPr>
          <w:rFonts w:asciiTheme="majorHAnsi" w:hAnsiTheme="majorHAnsi"/>
          <w:sz w:val="20"/>
          <w:szCs w:val="20"/>
          <w:lang w:val="pt-BR"/>
        </w:rPr>
        <w:t>quando</w:t>
      </w:r>
      <w:r w:rsidR="002649F0" w:rsidRPr="006D1C74">
        <w:rPr>
          <w:rFonts w:asciiTheme="majorHAnsi" w:hAnsiTheme="majorHAnsi"/>
          <w:sz w:val="20"/>
          <w:szCs w:val="20"/>
          <w:lang w:val="pt-BR"/>
        </w:rPr>
        <w:t xml:space="preserve"> Antonio Tavares Pereira </w:t>
      </w:r>
      <w:r w:rsidR="005129DB" w:rsidRPr="006D1C74">
        <w:rPr>
          <w:rFonts w:asciiTheme="majorHAnsi" w:hAnsiTheme="majorHAnsi"/>
          <w:sz w:val="20"/>
          <w:szCs w:val="20"/>
          <w:lang w:val="pt-BR"/>
        </w:rPr>
        <w:t>estava</w:t>
      </w:r>
      <w:r w:rsidR="002649F0" w:rsidRPr="006D1C74">
        <w:rPr>
          <w:rFonts w:asciiTheme="majorHAnsi" w:hAnsiTheme="majorHAnsi"/>
          <w:sz w:val="20"/>
          <w:szCs w:val="20"/>
          <w:lang w:val="pt-BR"/>
        </w:rPr>
        <w:t xml:space="preserve"> desarmado. Est</w:t>
      </w:r>
      <w:r w:rsidR="005129DB" w:rsidRPr="006D1C74">
        <w:rPr>
          <w:rFonts w:asciiTheme="majorHAnsi" w:hAnsiTheme="majorHAnsi"/>
          <w:sz w:val="20"/>
          <w:szCs w:val="20"/>
          <w:lang w:val="pt-BR"/>
        </w:rPr>
        <w:t>e</w:t>
      </w:r>
      <w:r w:rsidR="002649F0" w:rsidRPr="006D1C74">
        <w:rPr>
          <w:rFonts w:asciiTheme="majorHAnsi" w:hAnsiTheme="majorHAnsi"/>
          <w:sz w:val="20"/>
          <w:szCs w:val="20"/>
          <w:lang w:val="pt-BR"/>
        </w:rPr>
        <w:t>s elementos, tomados</w:t>
      </w:r>
      <w:r w:rsidR="00F673C7" w:rsidRPr="006D1C74">
        <w:rPr>
          <w:rFonts w:asciiTheme="majorHAnsi" w:hAnsiTheme="majorHAnsi"/>
          <w:sz w:val="20"/>
          <w:szCs w:val="20"/>
          <w:lang w:val="pt-BR"/>
        </w:rPr>
        <w:t xml:space="preserve"> em </w:t>
      </w:r>
      <w:r w:rsidR="002649F0" w:rsidRPr="006D1C74">
        <w:rPr>
          <w:rFonts w:asciiTheme="majorHAnsi" w:hAnsiTheme="majorHAnsi"/>
          <w:sz w:val="20"/>
          <w:szCs w:val="20"/>
          <w:lang w:val="pt-BR"/>
        </w:rPr>
        <w:t>conjunto,</w:t>
      </w:r>
      <w:r w:rsidR="00F37852" w:rsidRPr="006D1C74">
        <w:rPr>
          <w:rFonts w:asciiTheme="majorHAnsi" w:hAnsiTheme="majorHAnsi"/>
          <w:sz w:val="20"/>
          <w:szCs w:val="20"/>
          <w:lang w:val="pt-BR"/>
        </w:rPr>
        <w:t xml:space="preserve"> são </w:t>
      </w:r>
      <w:r w:rsidR="002649F0" w:rsidRPr="006D1C74">
        <w:rPr>
          <w:rFonts w:asciiTheme="majorHAnsi" w:hAnsiTheme="majorHAnsi"/>
          <w:sz w:val="20"/>
          <w:szCs w:val="20"/>
          <w:lang w:val="pt-BR"/>
        </w:rPr>
        <w:t>suficientes para demo</w:t>
      </w:r>
      <w:r w:rsidR="00C142A1">
        <w:rPr>
          <w:rFonts w:asciiTheme="majorHAnsi" w:hAnsiTheme="majorHAnsi"/>
          <w:sz w:val="20"/>
          <w:szCs w:val="20"/>
          <w:lang w:val="pt-BR"/>
        </w:rPr>
        <w:t>n</w:t>
      </w:r>
      <w:r w:rsidR="002649F0" w:rsidRPr="006D1C74">
        <w:rPr>
          <w:rFonts w:asciiTheme="majorHAnsi" w:hAnsiTheme="majorHAnsi"/>
          <w:sz w:val="20"/>
          <w:szCs w:val="20"/>
          <w:lang w:val="pt-BR"/>
        </w:rPr>
        <w:t>strar que</w:t>
      </w:r>
      <w:r w:rsidR="00700267" w:rsidRPr="006D1C74">
        <w:rPr>
          <w:rFonts w:asciiTheme="majorHAnsi" w:hAnsiTheme="majorHAnsi"/>
          <w:sz w:val="20"/>
          <w:szCs w:val="20"/>
          <w:lang w:val="pt-BR"/>
        </w:rPr>
        <w:t xml:space="preserve"> </w:t>
      </w:r>
      <w:r w:rsidR="00C142A1">
        <w:rPr>
          <w:rFonts w:asciiTheme="majorHAnsi" w:hAnsiTheme="majorHAnsi"/>
          <w:sz w:val="20"/>
          <w:szCs w:val="20"/>
          <w:lang w:val="pt-BR"/>
        </w:rPr>
        <w:t>a ação</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agente</w:t>
      </w:r>
      <w:r w:rsidR="00795010" w:rsidRPr="006D1C74">
        <w:rPr>
          <w:rFonts w:asciiTheme="majorHAnsi" w:hAnsiTheme="majorHAnsi"/>
          <w:sz w:val="20"/>
          <w:szCs w:val="20"/>
          <w:lang w:val="pt-BR"/>
        </w:rPr>
        <w:t xml:space="preserve"> da </w:t>
      </w:r>
      <w:r w:rsidR="00F37852" w:rsidRPr="006D1C74">
        <w:rPr>
          <w:rFonts w:asciiTheme="majorHAnsi" w:hAnsiTheme="majorHAnsi"/>
          <w:sz w:val="20"/>
          <w:szCs w:val="20"/>
          <w:lang w:val="pt-BR"/>
        </w:rPr>
        <w:t>polícia</w:t>
      </w:r>
      <w:r w:rsidR="00550CE8" w:rsidRPr="006D1C74">
        <w:rPr>
          <w:rFonts w:asciiTheme="majorHAnsi" w:hAnsiTheme="majorHAnsi"/>
          <w:sz w:val="20"/>
          <w:szCs w:val="20"/>
          <w:lang w:val="pt-BR"/>
        </w:rPr>
        <w:t xml:space="preserve"> militar</w:t>
      </w:r>
      <w:r w:rsidR="00F673C7" w:rsidRPr="006D1C74">
        <w:rPr>
          <w:rFonts w:asciiTheme="majorHAnsi" w:hAnsiTheme="majorHAnsi"/>
          <w:sz w:val="20"/>
          <w:szCs w:val="20"/>
          <w:lang w:val="pt-BR"/>
        </w:rPr>
        <w:t xml:space="preserve"> não </w:t>
      </w:r>
      <w:r w:rsidR="002649F0" w:rsidRPr="006D1C74">
        <w:rPr>
          <w:rFonts w:asciiTheme="majorHAnsi" w:hAnsiTheme="majorHAnsi"/>
          <w:sz w:val="20"/>
          <w:szCs w:val="20"/>
          <w:lang w:val="pt-BR"/>
        </w:rPr>
        <w:t>t</w:t>
      </w:r>
      <w:r w:rsidR="005129DB" w:rsidRPr="006D1C74">
        <w:rPr>
          <w:rFonts w:asciiTheme="majorHAnsi" w:hAnsiTheme="majorHAnsi"/>
          <w:sz w:val="20"/>
          <w:szCs w:val="20"/>
          <w:lang w:val="pt-BR"/>
        </w:rPr>
        <w:t>inh</w:t>
      </w:r>
      <w:r w:rsidR="00055622" w:rsidRPr="006D1C74">
        <w:rPr>
          <w:rFonts w:asciiTheme="majorHAnsi" w:hAnsiTheme="majorHAnsi"/>
          <w:sz w:val="20"/>
          <w:szCs w:val="20"/>
          <w:lang w:val="pt-BR"/>
        </w:rPr>
        <w:t>a</w:t>
      </w:r>
      <w:r w:rsidR="00030019" w:rsidRPr="006D1C74">
        <w:rPr>
          <w:rFonts w:asciiTheme="majorHAnsi" w:hAnsiTheme="majorHAnsi"/>
          <w:sz w:val="20"/>
          <w:szCs w:val="20"/>
          <w:lang w:val="pt-BR"/>
        </w:rPr>
        <w:t xml:space="preserve"> uma </w:t>
      </w:r>
      <w:r w:rsidR="002649F0" w:rsidRPr="006D1C74">
        <w:rPr>
          <w:rFonts w:asciiTheme="majorHAnsi" w:hAnsiTheme="majorHAnsi"/>
          <w:sz w:val="20"/>
          <w:szCs w:val="20"/>
          <w:lang w:val="pt-BR"/>
        </w:rPr>
        <w:t>finali</w:t>
      </w:r>
      <w:r w:rsidR="00F673C7" w:rsidRPr="006D1C74">
        <w:rPr>
          <w:rFonts w:asciiTheme="majorHAnsi" w:hAnsiTheme="majorHAnsi"/>
          <w:sz w:val="20"/>
          <w:szCs w:val="20"/>
          <w:lang w:val="pt-BR"/>
        </w:rPr>
        <w:t xml:space="preserve">dade </w:t>
      </w:r>
      <w:r w:rsidR="002649F0" w:rsidRPr="006D1C74">
        <w:rPr>
          <w:rFonts w:asciiTheme="majorHAnsi" w:hAnsiTheme="majorHAnsi"/>
          <w:sz w:val="20"/>
          <w:szCs w:val="20"/>
          <w:lang w:val="pt-BR"/>
        </w:rPr>
        <w:t>legítima n</w:t>
      </w:r>
      <w:r w:rsidR="005129DB" w:rsidRPr="006D1C74">
        <w:rPr>
          <w:rFonts w:asciiTheme="majorHAnsi" w:hAnsiTheme="majorHAnsi"/>
          <w:sz w:val="20"/>
          <w:szCs w:val="20"/>
          <w:lang w:val="pt-BR"/>
        </w:rPr>
        <w:t>em</w:t>
      </w:r>
      <w:r w:rsidR="00B87F4A" w:rsidRPr="006D1C74">
        <w:rPr>
          <w:rFonts w:asciiTheme="majorHAnsi" w:hAnsiTheme="majorHAnsi"/>
          <w:sz w:val="20"/>
          <w:szCs w:val="20"/>
          <w:lang w:val="pt-BR"/>
        </w:rPr>
        <w:t xml:space="preserve"> </w:t>
      </w:r>
      <w:r w:rsidR="005129DB" w:rsidRPr="006D1C74">
        <w:rPr>
          <w:rFonts w:asciiTheme="majorHAnsi" w:hAnsiTheme="majorHAnsi"/>
          <w:sz w:val="20"/>
          <w:szCs w:val="20"/>
          <w:lang w:val="pt-BR"/>
        </w:rPr>
        <w:t>era</w:t>
      </w:r>
      <w:r w:rsidR="00945B80" w:rsidRPr="006D1C74">
        <w:rPr>
          <w:rFonts w:asciiTheme="majorHAnsi" w:hAnsiTheme="majorHAnsi"/>
          <w:sz w:val="20"/>
          <w:szCs w:val="20"/>
          <w:lang w:val="pt-BR"/>
        </w:rPr>
        <w:t xml:space="preserve"> id</w:t>
      </w:r>
      <w:r w:rsidR="00C142A1">
        <w:rPr>
          <w:rFonts w:asciiTheme="majorHAnsi" w:hAnsiTheme="majorHAnsi"/>
          <w:sz w:val="20"/>
          <w:szCs w:val="20"/>
          <w:lang w:val="pt-BR"/>
        </w:rPr>
        <w:t>ô</w:t>
      </w:r>
      <w:r w:rsidR="00945B80" w:rsidRPr="006D1C74">
        <w:rPr>
          <w:rFonts w:asciiTheme="majorHAnsi" w:hAnsiTheme="majorHAnsi"/>
          <w:sz w:val="20"/>
          <w:szCs w:val="20"/>
          <w:lang w:val="pt-BR"/>
        </w:rPr>
        <w:t xml:space="preserve">nea, </w:t>
      </w:r>
      <w:r w:rsidR="00BA111B" w:rsidRPr="006D1C74">
        <w:rPr>
          <w:rFonts w:asciiTheme="majorHAnsi" w:hAnsiTheme="majorHAnsi"/>
          <w:sz w:val="20"/>
          <w:szCs w:val="20"/>
          <w:lang w:val="pt-BR"/>
        </w:rPr>
        <w:t>necessária</w:t>
      </w:r>
      <w:r w:rsidR="00CF037E" w:rsidRPr="006D1C74">
        <w:rPr>
          <w:rFonts w:asciiTheme="majorHAnsi" w:hAnsiTheme="majorHAnsi"/>
          <w:sz w:val="20"/>
          <w:szCs w:val="20"/>
          <w:lang w:val="pt-BR"/>
        </w:rPr>
        <w:t xml:space="preserve"> e </w:t>
      </w:r>
      <w:r w:rsidR="002649F0" w:rsidRPr="006D1C74">
        <w:rPr>
          <w:rFonts w:asciiTheme="majorHAnsi" w:hAnsiTheme="majorHAnsi"/>
          <w:sz w:val="20"/>
          <w:szCs w:val="20"/>
          <w:lang w:val="pt-BR"/>
        </w:rPr>
        <w:t>proporciona</w:t>
      </w:r>
      <w:r w:rsidR="00945B80" w:rsidRPr="006D1C74">
        <w:rPr>
          <w:rFonts w:asciiTheme="majorHAnsi" w:hAnsiTheme="majorHAnsi"/>
          <w:sz w:val="20"/>
          <w:szCs w:val="20"/>
          <w:lang w:val="pt-BR"/>
        </w:rPr>
        <w:t>l</w:t>
      </w:r>
      <w:r w:rsidR="002649F0" w:rsidRPr="006D1C74">
        <w:rPr>
          <w:rFonts w:asciiTheme="majorHAnsi" w:hAnsiTheme="majorHAnsi"/>
          <w:sz w:val="20"/>
          <w:szCs w:val="20"/>
          <w:lang w:val="pt-BR"/>
        </w:rPr>
        <w:t xml:space="preserve">. </w:t>
      </w:r>
    </w:p>
    <w:p w14:paraId="013A03CF" w14:textId="77777777" w:rsidR="002649F0" w:rsidRPr="006D1C74" w:rsidRDefault="002649F0" w:rsidP="002649F0">
      <w:pPr>
        <w:ind w:left="720"/>
        <w:rPr>
          <w:rFonts w:asciiTheme="majorHAnsi" w:eastAsia="Batang" w:hAnsiTheme="majorHAnsi" w:cs="Arial"/>
          <w:color w:val="000000"/>
          <w:sz w:val="20"/>
          <w:szCs w:val="20"/>
          <w:u w:color="000000"/>
          <w:bdr w:val="none" w:sz="0" w:space="0" w:color="auto"/>
          <w:lang w:val="pt-BR" w:eastAsia="es-ES"/>
        </w:rPr>
      </w:pPr>
    </w:p>
    <w:p w14:paraId="29B0D18D" w14:textId="77777777" w:rsidR="00454D37" w:rsidRPr="006D1C74" w:rsidRDefault="00E3390D"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pt-BR"/>
        </w:rPr>
      </w:pPr>
      <w:r w:rsidRPr="006D1C74">
        <w:rPr>
          <w:rFonts w:asciiTheme="majorHAnsi" w:eastAsia="Batang" w:hAnsiTheme="majorHAnsi" w:cs="Arial"/>
          <w:sz w:val="20"/>
          <w:szCs w:val="20"/>
          <w:bdr w:val="none" w:sz="0" w:space="0" w:color="auto"/>
          <w:lang w:val="pt-BR"/>
        </w:rPr>
        <w:t>Q</w:t>
      </w:r>
      <w:r w:rsidR="002649F0" w:rsidRPr="006D1C74">
        <w:rPr>
          <w:rFonts w:asciiTheme="majorHAnsi" w:eastAsia="Batang" w:hAnsiTheme="majorHAnsi" w:cs="Arial"/>
          <w:sz w:val="20"/>
          <w:szCs w:val="20"/>
          <w:bdr w:val="none" w:sz="0" w:space="0" w:color="auto"/>
          <w:lang w:val="pt-BR"/>
        </w:rPr>
        <w:t>uanto</w:t>
      </w:r>
      <w:r w:rsidR="00217759" w:rsidRPr="006D1C74">
        <w:rPr>
          <w:rFonts w:asciiTheme="majorHAnsi" w:eastAsia="Batang" w:hAnsiTheme="majorHAnsi" w:cs="Arial"/>
          <w:sz w:val="20"/>
          <w:szCs w:val="20"/>
          <w:bdr w:val="none" w:sz="0" w:space="0" w:color="auto"/>
          <w:lang w:val="pt-BR"/>
        </w:rPr>
        <w:t xml:space="preserve"> ao </w:t>
      </w:r>
      <w:r w:rsidR="008F1868" w:rsidRPr="006D1C74">
        <w:rPr>
          <w:rFonts w:asciiTheme="majorHAnsi" w:eastAsia="Batang" w:hAnsiTheme="majorHAnsi" w:cs="Arial"/>
          <w:sz w:val="20"/>
          <w:szCs w:val="20"/>
          <w:bdr w:val="none" w:sz="0" w:space="0" w:color="auto"/>
          <w:lang w:val="pt-BR"/>
        </w:rPr>
        <w:t>argumento</w:t>
      </w:r>
      <w:r w:rsidR="00030019" w:rsidRPr="006D1C74">
        <w:rPr>
          <w:rFonts w:asciiTheme="majorHAnsi" w:eastAsia="Batang" w:hAnsiTheme="majorHAnsi" w:cs="Arial"/>
          <w:sz w:val="20"/>
          <w:szCs w:val="20"/>
          <w:bdr w:val="none" w:sz="0" w:space="0" w:color="auto"/>
          <w:lang w:val="pt-BR"/>
        </w:rPr>
        <w:t xml:space="preserve"> do </w:t>
      </w:r>
      <w:r w:rsidR="008F1868" w:rsidRPr="006D1C74">
        <w:rPr>
          <w:rFonts w:asciiTheme="majorHAnsi" w:eastAsia="Batang" w:hAnsiTheme="majorHAnsi" w:cs="Arial"/>
          <w:sz w:val="20"/>
          <w:szCs w:val="20"/>
          <w:bdr w:val="none" w:sz="0" w:space="0" w:color="auto"/>
          <w:lang w:val="pt-BR"/>
        </w:rPr>
        <w:t>Estado</w:t>
      </w:r>
      <w:r w:rsidR="00F673C7" w:rsidRPr="006D1C74">
        <w:rPr>
          <w:rFonts w:asciiTheme="majorHAnsi" w:eastAsia="Batang" w:hAnsiTheme="majorHAnsi" w:cs="Arial"/>
          <w:sz w:val="20"/>
          <w:szCs w:val="20"/>
          <w:bdr w:val="none" w:sz="0" w:space="0" w:color="auto"/>
          <w:lang w:val="pt-BR"/>
        </w:rPr>
        <w:t xml:space="preserve"> </w:t>
      </w:r>
      <w:r w:rsidRPr="006D1C74">
        <w:rPr>
          <w:rFonts w:asciiTheme="majorHAnsi" w:eastAsia="Batang" w:hAnsiTheme="majorHAnsi" w:cs="Arial"/>
          <w:sz w:val="20"/>
          <w:szCs w:val="20"/>
          <w:bdr w:val="none" w:sz="0" w:space="0" w:color="auto"/>
          <w:lang w:val="pt-BR"/>
        </w:rPr>
        <w:t xml:space="preserve">no sentido de </w:t>
      </w:r>
      <w:r w:rsidR="002649F0" w:rsidRPr="006D1C74">
        <w:rPr>
          <w:rFonts w:asciiTheme="majorHAnsi" w:eastAsia="Batang" w:hAnsiTheme="majorHAnsi" w:cs="Arial"/>
          <w:sz w:val="20"/>
          <w:szCs w:val="20"/>
          <w:bdr w:val="none" w:sz="0" w:space="0" w:color="auto"/>
          <w:lang w:val="pt-BR"/>
        </w:rPr>
        <w:t>que</w:t>
      </w:r>
      <w:r w:rsidR="00F673C7" w:rsidRPr="006D1C74">
        <w:rPr>
          <w:rFonts w:asciiTheme="majorHAnsi" w:eastAsia="Batang" w:hAnsiTheme="majorHAnsi" w:cs="Arial"/>
          <w:sz w:val="20"/>
          <w:szCs w:val="20"/>
          <w:bdr w:val="none" w:sz="0" w:space="0" w:color="auto"/>
          <w:lang w:val="pt-BR"/>
        </w:rPr>
        <w:t xml:space="preserve"> não </w:t>
      </w:r>
      <w:r w:rsidR="002649F0" w:rsidRPr="006D1C74">
        <w:rPr>
          <w:rFonts w:asciiTheme="majorHAnsi" w:eastAsia="Batang" w:hAnsiTheme="majorHAnsi" w:cs="Arial"/>
          <w:sz w:val="20"/>
          <w:szCs w:val="20"/>
          <w:bdr w:val="none" w:sz="0" w:space="0" w:color="auto"/>
          <w:lang w:val="pt-BR"/>
        </w:rPr>
        <w:t>h</w:t>
      </w:r>
      <w:r w:rsidRPr="006D1C74">
        <w:rPr>
          <w:rFonts w:asciiTheme="majorHAnsi" w:eastAsia="Batang" w:hAnsiTheme="majorHAnsi" w:cs="Arial"/>
          <w:sz w:val="20"/>
          <w:szCs w:val="20"/>
          <w:bdr w:val="none" w:sz="0" w:space="0" w:color="auto"/>
          <w:lang w:val="pt-BR"/>
        </w:rPr>
        <w:t>ouve</w:t>
      </w:r>
      <w:r w:rsidR="002649F0" w:rsidRPr="006D1C74">
        <w:rPr>
          <w:rFonts w:asciiTheme="majorHAnsi" w:eastAsia="Batang" w:hAnsiTheme="majorHAnsi" w:cs="Arial"/>
          <w:sz w:val="20"/>
          <w:szCs w:val="20"/>
          <w:bdr w:val="none" w:sz="0" w:space="0" w:color="auto"/>
          <w:lang w:val="pt-BR"/>
        </w:rPr>
        <w:t xml:space="preserve"> inten</w:t>
      </w:r>
      <w:r w:rsidR="00CF037E" w:rsidRPr="006D1C74">
        <w:rPr>
          <w:rFonts w:asciiTheme="majorHAnsi" w:eastAsia="Batang" w:hAnsiTheme="majorHAnsi" w:cs="Arial"/>
          <w:sz w:val="20"/>
          <w:szCs w:val="20"/>
          <w:bdr w:val="none" w:sz="0" w:space="0" w:color="auto"/>
          <w:lang w:val="pt-BR"/>
        </w:rPr>
        <w:t>ção</w:t>
      </w:r>
      <w:r w:rsidR="002649F0" w:rsidRPr="006D1C74">
        <w:rPr>
          <w:rFonts w:asciiTheme="majorHAnsi" w:eastAsia="Batang" w:hAnsiTheme="majorHAnsi" w:cs="Arial"/>
          <w:sz w:val="20"/>
          <w:szCs w:val="20"/>
          <w:bdr w:val="none" w:sz="0" w:space="0" w:color="auto"/>
          <w:lang w:val="pt-BR"/>
        </w:rPr>
        <w:t xml:space="preserve"> de </w:t>
      </w:r>
      <w:r w:rsidRPr="006D1C74">
        <w:rPr>
          <w:rFonts w:asciiTheme="majorHAnsi" w:eastAsia="Batang" w:hAnsiTheme="majorHAnsi" w:cs="Arial"/>
          <w:sz w:val="20"/>
          <w:szCs w:val="20"/>
          <w:bdr w:val="none" w:sz="0" w:space="0" w:color="auto"/>
          <w:lang w:val="pt-BR"/>
        </w:rPr>
        <w:t>f</w:t>
      </w:r>
      <w:r w:rsidR="002649F0" w:rsidRPr="006D1C74">
        <w:rPr>
          <w:rFonts w:asciiTheme="majorHAnsi" w:eastAsia="Batang" w:hAnsiTheme="majorHAnsi" w:cs="Arial"/>
          <w:sz w:val="20"/>
          <w:szCs w:val="20"/>
          <w:bdr w:val="none" w:sz="0" w:space="0" w:color="auto"/>
          <w:lang w:val="pt-BR"/>
        </w:rPr>
        <w:t xml:space="preserve">erir </w:t>
      </w:r>
      <w:r w:rsidR="00FC2F62" w:rsidRPr="006D1C74">
        <w:rPr>
          <w:rFonts w:asciiTheme="majorHAnsi" w:eastAsia="Batang" w:hAnsiTheme="majorHAnsi" w:cs="Arial"/>
          <w:sz w:val="20"/>
          <w:szCs w:val="20"/>
          <w:bdr w:val="none" w:sz="0" w:space="0" w:color="auto"/>
          <w:lang w:val="pt-BR"/>
        </w:rPr>
        <w:t>mort</w:t>
      </w:r>
      <w:r w:rsidRPr="006D1C74">
        <w:rPr>
          <w:rFonts w:asciiTheme="majorHAnsi" w:eastAsia="Batang" w:hAnsiTheme="majorHAnsi" w:cs="Arial"/>
          <w:sz w:val="20"/>
          <w:szCs w:val="20"/>
          <w:bdr w:val="none" w:sz="0" w:space="0" w:color="auto"/>
          <w:lang w:val="pt-BR"/>
        </w:rPr>
        <w:t>almente</w:t>
      </w:r>
      <w:r w:rsidR="002649F0" w:rsidRPr="006D1C74">
        <w:rPr>
          <w:rFonts w:asciiTheme="majorHAnsi" w:eastAsia="Batang" w:hAnsiTheme="majorHAnsi" w:cs="Arial"/>
          <w:sz w:val="20"/>
          <w:szCs w:val="20"/>
          <w:bdr w:val="none" w:sz="0" w:space="0" w:color="auto"/>
          <w:lang w:val="pt-BR"/>
        </w:rPr>
        <w:t xml:space="preserve"> Antonio Tavares Pereira</w:t>
      </w:r>
      <w:r w:rsidR="00CF037E" w:rsidRPr="006D1C74">
        <w:rPr>
          <w:rFonts w:asciiTheme="majorHAnsi" w:eastAsia="Batang" w:hAnsiTheme="majorHAnsi" w:cs="Arial"/>
          <w:sz w:val="20"/>
          <w:szCs w:val="20"/>
          <w:bdr w:val="none" w:sz="0" w:space="0" w:color="auto"/>
          <w:lang w:val="pt-BR"/>
        </w:rPr>
        <w:t xml:space="preserve"> e </w:t>
      </w:r>
      <w:r w:rsidR="002649F0" w:rsidRPr="006D1C74">
        <w:rPr>
          <w:rFonts w:asciiTheme="majorHAnsi" w:eastAsia="Batang" w:hAnsiTheme="majorHAnsi" w:cs="Arial"/>
          <w:sz w:val="20"/>
          <w:szCs w:val="20"/>
          <w:bdr w:val="none" w:sz="0" w:space="0" w:color="auto"/>
          <w:lang w:val="pt-BR"/>
        </w:rPr>
        <w:t xml:space="preserve">que </w:t>
      </w:r>
      <w:r w:rsidR="00BA111B" w:rsidRPr="006D1C74">
        <w:rPr>
          <w:rFonts w:asciiTheme="majorHAnsi" w:eastAsia="Batang" w:hAnsiTheme="majorHAnsi" w:cs="Arial"/>
          <w:sz w:val="20"/>
          <w:szCs w:val="20"/>
          <w:bdr w:val="none" w:sz="0" w:space="0" w:color="auto"/>
          <w:lang w:val="pt-BR"/>
        </w:rPr>
        <w:t>sua</w:t>
      </w:r>
      <w:r w:rsidR="002649F0" w:rsidRPr="006D1C74">
        <w:rPr>
          <w:rFonts w:asciiTheme="majorHAnsi" w:eastAsia="Batang" w:hAnsiTheme="majorHAnsi" w:cs="Arial"/>
          <w:sz w:val="20"/>
          <w:szCs w:val="20"/>
          <w:bdr w:val="none" w:sz="0" w:space="0" w:color="auto"/>
          <w:lang w:val="pt-BR"/>
        </w:rPr>
        <w:t xml:space="preserve"> </w:t>
      </w:r>
      <w:r w:rsidR="00FC2F62" w:rsidRPr="006D1C74">
        <w:rPr>
          <w:rFonts w:asciiTheme="majorHAnsi" w:eastAsia="Batang" w:hAnsiTheme="majorHAnsi" w:cs="Arial"/>
          <w:sz w:val="20"/>
          <w:szCs w:val="20"/>
          <w:bdr w:val="none" w:sz="0" w:space="0" w:color="auto"/>
          <w:lang w:val="pt-BR"/>
        </w:rPr>
        <w:t>morte</w:t>
      </w:r>
      <w:r w:rsidR="00CA7940" w:rsidRPr="006D1C74">
        <w:rPr>
          <w:rFonts w:asciiTheme="majorHAnsi" w:eastAsia="Batang" w:hAnsiTheme="majorHAnsi" w:cs="Arial"/>
          <w:sz w:val="20"/>
          <w:szCs w:val="20"/>
          <w:bdr w:val="none" w:sz="0" w:space="0" w:color="auto"/>
          <w:lang w:val="pt-BR"/>
        </w:rPr>
        <w:t xml:space="preserve"> foi </w:t>
      </w:r>
      <w:r w:rsidR="00BA111B" w:rsidRPr="006D1C74">
        <w:rPr>
          <w:rFonts w:asciiTheme="majorHAnsi" w:eastAsia="Batang" w:hAnsiTheme="majorHAnsi" w:cs="Arial"/>
          <w:sz w:val="20"/>
          <w:szCs w:val="20"/>
          <w:bdr w:val="none" w:sz="0" w:space="0" w:color="auto"/>
          <w:lang w:val="pt-BR"/>
        </w:rPr>
        <w:t>acidental</w:t>
      </w:r>
      <w:r w:rsidR="002649F0" w:rsidRPr="006D1C74">
        <w:rPr>
          <w:rFonts w:asciiTheme="majorHAnsi" w:eastAsia="Batang" w:hAnsiTheme="majorHAnsi" w:cs="Arial"/>
          <w:sz w:val="20"/>
          <w:szCs w:val="20"/>
          <w:bdr w:val="none" w:sz="0" w:space="0" w:color="auto"/>
          <w:lang w:val="pt-BR"/>
        </w:rPr>
        <w:t>,</w:t>
      </w:r>
      <w:r w:rsidR="00700267" w:rsidRPr="006D1C74">
        <w:rPr>
          <w:rFonts w:asciiTheme="majorHAnsi" w:eastAsia="Batang" w:hAnsiTheme="majorHAnsi" w:cs="Arial"/>
          <w:sz w:val="20"/>
          <w:szCs w:val="20"/>
          <w:bdr w:val="none" w:sz="0" w:space="0" w:color="auto"/>
          <w:lang w:val="pt-BR"/>
        </w:rPr>
        <w:t xml:space="preserve"> a </w:t>
      </w:r>
      <w:r w:rsidR="00417BE8" w:rsidRPr="006D1C74">
        <w:rPr>
          <w:rFonts w:asciiTheme="majorHAnsi" w:eastAsia="Batang" w:hAnsiTheme="majorHAnsi" w:cs="Arial"/>
          <w:sz w:val="20"/>
          <w:szCs w:val="20"/>
          <w:bdr w:val="none" w:sz="0" w:space="0" w:color="auto"/>
          <w:lang w:val="pt-BR"/>
        </w:rPr>
        <w:t>Comissão</w:t>
      </w:r>
      <w:r w:rsidR="002649F0" w:rsidRPr="006D1C74">
        <w:rPr>
          <w:rFonts w:asciiTheme="majorHAnsi" w:eastAsia="Batang" w:hAnsiTheme="majorHAnsi" w:cs="Arial"/>
          <w:sz w:val="20"/>
          <w:szCs w:val="20"/>
          <w:bdr w:val="none" w:sz="0" w:space="0" w:color="auto"/>
          <w:lang w:val="pt-BR"/>
        </w:rPr>
        <w:t xml:space="preserve"> </w:t>
      </w:r>
      <w:r w:rsidR="002649F0" w:rsidRPr="006D1C74">
        <w:rPr>
          <w:rFonts w:asciiTheme="majorHAnsi" w:hAnsiTheme="majorHAnsi"/>
          <w:sz w:val="20"/>
          <w:szCs w:val="20"/>
          <w:lang w:val="pt-BR"/>
        </w:rPr>
        <w:t>destaca que</w:t>
      </w:r>
      <w:r w:rsidR="00700267" w:rsidRPr="006D1C74">
        <w:rPr>
          <w:rFonts w:asciiTheme="majorHAnsi" w:hAnsiTheme="majorHAnsi"/>
          <w:sz w:val="20"/>
          <w:szCs w:val="20"/>
          <w:lang w:val="pt-BR"/>
        </w:rPr>
        <w:t xml:space="preserve"> a </w:t>
      </w:r>
      <w:r w:rsidR="002649F0" w:rsidRPr="006D1C74">
        <w:rPr>
          <w:rFonts w:asciiTheme="majorHAnsi" w:hAnsiTheme="majorHAnsi"/>
          <w:sz w:val="20"/>
          <w:szCs w:val="20"/>
          <w:lang w:val="pt-BR"/>
        </w:rPr>
        <w:t>eventual modali</w:t>
      </w:r>
      <w:r w:rsidR="00F673C7" w:rsidRPr="006D1C74">
        <w:rPr>
          <w:rFonts w:asciiTheme="majorHAnsi" w:hAnsiTheme="majorHAnsi"/>
          <w:sz w:val="20"/>
          <w:szCs w:val="20"/>
          <w:lang w:val="pt-BR"/>
        </w:rPr>
        <w:t xml:space="preserve">dade </w:t>
      </w:r>
      <w:r w:rsidR="002649F0" w:rsidRPr="006D1C74">
        <w:rPr>
          <w:rFonts w:asciiTheme="majorHAnsi" w:hAnsiTheme="majorHAnsi"/>
          <w:sz w:val="20"/>
          <w:szCs w:val="20"/>
          <w:lang w:val="pt-BR"/>
        </w:rPr>
        <w:t>culposa</w:t>
      </w:r>
      <w:r w:rsidR="00795010" w:rsidRPr="006D1C74">
        <w:rPr>
          <w:rFonts w:asciiTheme="majorHAnsi" w:hAnsiTheme="majorHAnsi"/>
          <w:sz w:val="20"/>
          <w:szCs w:val="20"/>
          <w:lang w:val="pt-BR"/>
        </w:rPr>
        <w:t xml:space="preserve"> da </w:t>
      </w:r>
      <w:r w:rsidR="00BA111B" w:rsidRPr="006D1C74">
        <w:rPr>
          <w:rFonts w:asciiTheme="majorHAnsi" w:hAnsiTheme="majorHAnsi"/>
          <w:sz w:val="20"/>
          <w:szCs w:val="20"/>
          <w:lang w:val="pt-BR"/>
        </w:rPr>
        <w:t>conduta</w:t>
      </w:r>
      <w:r w:rsidR="002649F0" w:rsidRPr="006D1C74">
        <w:rPr>
          <w:rFonts w:asciiTheme="majorHAnsi" w:hAnsiTheme="majorHAnsi"/>
          <w:sz w:val="20"/>
          <w:szCs w:val="20"/>
          <w:lang w:val="pt-BR"/>
        </w:rPr>
        <w:t xml:space="preserve"> de</w:t>
      </w:r>
      <w:r w:rsidR="00030019" w:rsidRPr="006D1C74">
        <w:rPr>
          <w:rFonts w:asciiTheme="majorHAnsi" w:hAnsiTheme="majorHAnsi"/>
          <w:sz w:val="20"/>
          <w:szCs w:val="20"/>
          <w:lang w:val="pt-BR"/>
        </w:rPr>
        <w:t xml:space="preserve"> um </w:t>
      </w:r>
      <w:r w:rsidR="002649F0" w:rsidRPr="006D1C74">
        <w:rPr>
          <w:rFonts w:asciiTheme="majorHAnsi" w:hAnsiTheme="majorHAnsi"/>
          <w:sz w:val="20"/>
          <w:szCs w:val="20"/>
          <w:lang w:val="pt-BR"/>
        </w:rPr>
        <w:t>agente estatal</w:t>
      </w:r>
      <w:r w:rsidR="00F673C7" w:rsidRPr="006D1C74">
        <w:rPr>
          <w:rFonts w:asciiTheme="majorHAnsi" w:hAnsiTheme="majorHAnsi"/>
          <w:sz w:val="20"/>
          <w:szCs w:val="20"/>
          <w:lang w:val="pt-BR"/>
        </w:rPr>
        <w:t xml:space="preserve"> não </w:t>
      </w:r>
      <w:r w:rsidR="002649F0" w:rsidRPr="006D1C74">
        <w:rPr>
          <w:rFonts w:asciiTheme="majorHAnsi" w:hAnsiTheme="majorHAnsi"/>
          <w:sz w:val="20"/>
          <w:szCs w:val="20"/>
          <w:lang w:val="pt-BR"/>
        </w:rPr>
        <w:t>exclu</w:t>
      </w:r>
      <w:r w:rsidRPr="006D1C74">
        <w:rPr>
          <w:rFonts w:asciiTheme="majorHAnsi" w:hAnsiTheme="majorHAnsi"/>
          <w:sz w:val="20"/>
          <w:szCs w:val="20"/>
          <w:lang w:val="pt-BR"/>
        </w:rPr>
        <w:t>i</w:t>
      </w:r>
      <w:r w:rsidR="00700267" w:rsidRPr="006D1C74">
        <w:rPr>
          <w:rFonts w:asciiTheme="majorHAnsi" w:hAnsiTheme="majorHAnsi"/>
          <w:sz w:val="20"/>
          <w:szCs w:val="20"/>
          <w:lang w:val="pt-BR"/>
        </w:rPr>
        <w:t xml:space="preserve"> a </w:t>
      </w:r>
      <w:r w:rsidR="002649F0" w:rsidRPr="006D1C74">
        <w:rPr>
          <w:rFonts w:asciiTheme="majorHAnsi" w:hAnsiTheme="majorHAnsi"/>
          <w:sz w:val="20"/>
          <w:szCs w:val="20"/>
          <w:lang w:val="pt-BR"/>
        </w:rPr>
        <w:t>responsabili</w:t>
      </w:r>
      <w:r w:rsidR="00F673C7" w:rsidRPr="006D1C74">
        <w:rPr>
          <w:rFonts w:asciiTheme="majorHAnsi" w:hAnsiTheme="majorHAnsi"/>
          <w:sz w:val="20"/>
          <w:szCs w:val="20"/>
          <w:lang w:val="pt-BR"/>
        </w:rPr>
        <w:t xml:space="preserve">dade </w:t>
      </w:r>
      <w:r w:rsidR="002649F0" w:rsidRPr="006D1C74">
        <w:rPr>
          <w:rFonts w:asciiTheme="majorHAnsi" w:hAnsiTheme="majorHAnsi"/>
          <w:sz w:val="20"/>
          <w:szCs w:val="20"/>
          <w:lang w:val="pt-BR"/>
        </w:rPr>
        <w:t>internacional</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Estado,</w:t>
      </w:r>
      <w:r w:rsidR="00700267" w:rsidRPr="006D1C74">
        <w:rPr>
          <w:rFonts w:asciiTheme="majorHAnsi" w:hAnsiTheme="majorHAnsi"/>
          <w:sz w:val="20"/>
          <w:szCs w:val="20"/>
          <w:lang w:val="pt-BR"/>
        </w:rPr>
        <w:t xml:space="preserve"> a </w:t>
      </w:r>
      <w:r w:rsidR="00BA111B" w:rsidRPr="006D1C74">
        <w:rPr>
          <w:rFonts w:asciiTheme="majorHAnsi" w:hAnsiTheme="majorHAnsi"/>
          <w:sz w:val="20"/>
          <w:szCs w:val="20"/>
          <w:lang w:val="pt-BR"/>
        </w:rPr>
        <w:t>qual</w:t>
      </w:r>
      <w:r w:rsidR="00F673C7" w:rsidRPr="006D1C74">
        <w:rPr>
          <w:rFonts w:asciiTheme="majorHAnsi" w:hAnsiTheme="majorHAnsi"/>
          <w:sz w:val="20"/>
          <w:szCs w:val="20"/>
          <w:lang w:val="pt-BR"/>
        </w:rPr>
        <w:t xml:space="preserve"> não </w:t>
      </w:r>
      <w:r w:rsidR="002649F0" w:rsidRPr="006D1C74">
        <w:rPr>
          <w:rFonts w:asciiTheme="majorHAnsi" w:hAnsiTheme="majorHAnsi"/>
          <w:sz w:val="20"/>
          <w:szCs w:val="20"/>
          <w:lang w:val="pt-BR"/>
        </w:rPr>
        <w:t>se bas</w:t>
      </w:r>
      <w:r w:rsidRPr="006D1C74">
        <w:rPr>
          <w:rFonts w:asciiTheme="majorHAnsi" w:hAnsiTheme="majorHAnsi"/>
          <w:sz w:val="20"/>
          <w:szCs w:val="20"/>
          <w:lang w:val="pt-BR"/>
        </w:rPr>
        <w:t>ei</w:t>
      </w:r>
      <w:r w:rsidR="002649F0" w:rsidRPr="006D1C74">
        <w:rPr>
          <w:rFonts w:asciiTheme="majorHAnsi" w:hAnsiTheme="majorHAnsi"/>
          <w:sz w:val="20"/>
          <w:szCs w:val="20"/>
          <w:lang w:val="pt-BR"/>
        </w:rPr>
        <w:t>a</w:t>
      </w:r>
      <w:r w:rsidR="00F673C7" w:rsidRPr="006D1C74">
        <w:rPr>
          <w:rFonts w:asciiTheme="majorHAnsi" w:hAnsiTheme="majorHAnsi"/>
          <w:sz w:val="20"/>
          <w:szCs w:val="20"/>
          <w:lang w:val="pt-BR"/>
        </w:rPr>
        <w:t xml:space="preserve"> na </w:t>
      </w:r>
      <w:r w:rsidR="00BA111B" w:rsidRPr="006D1C74">
        <w:rPr>
          <w:rFonts w:asciiTheme="majorHAnsi" w:hAnsiTheme="majorHAnsi"/>
          <w:sz w:val="20"/>
          <w:szCs w:val="20"/>
          <w:lang w:val="pt-BR"/>
        </w:rPr>
        <w:t>vontade</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agente de causar</w:t>
      </w:r>
      <w:r w:rsidR="00700267" w:rsidRPr="006D1C74">
        <w:rPr>
          <w:rFonts w:asciiTheme="majorHAnsi" w:hAnsiTheme="majorHAnsi"/>
          <w:sz w:val="20"/>
          <w:szCs w:val="20"/>
          <w:lang w:val="pt-BR"/>
        </w:rPr>
        <w:t xml:space="preserve"> a </w:t>
      </w:r>
      <w:r w:rsidR="00FC2F62" w:rsidRPr="006D1C74">
        <w:rPr>
          <w:rFonts w:asciiTheme="majorHAnsi" w:hAnsiTheme="majorHAnsi"/>
          <w:sz w:val="20"/>
          <w:szCs w:val="20"/>
          <w:lang w:val="pt-BR"/>
        </w:rPr>
        <w:t>morte</w:t>
      </w:r>
      <w:r w:rsidR="002649F0" w:rsidRPr="006D1C74">
        <w:rPr>
          <w:rFonts w:asciiTheme="majorHAnsi" w:hAnsiTheme="majorHAnsi"/>
          <w:sz w:val="20"/>
          <w:szCs w:val="20"/>
          <w:lang w:val="pt-BR"/>
        </w:rPr>
        <w:t xml:space="preserve">, </w:t>
      </w:r>
      <w:r w:rsidRPr="006D1C74">
        <w:rPr>
          <w:rFonts w:asciiTheme="majorHAnsi" w:hAnsiTheme="majorHAnsi"/>
          <w:sz w:val="20"/>
          <w:szCs w:val="20"/>
          <w:lang w:val="pt-BR"/>
        </w:rPr>
        <w:t>mas</w:t>
      </w:r>
      <w:r w:rsidR="00217759" w:rsidRPr="006D1C74">
        <w:rPr>
          <w:rFonts w:asciiTheme="majorHAnsi" w:hAnsiTheme="majorHAnsi"/>
          <w:sz w:val="20"/>
          <w:szCs w:val="20"/>
          <w:lang w:val="pt-BR"/>
        </w:rPr>
        <w:t xml:space="preserve"> nos </w:t>
      </w:r>
      <w:r w:rsidR="002649F0" w:rsidRPr="006D1C74">
        <w:rPr>
          <w:rFonts w:asciiTheme="majorHAnsi" w:hAnsiTheme="majorHAnsi"/>
          <w:sz w:val="20"/>
          <w:szCs w:val="20"/>
          <w:lang w:val="pt-BR"/>
        </w:rPr>
        <w:t>requisitos de finali</w:t>
      </w:r>
      <w:r w:rsidR="00F673C7" w:rsidRPr="006D1C74">
        <w:rPr>
          <w:rFonts w:asciiTheme="majorHAnsi" w:hAnsiTheme="majorHAnsi"/>
          <w:sz w:val="20"/>
          <w:szCs w:val="20"/>
          <w:lang w:val="pt-BR"/>
        </w:rPr>
        <w:t xml:space="preserve">dade </w:t>
      </w:r>
      <w:r w:rsidR="002649F0" w:rsidRPr="006D1C74">
        <w:rPr>
          <w:rFonts w:asciiTheme="majorHAnsi" w:hAnsiTheme="majorHAnsi"/>
          <w:sz w:val="20"/>
          <w:szCs w:val="20"/>
          <w:lang w:val="pt-BR"/>
        </w:rPr>
        <w:t xml:space="preserve">legítima, </w:t>
      </w:r>
      <w:r w:rsidR="00CA6F81" w:rsidRPr="006D1C74">
        <w:rPr>
          <w:rFonts w:asciiTheme="majorHAnsi" w:hAnsiTheme="majorHAnsi"/>
          <w:sz w:val="20"/>
          <w:szCs w:val="20"/>
          <w:lang w:val="pt-BR"/>
        </w:rPr>
        <w:t>necessi</w:t>
      </w:r>
      <w:r w:rsidR="00F673C7" w:rsidRPr="006D1C74">
        <w:rPr>
          <w:rFonts w:asciiTheme="majorHAnsi" w:hAnsiTheme="majorHAnsi"/>
          <w:sz w:val="20"/>
          <w:szCs w:val="20"/>
          <w:lang w:val="pt-BR"/>
        </w:rPr>
        <w:t xml:space="preserve">dade </w:t>
      </w:r>
      <w:r w:rsidR="00CF037E" w:rsidRPr="006D1C74">
        <w:rPr>
          <w:rFonts w:asciiTheme="majorHAnsi" w:hAnsiTheme="majorHAnsi"/>
          <w:sz w:val="20"/>
          <w:szCs w:val="20"/>
          <w:lang w:val="pt-BR"/>
        </w:rPr>
        <w:t xml:space="preserve">e </w:t>
      </w:r>
      <w:r w:rsidR="00BA111B" w:rsidRPr="006D1C74">
        <w:rPr>
          <w:rFonts w:asciiTheme="majorHAnsi" w:hAnsiTheme="majorHAnsi"/>
          <w:sz w:val="20"/>
          <w:szCs w:val="20"/>
          <w:lang w:val="pt-BR"/>
        </w:rPr>
        <w:t>proporcionalidade</w:t>
      </w:r>
      <w:r w:rsidR="002649F0" w:rsidRPr="006D1C74">
        <w:rPr>
          <w:rFonts w:asciiTheme="majorHAnsi" w:hAnsiTheme="majorHAnsi"/>
          <w:sz w:val="20"/>
          <w:szCs w:val="20"/>
          <w:lang w:val="pt-BR"/>
        </w:rPr>
        <w:t xml:space="preserve">, </w:t>
      </w:r>
      <w:r w:rsidR="00BA111B" w:rsidRPr="006D1C74">
        <w:rPr>
          <w:rFonts w:asciiTheme="majorHAnsi" w:hAnsiTheme="majorHAnsi"/>
          <w:sz w:val="20"/>
          <w:szCs w:val="20"/>
          <w:lang w:val="pt-BR"/>
        </w:rPr>
        <w:t>cujo</w:t>
      </w:r>
      <w:r w:rsidR="002649F0" w:rsidRPr="006D1C74">
        <w:rPr>
          <w:rFonts w:asciiTheme="majorHAnsi" w:hAnsiTheme="majorHAnsi"/>
          <w:sz w:val="20"/>
          <w:szCs w:val="20"/>
          <w:lang w:val="pt-BR"/>
        </w:rPr>
        <w:t xml:space="preserve"> </w:t>
      </w:r>
      <w:r w:rsidR="00BA111B" w:rsidRPr="006D1C74">
        <w:rPr>
          <w:rFonts w:asciiTheme="majorHAnsi" w:hAnsiTheme="majorHAnsi"/>
          <w:sz w:val="20"/>
          <w:szCs w:val="20"/>
          <w:lang w:val="pt-BR"/>
        </w:rPr>
        <w:t>descumprimento</w:t>
      </w:r>
      <w:r w:rsidR="002649F0" w:rsidRPr="006D1C74">
        <w:rPr>
          <w:rFonts w:asciiTheme="majorHAnsi" w:hAnsiTheme="majorHAnsi"/>
          <w:sz w:val="20"/>
          <w:szCs w:val="20"/>
          <w:lang w:val="pt-BR"/>
        </w:rPr>
        <w:t xml:space="preserve"> </w:t>
      </w:r>
      <w:r w:rsidRPr="006D1C74">
        <w:rPr>
          <w:rFonts w:asciiTheme="majorHAnsi" w:hAnsiTheme="majorHAnsi"/>
          <w:sz w:val="20"/>
          <w:szCs w:val="20"/>
          <w:lang w:val="pt-BR"/>
        </w:rPr>
        <w:t>ficou</w:t>
      </w:r>
      <w:r w:rsidR="002649F0" w:rsidRPr="006D1C74">
        <w:rPr>
          <w:rFonts w:asciiTheme="majorHAnsi" w:hAnsiTheme="majorHAnsi"/>
          <w:sz w:val="20"/>
          <w:szCs w:val="20"/>
          <w:lang w:val="pt-BR"/>
        </w:rPr>
        <w:t xml:space="preserve"> demo</w:t>
      </w:r>
      <w:r w:rsidR="00C142A1">
        <w:rPr>
          <w:rFonts w:asciiTheme="majorHAnsi" w:hAnsiTheme="majorHAnsi"/>
          <w:sz w:val="20"/>
          <w:szCs w:val="20"/>
          <w:lang w:val="pt-BR"/>
        </w:rPr>
        <w:t>n</w:t>
      </w:r>
      <w:r w:rsidR="002649F0" w:rsidRPr="006D1C74">
        <w:rPr>
          <w:rFonts w:asciiTheme="majorHAnsi" w:hAnsiTheme="majorHAnsi"/>
          <w:sz w:val="20"/>
          <w:szCs w:val="20"/>
          <w:lang w:val="pt-BR"/>
        </w:rPr>
        <w:t xml:space="preserve">strado. </w:t>
      </w:r>
    </w:p>
    <w:p w14:paraId="7F63CE49" w14:textId="77777777" w:rsidR="00454D37" w:rsidRPr="006D1C74" w:rsidRDefault="00454D37" w:rsidP="00454D37">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jc w:val="both"/>
        <w:rPr>
          <w:rFonts w:asciiTheme="majorHAnsi" w:eastAsia="Batang" w:hAnsiTheme="majorHAnsi" w:cs="Arial"/>
          <w:sz w:val="20"/>
          <w:szCs w:val="20"/>
          <w:bdr w:val="none" w:sz="0" w:space="0" w:color="auto"/>
          <w:lang w:val="pt-BR"/>
        </w:rPr>
      </w:pPr>
    </w:p>
    <w:p w14:paraId="32EDB77A" w14:textId="77777777" w:rsidR="002649F0" w:rsidRPr="006D1C74" w:rsidRDefault="00E3390D"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pt-BR"/>
        </w:rPr>
      </w:pPr>
      <w:r w:rsidRPr="006D1C74">
        <w:rPr>
          <w:rFonts w:asciiTheme="majorHAnsi" w:hAnsiTheme="majorHAnsi"/>
          <w:sz w:val="20"/>
          <w:szCs w:val="20"/>
          <w:lang w:val="pt-BR"/>
        </w:rPr>
        <w:t>Assim</w:t>
      </w:r>
      <w:r w:rsidR="00454D37" w:rsidRPr="006D1C74">
        <w:rPr>
          <w:rFonts w:asciiTheme="majorHAnsi" w:hAnsiTheme="majorHAnsi"/>
          <w:sz w:val="20"/>
          <w:szCs w:val="20"/>
          <w:lang w:val="pt-BR"/>
        </w:rPr>
        <w:t xml:space="preserve">, </w:t>
      </w:r>
      <w:r w:rsidRPr="006D1C74">
        <w:rPr>
          <w:rFonts w:asciiTheme="majorHAnsi" w:hAnsiTheme="majorHAnsi"/>
          <w:sz w:val="20"/>
          <w:szCs w:val="20"/>
          <w:lang w:val="pt-BR"/>
        </w:rPr>
        <w:t xml:space="preserve">embora </w:t>
      </w:r>
      <w:r w:rsidR="002649F0" w:rsidRPr="006D1C74">
        <w:rPr>
          <w:rFonts w:asciiTheme="majorHAnsi" w:hAnsiTheme="majorHAnsi"/>
          <w:sz w:val="20"/>
          <w:szCs w:val="20"/>
          <w:lang w:val="pt-BR"/>
        </w:rPr>
        <w:t>se entenda que</w:t>
      </w:r>
      <w:r w:rsidR="00F673C7" w:rsidRPr="006D1C74">
        <w:rPr>
          <w:rFonts w:asciiTheme="majorHAnsi" w:hAnsiTheme="majorHAnsi"/>
          <w:sz w:val="20"/>
          <w:szCs w:val="20"/>
          <w:lang w:val="pt-BR"/>
        </w:rPr>
        <w:t xml:space="preserve"> não </w:t>
      </w:r>
      <w:r w:rsidR="002649F0" w:rsidRPr="006D1C74">
        <w:rPr>
          <w:rFonts w:asciiTheme="majorHAnsi" w:hAnsiTheme="majorHAnsi"/>
          <w:sz w:val="20"/>
          <w:szCs w:val="20"/>
          <w:lang w:val="pt-BR"/>
        </w:rPr>
        <w:t>h</w:t>
      </w:r>
      <w:r w:rsidRPr="006D1C74">
        <w:rPr>
          <w:rFonts w:asciiTheme="majorHAnsi" w:hAnsiTheme="majorHAnsi"/>
          <w:sz w:val="20"/>
          <w:szCs w:val="20"/>
          <w:lang w:val="pt-BR"/>
        </w:rPr>
        <w:t>o</w:t>
      </w:r>
      <w:r w:rsidR="002649F0" w:rsidRPr="006D1C74">
        <w:rPr>
          <w:rFonts w:asciiTheme="majorHAnsi" w:hAnsiTheme="majorHAnsi"/>
          <w:sz w:val="20"/>
          <w:szCs w:val="20"/>
          <w:lang w:val="pt-BR"/>
        </w:rPr>
        <w:t>u</w:t>
      </w:r>
      <w:r w:rsidRPr="006D1C74">
        <w:rPr>
          <w:rFonts w:asciiTheme="majorHAnsi" w:hAnsiTheme="majorHAnsi"/>
          <w:sz w:val="20"/>
          <w:szCs w:val="20"/>
          <w:lang w:val="pt-BR"/>
        </w:rPr>
        <w:t>ve</w:t>
      </w:r>
      <w:r w:rsidR="002649F0" w:rsidRPr="006D1C74">
        <w:rPr>
          <w:rFonts w:asciiTheme="majorHAnsi" w:hAnsiTheme="majorHAnsi"/>
          <w:sz w:val="20"/>
          <w:szCs w:val="20"/>
          <w:lang w:val="pt-BR"/>
        </w:rPr>
        <w:t xml:space="preserve"> dolo</w:t>
      </w:r>
      <w:r w:rsidR="00F673C7" w:rsidRPr="006D1C74">
        <w:rPr>
          <w:rFonts w:asciiTheme="majorHAnsi" w:hAnsiTheme="majorHAnsi"/>
          <w:sz w:val="20"/>
          <w:szCs w:val="20"/>
          <w:lang w:val="pt-BR"/>
        </w:rPr>
        <w:t xml:space="preserve"> na </w:t>
      </w:r>
      <w:r w:rsidR="00BA111B" w:rsidRPr="006D1C74">
        <w:rPr>
          <w:rFonts w:asciiTheme="majorHAnsi" w:hAnsiTheme="majorHAnsi"/>
          <w:sz w:val="20"/>
          <w:szCs w:val="20"/>
          <w:lang w:val="pt-BR"/>
        </w:rPr>
        <w:t>conduta</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agente</w:t>
      </w:r>
      <w:r w:rsidR="00795010" w:rsidRPr="006D1C74">
        <w:rPr>
          <w:rFonts w:asciiTheme="majorHAnsi" w:hAnsiTheme="majorHAnsi"/>
          <w:sz w:val="20"/>
          <w:szCs w:val="20"/>
          <w:lang w:val="pt-BR"/>
        </w:rPr>
        <w:t xml:space="preserve"> da </w:t>
      </w:r>
      <w:r w:rsidR="00F37852" w:rsidRPr="006D1C74">
        <w:rPr>
          <w:rFonts w:asciiTheme="majorHAnsi" w:hAnsiTheme="majorHAnsi"/>
          <w:sz w:val="20"/>
          <w:szCs w:val="20"/>
          <w:lang w:val="pt-BR"/>
        </w:rPr>
        <w:t>polícia</w:t>
      </w:r>
      <w:r w:rsidR="008F1868" w:rsidRPr="006D1C74">
        <w:rPr>
          <w:rFonts w:asciiTheme="majorHAnsi" w:hAnsiTheme="majorHAnsi"/>
          <w:sz w:val="20"/>
          <w:szCs w:val="20"/>
          <w:lang w:val="pt-BR"/>
        </w:rPr>
        <w:t xml:space="preserve"> militar </w:t>
      </w:r>
      <w:r w:rsidR="002649F0" w:rsidRPr="006D1C74">
        <w:rPr>
          <w:rFonts w:asciiTheme="majorHAnsi" w:hAnsiTheme="majorHAnsi"/>
          <w:sz w:val="20"/>
          <w:szCs w:val="20"/>
          <w:lang w:val="pt-BR"/>
        </w:rPr>
        <w:t xml:space="preserve">que </w:t>
      </w:r>
      <w:r w:rsidR="00BA111B" w:rsidRPr="006D1C74">
        <w:rPr>
          <w:rFonts w:asciiTheme="majorHAnsi" w:hAnsiTheme="majorHAnsi"/>
          <w:sz w:val="20"/>
          <w:szCs w:val="20"/>
          <w:lang w:val="pt-BR"/>
        </w:rPr>
        <w:t>causou</w:t>
      </w:r>
      <w:r w:rsidR="00700267" w:rsidRPr="006D1C74">
        <w:rPr>
          <w:rFonts w:asciiTheme="majorHAnsi" w:hAnsiTheme="majorHAnsi"/>
          <w:sz w:val="20"/>
          <w:szCs w:val="20"/>
          <w:lang w:val="pt-BR"/>
        </w:rPr>
        <w:t xml:space="preserve"> a </w:t>
      </w:r>
      <w:r w:rsidR="00FC2F62" w:rsidRPr="006D1C74">
        <w:rPr>
          <w:rFonts w:asciiTheme="majorHAnsi" w:hAnsiTheme="majorHAnsi"/>
          <w:sz w:val="20"/>
          <w:szCs w:val="20"/>
          <w:lang w:val="pt-BR"/>
        </w:rPr>
        <w:t>morte</w:t>
      </w:r>
      <w:r w:rsidR="008F1868" w:rsidRPr="006D1C74">
        <w:rPr>
          <w:rFonts w:asciiTheme="majorHAnsi" w:hAnsiTheme="majorHAnsi"/>
          <w:sz w:val="20"/>
          <w:szCs w:val="20"/>
          <w:lang w:val="pt-BR"/>
        </w:rPr>
        <w:t xml:space="preserve"> de </w:t>
      </w:r>
      <w:r w:rsidR="002649F0" w:rsidRPr="006D1C74">
        <w:rPr>
          <w:rFonts w:asciiTheme="majorHAnsi" w:hAnsiTheme="majorHAnsi"/>
          <w:sz w:val="20"/>
          <w:szCs w:val="20"/>
          <w:lang w:val="pt-BR"/>
        </w:rPr>
        <w:t>Antonio Tavares,</w:t>
      </w:r>
      <w:r w:rsidR="00CF037E" w:rsidRPr="006D1C74">
        <w:rPr>
          <w:rFonts w:asciiTheme="majorHAnsi" w:hAnsiTheme="majorHAnsi"/>
          <w:sz w:val="20"/>
          <w:szCs w:val="20"/>
          <w:lang w:val="pt-BR"/>
        </w:rPr>
        <w:t xml:space="preserve"> e </w:t>
      </w:r>
      <w:r w:rsidR="006841B6" w:rsidRPr="006D1C74">
        <w:rPr>
          <w:rFonts w:asciiTheme="majorHAnsi" w:hAnsiTheme="majorHAnsi"/>
          <w:sz w:val="20"/>
          <w:szCs w:val="20"/>
          <w:lang w:val="pt-BR"/>
        </w:rPr>
        <w:t xml:space="preserve">que </w:t>
      </w:r>
      <w:r w:rsidRPr="006D1C74">
        <w:rPr>
          <w:rFonts w:asciiTheme="majorHAnsi" w:hAnsiTheme="majorHAnsi"/>
          <w:sz w:val="20"/>
          <w:szCs w:val="20"/>
          <w:lang w:val="pt-BR"/>
        </w:rPr>
        <w:t>ess</w:t>
      </w:r>
      <w:r w:rsidR="00454D37" w:rsidRPr="006D1C74">
        <w:rPr>
          <w:rFonts w:asciiTheme="majorHAnsi" w:hAnsiTheme="majorHAnsi"/>
          <w:sz w:val="20"/>
          <w:szCs w:val="20"/>
          <w:lang w:val="pt-BR"/>
        </w:rPr>
        <w:t xml:space="preserve">a </w:t>
      </w:r>
      <w:r w:rsidR="00BA111B" w:rsidRPr="006D1C74">
        <w:rPr>
          <w:rFonts w:asciiTheme="majorHAnsi" w:hAnsiTheme="majorHAnsi"/>
          <w:sz w:val="20"/>
          <w:szCs w:val="20"/>
          <w:lang w:val="pt-BR"/>
        </w:rPr>
        <w:t>conduta</w:t>
      </w:r>
      <w:r w:rsidR="00454D37" w:rsidRPr="006D1C74">
        <w:rPr>
          <w:rFonts w:asciiTheme="majorHAnsi" w:hAnsiTheme="majorHAnsi"/>
          <w:sz w:val="20"/>
          <w:szCs w:val="20"/>
          <w:lang w:val="pt-BR"/>
        </w:rPr>
        <w:t xml:space="preserve"> </w:t>
      </w:r>
      <w:r w:rsidRPr="006D1C74">
        <w:rPr>
          <w:rFonts w:asciiTheme="majorHAnsi" w:hAnsiTheme="majorHAnsi"/>
          <w:sz w:val="20"/>
          <w:szCs w:val="20"/>
          <w:lang w:val="pt-BR"/>
        </w:rPr>
        <w:t xml:space="preserve">tenha sido devida </w:t>
      </w:r>
      <w:r w:rsidR="00454D37" w:rsidRPr="006D1C74">
        <w:rPr>
          <w:rFonts w:asciiTheme="majorHAnsi" w:hAnsiTheme="majorHAnsi"/>
          <w:sz w:val="20"/>
          <w:szCs w:val="20"/>
          <w:lang w:val="pt-BR"/>
        </w:rPr>
        <w:t>a que</w:t>
      </w:r>
      <w:r w:rsidR="00700267" w:rsidRPr="006D1C74">
        <w:rPr>
          <w:rFonts w:asciiTheme="majorHAnsi" w:hAnsiTheme="majorHAnsi"/>
          <w:sz w:val="20"/>
          <w:szCs w:val="20"/>
          <w:lang w:val="pt-BR"/>
        </w:rPr>
        <w:t xml:space="preserve"> os </w:t>
      </w:r>
      <w:r w:rsidR="006841B6" w:rsidRPr="006D1C74">
        <w:rPr>
          <w:rFonts w:asciiTheme="majorHAnsi" w:hAnsiTheme="majorHAnsi"/>
          <w:sz w:val="20"/>
          <w:szCs w:val="20"/>
          <w:lang w:val="pt-BR"/>
        </w:rPr>
        <w:t xml:space="preserve">manifestantes </w:t>
      </w:r>
      <w:r w:rsidRPr="006D1C74">
        <w:rPr>
          <w:rFonts w:asciiTheme="majorHAnsi" w:hAnsiTheme="majorHAnsi"/>
          <w:sz w:val="20"/>
          <w:szCs w:val="20"/>
          <w:lang w:val="pt-BR"/>
        </w:rPr>
        <w:t xml:space="preserve">teriam </w:t>
      </w:r>
      <w:r w:rsidR="006841B6" w:rsidRPr="006D1C74">
        <w:rPr>
          <w:rFonts w:asciiTheme="majorHAnsi" w:hAnsiTheme="majorHAnsi"/>
          <w:sz w:val="20"/>
          <w:szCs w:val="20"/>
          <w:lang w:val="pt-BR"/>
        </w:rPr>
        <w:t>agarra</w:t>
      </w:r>
      <w:r w:rsidR="00454D37" w:rsidRPr="006D1C74">
        <w:rPr>
          <w:rFonts w:asciiTheme="majorHAnsi" w:hAnsiTheme="majorHAnsi"/>
          <w:sz w:val="20"/>
          <w:szCs w:val="20"/>
          <w:lang w:val="pt-BR"/>
        </w:rPr>
        <w:t>do</w:t>
      </w:r>
      <w:r w:rsidR="00CF037E" w:rsidRPr="006D1C74">
        <w:rPr>
          <w:rFonts w:asciiTheme="majorHAnsi" w:hAnsiTheme="majorHAnsi"/>
          <w:sz w:val="20"/>
          <w:szCs w:val="20"/>
          <w:lang w:val="pt-BR"/>
        </w:rPr>
        <w:t xml:space="preserve"> e </w:t>
      </w:r>
      <w:r w:rsidR="006841B6" w:rsidRPr="006D1C74">
        <w:rPr>
          <w:rFonts w:asciiTheme="majorHAnsi" w:hAnsiTheme="majorHAnsi"/>
          <w:sz w:val="20"/>
          <w:szCs w:val="20"/>
          <w:lang w:val="pt-BR"/>
        </w:rPr>
        <w:t>domina</w:t>
      </w:r>
      <w:r w:rsidR="00454D37" w:rsidRPr="006D1C74">
        <w:rPr>
          <w:rFonts w:asciiTheme="majorHAnsi" w:hAnsiTheme="majorHAnsi"/>
          <w:sz w:val="20"/>
          <w:szCs w:val="20"/>
          <w:lang w:val="pt-BR"/>
        </w:rPr>
        <w:t>do</w:t>
      </w:r>
      <w:r w:rsidR="00217759" w:rsidRPr="006D1C74">
        <w:rPr>
          <w:rFonts w:asciiTheme="majorHAnsi" w:hAnsiTheme="majorHAnsi"/>
          <w:sz w:val="20"/>
          <w:szCs w:val="20"/>
          <w:lang w:val="pt-BR"/>
        </w:rPr>
        <w:t xml:space="preserve"> o </w:t>
      </w:r>
      <w:r w:rsidR="006841B6" w:rsidRPr="006D1C74">
        <w:rPr>
          <w:rFonts w:asciiTheme="majorHAnsi" w:hAnsiTheme="majorHAnsi"/>
          <w:sz w:val="20"/>
          <w:szCs w:val="20"/>
          <w:lang w:val="pt-BR"/>
        </w:rPr>
        <w:t>cabo Galv</w:t>
      </w:r>
      <w:r w:rsidRPr="006D1C74">
        <w:rPr>
          <w:rFonts w:asciiTheme="majorHAnsi" w:hAnsiTheme="majorHAnsi"/>
          <w:sz w:val="20"/>
          <w:szCs w:val="20"/>
          <w:lang w:val="pt-BR"/>
        </w:rPr>
        <w:t>ã</w:t>
      </w:r>
      <w:r w:rsidR="006841B6" w:rsidRPr="006D1C74">
        <w:rPr>
          <w:rFonts w:asciiTheme="majorHAnsi" w:hAnsiTheme="majorHAnsi"/>
          <w:sz w:val="20"/>
          <w:szCs w:val="20"/>
          <w:lang w:val="pt-BR"/>
        </w:rPr>
        <w:t>o</w:t>
      </w:r>
      <w:r w:rsidR="00454D37" w:rsidRPr="006D1C74">
        <w:rPr>
          <w:rFonts w:asciiTheme="majorHAnsi" w:hAnsiTheme="majorHAnsi"/>
          <w:sz w:val="20"/>
          <w:szCs w:val="20"/>
          <w:lang w:val="pt-BR"/>
        </w:rPr>
        <w:t xml:space="preserve"> - ver</w:t>
      </w:r>
      <w:r w:rsidR="0094446B" w:rsidRPr="006D1C74">
        <w:rPr>
          <w:rFonts w:asciiTheme="majorHAnsi" w:hAnsiTheme="majorHAnsi"/>
          <w:sz w:val="20"/>
          <w:szCs w:val="20"/>
          <w:lang w:val="pt-BR"/>
        </w:rPr>
        <w:t>são</w:t>
      </w:r>
      <w:r w:rsidR="00454D37" w:rsidRPr="006D1C74">
        <w:rPr>
          <w:rFonts w:asciiTheme="majorHAnsi" w:hAnsiTheme="majorHAnsi"/>
          <w:sz w:val="20"/>
          <w:szCs w:val="20"/>
          <w:lang w:val="pt-BR"/>
        </w:rPr>
        <w:t xml:space="preserve"> que </w:t>
      </w:r>
      <w:r w:rsidR="00A65ADA">
        <w:rPr>
          <w:rFonts w:asciiTheme="majorHAnsi" w:hAnsiTheme="majorHAnsi"/>
          <w:sz w:val="20"/>
          <w:szCs w:val="20"/>
          <w:lang w:val="pt-BR"/>
        </w:rPr>
        <w:t>so</w:t>
      </w:r>
      <w:r w:rsidR="00BA111B" w:rsidRPr="006D1C74">
        <w:rPr>
          <w:rFonts w:asciiTheme="majorHAnsi" w:hAnsiTheme="majorHAnsi"/>
          <w:sz w:val="20"/>
          <w:szCs w:val="20"/>
          <w:lang w:val="pt-BR"/>
        </w:rPr>
        <w:t>mente</w:t>
      </w:r>
      <w:r w:rsidR="00454D37" w:rsidRPr="006D1C74">
        <w:rPr>
          <w:rFonts w:asciiTheme="majorHAnsi" w:hAnsiTheme="majorHAnsi"/>
          <w:sz w:val="20"/>
          <w:szCs w:val="20"/>
          <w:lang w:val="pt-BR"/>
        </w:rPr>
        <w:t xml:space="preserve"> aparece</w:t>
      </w:r>
      <w:r w:rsidR="00F673C7" w:rsidRPr="006D1C74">
        <w:rPr>
          <w:rFonts w:asciiTheme="majorHAnsi" w:hAnsiTheme="majorHAnsi"/>
          <w:sz w:val="20"/>
          <w:szCs w:val="20"/>
          <w:lang w:val="pt-BR"/>
        </w:rPr>
        <w:t xml:space="preserve"> na </w:t>
      </w:r>
      <w:r w:rsidR="00454D37" w:rsidRPr="006D1C74">
        <w:rPr>
          <w:rFonts w:asciiTheme="majorHAnsi" w:hAnsiTheme="majorHAnsi"/>
          <w:sz w:val="20"/>
          <w:szCs w:val="20"/>
          <w:lang w:val="pt-BR"/>
        </w:rPr>
        <w:t>declara</w:t>
      </w:r>
      <w:r w:rsidR="00CF037E" w:rsidRPr="006D1C74">
        <w:rPr>
          <w:rFonts w:asciiTheme="majorHAnsi" w:hAnsiTheme="majorHAnsi"/>
          <w:sz w:val="20"/>
          <w:szCs w:val="20"/>
          <w:lang w:val="pt-BR"/>
        </w:rPr>
        <w:t>ção</w:t>
      </w:r>
      <w:r w:rsidR="00030019" w:rsidRPr="006D1C74">
        <w:rPr>
          <w:rFonts w:asciiTheme="majorHAnsi" w:hAnsiTheme="majorHAnsi"/>
          <w:sz w:val="20"/>
          <w:szCs w:val="20"/>
          <w:lang w:val="pt-BR"/>
        </w:rPr>
        <w:t xml:space="preserve"> do </w:t>
      </w:r>
      <w:r w:rsidR="00454D37" w:rsidRPr="006D1C74">
        <w:rPr>
          <w:rFonts w:asciiTheme="majorHAnsi" w:eastAsia="Times New Roman" w:hAnsiTheme="majorHAnsi"/>
          <w:sz w:val="20"/>
          <w:szCs w:val="20"/>
          <w:lang w:val="pt-BR"/>
        </w:rPr>
        <w:t>soldado Joel de Lima Santa Ana</w:t>
      </w:r>
      <w:r w:rsidRPr="006D1C74">
        <w:rPr>
          <w:rFonts w:asciiTheme="majorHAnsi" w:eastAsia="Times New Roman" w:hAnsiTheme="majorHAnsi"/>
          <w:sz w:val="20"/>
          <w:szCs w:val="20"/>
          <w:lang w:val="pt-BR"/>
        </w:rPr>
        <w:t xml:space="preserve"> </w:t>
      </w:r>
      <w:r w:rsidR="00454D37" w:rsidRPr="006D1C74">
        <w:rPr>
          <w:rFonts w:asciiTheme="majorHAnsi" w:eastAsia="Times New Roman" w:hAnsiTheme="majorHAnsi"/>
          <w:sz w:val="20"/>
          <w:szCs w:val="20"/>
          <w:lang w:val="pt-BR"/>
        </w:rPr>
        <w:t>-,</w:t>
      </w:r>
      <w:r w:rsidR="002649F0" w:rsidRPr="006D1C74">
        <w:rPr>
          <w:rFonts w:asciiTheme="majorHAnsi" w:hAnsiTheme="majorHAnsi"/>
          <w:sz w:val="20"/>
          <w:szCs w:val="20"/>
          <w:lang w:val="pt-BR"/>
        </w:rPr>
        <w:t xml:space="preserve"> </w:t>
      </w:r>
      <w:r w:rsidR="00BA111B" w:rsidRPr="006D1C74">
        <w:rPr>
          <w:rFonts w:asciiTheme="majorHAnsi" w:hAnsiTheme="majorHAnsi"/>
          <w:sz w:val="20"/>
          <w:szCs w:val="20"/>
          <w:lang w:val="pt-BR"/>
        </w:rPr>
        <w:t>este</w:t>
      </w:r>
      <w:r w:rsidR="00454D37" w:rsidRPr="006D1C74">
        <w:rPr>
          <w:rFonts w:asciiTheme="majorHAnsi" w:hAnsiTheme="majorHAnsi"/>
          <w:sz w:val="20"/>
          <w:szCs w:val="20"/>
          <w:lang w:val="pt-BR"/>
        </w:rPr>
        <w:t xml:space="preserve"> sab</w:t>
      </w:r>
      <w:r w:rsidR="00055622" w:rsidRPr="006D1C74">
        <w:rPr>
          <w:rFonts w:asciiTheme="majorHAnsi" w:hAnsiTheme="majorHAnsi"/>
          <w:sz w:val="20"/>
          <w:szCs w:val="20"/>
          <w:lang w:val="pt-BR"/>
        </w:rPr>
        <w:t>ia</w:t>
      </w:r>
      <w:r w:rsidR="00454D37" w:rsidRPr="006D1C74">
        <w:rPr>
          <w:rFonts w:asciiTheme="majorHAnsi" w:hAnsiTheme="majorHAnsi"/>
          <w:sz w:val="20"/>
          <w:szCs w:val="20"/>
          <w:lang w:val="pt-BR"/>
        </w:rPr>
        <w:t xml:space="preserve"> que</w:t>
      </w:r>
      <w:r w:rsidR="00700267" w:rsidRPr="006D1C74">
        <w:rPr>
          <w:rFonts w:asciiTheme="majorHAnsi" w:hAnsiTheme="majorHAnsi"/>
          <w:sz w:val="20"/>
          <w:szCs w:val="20"/>
          <w:lang w:val="pt-BR"/>
        </w:rPr>
        <w:t xml:space="preserve"> os </w:t>
      </w:r>
      <w:r w:rsidR="00454D37" w:rsidRPr="006D1C74">
        <w:rPr>
          <w:rFonts w:asciiTheme="majorHAnsi" w:hAnsiTheme="majorHAnsi"/>
          <w:sz w:val="20"/>
          <w:szCs w:val="20"/>
          <w:lang w:val="pt-BR"/>
        </w:rPr>
        <w:t>manifestantes</w:t>
      </w:r>
      <w:r w:rsidR="00F673C7" w:rsidRPr="006D1C74">
        <w:rPr>
          <w:rFonts w:asciiTheme="majorHAnsi" w:hAnsiTheme="majorHAnsi"/>
          <w:sz w:val="20"/>
          <w:szCs w:val="20"/>
          <w:lang w:val="pt-BR"/>
        </w:rPr>
        <w:t xml:space="preserve"> não </w:t>
      </w:r>
      <w:r w:rsidR="00BA111B" w:rsidRPr="006D1C74">
        <w:rPr>
          <w:rFonts w:asciiTheme="majorHAnsi" w:hAnsiTheme="majorHAnsi"/>
          <w:sz w:val="20"/>
          <w:szCs w:val="20"/>
          <w:lang w:val="pt-BR"/>
        </w:rPr>
        <w:t>estavam</w:t>
      </w:r>
      <w:r w:rsidR="00454D37" w:rsidRPr="006D1C74">
        <w:rPr>
          <w:rFonts w:asciiTheme="majorHAnsi" w:hAnsiTheme="majorHAnsi"/>
          <w:sz w:val="20"/>
          <w:szCs w:val="20"/>
          <w:lang w:val="pt-BR"/>
        </w:rPr>
        <w:t xml:space="preserve"> armados, </w:t>
      </w:r>
      <w:r w:rsidRPr="006D1C74">
        <w:rPr>
          <w:rFonts w:asciiTheme="majorHAnsi" w:hAnsiTheme="majorHAnsi"/>
          <w:sz w:val="20"/>
          <w:szCs w:val="20"/>
          <w:lang w:val="pt-BR"/>
        </w:rPr>
        <w:t xml:space="preserve">motivo pelo qual </w:t>
      </w:r>
      <w:r w:rsidR="00F673C7" w:rsidRPr="006D1C74">
        <w:rPr>
          <w:rFonts w:asciiTheme="majorHAnsi" w:hAnsiTheme="majorHAnsi"/>
          <w:sz w:val="20"/>
          <w:szCs w:val="20"/>
          <w:lang w:val="pt-BR"/>
        </w:rPr>
        <w:t xml:space="preserve">não </w:t>
      </w:r>
      <w:r w:rsidR="00BA111B" w:rsidRPr="006D1C74">
        <w:rPr>
          <w:rFonts w:asciiTheme="majorHAnsi" w:hAnsiTheme="majorHAnsi"/>
          <w:sz w:val="20"/>
          <w:szCs w:val="20"/>
          <w:lang w:val="pt-BR"/>
        </w:rPr>
        <w:t>significavam</w:t>
      </w:r>
      <w:r w:rsidR="00030019" w:rsidRPr="006D1C74">
        <w:rPr>
          <w:rFonts w:asciiTheme="majorHAnsi" w:hAnsiTheme="majorHAnsi"/>
          <w:sz w:val="20"/>
          <w:szCs w:val="20"/>
          <w:lang w:val="pt-BR"/>
        </w:rPr>
        <w:t xml:space="preserve"> um </w:t>
      </w:r>
      <w:r w:rsidR="00BA111B" w:rsidRPr="006D1C74">
        <w:rPr>
          <w:rFonts w:asciiTheme="majorHAnsi" w:hAnsiTheme="majorHAnsi"/>
          <w:sz w:val="20"/>
          <w:szCs w:val="20"/>
          <w:lang w:val="pt-BR"/>
        </w:rPr>
        <w:t>risco</w:t>
      </w:r>
      <w:r w:rsidR="00454D37" w:rsidRPr="006D1C74">
        <w:rPr>
          <w:rFonts w:asciiTheme="majorHAnsi" w:hAnsiTheme="majorHAnsi"/>
          <w:sz w:val="20"/>
          <w:szCs w:val="20"/>
          <w:lang w:val="pt-BR"/>
        </w:rPr>
        <w:t xml:space="preserve"> </w:t>
      </w:r>
      <w:r w:rsidR="00BA111B" w:rsidRPr="006D1C74">
        <w:rPr>
          <w:rFonts w:asciiTheme="majorHAnsi" w:hAnsiTheme="majorHAnsi"/>
          <w:sz w:val="20"/>
          <w:szCs w:val="20"/>
          <w:lang w:val="pt-BR"/>
        </w:rPr>
        <w:t>iminente</w:t>
      </w:r>
      <w:r w:rsidR="00454D37" w:rsidRPr="006D1C74">
        <w:rPr>
          <w:rFonts w:asciiTheme="majorHAnsi" w:hAnsiTheme="majorHAnsi"/>
          <w:sz w:val="20"/>
          <w:szCs w:val="20"/>
          <w:lang w:val="pt-BR"/>
        </w:rPr>
        <w:t xml:space="preserve"> para </w:t>
      </w:r>
      <w:r w:rsidR="00BA111B" w:rsidRPr="006D1C74">
        <w:rPr>
          <w:rFonts w:asciiTheme="majorHAnsi" w:hAnsiTheme="majorHAnsi"/>
          <w:sz w:val="20"/>
          <w:szCs w:val="20"/>
          <w:lang w:val="pt-BR"/>
        </w:rPr>
        <w:t>sua</w:t>
      </w:r>
      <w:r w:rsidR="00454D37" w:rsidRPr="006D1C74">
        <w:rPr>
          <w:rFonts w:asciiTheme="majorHAnsi" w:hAnsiTheme="majorHAnsi"/>
          <w:sz w:val="20"/>
          <w:szCs w:val="20"/>
          <w:lang w:val="pt-BR"/>
        </w:rPr>
        <w:t xml:space="preserve"> vida</w:t>
      </w:r>
      <w:r w:rsidR="00A65ADA">
        <w:rPr>
          <w:rFonts w:asciiTheme="majorHAnsi" w:hAnsiTheme="majorHAnsi"/>
          <w:sz w:val="20"/>
          <w:szCs w:val="20"/>
          <w:lang w:val="pt-BR"/>
        </w:rPr>
        <w:t>,</w:t>
      </w:r>
      <w:r w:rsidR="00CF037E" w:rsidRPr="006D1C74">
        <w:rPr>
          <w:rFonts w:asciiTheme="majorHAnsi" w:hAnsiTheme="majorHAnsi"/>
          <w:sz w:val="20"/>
          <w:szCs w:val="20"/>
          <w:lang w:val="pt-BR"/>
        </w:rPr>
        <w:t xml:space="preserve"> e </w:t>
      </w:r>
      <w:r w:rsidR="00585D35" w:rsidRPr="006D1C74">
        <w:rPr>
          <w:rFonts w:asciiTheme="majorHAnsi" w:hAnsiTheme="majorHAnsi"/>
          <w:sz w:val="20"/>
          <w:szCs w:val="20"/>
          <w:lang w:val="pt-BR"/>
        </w:rPr>
        <w:t>dev</w:t>
      </w:r>
      <w:r w:rsidR="002649F0" w:rsidRPr="006D1C74">
        <w:rPr>
          <w:rFonts w:asciiTheme="majorHAnsi" w:hAnsiTheme="majorHAnsi"/>
          <w:sz w:val="20"/>
          <w:szCs w:val="20"/>
          <w:lang w:val="pt-BR"/>
        </w:rPr>
        <w:t>i</w:t>
      </w:r>
      <w:r w:rsidRPr="006D1C74">
        <w:rPr>
          <w:rFonts w:asciiTheme="majorHAnsi" w:hAnsiTheme="majorHAnsi"/>
          <w:sz w:val="20"/>
          <w:szCs w:val="20"/>
          <w:lang w:val="pt-BR"/>
        </w:rPr>
        <w:t>a</w:t>
      </w:r>
      <w:r w:rsidR="002649F0" w:rsidRPr="006D1C74">
        <w:rPr>
          <w:rFonts w:asciiTheme="majorHAnsi" w:hAnsiTheme="majorHAnsi"/>
          <w:sz w:val="20"/>
          <w:szCs w:val="20"/>
          <w:lang w:val="pt-BR"/>
        </w:rPr>
        <w:t xml:space="preserve"> con</w:t>
      </w:r>
      <w:r w:rsidRPr="006D1C74">
        <w:rPr>
          <w:rFonts w:asciiTheme="majorHAnsi" w:hAnsiTheme="majorHAnsi"/>
          <w:sz w:val="20"/>
          <w:szCs w:val="20"/>
          <w:lang w:val="pt-BR"/>
        </w:rPr>
        <w:t>he</w:t>
      </w:r>
      <w:r w:rsidR="002649F0" w:rsidRPr="006D1C74">
        <w:rPr>
          <w:rFonts w:asciiTheme="majorHAnsi" w:hAnsiTheme="majorHAnsi"/>
          <w:sz w:val="20"/>
          <w:szCs w:val="20"/>
          <w:lang w:val="pt-BR"/>
        </w:rPr>
        <w:t>cer</w:t>
      </w:r>
      <w:r w:rsidR="00700267" w:rsidRPr="006D1C74">
        <w:rPr>
          <w:rFonts w:asciiTheme="majorHAnsi" w:hAnsiTheme="majorHAnsi"/>
          <w:sz w:val="20"/>
          <w:szCs w:val="20"/>
          <w:lang w:val="pt-BR"/>
        </w:rPr>
        <w:t xml:space="preserve"> o </w:t>
      </w:r>
      <w:r w:rsidR="00BA111B" w:rsidRPr="006D1C74">
        <w:rPr>
          <w:rFonts w:asciiTheme="majorHAnsi" w:hAnsiTheme="majorHAnsi"/>
          <w:sz w:val="20"/>
          <w:szCs w:val="20"/>
          <w:lang w:val="pt-BR"/>
        </w:rPr>
        <w:t>risco</w:t>
      </w:r>
      <w:r w:rsidR="00CF037E" w:rsidRPr="006D1C74">
        <w:rPr>
          <w:rFonts w:asciiTheme="majorHAnsi" w:hAnsiTheme="majorHAnsi"/>
          <w:sz w:val="20"/>
          <w:szCs w:val="20"/>
          <w:lang w:val="pt-BR"/>
        </w:rPr>
        <w:t xml:space="preserve"> e </w:t>
      </w:r>
      <w:r w:rsidR="002649F0" w:rsidRPr="006D1C74">
        <w:rPr>
          <w:rFonts w:asciiTheme="majorHAnsi" w:hAnsiTheme="majorHAnsi"/>
          <w:sz w:val="20"/>
          <w:szCs w:val="20"/>
          <w:lang w:val="pt-BR"/>
        </w:rPr>
        <w:t>pos</w:t>
      </w:r>
      <w:r w:rsidRPr="006D1C74">
        <w:rPr>
          <w:rFonts w:asciiTheme="majorHAnsi" w:hAnsiTheme="majorHAnsi"/>
          <w:sz w:val="20"/>
          <w:szCs w:val="20"/>
          <w:lang w:val="pt-BR"/>
        </w:rPr>
        <w:t>sível</w:t>
      </w:r>
      <w:r w:rsidR="002649F0" w:rsidRPr="006D1C74">
        <w:rPr>
          <w:rFonts w:asciiTheme="majorHAnsi" w:hAnsiTheme="majorHAnsi"/>
          <w:sz w:val="20"/>
          <w:szCs w:val="20"/>
          <w:lang w:val="pt-BR"/>
        </w:rPr>
        <w:t xml:space="preserve"> </w:t>
      </w:r>
      <w:r w:rsidR="00BA111B" w:rsidRPr="006D1C74">
        <w:rPr>
          <w:rFonts w:asciiTheme="majorHAnsi" w:hAnsiTheme="majorHAnsi"/>
          <w:sz w:val="20"/>
          <w:szCs w:val="20"/>
          <w:lang w:val="pt-BR"/>
        </w:rPr>
        <w:t>dano</w:t>
      </w:r>
      <w:r w:rsidR="002649F0" w:rsidRPr="006D1C74">
        <w:rPr>
          <w:rFonts w:asciiTheme="majorHAnsi" w:hAnsiTheme="majorHAnsi"/>
          <w:sz w:val="20"/>
          <w:szCs w:val="20"/>
          <w:lang w:val="pt-BR"/>
        </w:rPr>
        <w:t xml:space="preserve"> resultante</w:t>
      </w:r>
      <w:r w:rsidR="00795010" w:rsidRPr="006D1C74">
        <w:rPr>
          <w:rFonts w:asciiTheme="majorHAnsi" w:hAnsiTheme="majorHAnsi"/>
          <w:sz w:val="20"/>
          <w:szCs w:val="20"/>
          <w:lang w:val="pt-BR"/>
        </w:rPr>
        <w:t xml:space="preserve"> da </w:t>
      </w:r>
      <w:r w:rsidR="00B146A8" w:rsidRPr="006D1C74">
        <w:rPr>
          <w:rFonts w:asciiTheme="majorHAnsi" w:hAnsiTheme="majorHAnsi"/>
          <w:sz w:val="20"/>
          <w:szCs w:val="20"/>
          <w:lang w:val="pt-BR"/>
        </w:rPr>
        <w:t>força</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impacto de</w:t>
      </w:r>
      <w:r w:rsidR="00030019" w:rsidRPr="006D1C74">
        <w:rPr>
          <w:rFonts w:asciiTheme="majorHAnsi" w:hAnsiTheme="majorHAnsi"/>
          <w:sz w:val="20"/>
          <w:szCs w:val="20"/>
          <w:lang w:val="pt-BR"/>
        </w:rPr>
        <w:t xml:space="preserve"> um </w:t>
      </w:r>
      <w:r w:rsidR="002649F0" w:rsidRPr="006D1C74">
        <w:rPr>
          <w:rFonts w:asciiTheme="majorHAnsi" w:hAnsiTheme="majorHAnsi"/>
          <w:sz w:val="20"/>
          <w:szCs w:val="20"/>
          <w:lang w:val="pt-BR"/>
        </w:rPr>
        <w:t xml:space="preserve">disparo </w:t>
      </w:r>
      <w:r w:rsidR="00BA111B" w:rsidRPr="006D1C74">
        <w:rPr>
          <w:rFonts w:asciiTheme="majorHAnsi" w:hAnsiTheme="majorHAnsi"/>
          <w:sz w:val="20"/>
          <w:szCs w:val="20"/>
          <w:lang w:val="pt-BR"/>
        </w:rPr>
        <w:t>efetuado</w:t>
      </w:r>
      <w:r w:rsidR="00F673C7" w:rsidRPr="006D1C74">
        <w:rPr>
          <w:rFonts w:asciiTheme="majorHAnsi" w:hAnsiTheme="majorHAnsi"/>
          <w:sz w:val="20"/>
          <w:szCs w:val="20"/>
          <w:lang w:val="pt-BR"/>
        </w:rPr>
        <w:t xml:space="preserve"> com </w:t>
      </w:r>
      <w:r w:rsidR="00030019" w:rsidRPr="006D1C74">
        <w:rPr>
          <w:rFonts w:asciiTheme="majorHAnsi" w:hAnsiTheme="majorHAnsi"/>
          <w:sz w:val="20"/>
          <w:szCs w:val="20"/>
          <w:lang w:val="pt-BR"/>
        </w:rPr>
        <w:t xml:space="preserve">uma </w:t>
      </w:r>
      <w:r w:rsidR="002649F0" w:rsidRPr="006D1C74">
        <w:rPr>
          <w:rFonts w:asciiTheme="majorHAnsi" w:hAnsiTheme="majorHAnsi"/>
          <w:sz w:val="20"/>
          <w:szCs w:val="20"/>
          <w:lang w:val="pt-BR"/>
        </w:rPr>
        <w:t xml:space="preserve">carabina de 357 mm, </w:t>
      </w:r>
      <w:r w:rsidR="00BA111B" w:rsidRPr="006D1C74">
        <w:rPr>
          <w:rFonts w:asciiTheme="majorHAnsi" w:hAnsiTheme="majorHAnsi"/>
          <w:sz w:val="20"/>
          <w:szCs w:val="20"/>
          <w:lang w:val="pt-BR"/>
        </w:rPr>
        <w:t>calibre</w:t>
      </w:r>
      <w:r w:rsidR="002649F0" w:rsidRPr="006D1C74">
        <w:rPr>
          <w:rFonts w:asciiTheme="majorHAnsi" w:hAnsiTheme="majorHAnsi"/>
          <w:sz w:val="20"/>
          <w:szCs w:val="20"/>
          <w:lang w:val="pt-BR"/>
        </w:rPr>
        <w:t xml:space="preserve"> 38, contra</w:t>
      </w:r>
      <w:r w:rsidR="00700267" w:rsidRPr="006D1C74">
        <w:rPr>
          <w:rFonts w:asciiTheme="majorHAnsi" w:hAnsiTheme="majorHAnsi"/>
          <w:sz w:val="20"/>
          <w:szCs w:val="20"/>
          <w:lang w:val="pt-BR"/>
        </w:rPr>
        <w:t xml:space="preserve"> a </w:t>
      </w:r>
      <w:r w:rsidR="00BA111B" w:rsidRPr="006D1C74">
        <w:rPr>
          <w:rFonts w:asciiTheme="majorHAnsi" w:hAnsiTheme="majorHAnsi"/>
          <w:sz w:val="20"/>
          <w:szCs w:val="20"/>
          <w:lang w:val="pt-BR"/>
        </w:rPr>
        <w:t>superfície</w:t>
      </w:r>
      <w:r w:rsidR="002649F0" w:rsidRPr="006D1C74">
        <w:rPr>
          <w:rFonts w:asciiTheme="majorHAnsi" w:hAnsiTheme="majorHAnsi"/>
          <w:sz w:val="20"/>
          <w:szCs w:val="20"/>
          <w:lang w:val="pt-BR"/>
        </w:rPr>
        <w:t xml:space="preserve"> dura e irregular</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 xml:space="preserve">asfalto </w:t>
      </w:r>
      <w:r w:rsidR="00BA111B" w:rsidRPr="006D1C74">
        <w:rPr>
          <w:rFonts w:asciiTheme="majorHAnsi" w:hAnsiTheme="majorHAnsi"/>
          <w:sz w:val="20"/>
          <w:szCs w:val="20"/>
          <w:lang w:val="pt-BR"/>
        </w:rPr>
        <w:t>quando</w:t>
      </w:r>
      <w:r w:rsidR="002649F0" w:rsidRPr="006D1C74">
        <w:rPr>
          <w:rFonts w:asciiTheme="majorHAnsi" w:hAnsiTheme="majorHAnsi"/>
          <w:sz w:val="20"/>
          <w:szCs w:val="20"/>
          <w:lang w:val="pt-BR"/>
        </w:rPr>
        <w:t xml:space="preserve"> </w:t>
      </w:r>
      <w:r w:rsidR="00BA111B" w:rsidRPr="006D1C74">
        <w:rPr>
          <w:rFonts w:asciiTheme="majorHAnsi" w:hAnsiTheme="majorHAnsi"/>
          <w:sz w:val="20"/>
          <w:szCs w:val="20"/>
          <w:lang w:val="pt-BR"/>
        </w:rPr>
        <w:t>havia</w:t>
      </w:r>
      <w:r w:rsidR="002649F0" w:rsidRPr="006D1C74">
        <w:rPr>
          <w:rFonts w:asciiTheme="majorHAnsi" w:hAnsiTheme="majorHAnsi"/>
          <w:sz w:val="20"/>
          <w:szCs w:val="20"/>
          <w:lang w:val="pt-BR"/>
        </w:rPr>
        <w:t xml:space="preserve"> </w:t>
      </w:r>
      <w:r w:rsidR="00CA7940" w:rsidRPr="006D1C74">
        <w:rPr>
          <w:rFonts w:asciiTheme="majorHAnsi" w:hAnsiTheme="majorHAnsi"/>
          <w:sz w:val="20"/>
          <w:szCs w:val="20"/>
          <w:lang w:val="pt-BR"/>
        </w:rPr>
        <w:t>pessoa</w:t>
      </w:r>
      <w:r w:rsidR="002649F0" w:rsidRPr="006D1C74">
        <w:rPr>
          <w:rFonts w:asciiTheme="majorHAnsi" w:hAnsiTheme="majorHAnsi"/>
          <w:sz w:val="20"/>
          <w:szCs w:val="20"/>
          <w:lang w:val="pt-BR"/>
        </w:rPr>
        <w:t>s</w:t>
      </w:r>
      <w:r w:rsidR="00F673C7" w:rsidRPr="006D1C74">
        <w:rPr>
          <w:rFonts w:asciiTheme="majorHAnsi" w:hAnsiTheme="majorHAnsi"/>
          <w:sz w:val="20"/>
          <w:szCs w:val="20"/>
          <w:lang w:val="pt-BR"/>
        </w:rPr>
        <w:t xml:space="preserve"> </w:t>
      </w:r>
      <w:r w:rsidRPr="006D1C74">
        <w:rPr>
          <w:rFonts w:asciiTheme="majorHAnsi" w:hAnsiTheme="majorHAnsi"/>
          <w:sz w:val="20"/>
          <w:szCs w:val="20"/>
          <w:lang w:val="pt-BR"/>
        </w:rPr>
        <w:t>n</w:t>
      </w:r>
      <w:r w:rsidR="00700267" w:rsidRPr="006D1C74">
        <w:rPr>
          <w:rFonts w:asciiTheme="majorHAnsi" w:hAnsiTheme="majorHAnsi"/>
          <w:sz w:val="20"/>
          <w:szCs w:val="20"/>
          <w:lang w:val="pt-BR"/>
        </w:rPr>
        <w:t xml:space="preserve">as </w:t>
      </w:r>
      <w:r w:rsidR="002649F0" w:rsidRPr="006D1C74">
        <w:rPr>
          <w:rFonts w:asciiTheme="majorHAnsi" w:hAnsiTheme="majorHAnsi"/>
          <w:sz w:val="20"/>
          <w:szCs w:val="20"/>
          <w:lang w:val="pt-BR"/>
        </w:rPr>
        <w:t xml:space="preserve">proximidades. </w:t>
      </w:r>
    </w:p>
    <w:p w14:paraId="64A4833B" w14:textId="77777777" w:rsidR="002649F0" w:rsidRPr="006D1C74" w:rsidRDefault="002649F0" w:rsidP="002649F0">
      <w:pPr>
        <w:ind w:left="720"/>
        <w:rPr>
          <w:rFonts w:asciiTheme="majorHAnsi" w:eastAsia="Cambria" w:hAnsiTheme="majorHAnsi" w:cs="Cambria"/>
          <w:color w:val="000000"/>
          <w:sz w:val="20"/>
          <w:szCs w:val="20"/>
          <w:u w:color="000000"/>
          <w:lang w:val="pt-BR" w:eastAsia="es-ES"/>
        </w:rPr>
      </w:pPr>
    </w:p>
    <w:p w14:paraId="164B6C51" w14:textId="77777777" w:rsidR="002649F0" w:rsidRPr="006D1C74" w:rsidRDefault="00911438"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pt-BR"/>
        </w:rPr>
      </w:pPr>
      <w:r w:rsidRPr="006D1C74">
        <w:rPr>
          <w:rFonts w:asciiTheme="majorHAnsi" w:hAnsiTheme="majorHAnsi"/>
          <w:sz w:val="20"/>
          <w:szCs w:val="20"/>
          <w:lang w:val="pt-BR"/>
        </w:rPr>
        <w:t>Tendo em</w:t>
      </w:r>
      <w:r w:rsidR="002649F0" w:rsidRPr="006D1C74">
        <w:rPr>
          <w:rFonts w:asciiTheme="majorHAnsi" w:hAnsiTheme="majorHAnsi"/>
          <w:sz w:val="20"/>
          <w:szCs w:val="20"/>
          <w:lang w:val="pt-BR"/>
        </w:rPr>
        <w:t xml:space="preserve"> vista que</w:t>
      </w:r>
      <w:r w:rsidR="00700267" w:rsidRPr="006D1C74">
        <w:rPr>
          <w:rFonts w:asciiTheme="majorHAnsi" w:hAnsiTheme="majorHAnsi"/>
          <w:sz w:val="20"/>
          <w:szCs w:val="20"/>
          <w:lang w:val="pt-BR"/>
        </w:rPr>
        <w:t xml:space="preserve"> as </w:t>
      </w:r>
      <w:r w:rsidR="00D74A93" w:rsidRPr="006D1C74">
        <w:rPr>
          <w:rFonts w:asciiTheme="majorHAnsi" w:hAnsiTheme="majorHAnsi"/>
          <w:sz w:val="20"/>
          <w:szCs w:val="20"/>
          <w:lang w:val="pt-BR"/>
        </w:rPr>
        <w:t>lesões</w:t>
      </w:r>
      <w:r w:rsidR="002649F0" w:rsidRPr="006D1C74">
        <w:rPr>
          <w:rFonts w:asciiTheme="majorHAnsi" w:hAnsiTheme="majorHAnsi"/>
          <w:sz w:val="20"/>
          <w:szCs w:val="20"/>
          <w:lang w:val="pt-BR"/>
        </w:rPr>
        <w:t xml:space="preserve"> </w:t>
      </w:r>
      <w:r w:rsidRPr="006D1C74">
        <w:rPr>
          <w:rFonts w:asciiTheme="majorHAnsi" w:hAnsiTheme="majorHAnsi"/>
          <w:sz w:val="20"/>
          <w:szCs w:val="20"/>
          <w:lang w:val="pt-BR"/>
        </w:rPr>
        <w:t>provoc</w:t>
      </w:r>
      <w:r w:rsidR="002649F0" w:rsidRPr="006D1C74">
        <w:rPr>
          <w:rFonts w:asciiTheme="majorHAnsi" w:hAnsiTheme="majorHAnsi"/>
          <w:sz w:val="20"/>
          <w:szCs w:val="20"/>
          <w:lang w:val="pt-BR"/>
        </w:rPr>
        <w:t>adas</w:t>
      </w:r>
      <w:r w:rsidR="00030019" w:rsidRPr="006D1C74">
        <w:rPr>
          <w:rFonts w:asciiTheme="majorHAnsi" w:hAnsiTheme="majorHAnsi"/>
          <w:sz w:val="20"/>
          <w:szCs w:val="20"/>
          <w:lang w:val="pt-BR"/>
        </w:rPr>
        <w:t xml:space="preserve"> </w:t>
      </w:r>
      <w:r w:rsidRPr="006D1C74">
        <w:rPr>
          <w:rFonts w:asciiTheme="majorHAnsi" w:hAnsiTheme="majorHAnsi"/>
          <w:sz w:val="20"/>
          <w:szCs w:val="20"/>
          <w:lang w:val="pt-BR"/>
        </w:rPr>
        <w:t>na</w:t>
      </w:r>
      <w:r w:rsidR="00030019" w:rsidRPr="006D1C74">
        <w:rPr>
          <w:rFonts w:asciiTheme="majorHAnsi" w:hAnsiTheme="majorHAnsi"/>
          <w:sz w:val="20"/>
          <w:szCs w:val="20"/>
          <w:lang w:val="pt-BR"/>
        </w:rPr>
        <w:t xml:space="preserve">s </w:t>
      </w:r>
      <w:r w:rsidR="00CF037E" w:rsidRPr="006D1C74">
        <w:rPr>
          <w:rFonts w:asciiTheme="majorHAnsi" w:hAnsiTheme="majorHAnsi"/>
          <w:sz w:val="20"/>
          <w:szCs w:val="20"/>
          <w:lang w:val="pt-BR"/>
        </w:rPr>
        <w:t>outr</w:t>
      </w:r>
      <w:r w:rsidR="002649F0" w:rsidRPr="006D1C74">
        <w:rPr>
          <w:rFonts w:asciiTheme="majorHAnsi" w:hAnsiTheme="majorHAnsi"/>
          <w:sz w:val="20"/>
          <w:szCs w:val="20"/>
          <w:lang w:val="pt-BR"/>
        </w:rPr>
        <w:t xml:space="preserve">as 185 </w:t>
      </w:r>
      <w:r w:rsidR="00795010" w:rsidRPr="006D1C74">
        <w:rPr>
          <w:rFonts w:asciiTheme="majorHAnsi" w:hAnsiTheme="majorHAnsi"/>
          <w:sz w:val="20"/>
          <w:szCs w:val="20"/>
          <w:lang w:val="pt-BR"/>
        </w:rPr>
        <w:t>vítima</w:t>
      </w:r>
      <w:r w:rsidR="002649F0" w:rsidRPr="006D1C74">
        <w:rPr>
          <w:rFonts w:asciiTheme="majorHAnsi" w:hAnsiTheme="majorHAnsi"/>
          <w:sz w:val="20"/>
          <w:szCs w:val="20"/>
          <w:lang w:val="pt-BR"/>
        </w:rPr>
        <w:t>s</w:t>
      </w:r>
      <w:r w:rsidR="00030019" w:rsidRPr="006D1C74">
        <w:rPr>
          <w:rFonts w:asciiTheme="majorHAnsi" w:hAnsiTheme="majorHAnsi"/>
          <w:sz w:val="20"/>
          <w:szCs w:val="20"/>
          <w:lang w:val="pt-BR"/>
        </w:rPr>
        <w:t xml:space="preserve"> do </w:t>
      </w:r>
      <w:r w:rsidR="008F1868" w:rsidRPr="006D1C74">
        <w:rPr>
          <w:rFonts w:asciiTheme="majorHAnsi" w:hAnsiTheme="majorHAnsi"/>
          <w:sz w:val="20"/>
          <w:szCs w:val="20"/>
          <w:lang w:val="pt-BR"/>
        </w:rPr>
        <w:t>presente caso</w:t>
      </w:r>
      <w:r w:rsidRPr="006D1C74">
        <w:rPr>
          <w:rFonts w:asciiTheme="majorHAnsi" w:hAnsiTheme="majorHAnsi"/>
          <w:sz w:val="20"/>
          <w:szCs w:val="20"/>
          <w:lang w:val="pt-BR"/>
        </w:rPr>
        <w:t xml:space="preserve"> foram</w:t>
      </w:r>
      <w:r w:rsidR="002649F0" w:rsidRPr="006D1C74">
        <w:rPr>
          <w:rFonts w:asciiTheme="majorHAnsi" w:hAnsiTheme="majorHAnsi"/>
          <w:sz w:val="20"/>
          <w:szCs w:val="20"/>
          <w:lang w:val="pt-BR"/>
        </w:rPr>
        <w:t xml:space="preserve"> </w:t>
      </w:r>
      <w:r w:rsidR="00BA111B" w:rsidRPr="006D1C74">
        <w:rPr>
          <w:rFonts w:asciiTheme="majorHAnsi" w:hAnsiTheme="majorHAnsi"/>
          <w:sz w:val="20"/>
          <w:szCs w:val="20"/>
          <w:lang w:val="pt-BR"/>
        </w:rPr>
        <w:t>consequência</w:t>
      </w:r>
      <w:r w:rsidR="002649F0" w:rsidRPr="006D1C74">
        <w:rPr>
          <w:rFonts w:asciiTheme="majorHAnsi" w:hAnsiTheme="majorHAnsi"/>
          <w:sz w:val="20"/>
          <w:szCs w:val="20"/>
          <w:lang w:val="pt-BR"/>
        </w:rPr>
        <w:t xml:space="preserve"> de disparos realizados</w:t>
      </w:r>
      <w:r w:rsidR="00BD3AB3" w:rsidRPr="006D1C74">
        <w:rPr>
          <w:rFonts w:asciiTheme="majorHAnsi" w:hAnsiTheme="majorHAnsi"/>
          <w:sz w:val="20"/>
          <w:szCs w:val="20"/>
          <w:lang w:val="pt-BR"/>
        </w:rPr>
        <w:t xml:space="preserve"> pelos </w:t>
      </w:r>
      <w:r w:rsidR="00BA111B" w:rsidRPr="006D1C74">
        <w:rPr>
          <w:rFonts w:asciiTheme="majorHAnsi" w:hAnsiTheme="majorHAnsi"/>
          <w:sz w:val="20"/>
          <w:szCs w:val="20"/>
          <w:lang w:val="pt-BR"/>
        </w:rPr>
        <w:t>mesmos</w:t>
      </w:r>
      <w:r w:rsidR="002649F0" w:rsidRPr="006D1C74">
        <w:rPr>
          <w:rFonts w:asciiTheme="majorHAnsi" w:hAnsiTheme="majorHAnsi"/>
          <w:sz w:val="20"/>
          <w:szCs w:val="20"/>
          <w:lang w:val="pt-BR"/>
        </w:rPr>
        <w:t xml:space="preserve"> agentes</w:t>
      </w:r>
      <w:r w:rsidR="00795010" w:rsidRPr="006D1C74">
        <w:rPr>
          <w:rFonts w:asciiTheme="majorHAnsi" w:hAnsiTheme="majorHAnsi"/>
          <w:sz w:val="20"/>
          <w:szCs w:val="20"/>
          <w:lang w:val="pt-BR"/>
        </w:rPr>
        <w:t xml:space="preserve"> da </w:t>
      </w:r>
      <w:r w:rsidR="00F37852" w:rsidRPr="006D1C74">
        <w:rPr>
          <w:rFonts w:asciiTheme="majorHAnsi" w:hAnsiTheme="majorHAnsi"/>
          <w:sz w:val="20"/>
          <w:szCs w:val="20"/>
          <w:lang w:val="pt-BR"/>
        </w:rPr>
        <w:t>polícia</w:t>
      </w:r>
      <w:r w:rsidR="002649F0" w:rsidRPr="006D1C74">
        <w:rPr>
          <w:rFonts w:asciiTheme="majorHAnsi" w:hAnsiTheme="majorHAnsi"/>
          <w:sz w:val="20"/>
          <w:szCs w:val="20"/>
          <w:lang w:val="pt-BR"/>
        </w:rPr>
        <w:t xml:space="preserve"> militar que det</w:t>
      </w:r>
      <w:r w:rsidR="00BA111B">
        <w:rPr>
          <w:rFonts w:asciiTheme="majorHAnsi" w:hAnsiTheme="majorHAnsi"/>
          <w:sz w:val="20"/>
          <w:szCs w:val="20"/>
          <w:lang w:val="pt-BR"/>
        </w:rPr>
        <w:t>iveram</w:t>
      </w:r>
      <w:r w:rsidR="00700267" w:rsidRPr="006D1C74">
        <w:rPr>
          <w:rFonts w:asciiTheme="majorHAnsi" w:hAnsiTheme="majorHAnsi"/>
          <w:sz w:val="20"/>
          <w:szCs w:val="20"/>
          <w:lang w:val="pt-BR"/>
        </w:rPr>
        <w:t xml:space="preserve"> os </w:t>
      </w:r>
      <w:r w:rsidRPr="006D1C74">
        <w:rPr>
          <w:rFonts w:asciiTheme="majorHAnsi" w:hAnsiTheme="majorHAnsi"/>
          <w:sz w:val="20"/>
          <w:szCs w:val="20"/>
          <w:lang w:val="pt-BR"/>
        </w:rPr>
        <w:t>ônibus</w:t>
      </w:r>
      <w:r w:rsidR="002649F0" w:rsidRPr="006D1C74">
        <w:rPr>
          <w:rFonts w:asciiTheme="majorHAnsi" w:hAnsiTheme="majorHAnsi"/>
          <w:sz w:val="20"/>
          <w:szCs w:val="20"/>
          <w:lang w:val="pt-BR"/>
        </w:rPr>
        <w:t xml:space="preserve"> que se </w:t>
      </w:r>
      <w:r w:rsidR="00BA111B" w:rsidRPr="006D1C74">
        <w:rPr>
          <w:rFonts w:asciiTheme="majorHAnsi" w:hAnsiTheme="majorHAnsi"/>
          <w:sz w:val="20"/>
          <w:szCs w:val="20"/>
          <w:lang w:val="pt-BR"/>
        </w:rPr>
        <w:t>dirigiam</w:t>
      </w:r>
      <w:r w:rsidR="002649F0" w:rsidRPr="006D1C74">
        <w:rPr>
          <w:rFonts w:asciiTheme="majorHAnsi" w:hAnsiTheme="majorHAnsi"/>
          <w:sz w:val="20"/>
          <w:szCs w:val="20"/>
          <w:lang w:val="pt-BR"/>
        </w:rPr>
        <w:t xml:space="preserve"> a Curitiba,</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002649F0" w:rsidRPr="006D1C74">
        <w:rPr>
          <w:rFonts w:asciiTheme="majorHAnsi" w:hAnsiTheme="majorHAnsi"/>
          <w:sz w:val="20"/>
          <w:szCs w:val="20"/>
          <w:lang w:val="pt-BR"/>
        </w:rPr>
        <w:t xml:space="preserve"> considera que</w:t>
      </w:r>
      <w:r w:rsidR="00700267" w:rsidRPr="006D1C74">
        <w:rPr>
          <w:rFonts w:asciiTheme="majorHAnsi" w:hAnsiTheme="majorHAnsi"/>
          <w:sz w:val="20"/>
          <w:szCs w:val="20"/>
          <w:lang w:val="pt-BR"/>
        </w:rPr>
        <w:t xml:space="preserve"> </w:t>
      </w:r>
      <w:r w:rsidRPr="006D1C74">
        <w:rPr>
          <w:rFonts w:asciiTheme="majorHAnsi" w:hAnsiTheme="majorHAnsi"/>
          <w:sz w:val="20"/>
          <w:szCs w:val="20"/>
          <w:lang w:val="pt-BR"/>
        </w:rPr>
        <w:t>a</w:t>
      </w:r>
      <w:r w:rsidR="00700267" w:rsidRPr="006D1C74">
        <w:rPr>
          <w:rFonts w:asciiTheme="majorHAnsi" w:hAnsiTheme="majorHAnsi"/>
          <w:sz w:val="20"/>
          <w:szCs w:val="20"/>
          <w:lang w:val="pt-BR"/>
        </w:rPr>
        <w:t xml:space="preserve"> </w:t>
      </w:r>
      <w:r w:rsidR="002649F0" w:rsidRPr="006D1C74">
        <w:rPr>
          <w:rFonts w:asciiTheme="majorHAnsi" w:hAnsiTheme="majorHAnsi"/>
          <w:sz w:val="20"/>
          <w:szCs w:val="20"/>
          <w:lang w:val="pt-BR"/>
        </w:rPr>
        <w:t>anális</w:t>
      </w:r>
      <w:r w:rsidRPr="006D1C74">
        <w:rPr>
          <w:rFonts w:asciiTheme="majorHAnsi" w:hAnsiTheme="majorHAnsi"/>
          <w:sz w:val="20"/>
          <w:szCs w:val="20"/>
          <w:lang w:val="pt-BR"/>
        </w:rPr>
        <w:t>e</w:t>
      </w:r>
      <w:r w:rsidR="002649F0" w:rsidRPr="006D1C74">
        <w:rPr>
          <w:rFonts w:asciiTheme="majorHAnsi" w:hAnsiTheme="majorHAnsi"/>
          <w:sz w:val="20"/>
          <w:szCs w:val="20"/>
          <w:lang w:val="pt-BR"/>
        </w:rPr>
        <w:t xml:space="preserve"> precedente sobre</w:t>
      </w:r>
      <w:r w:rsidR="00700267" w:rsidRPr="006D1C74">
        <w:rPr>
          <w:rFonts w:asciiTheme="majorHAnsi" w:hAnsiTheme="majorHAnsi"/>
          <w:sz w:val="20"/>
          <w:szCs w:val="20"/>
          <w:lang w:val="pt-BR"/>
        </w:rPr>
        <w:t xml:space="preserve"> a </w:t>
      </w:r>
      <w:r w:rsidR="00BA111B" w:rsidRPr="006D1C74">
        <w:rPr>
          <w:rFonts w:asciiTheme="majorHAnsi" w:hAnsiTheme="majorHAnsi"/>
          <w:sz w:val="20"/>
          <w:szCs w:val="20"/>
          <w:lang w:val="pt-BR"/>
        </w:rPr>
        <w:t>improcedência</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 xml:space="preserve">disparo que </w:t>
      </w:r>
      <w:r w:rsidRPr="006D1C74">
        <w:rPr>
          <w:rFonts w:asciiTheme="majorHAnsi" w:hAnsiTheme="majorHAnsi"/>
          <w:sz w:val="20"/>
          <w:szCs w:val="20"/>
          <w:lang w:val="pt-BR"/>
        </w:rPr>
        <w:t>provocou</w:t>
      </w:r>
      <w:r w:rsidR="00700267" w:rsidRPr="006D1C74">
        <w:rPr>
          <w:rFonts w:asciiTheme="majorHAnsi" w:hAnsiTheme="majorHAnsi"/>
          <w:sz w:val="20"/>
          <w:szCs w:val="20"/>
          <w:lang w:val="pt-BR"/>
        </w:rPr>
        <w:t xml:space="preserve"> a </w:t>
      </w:r>
      <w:r w:rsidR="00FC2F62" w:rsidRPr="006D1C74">
        <w:rPr>
          <w:rFonts w:asciiTheme="majorHAnsi" w:hAnsiTheme="majorHAnsi"/>
          <w:sz w:val="20"/>
          <w:szCs w:val="20"/>
          <w:lang w:val="pt-BR"/>
        </w:rPr>
        <w:t>morte</w:t>
      </w:r>
      <w:r w:rsidR="00030019" w:rsidRPr="006D1C74">
        <w:rPr>
          <w:rFonts w:asciiTheme="majorHAnsi" w:hAnsiTheme="majorHAnsi"/>
          <w:sz w:val="20"/>
          <w:szCs w:val="20"/>
          <w:lang w:val="pt-BR"/>
        </w:rPr>
        <w:t xml:space="preserve"> do </w:t>
      </w:r>
      <w:r w:rsidR="00BA111B" w:rsidRPr="006D1C74">
        <w:rPr>
          <w:rFonts w:asciiTheme="majorHAnsi" w:hAnsiTheme="majorHAnsi"/>
          <w:sz w:val="20"/>
          <w:szCs w:val="20"/>
          <w:lang w:val="pt-BR"/>
        </w:rPr>
        <w:t>senhor</w:t>
      </w:r>
      <w:r w:rsidR="002649F0" w:rsidRPr="006D1C74">
        <w:rPr>
          <w:rFonts w:asciiTheme="majorHAnsi" w:hAnsiTheme="majorHAnsi"/>
          <w:sz w:val="20"/>
          <w:szCs w:val="20"/>
          <w:lang w:val="pt-BR"/>
        </w:rPr>
        <w:t xml:space="preserve"> Antonio Tavares Pereira</w:t>
      </w:r>
      <w:r w:rsidR="00CF037E" w:rsidRPr="006D1C74">
        <w:rPr>
          <w:rFonts w:asciiTheme="majorHAnsi" w:hAnsiTheme="majorHAnsi"/>
          <w:sz w:val="20"/>
          <w:szCs w:val="20"/>
          <w:lang w:val="pt-BR"/>
        </w:rPr>
        <w:t xml:space="preserve"> e</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uso desmedido</w:t>
      </w:r>
      <w:r w:rsidR="00795010" w:rsidRPr="006D1C74">
        <w:rPr>
          <w:rFonts w:asciiTheme="majorHAnsi" w:hAnsiTheme="majorHAnsi"/>
          <w:sz w:val="20"/>
          <w:szCs w:val="20"/>
          <w:lang w:val="pt-BR"/>
        </w:rPr>
        <w:t xml:space="preserve"> da </w:t>
      </w:r>
      <w:r w:rsidR="00B146A8" w:rsidRPr="006D1C74">
        <w:rPr>
          <w:rFonts w:asciiTheme="majorHAnsi" w:hAnsiTheme="majorHAnsi"/>
          <w:sz w:val="20"/>
          <w:szCs w:val="20"/>
          <w:lang w:val="pt-BR"/>
        </w:rPr>
        <w:t>força</w:t>
      </w:r>
      <w:r w:rsidR="00F37852" w:rsidRPr="006D1C74">
        <w:rPr>
          <w:rFonts w:asciiTheme="majorHAnsi" w:hAnsiTheme="majorHAnsi"/>
          <w:sz w:val="20"/>
          <w:szCs w:val="20"/>
          <w:lang w:val="pt-BR"/>
        </w:rPr>
        <w:t xml:space="preserve"> é </w:t>
      </w:r>
      <w:r w:rsidR="002649F0" w:rsidRPr="006D1C74">
        <w:rPr>
          <w:rFonts w:asciiTheme="majorHAnsi" w:hAnsiTheme="majorHAnsi"/>
          <w:sz w:val="20"/>
          <w:szCs w:val="20"/>
          <w:lang w:val="pt-BR"/>
        </w:rPr>
        <w:t>aplic</w:t>
      </w:r>
      <w:r w:rsidRPr="006D1C74">
        <w:rPr>
          <w:rFonts w:asciiTheme="majorHAnsi" w:hAnsiTheme="majorHAnsi"/>
          <w:sz w:val="20"/>
          <w:szCs w:val="20"/>
          <w:lang w:val="pt-BR"/>
        </w:rPr>
        <w:t>ável</w:t>
      </w:r>
      <w:r w:rsidR="00030019" w:rsidRPr="006D1C74">
        <w:rPr>
          <w:rFonts w:asciiTheme="majorHAnsi" w:hAnsiTheme="majorHAnsi"/>
          <w:sz w:val="20"/>
          <w:szCs w:val="20"/>
          <w:lang w:val="pt-BR"/>
        </w:rPr>
        <w:t xml:space="preserve"> à </w:t>
      </w:r>
      <w:r w:rsidR="002649F0" w:rsidRPr="006D1C74">
        <w:rPr>
          <w:rFonts w:asciiTheme="majorHAnsi" w:hAnsiTheme="majorHAnsi"/>
          <w:sz w:val="20"/>
          <w:szCs w:val="20"/>
          <w:lang w:val="pt-BR"/>
        </w:rPr>
        <w:t>responsabili</w:t>
      </w:r>
      <w:r w:rsidR="00F673C7" w:rsidRPr="006D1C74">
        <w:rPr>
          <w:rFonts w:asciiTheme="majorHAnsi" w:hAnsiTheme="majorHAnsi"/>
          <w:sz w:val="20"/>
          <w:szCs w:val="20"/>
          <w:lang w:val="pt-BR"/>
        </w:rPr>
        <w:t xml:space="preserve">dade </w:t>
      </w:r>
      <w:r w:rsidR="002649F0" w:rsidRPr="006D1C74">
        <w:rPr>
          <w:rFonts w:asciiTheme="majorHAnsi" w:hAnsiTheme="majorHAnsi"/>
          <w:sz w:val="20"/>
          <w:szCs w:val="20"/>
          <w:lang w:val="pt-BR"/>
        </w:rPr>
        <w:t>internacional</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Estado por t</w:t>
      </w:r>
      <w:r w:rsidR="00700267" w:rsidRPr="006D1C74">
        <w:rPr>
          <w:rFonts w:asciiTheme="majorHAnsi" w:hAnsiTheme="majorHAnsi"/>
          <w:sz w:val="20"/>
          <w:szCs w:val="20"/>
          <w:lang w:val="pt-BR"/>
        </w:rPr>
        <w:t>ais</w:t>
      </w:r>
      <w:r w:rsidR="002649F0" w:rsidRPr="006D1C74">
        <w:rPr>
          <w:rFonts w:asciiTheme="majorHAnsi" w:hAnsiTheme="majorHAnsi"/>
          <w:sz w:val="20"/>
          <w:szCs w:val="20"/>
          <w:lang w:val="pt-BR"/>
        </w:rPr>
        <w:t xml:space="preserve"> </w:t>
      </w:r>
      <w:r w:rsidR="00D74A93" w:rsidRPr="006D1C74">
        <w:rPr>
          <w:rFonts w:asciiTheme="majorHAnsi" w:hAnsiTheme="majorHAnsi"/>
          <w:sz w:val="20"/>
          <w:szCs w:val="20"/>
          <w:lang w:val="pt-BR"/>
        </w:rPr>
        <w:t>lesões</w:t>
      </w:r>
      <w:r w:rsidR="002649F0" w:rsidRPr="006D1C74">
        <w:rPr>
          <w:rFonts w:asciiTheme="majorHAnsi" w:hAnsiTheme="majorHAnsi"/>
          <w:sz w:val="20"/>
          <w:szCs w:val="20"/>
          <w:lang w:val="pt-BR"/>
        </w:rPr>
        <w:t>. A</w:t>
      </w:r>
      <w:r w:rsidRPr="006D1C74">
        <w:rPr>
          <w:rFonts w:asciiTheme="majorHAnsi" w:hAnsiTheme="majorHAnsi"/>
          <w:sz w:val="20"/>
          <w:szCs w:val="20"/>
          <w:lang w:val="pt-BR"/>
        </w:rPr>
        <w:t>lém disso</w:t>
      </w:r>
      <w:r w:rsidR="002649F0"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002649F0" w:rsidRPr="006D1C74">
        <w:rPr>
          <w:rFonts w:asciiTheme="majorHAnsi" w:hAnsiTheme="majorHAnsi"/>
          <w:sz w:val="20"/>
          <w:szCs w:val="20"/>
          <w:lang w:val="pt-BR"/>
        </w:rPr>
        <w:t xml:space="preserve"> considera que</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Estado</w:t>
      </w:r>
      <w:r w:rsidR="00F673C7" w:rsidRPr="006D1C74">
        <w:rPr>
          <w:rFonts w:asciiTheme="majorHAnsi" w:hAnsiTheme="majorHAnsi"/>
          <w:sz w:val="20"/>
          <w:szCs w:val="20"/>
          <w:lang w:val="pt-BR"/>
        </w:rPr>
        <w:t xml:space="preserve"> não </w:t>
      </w:r>
      <w:r w:rsidR="002649F0" w:rsidRPr="006D1C74">
        <w:rPr>
          <w:rFonts w:asciiTheme="majorHAnsi" w:hAnsiTheme="majorHAnsi"/>
          <w:sz w:val="20"/>
          <w:szCs w:val="20"/>
          <w:lang w:val="pt-BR"/>
        </w:rPr>
        <w:t>cump</w:t>
      </w:r>
      <w:r w:rsidRPr="006D1C74">
        <w:rPr>
          <w:rFonts w:asciiTheme="majorHAnsi" w:hAnsiTheme="majorHAnsi"/>
          <w:sz w:val="20"/>
          <w:szCs w:val="20"/>
          <w:lang w:val="pt-BR"/>
        </w:rPr>
        <w:t xml:space="preserve">riu </w:t>
      </w:r>
      <w:r w:rsidR="0060059F" w:rsidRPr="006D1C74">
        <w:rPr>
          <w:rFonts w:asciiTheme="majorHAnsi" w:hAnsiTheme="majorHAnsi"/>
          <w:sz w:val="20"/>
          <w:szCs w:val="20"/>
          <w:lang w:val="pt-BR"/>
        </w:rPr>
        <w:t xml:space="preserve">o encargo </w:t>
      </w:r>
      <w:r w:rsidR="002649F0" w:rsidRPr="006D1C74">
        <w:rPr>
          <w:rFonts w:asciiTheme="majorHAnsi" w:hAnsiTheme="majorHAnsi"/>
          <w:sz w:val="20"/>
          <w:szCs w:val="20"/>
          <w:lang w:val="pt-BR"/>
        </w:rPr>
        <w:lastRenderedPageBreak/>
        <w:t xml:space="preserve">de </w:t>
      </w:r>
      <w:r w:rsidRPr="006D1C74">
        <w:rPr>
          <w:rFonts w:asciiTheme="majorHAnsi" w:hAnsiTheme="majorHAnsi"/>
          <w:sz w:val="20"/>
          <w:szCs w:val="20"/>
          <w:lang w:val="pt-BR"/>
        </w:rPr>
        <w:t>d</w:t>
      </w:r>
      <w:r w:rsidR="002649F0" w:rsidRPr="006D1C74">
        <w:rPr>
          <w:rFonts w:asciiTheme="majorHAnsi" w:hAnsiTheme="majorHAnsi"/>
          <w:sz w:val="20"/>
          <w:szCs w:val="20"/>
          <w:lang w:val="pt-BR"/>
        </w:rPr>
        <w:t>ar</w:t>
      </w:r>
      <w:r w:rsidR="00030019" w:rsidRPr="006D1C74">
        <w:rPr>
          <w:rFonts w:asciiTheme="majorHAnsi" w:hAnsiTheme="majorHAnsi"/>
          <w:sz w:val="20"/>
          <w:szCs w:val="20"/>
          <w:lang w:val="pt-BR"/>
        </w:rPr>
        <w:t xml:space="preserve"> uma </w:t>
      </w:r>
      <w:r w:rsidR="002649F0" w:rsidRPr="006D1C74">
        <w:rPr>
          <w:rFonts w:asciiTheme="majorHAnsi" w:hAnsiTheme="majorHAnsi"/>
          <w:sz w:val="20"/>
          <w:szCs w:val="20"/>
          <w:lang w:val="pt-BR"/>
        </w:rPr>
        <w:t>explica</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w:t>
      </w:r>
      <w:r w:rsidR="00BA111B" w:rsidRPr="006D1C74">
        <w:rPr>
          <w:rFonts w:asciiTheme="majorHAnsi" w:hAnsiTheme="majorHAnsi"/>
          <w:sz w:val="20"/>
          <w:szCs w:val="20"/>
          <w:lang w:val="pt-BR"/>
        </w:rPr>
        <w:t>satisfatória</w:t>
      </w:r>
      <w:r w:rsidR="002649F0" w:rsidRPr="006D1C74">
        <w:rPr>
          <w:rFonts w:asciiTheme="majorHAnsi" w:hAnsiTheme="majorHAnsi"/>
          <w:sz w:val="20"/>
          <w:szCs w:val="20"/>
          <w:lang w:val="pt-BR"/>
        </w:rPr>
        <w:t xml:space="preserve"> sobre</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uso</w:t>
      </w:r>
      <w:r w:rsidR="00795010" w:rsidRPr="006D1C74">
        <w:rPr>
          <w:rFonts w:asciiTheme="majorHAnsi" w:hAnsiTheme="majorHAnsi"/>
          <w:sz w:val="20"/>
          <w:szCs w:val="20"/>
          <w:lang w:val="pt-BR"/>
        </w:rPr>
        <w:t xml:space="preserve"> da </w:t>
      </w:r>
      <w:r w:rsidR="00B146A8" w:rsidRPr="006D1C74">
        <w:rPr>
          <w:rFonts w:asciiTheme="majorHAnsi" w:hAnsiTheme="majorHAnsi"/>
          <w:sz w:val="20"/>
          <w:szCs w:val="20"/>
          <w:lang w:val="pt-BR"/>
        </w:rPr>
        <w:t>força</w:t>
      </w:r>
      <w:r w:rsidR="002649F0" w:rsidRPr="006D1C74">
        <w:rPr>
          <w:rFonts w:asciiTheme="majorHAnsi" w:hAnsiTheme="majorHAnsi"/>
          <w:sz w:val="20"/>
          <w:szCs w:val="20"/>
          <w:lang w:val="pt-BR"/>
        </w:rPr>
        <w:t xml:space="preserve"> </w:t>
      </w:r>
      <w:r w:rsidRPr="006D1C74">
        <w:rPr>
          <w:rFonts w:asciiTheme="majorHAnsi" w:hAnsiTheme="majorHAnsi"/>
          <w:sz w:val="20"/>
          <w:szCs w:val="20"/>
          <w:lang w:val="pt-BR"/>
        </w:rPr>
        <w:t xml:space="preserve">a </w:t>
      </w:r>
      <w:r w:rsidR="00156036" w:rsidRPr="006D1C74">
        <w:rPr>
          <w:rFonts w:asciiTheme="majorHAnsi" w:hAnsiTheme="majorHAnsi"/>
          <w:sz w:val="20"/>
          <w:szCs w:val="20"/>
          <w:lang w:val="pt-BR"/>
        </w:rPr>
        <w:t>respeito</w:t>
      </w:r>
      <w:r w:rsidR="00D74A93" w:rsidRPr="006D1C74">
        <w:rPr>
          <w:rFonts w:asciiTheme="majorHAnsi" w:hAnsiTheme="majorHAnsi"/>
          <w:sz w:val="20"/>
          <w:szCs w:val="20"/>
          <w:lang w:val="pt-BR"/>
        </w:rPr>
        <w:t xml:space="preserve"> das </w:t>
      </w:r>
      <w:r w:rsidR="002649F0" w:rsidRPr="006D1C74">
        <w:rPr>
          <w:rFonts w:asciiTheme="majorHAnsi" w:hAnsiTheme="majorHAnsi"/>
          <w:sz w:val="20"/>
          <w:szCs w:val="20"/>
          <w:lang w:val="pt-BR"/>
        </w:rPr>
        <w:t xml:space="preserve">185 </w:t>
      </w:r>
      <w:r w:rsidR="00CA7940" w:rsidRPr="006D1C74">
        <w:rPr>
          <w:rFonts w:asciiTheme="majorHAnsi" w:hAnsiTheme="majorHAnsi"/>
          <w:sz w:val="20"/>
          <w:szCs w:val="20"/>
          <w:lang w:val="pt-BR"/>
        </w:rPr>
        <w:t>pessoa</w:t>
      </w:r>
      <w:r w:rsidR="002649F0" w:rsidRPr="006D1C74">
        <w:rPr>
          <w:rFonts w:asciiTheme="majorHAnsi" w:hAnsiTheme="majorHAnsi"/>
          <w:sz w:val="20"/>
          <w:szCs w:val="20"/>
          <w:lang w:val="pt-BR"/>
        </w:rPr>
        <w:t>s que f</w:t>
      </w:r>
      <w:r w:rsidRPr="006D1C74">
        <w:rPr>
          <w:rFonts w:asciiTheme="majorHAnsi" w:hAnsiTheme="majorHAnsi"/>
          <w:sz w:val="20"/>
          <w:szCs w:val="20"/>
          <w:lang w:val="pt-BR"/>
        </w:rPr>
        <w:t>oram</w:t>
      </w:r>
      <w:r w:rsidR="002649F0" w:rsidRPr="006D1C74">
        <w:rPr>
          <w:rFonts w:asciiTheme="majorHAnsi" w:hAnsiTheme="majorHAnsi"/>
          <w:sz w:val="20"/>
          <w:szCs w:val="20"/>
          <w:lang w:val="pt-BR"/>
        </w:rPr>
        <w:t xml:space="preserve"> </w:t>
      </w:r>
      <w:r w:rsidR="00135454" w:rsidRPr="006D1C74">
        <w:rPr>
          <w:rFonts w:asciiTheme="majorHAnsi" w:hAnsiTheme="majorHAnsi"/>
          <w:sz w:val="20"/>
          <w:szCs w:val="20"/>
          <w:lang w:val="pt-BR"/>
        </w:rPr>
        <w:t>ferid</w:t>
      </w:r>
      <w:r w:rsidR="002649F0" w:rsidRPr="006D1C74">
        <w:rPr>
          <w:rFonts w:asciiTheme="majorHAnsi" w:hAnsiTheme="majorHAnsi"/>
          <w:sz w:val="20"/>
          <w:szCs w:val="20"/>
          <w:lang w:val="pt-BR"/>
        </w:rPr>
        <w:t xml:space="preserve">as </w:t>
      </w:r>
      <w:r w:rsidR="00BA111B" w:rsidRPr="006D1C74">
        <w:rPr>
          <w:rFonts w:asciiTheme="majorHAnsi" w:hAnsiTheme="majorHAnsi"/>
          <w:sz w:val="20"/>
          <w:szCs w:val="20"/>
          <w:lang w:val="pt-BR"/>
        </w:rPr>
        <w:t>quando</w:t>
      </w:r>
      <w:r w:rsidR="002649F0" w:rsidRPr="006D1C74">
        <w:rPr>
          <w:rFonts w:asciiTheme="majorHAnsi" w:hAnsiTheme="majorHAnsi"/>
          <w:sz w:val="20"/>
          <w:szCs w:val="20"/>
          <w:lang w:val="pt-BR"/>
        </w:rPr>
        <w:t xml:space="preserve"> </w:t>
      </w:r>
      <w:r w:rsidR="00BA111B" w:rsidRPr="006D1C74">
        <w:rPr>
          <w:rFonts w:asciiTheme="majorHAnsi" w:hAnsiTheme="majorHAnsi"/>
          <w:sz w:val="20"/>
          <w:szCs w:val="20"/>
          <w:lang w:val="pt-BR"/>
        </w:rPr>
        <w:t>tentavam</w:t>
      </w:r>
      <w:r w:rsidR="002649F0" w:rsidRPr="006D1C74">
        <w:rPr>
          <w:rFonts w:asciiTheme="majorHAnsi" w:hAnsiTheme="majorHAnsi"/>
          <w:sz w:val="20"/>
          <w:szCs w:val="20"/>
          <w:lang w:val="pt-BR"/>
        </w:rPr>
        <w:t xml:space="preserve"> acudir</w:t>
      </w:r>
      <w:r w:rsidR="00030019" w:rsidRPr="006D1C74">
        <w:rPr>
          <w:rFonts w:asciiTheme="majorHAnsi" w:hAnsiTheme="majorHAnsi"/>
          <w:sz w:val="20"/>
          <w:szCs w:val="20"/>
          <w:lang w:val="pt-BR"/>
        </w:rPr>
        <w:t xml:space="preserve"> à </w:t>
      </w:r>
      <w:r w:rsidR="002649F0" w:rsidRPr="006D1C74">
        <w:rPr>
          <w:rFonts w:asciiTheme="majorHAnsi" w:hAnsiTheme="majorHAnsi"/>
          <w:sz w:val="20"/>
          <w:szCs w:val="20"/>
          <w:lang w:val="pt-BR"/>
        </w:rPr>
        <w:t>manifesta</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que </w:t>
      </w:r>
      <w:r w:rsidR="00BA111B" w:rsidRPr="006D1C74">
        <w:rPr>
          <w:rFonts w:asciiTheme="majorHAnsi" w:hAnsiTheme="majorHAnsi"/>
          <w:sz w:val="20"/>
          <w:szCs w:val="20"/>
          <w:lang w:val="pt-BR"/>
        </w:rPr>
        <w:t>estava</w:t>
      </w:r>
      <w:r w:rsidR="002649F0" w:rsidRPr="006D1C74">
        <w:rPr>
          <w:rFonts w:asciiTheme="majorHAnsi" w:hAnsiTheme="majorHAnsi"/>
          <w:sz w:val="20"/>
          <w:szCs w:val="20"/>
          <w:lang w:val="pt-BR"/>
        </w:rPr>
        <w:t xml:space="preserve"> programada para e</w:t>
      </w:r>
      <w:r w:rsidRPr="006D1C74">
        <w:rPr>
          <w:rFonts w:asciiTheme="majorHAnsi" w:hAnsiTheme="majorHAnsi"/>
          <w:sz w:val="20"/>
          <w:szCs w:val="20"/>
          <w:lang w:val="pt-BR"/>
        </w:rPr>
        <w:t>s</w:t>
      </w:r>
      <w:r w:rsidR="002649F0" w:rsidRPr="006D1C74">
        <w:rPr>
          <w:rFonts w:asciiTheme="majorHAnsi" w:hAnsiTheme="majorHAnsi"/>
          <w:sz w:val="20"/>
          <w:szCs w:val="20"/>
          <w:lang w:val="pt-BR"/>
        </w:rPr>
        <w:t>se d</w:t>
      </w:r>
      <w:r w:rsidR="00055622" w:rsidRPr="006D1C74">
        <w:rPr>
          <w:rFonts w:asciiTheme="majorHAnsi" w:hAnsiTheme="majorHAnsi"/>
          <w:sz w:val="20"/>
          <w:szCs w:val="20"/>
          <w:lang w:val="pt-BR"/>
        </w:rPr>
        <w:t>ia</w:t>
      </w:r>
      <w:r w:rsidR="002649F0" w:rsidRPr="006D1C74">
        <w:rPr>
          <w:rFonts w:asciiTheme="majorHAnsi" w:hAnsiTheme="majorHAnsi"/>
          <w:sz w:val="20"/>
          <w:szCs w:val="20"/>
          <w:lang w:val="pt-BR"/>
        </w:rPr>
        <w:t xml:space="preserve">, 2 de </w:t>
      </w:r>
      <w:r w:rsidR="00C6461F" w:rsidRPr="006D1C74">
        <w:rPr>
          <w:rFonts w:asciiTheme="majorHAnsi" w:hAnsiTheme="majorHAnsi"/>
          <w:sz w:val="20"/>
          <w:szCs w:val="20"/>
          <w:lang w:val="pt-BR"/>
        </w:rPr>
        <w:t>maio</w:t>
      </w:r>
      <w:r w:rsidR="002649F0" w:rsidRPr="006D1C74">
        <w:rPr>
          <w:rFonts w:asciiTheme="majorHAnsi" w:hAnsiTheme="majorHAnsi"/>
          <w:sz w:val="20"/>
          <w:szCs w:val="20"/>
          <w:lang w:val="pt-BR"/>
        </w:rPr>
        <w:t xml:space="preserve"> de 2000. </w:t>
      </w:r>
    </w:p>
    <w:p w14:paraId="668718E5" w14:textId="77777777" w:rsidR="002649F0" w:rsidRPr="006D1C74" w:rsidRDefault="002649F0" w:rsidP="002649F0">
      <w:pPr>
        <w:ind w:left="720"/>
        <w:rPr>
          <w:rFonts w:asciiTheme="majorHAnsi" w:eastAsia="Cambria" w:hAnsiTheme="majorHAnsi" w:cs="Cambria"/>
          <w:color w:val="000000"/>
          <w:sz w:val="20"/>
          <w:szCs w:val="20"/>
          <w:u w:color="000000"/>
          <w:lang w:val="pt-BR" w:eastAsia="es-ES"/>
        </w:rPr>
      </w:pPr>
    </w:p>
    <w:p w14:paraId="67D2EF3E" w14:textId="77777777" w:rsidR="002649F0" w:rsidRPr="006D1C74" w:rsidRDefault="002649F0" w:rsidP="00621E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pt-BR"/>
        </w:rPr>
      </w:pPr>
      <w:r w:rsidRPr="006D1C74">
        <w:rPr>
          <w:rFonts w:asciiTheme="majorHAnsi" w:hAnsiTheme="majorHAnsi"/>
          <w:sz w:val="20"/>
          <w:szCs w:val="20"/>
          <w:lang w:val="pt-BR"/>
        </w:rPr>
        <w:t xml:space="preserve">Por </w:t>
      </w:r>
      <w:r w:rsidR="00CF037E" w:rsidRPr="006D1C74">
        <w:rPr>
          <w:rFonts w:asciiTheme="majorHAnsi" w:hAnsiTheme="majorHAnsi"/>
          <w:sz w:val="20"/>
          <w:szCs w:val="20"/>
          <w:lang w:val="pt-BR"/>
        </w:rPr>
        <w:t>outr</w:t>
      </w:r>
      <w:r w:rsidR="0060059F" w:rsidRPr="006D1C74">
        <w:rPr>
          <w:rFonts w:asciiTheme="majorHAnsi" w:hAnsiTheme="majorHAnsi"/>
          <w:sz w:val="20"/>
          <w:szCs w:val="20"/>
          <w:lang w:val="pt-BR"/>
        </w:rPr>
        <w:t>o lado</w:t>
      </w:r>
      <w:r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Pr="006D1C74">
        <w:rPr>
          <w:rFonts w:asciiTheme="majorHAnsi" w:hAnsiTheme="majorHAnsi"/>
          <w:sz w:val="20"/>
          <w:szCs w:val="20"/>
          <w:lang w:val="pt-BR"/>
        </w:rPr>
        <w:t xml:space="preserve"> </w:t>
      </w:r>
      <w:r w:rsidR="00BA111B" w:rsidRPr="006D1C74">
        <w:rPr>
          <w:rFonts w:asciiTheme="majorHAnsi" w:hAnsiTheme="majorHAnsi"/>
          <w:sz w:val="20"/>
          <w:szCs w:val="20"/>
          <w:lang w:val="pt-BR"/>
        </w:rPr>
        <w:t>entende</w:t>
      </w:r>
      <w:r w:rsidRPr="006D1C74">
        <w:rPr>
          <w:rFonts w:asciiTheme="majorHAnsi" w:hAnsiTheme="majorHAnsi"/>
          <w:sz w:val="20"/>
          <w:szCs w:val="20"/>
          <w:lang w:val="pt-BR"/>
        </w:rPr>
        <w:t xml:space="preserve"> que</w:t>
      </w:r>
      <w:r w:rsidR="00700267" w:rsidRPr="006D1C74">
        <w:rPr>
          <w:rFonts w:asciiTheme="majorHAnsi" w:hAnsiTheme="majorHAnsi"/>
          <w:sz w:val="20"/>
          <w:szCs w:val="20"/>
          <w:lang w:val="pt-BR"/>
        </w:rPr>
        <w:t xml:space="preserve"> o </w:t>
      </w:r>
      <w:r w:rsidRPr="006D1C74">
        <w:rPr>
          <w:rFonts w:asciiTheme="majorHAnsi" w:hAnsiTheme="majorHAnsi"/>
          <w:sz w:val="20"/>
          <w:szCs w:val="20"/>
          <w:lang w:val="pt-BR"/>
        </w:rPr>
        <w:t xml:space="preserve">pedido de </w:t>
      </w:r>
      <w:r w:rsidR="00616640" w:rsidRPr="006D1C74">
        <w:rPr>
          <w:rFonts w:asciiTheme="majorHAnsi" w:hAnsiTheme="majorHAnsi"/>
          <w:sz w:val="20"/>
          <w:szCs w:val="20"/>
          <w:lang w:val="pt-BR"/>
        </w:rPr>
        <w:t>arquivamento</w:t>
      </w:r>
      <w:r w:rsidR="00030019" w:rsidRPr="006D1C74">
        <w:rPr>
          <w:rFonts w:asciiTheme="majorHAnsi" w:hAnsiTheme="majorHAnsi"/>
          <w:sz w:val="20"/>
          <w:szCs w:val="20"/>
          <w:lang w:val="pt-BR"/>
        </w:rPr>
        <w:t xml:space="preserve"> do </w:t>
      </w:r>
      <w:r w:rsidRPr="006D1C74">
        <w:rPr>
          <w:rFonts w:asciiTheme="majorHAnsi" w:hAnsiTheme="majorHAnsi"/>
          <w:sz w:val="20"/>
          <w:szCs w:val="20"/>
          <w:lang w:val="pt-BR"/>
        </w:rPr>
        <w:t>caso</w:t>
      </w:r>
      <w:r w:rsidR="00700267" w:rsidRPr="006D1C74">
        <w:rPr>
          <w:rFonts w:asciiTheme="majorHAnsi" w:hAnsiTheme="majorHAnsi"/>
          <w:sz w:val="20"/>
          <w:szCs w:val="20"/>
          <w:lang w:val="pt-BR"/>
        </w:rPr>
        <w:t xml:space="preserve"> pelo </w:t>
      </w:r>
      <w:r w:rsidRPr="006D1C74">
        <w:rPr>
          <w:rFonts w:asciiTheme="majorHAnsi" w:hAnsiTheme="majorHAnsi"/>
          <w:sz w:val="20"/>
          <w:szCs w:val="20"/>
          <w:lang w:val="pt-BR"/>
        </w:rPr>
        <w:t xml:space="preserve">Procurador de </w:t>
      </w:r>
      <w:r w:rsidR="00795010" w:rsidRPr="006D1C74">
        <w:rPr>
          <w:rFonts w:asciiTheme="majorHAnsi" w:hAnsiTheme="majorHAnsi"/>
          <w:sz w:val="20"/>
          <w:szCs w:val="20"/>
          <w:lang w:val="pt-BR"/>
        </w:rPr>
        <w:t>Justiça</w:t>
      </w:r>
      <w:r w:rsidR="00030019" w:rsidRPr="006D1C74">
        <w:rPr>
          <w:rFonts w:asciiTheme="majorHAnsi" w:hAnsiTheme="majorHAnsi"/>
          <w:sz w:val="20"/>
          <w:szCs w:val="20"/>
          <w:lang w:val="pt-BR"/>
        </w:rPr>
        <w:t xml:space="preserve"> do </w:t>
      </w:r>
      <w:r w:rsidRPr="006D1C74">
        <w:rPr>
          <w:rFonts w:asciiTheme="majorHAnsi" w:hAnsiTheme="majorHAnsi"/>
          <w:sz w:val="20"/>
          <w:szCs w:val="20"/>
          <w:lang w:val="pt-BR"/>
        </w:rPr>
        <w:t xml:space="preserve">estado </w:t>
      </w:r>
      <w:r w:rsidR="000D2A81" w:rsidRPr="006D1C74">
        <w:rPr>
          <w:rFonts w:asciiTheme="majorHAnsi" w:hAnsiTheme="majorHAnsi"/>
          <w:sz w:val="20"/>
          <w:szCs w:val="20"/>
          <w:lang w:val="pt-BR"/>
        </w:rPr>
        <w:t>do Paraná</w:t>
      </w:r>
      <w:r w:rsidR="00F673C7" w:rsidRPr="006D1C74">
        <w:rPr>
          <w:rFonts w:asciiTheme="majorHAnsi" w:hAnsiTheme="majorHAnsi"/>
          <w:sz w:val="20"/>
          <w:szCs w:val="20"/>
          <w:lang w:val="pt-BR"/>
        </w:rPr>
        <w:t xml:space="preserve"> em </w:t>
      </w:r>
      <w:r w:rsidR="00BA111B" w:rsidRPr="006D1C74">
        <w:rPr>
          <w:rFonts w:asciiTheme="majorHAnsi" w:hAnsiTheme="majorHAnsi"/>
          <w:sz w:val="20"/>
          <w:szCs w:val="20"/>
          <w:lang w:val="pt-BR"/>
        </w:rPr>
        <w:t>si</w:t>
      </w:r>
      <w:r w:rsidR="00945B80" w:rsidRPr="006D1C74">
        <w:rPr>
          <w:rFonts w:asciiTheme="majorHAnsi" w:hAnsiTheme="majorHAnsi"/>
          <w:sz w:val="20"/>
          <w:szCs w:val="20"/>
          <w:lang w:val="pt-BR"/>
        </w:rPr>
        <w:t xml:space="preserve"> </w:t>
      </w:r>
      <w:r w:rsidR="00BA111B" w:rsidRPr="006D1C74">
        <w:rPr>
          <w:rFonts w:asciiTheme="majorHAnsi" w:hAnsiTheme="majorHAnsi"/>
          <w:sz w:val="20"/>
          <w:szCs w:val="20"/>
          <w:lang w:val="pt-BR"/>
        </w:rPr>
        <w:t>mesmo</w:t>
      </w:r>
      <w:r w:rsidR="00F673C7" w:rsidRPr="006D1C74">
        <w:rPr>
          <w:rFonts w:asciiTheme="majorHAnsi" w:hAnsiTheme="majorHAnsi"/>
          <w:sz w:val="20"/>
          <w:szCs w:val="20"/>
          <w:lang w:val="pt-BR"/>
        </w:rPr>
        <w:t xml:space="preserve"> não </w:t>
      </w:r>
      <w:r w:rsidR="0060059F" w:rsidRPr="006D1C74">
        <w:rPr>
          <w:rFonts w:asciiTheme="majorHAnsi" w:hAnsiTheme="majorHAnsi"/>
          <w:sz w:val="20"/>
          <w:szCs w:val="20"/>
          <w:lang w:val="pt-BR"/>
        </w:rPr>
        <w:t>é</w:t>
      </w:r>
      <w:r w:rsidR="00945B80" w:rsidRPr="006D1C74">
        <w:rPr>
          <w:rFonts w:asciiTheme="majorHAnsi" w:hAnsiTheme="majorHAnsi"/>
          <w:sz w:val="20"/>
          <w:szCs w:val="20"/>
          <w:lang w:val="pt-BR"/>
        </w:rPr>
        <w:t xml:space="preserve"> suficiente para a</w:t>
      </w:r>
      <w:r w:rsidR="00791EE6" w:rsidRPr="006D1C74">
        <w:rPr>
          <w:rFonts w:asciiTheme="majorHAnsi" w:hAnsiTheme="majorHAnsi"/>
          <w:sz w:val="20"/>
          <w:szCs w:val="20"/>
          <w:lang w:val="pt-BR"/>
        </w:rPr>
        <w:t>test</w:t>
      </w:r>
      <w:r w:rsidR="00945B80" w:rsidRPr="006D1C74">
        <w:rPr>
          <w:rFonts w:asciiTheme="majorHAnsi" w:hAnsiTheme="majorHAnsi"/>
          <w:sz w:val="20"/>
          <w:szCs w:val="20"/>
          <w:lang w:val="pt-BR"/>
        </w:rPr>
        <w:t>ar que</w:t>
      </w:r>
      <w:r w:rsidR="00700267" w:rsidRPr="006D1C74">
        <w:rPr>
          <w:rFonts w:asciiTheme="majorHAnsi" w:hAnsiTheme="majorHAnsi"/>
          <w:sz w:val="20"/>
          <w:szCs w:val="20"/>
          <w:lang w:val="pt-BR"/>
        </w:rPr>
        <w:t xml:space="preserve"> o </w:t>
      </w:r>
      <w:r w:rsidR="00945B80" w:rsidRPr="006D1C74">
        <w:rPr>
          <w:rFonts w:asciiTheme="majorHAnsi" w:hAnsiTheme="majorHAnsi"/>
          <w:sz w:val="20"/>
          <w:szCs w:val="20"/>
          <w:lang w:val="pt-BR"/>
        </w:rPr>
        <w:t>uso</w:t>
      </w:r>
      <w:r w:rsidR="00795010" w:rsidRPr="006D1C74">
        <w:rPr>
          <w:rFonts w:asciiTheme="majorHAnsi" w:hAnsiTheme="majorHAnsi"/>
          <w:sz w:val="20"/>
          <w:szCs w:val="20"/>
          <w:lang w:val="pt-BR"/>
        </w:rPr>
        <w:t xml:space="preserve"> da </w:t>
      </w:r>
      <w:r w:rsidR="00B146A8" w:rsidRPr="006D1C74">
        <w:rPr>
          <w:rFonts w:asciiTheme="majorHAnsi" w:hAnsiTheme="majorHAnsi"/>
          <w:sz w:val="20"/>
          <w:szCs w:val="20"/>
          <w:lang w:val="pt-BR"/>
        </w:rPr>
        <w:t>força</w:t>
      </w:r>
      <w:r w:rsidR="00945B80" w:rsidRPr="006D1C74">
        <w:rPr>
          <w:rFonts w:asciiTheme="majorHAnsi" w:hAnsiTheme="majorHAnsi"/>
          <w:sz w:val="20"/>
          <w:szCs w:val="20"/>
          <w:lang w:val="pt-BR"/>
        </w:rPr>
        <w:t xml:space="preserve"> </w:t>
      </w:r>
      <w:r w:rsidR="0060059F" w:rsidRPr="006D1C74">
        <w:rPr>
          <w:rFonts w:asciiTheme="majorHAnsi" w:hAnsiTheme="majorHAnsi"/>
          <w:sz w:val="20"/>
          <w:szCs w:val="20"/>
          <w:lang w:val="pt-BR"/>
        </w:rPr>
        <w:t>foi efetuado</w:t>
      </w:r>
      <w:r w:rsidR="00945B80" w:rsidRPr="006D1C74">
        <w:rPr>
          <w:rFonts w:asciiTheme="majorHAnsi" w:hAnsiTheme="majorHAnsi"/>
          <w:sz w:val="20"/>
          <w:szCs w:val="20"/>
          <w:lang w:val="pt-BR"/>
        </w:rPr>
        <w:t xml:space="preserve"> e</w:t>
      </w:r>
      <w:r w:rsidR="0060059F" w:rsidRPr="006D1C74">
        <w:rPr>
          <w:rFonts w:asciiTheme="majorHAnsi" w:hAnsiTheme="majorHAnsi"/>
          <w:sz w:val="20"/>
          <w:szCs w:val="20"/>
          <w:lang w:val="pt-BR"/>
        </w:rPr>
        <w:t>m</w:t>
      </w:r>
      <w:r w:rsidR="00945B80" w:rsidRPr="006D1C74">
        <w:rPr>
          <w:rFonts w:asciiTheme="majorHAnsi" w:hAnsiTheme="majorHAnsi"/>
          <w:sz w:val="20"/>
          <w:szCs w:val="20"/>
          <w:lang w:val="pt-BR"/>
        </w:rPr>
        <w:t xml:space="preserve"> conformi</w:t>
      </w:r>
      <w:r w:rsidR="00F673C7" w:rsidRPr="006D1C74">
        <w:rPr>
          <w:rFonts w:asciiTheme="majorHAnsi" w:hAnsiTheme="majorHAnsi"/>
          <w:sz w:val="20"/>
          <w:szCs w:val="20"/>
          <w:lang w:val="pt-BR"/>
        </w:rPr>
        <w:t xml:space="preserve">dade com </w:t>
      </w:r>
      <w:r w:rsidR="00700267" w:rsidRPr="006D1C74">
        <w:rPr>
          <w:rFonts w:asciiTheme="majorHAnsi" w:hAnsiTheme="majorHAnsi"/>
          <w:sz w:val="20"/>
          <w:szCs w:val="20"/>
          <w:lang w:val="pt-BR"/>
        </w:rPr>
        <w:t xml:space="preserve">os </w:t>
      </w:r>
      <w:r w:rsidR="00945B80" w:rsidRPr="006D1C74">
        <w:rPr>
          <w:rFonts w:asciiTheme="majorHAnsi" w:hAnsiTheme="majorHAnsi"/>
          <w:sz w:val="20"/>
          <w:szCs w:val="20"/>
          <w:lang w:val="pt-BR"/>
        </w:rPr>
        <w:t>requisitos exig</w:t>
      </w:r>
      <w:r w:rsidR="00A65ADA">
        <w:rPr>
          <w:rFonts w:asciiTheme="majorHAnsi" w:hAnsiTheme="majorHAnsi"/>
          <w:sz w:val="20"/>
          <w:szCs w:val="20"/>
          <w:lang w:val="pt-BR"/>
        </w:rPr>
        <w:t>idos pel</w:t>
      </w:r>
      <w:r w:rsidR="00700267" w:rsidRPr="006D1C74">
        <w:rPr>
          <w:rFonts w:asciiTheme="majorHAnsi" w:hAnsiTheme="majorHAnsi"/>
          <w:sz w:val="20"/>
          <w:szCs w:val="20"/>
          <w:lang w:val="pt-BR"/>
        </w:rPr>
        <w:t xml:space="preserve">o </w:t>
      </w:r>
      <w:r w:rsidR="00417BE8" w:rsidRPr="006D1C74">
        <w:rPr>
          <w:rFonts w:asciiTheme="majorHAnsi" w:hAnsiTheme="majorHAnsi"/>
          <w:sz w:val="20"/>
          <w:szCs w:val="20"/>
          <w:lang w:val="pt-BR"/>
        </w:rPr>
        <w:t>direito</w:t>
      </w:r>
      <w:r w:rsidR="00945B80" w:rsidRPr="006D1C74">
        <w:rPr>
          <w:rFonts w:asciiTheme="majorHAnsi" w:hAnsiTheme="majorHAnsi"/>
          <w:sz w:val="20"/>
          <w:szCs w:val="20"/>
          <w:lang w:val="pt-BR"/>
        </w:rPr>
        <w:t xml:space="preserve"> internacional</w:t>
      </w:r>
      <w:r w:rsidR="00135385" w:rsidRPr="006D1C74">
        <w:rPr>
          <w:rFonts w:asciiTheme="majorHAnsi" w:hAnsiTheme="majorHAnsi"/>
          <w:sz w:val="20"/>
          <w:szCs w:val="20"/>
          <w:lang w:val="pt-BR"/>
        </w:rPr>
        <w:t>; ademais</w:t>
      </w:r>
      <w:r w:rsidR="0060059F" w:rsidRPr="006D1C74">
        <w:rPr>
          <w:rFonts w:asciiTheme="majorHAnsi" w:hAnsiTheme="majorHAnsi"/>
          <w:sz w:val="20"/>
          <w:szCs w:val="20"/>
          <w:lang w:val="pt-BR"/>
        </w:rPr>
        <w:t xml:space="preserve">, o </w:t>
      </w:r>
      <w:r w:rsidR="00135385" w:rsidRPr="006D1C74">
        <w:rPr>
          <w:rFonts w:asciiTheme="majorHAnsi" w:hAnsiTheme="majorHAnsi"/>
          <w:sz w:val="20"/>
          <w:szCs w:val="20"/>
          <w:lang w:val="pt-BR"/>
        </w:rPr>
        <w:t xml:space="preserve">pedido </w:t>
      </w:r>
      <w:r w:rsidRPr="006D1C74">
        <w:rPr>
          <w:rFonts w:asciiTheme="majorHAnsi" w:hAnsiTheme="majorHAnsi"/>
          <w:sz w:val="20"/>
          <w:szCs w:val="20"/>
          <w:lang w:val="pt-BR"/>
        </w:rPr>
        <w:t>se bas</w:t>
      </w:r>
      <w:r w:rsidR="0060059F" w:rsidRPr="006D1C74">
        <w:rPr>
          <w:rFonts w:asciiTheme="majorHAnsi" w:hAnsiTheme="majorHAnsi"/>
          <w:sz w:val="20"/>
          <w:szCs w:val="20"/>
          <w:lang w:val="pt-BR"/>
        </w:rPr>
        <w:t>eou</w:t>
      </w:r>
      <w:r w:rsidR="00F673C7" w:rsidRPr="006D1C74">
        <w:rPr>
          <w:rFonts w:asciiTheme="majorHAnsi" w:hAnsiTheme="majorHAnsi"/>
          <w:sz w:val="20"/>
          <w:szCs w:val="20"/>
          <w:lang w:val="pt-BR"/>
        </w:rPr>
        <w:t xml:space="preserve"> em </w:t>
      </w:r>
      <w:r w:rsidRPr="006D1C74">
        <w:rPr>
          <w:rFonts w:asciiTheme="majorHAnsi" w:hAnsiTheme="majorHAnsi"/>
          <w:sz w:val="20"/>
          <w:szCs w:val="20"/>
          <w:lang w:val="pt-BR"/>
        </w:rPr>
        <w:t>elementos obtidos</w:t>
      </w:r>
      <w:r w:rsidR="00F673C7" w:rsidRPr="006D1C74">
        <w:rPr>
          <w:rFonts w:asciiTheme="majorHAnsi" w:hAnsiTheme="majorHAnsi"/>
          <w:sz w:val="20"/>
          <w:szCs w:val="20"/>
          <w:lang w:val="pt-BR"/>
        </w:rPr>
        <w:t xml:space="preserve"> na </w:t>
      </w:r>
      <w:r w:rsidRPr="006D1C74">
        <w:rPr>
          <w:rFonts w:asciiTheme="majorHAnsi" w:hAnsiTheme="majorHAnsi"/>
          <w:sz w:val="20"/>
          <w:szCs w:val="20"/>
          <w:lang w:val="pt-BR"/>
        </w:rPr>
        <w:t>investiga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w:t>
      </w:r>
      <w:r w:rsidR="00BA111B" w:rsidRPr="006D1C74">
        <w:rPr>
          <w:rFonts w:asciiTheme="majorHAnsi" w:hAnsiTheme="majorHAnsi"/>
          <w:sz w:val="20"/>
          <w:szCs w:val="20"/>
          <w:lang w:val="pt-BR"/>
        </w:rPr>
        <w:t>efetuada</w:t>
      </w:r>
      <w:r w:rsidR="00F37852" w:rsidRPr="006D1C74">
        <w:rPr>
          <w:rFonts w:asciiTheme="majorHAnsi" w:hAnsiTheme="majorHAnsi"/>
          <w:sz w:val="20"/>
          <w:szCs w:val="20"/>
          <w:lang w:val="pt-BR"/>
        </w:rPr>
        <w:t xml:space="preserve"> pela </w:t>
      </w:r>
      <w:r w:rsidR="00BA111B" w:rsidRPr="006D1C74">
        <w:rPr>
          <w:rFonts w:asciiTheme="majorHAnsi" w:hAnsiTheme="majorHAnsi"/>
          <w:sz w:val="20"/>
          <w:szCs w:val="20"/>
          <w:lang w:val="pt-BR"/>
        </w:rPr>
        <w:t>própria</w:t>
      </w:r>
      <w:r w:rsidRPr="006D1C74">
        <w:rPr>
          <w:rFonts w:asciiTheme="majorHAnsi" w:hAnsiTheme="majorHAnsi"/>
          <w:sz w:val="20"/>
          <w:szCs w:val="20"/>
          <w:lang w:val="pt-BR"/>
        </w:rPr>
        <w:t xml:space="preserve"> </w:t>
      </w:r>
      <w:r w:rsidR="00F37852" w:rsidRPr="006D1C74">
        <w:rPr>
          <w:rFonts w:asciiTheme="majorHAnsi" w:hAnsiTheme="majorHAnsi"/>
          <w:sz w:val="20"/>
          <w:szCs w:val="20"/>
          <w:lang w:val="pt-BR"/>
        </w:rPr>
        <w:t>polícia</w:t>
      </w:r>
      <w:r w:rsidRPr="006D1C74">
        <w:rPr>
          <w:rFonts w:asciiTheme="majorHAnsi" w:hAnsiTheme="majorHAnsi"/>
          <w:sz w:val="20"/>
          <w:szCs w:val="20"/>
          <w:lang w:val="pt-BR"/>
        </w:rPr>
        <w:t xml:space="preserve"> militar, </w:t>
      </w:r>
      <w:r w:rsidR="00BA111B" w:rsidRPr="006D1C74">
        <w:rPr>
          <w:rFonts w:asciiTheme="majorHAnsi" w:hAnsiTheme="majorHAnsi"/>
          <w:sz w:val="20"/>
          <w:szCs w:val="20"/>
          <w:lang w:val="pt-BR"/>
        </w:rPr>
        <w:t>instituição</w:t>
      </w:r>
      <w:r w:rsidR="00030019" w:rsidRPr="006D1C74">
        <w:rPr>
          <w:rFonts w:asciiTheme="majorHAnsi" w:hAnsiTheme="majorHAnsi"/>
          <w:sz w:val="20"/>
          <w:szCs w:val="20"/>
          <w:lang w:val="pt-BR"/>
        </w:rPr>
        <w:t xml:space="preserve"> à </w:t>
      </w:r>
      <w:r w:rsidRPr="006D1C74">
        <w:rPr>
          <w:rFonts w:asciiTheme="majorHAnsi" w:hAnsiTheme="majorHAnsi"/>
          <w:sz w:val="20"/>
          <w:szCs w:val="20"/>
          <w:lang w:val="pt-BR"/>
        </w:rPr>
        <w:t>qu</w:t>
      </w:r>
      <w:r w:rsidR="0060059F" w:rsidRPr="006D1C74">
        <w:rPr>
          <w:rFonts w:asciiTheme="majorHAnsi" w:hAnsiTheme="majorHAnsi"/>
          <w:sz w:val="20"/>
          <w:szCs w:val="20"/>
          <w:lang w:val="pt-BR"/>
        </w:rPr>
        <w:t>al</w:t>
      </w:r>
      <w:r w:rsidRPr="006D1C74">
        <w:rPr>
          <w:rFonts w:asciiTheme="majorHAnsi" w:hAnsiTheme="majorHAnsi"/>
          <w:sz w:val="20"/>
          <w:szCs w:val="20"/>
          <w:lang w:val="pt-BR"/>
        </w:rPr>
        <w:t xml:space="preserve"> </w:t>
      </w:r>
      <w:r w:rsidR="00BA111B" w:rsidRPr="006D1C74">
        <w:rPr>
          <w:rFonts w:asciiTheme="majorHAnsi" w:hAnsiTheme="majorHAnsi"/>
          <w:sz w:val="20"/>
          <w:szCs w:val="20"/>
          <w:lang w:val="pt-BR"/>
        </w:rPr>
        <w:t>pertencem</w:t>
      </w:r>
      <w:r w:rsidR="00700267" w:rsidRPr="006D1C74">
        <w:rPr>
          <w:rFonts w:asciiTheme="majorHAnsi" w:hAnsiTheme="majorHAnsi"/>
          <w:sz w:val="20"/>
          <w:szCs w:val="20"/>
          <w:lang w:val="pt-BR"/>
        </w:rPr>
        <w:t xml:space="preserve"> os </w:t>
      </w:r>
      <w:r w:rsidRPr="006D1C74">
        <w:rPr>
          <w:rFonts w:asciiTheme="majorHAnsi" w:hAnsiTheme="majorHAnsi"/>
          <w:sz w:val="20"/>
          <w:szCs w:val="20"/>
          <w:lang w:val="pt-BR"/>
        </w:rPr>
        <w:t>agentes investigados.</w:t>
      </w:r>
      <w:r w:rsidR="00945B80" w:rsidRPr="006D1C74">
        <w:rPr>
          <w:rFonts w:asciiTheme="majorHAnsi" w:hAnsiTheme="majorHAnsi"/>
          <w:sz w:val="20"/>
          <w:szCs w:val="20"/>
          <w:lang w:val="pt-BR"/>
        </w:rPr>
        <w:t xml:space="preserve"> </w:t>
      </w:r>
      <w:r w:rsidR="00454D37" w:rsidRPr="006D1C74">
        <w:rPr>
          <w:rFonts w:asciiTheme="majorHAnsi" w:hAnsiTheme="majorHAnsi"/>
          <w:sz w:val="20"/>
          <w:szCs w:val="20"/>
          <w:lang w:val="pt-BR"/>
        </w:rPr>
        <w:t>C</w:t>
      </w:r>
      <w:r w:rsidRPr="006D1C74">
        <w:rPr>
          <w:rFonts w:asciiTheme="majorHAnsi" w:hAnsiTheme="majorHAnsi"/>
          <w:sz w:val="20"/>
          <w:szCs w:val="20"/>
          <w:lang w:val="pt-BR"/>
        </w:rPr>
        <w:t xml:space="preserve">omo se verá </w:t>
      </w:r>
      <w:r w:rsidR="00D74A93" w:rsidRPr="006D1C74">
        <w:rPr>
          <w:rFonts w:asciiTheme="majorHAnsi" w:hAnsiTheme="majorHAnsi"/>
          <w:sz w:val="20"/>
          <w:szCs w:val="20"/>
          <w:lang w:val="pt-BR"/>
        </w:rPr>
        <w:t>mais</w:t>
      </w:r>
      <w:r w:rsidRPr="006D1C74">
        <w:rPr>
          <w:rFonts w:asciiTheme="majorHAnsi" w:hAnsiTheme="majorHAnsi"/>
          <w:sz w:val="20"/>
          <w:szCs w:val="20"/>
          <w:lang w:val="pt-BR"/>
        </w:rPr>
        <w:t xml:space="preserve"> ad</w:t>
      </w:r>
      <w:r w:rsidR="00135385" w:rsidRPr="006D1C74">
        <w:rPr>
          <w:rFonts w:asciiTheme="majorHAnsi" w:hAnsiTheme="majorHAnsi"/>
          <w:sz w:val="20"/>
          <w:szCs w:val="20"/>
          <w:lang w:val="pt-BR"/>
        </w:rPr>
        <w:t>i</w:t>
      </w:r>
      <w:r w:rsidRPr="006D1C74">
        <w:rPr>
          <w:rFonts w:asciiTheme="majorHAnsi" w:hAnsiTheme="majorHAnsi"/>
          <w:sz w:val="20"/>
          <w:szCs w:val="20"/>
          <w:lang w:val="pt-BR"/>
        </w:rPr>
        <w:t>ante,</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Pr="006D1C74">
        <w:rPr>
          <w:rFonts w:asciiTheme="majorHAnsi" w:hAnsiTheme="majorHAnsi"/>
          <w:sz w:val="20"/>
          <w:szCs w:val="20"/>
          <w:lang w:val="pt-BR"/>
        </w:rPr>
        <w:t xml:space="preserve"> considera que</w:t>
      </w:r>
      <w:r w:rsidR="00700267" w:rsidRPr="006D1C74">
        <w:rPr>
          <w:rFonts w:asciiTheme="majorHAnsi" w:hAnsiTheme="majorHAnsi"/>
          <w:sz w:val="20"/>
          <w:szCs w:val="20"/>
          <w:lang w:val="pt-BR"/>
        </w:rPr>
        <w:t xml:space="preserve"> a </w:t>
      </w:r>
      <w:r w:rsidR="00F37852" w:rsidRPr="006D1C74">
        <w:rPr>
          <w:rFonts w:asciiTheme="majorHAnsi" w:hAnsiTheme="majorHAnsi"/>
          <w:sz w:val="20"/>
          <w:szCs w:val="20"/>
          <w:lang w:val="pt-BR"/>
        </w:rPr>
        <w:t>Polícia</w:t>
      </w:r>
      <w:r w:rsidRPr="006D1C74">
        <w:rPr>
          <w:rFonts w:asciiTheme="majorHAnsi" w:hAnsiTheme="majorHAnsi"/>
          <w:sz w:val="20"/>
          <w:szCs w:val="20"/>
          <w:lang w:val="pt-BR"/>
        </w:rPr>
        <w:t xml:space="preserve"> Militar</w:t>
      </w:r>
      <w:r w:rsidR="00F673C7" w:rsidRPr="006D1C74">
        <w:rPr>
          <w:rFonts w:asciiTheme="majorHAnsi" w:hAnsiTheme="majorHAnsi"/>
          <w:sz w:val="20"/>
          <w:szCs w:val="20"/>
          <w:lang w:val="pt-BR"/>
        </w:rPr>
        <w:t xml:space="preserve"> não </w:t>
      </w:r>
      <w:r w:rsidRPr="006D1C74">
        <w:rPr>
          <w:rFonts w:asciiTheme="majorHAnsi" w:hAnsiTheme="majorHAnsi"/>
          <w:sz w:val="20"/>
          <w:szCs w:val="20"/>
          <w:lang w:val="pt-BR"/>
        </w:rPr>
        <w:t>era</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enti</w:t>
      </w:r>
      <w:r w:rsidR="00F673C7" w:rsidRPr="006D1C74">
        <w:rPr>
          <w:rFonts w:asciiTheme="majorHAnsi" w:hAnsiTheme="majorHAnsi"/>
          <w:sz w:val="20"/>
          <w:szCs w:val="20"/>
          <w:lang w:val="pt-BR"/>
        </w:rPr>
        <w:t xml:space="preserve">dade </w:t>
      </w:r>
      <w:r w:rsidRPr="006D1C74">
        <w:rPr>
          <w:rFonts w:asciiTheme="majorHAnsi" w:hAnsiTheme="majorHAnsi"/>
          <w:sz w:val="20"/>
          <w:szCs w:val="20"/>
          <w:lang w:val="pt-BR"/>
        </w:rPr>
        <w:t>id</w:t>
      </w:r>
      <w:r w:rsidR="00A65ADA">
        <w:rPr>
          <w:rFonts w:asciiTheme="majorHAnsi" w:hAnsiTheme="majorHAnsi"/>
          <w:sz w:val="20"/>
          <w:szCs w:val="20"/>
          <w:lang w:val="pt-BR"/>
        </w:rPr>
        <w:t>ô</w:t>
      </w:r>
      <w:r w:rsidRPr="006D1C74">
        <w:rPr>
          <w:rFonts w:asciiTheme="majorHAnsi" w:hAnsiTheme="majorHAnsi"/>
          <w:sz w:val="20"/>
          <w:szCs w:val="20"/>
          <w:lang w:val="pt-BR"/>
        </w:rPr>
        <w:t>nea para investigar</w:t>
      </w:r>
      <w:r w:rsidR="00700267" w:rsidRPr="006D1C74">
        <w:rPr>
          <w:rFonts w:asciiTheme="majorHAnsi" w:hAnsiTheme="majorHAnsi"/>
          <w:sz w:val="20"/>
          <w:szCs w:val="20"/>
          <w:lang w:val="pt-BR"/>
        </w:rPr>
        <w:t xml:space="preserve"> os </w:t>
      </w:r>
      <w:r w:rsidR="00F37852" w:rsidRPr="006D1C74">
        <w:rPr>
          <w:rFonts w:asciiTheme="majorHAnsi" w:hAnsiTheme="majorHAnsi"/>
          <w:sz w:val="20"/>
          <w:szCs w:val="20"/>
          <w:lang w:val="pt-BR"/>
        </w:rPr>
        <w:t>fato</w:t>
      </w:r>
      <w:r w:rsidRPr="006D1C74">
        <w:rPr>
          <w:rFonts w:asciiTheme="majorHAnsi" w:hAnsiTheme="majorHAnsi"/>
          <w:sz w:val="20"/>
          <w:szCs w:val="20"/>
          <w:lang w:val="pt-BR"/>
        </w:rPr>
        <w:t xml:space="preserve">s, </w:t>
      </w:r>
      <w:r w:rsidR="00135385" w:rsidRPr="006D1C74">
        <w:rPr>
          <w:rFonts w:asciiTheme="majorHAnsi" w:hAnsiTheme="majorHAnsi"/>
          <w:sz w:val="20"/>
          <w:szCs w:val="20"/>
          <w:lang w:val="pt-BR"/>
        </w:rPr>
        <w:t>já</w:t>
      </w:r>
      <w:r w:rsidRPr="006D1C74">
        <w:rPr>
          <w:rFonts w:asciiTheme="majorHAnsi" w:hAnsiTheme="majorHAnsi"/>
          <w:sz w:val="20"/>
          <w:szCs w:val="20"/>
          <w:lang w:val="pt-BR"/>
        </w:rPr>
        <w:t xml:space="preserve"> que</w:t>
      </w:r>
      <w:r w:rsidR="00700267" w:rsidRPr="006D1C74">
        <w:rPr>
          <w:rFonts w:asciiTheme="majorHAnsi" w:hAnsiTheme="majorHAnsi"/>
          <w:sz w:val="20"/>
          <w:szCs w:val="20"/>
          <w:lang w:val="pt-BR"/>
        </w:rPr>
        <w:t xml:space="preserve"> a </w:t>
      </w:r>
      <w:r w:rsidR="00BA111B" w:rsidRPr="006D1C74">
        <w:rPr>
          <w:rFonts w:asciiTheme="majorHAnsi" w:hAnsiTheme="majorHAnsi"/>
          <w:sz w:val="20"/>
          <w:szCs w:val="20"/>
          <w:lang w:val="pt-BR"/>
        </w:rPr>
        <w:t>busca</w:t>
      </w:r>
      <w:r w:rsidR="00795010" w:rsidRPr="006D1C74">
        <w:rPr>
          <w:rFonts w:asciiTheme="majorHAnsi" w:hAnsiTheme="majorHAnsi"/>
          <w:sz w:val="20"/>
          <w:szCs w:val="20"/>
          <w:lang w:val="pt-BR"/>
        </w:rPr>
        <w:t xml:space="preserve"> da </w:t>
      </w:r>
      <w:r w:rsidRPr="006D1C74">
        <w:rPr>
          <w:rFonts w:asciiTheme="majorHAnsi" w:hAnsiTheme="majorHAnsi"/>
          <w:sz w:val="20"/>
          <w:szCs w:val="20"/>
          <w:lang w:val="pt-BR"/>
        </w:rPr>
        <w:t>ver</w:t>
      </w:r>
      <w:r w:rsidR="00F673C7" w:rsidRPr="006D1C74">
        <w:rPr>
          <w:rFonts w:asciiTheme="majorHAnsi" w:hAnsiTheme="majorHAnsi"/>
          <w:sz w:val="20"/>
          <w:szCs w:val="20"/>
          <w:lang w:val="pt-BR"/>
        </w:rPr>
        <w:t xml:space="preserve">dade </w:t>
      </w:r>
      <w:r w:rsidR="00700267" w:rsidRPr="006D1C74">
        <w:rPr>
          <w:rFonts w:asciiTheme="majorHAnsi" w:hAnsiTheme="majorHAnsi"/>
          <w:sz w:val="20"/>
          <w:szCs w:val="20"/>
          <w:lang w:val="pt-BR"/>
        </w:rPr>
        <w:t xml:space="preserve">dos </w:t>
      </w:r>
      <w:r w:rsidR="00F37852" w:rsidRPr="006D1C74">
        <w:rPr>
          <w:rFonts w:asciiTheme="majorHAnsi" w:hAnsiTheme="majorHAnsi"/>
          <w:sz w:val="20"/>
          <w:szCs w:val="20"/>
          <w:lang w:val="pt-BR"/>
        </w:rPr>
        <w:t>fato</w:t>
      </w:r>
      <w:r w:rsidRPr="006D1C74">
        <w:rPr>
          <w:rFonts w:asciiTheme="majorHAnsi" w:hAnsiTheme="majorHAnsi"/>
          <w:sz w:val="20"/>
          <w:szCs w:val="20"/>
          <w:lang w:val="pt-BR"/>
        </w:rPr>
        <w:t>s</w:t>
      </w:r>
      <w:r w:rsidR="00CF037E" w:rsidRPr="006D1C74">
        <w:rPr>
          <w:rFonts w:asciiTheme="majorHAnsi" w:hAnsiTheme="majorHAnsi"/>
          <w:sz w:val="20"/>
          <w:szCs w:val="20"/>
          <w:lang w:val="pt-BR"/>
        </w:rPr>
        <w:t xml:space="preserve"> e</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responsabili</w:t>
      </w:r>
      <w:r w:rsidR="00F673C7" w:rsidRPr="006D1C74">
        <w:rPr>
          <w:rFonts w:asciiTheme="majorHAnsi" w:hAnsiTheme="majorHAnsi"/>
          <w:sz w:val="20"/>
          <w:szCs w:val="20"/>
          <w:lang w:val="pt-BR"/>
        </w:rPr>
        <w:t xml:space="preserve">dade </w:t>
      </w:r>
      <w:r w:rsidR="00700267" w:rsidRPr="006D1C74">
        <w:rPr>
          <w:rFonts w:asciiTheme="majorHAnsi" w:hAnsiTheme="majorHAnsi"/>
          <w:sz w:val="20"/>
          <w:szCs w:val="20"/>
          <w:lang w:val="pt-BR"/>
        </w:rPr>
        <w:t xml:space="preserve">dos </w:t>
      </w:r>
      <w:r w:rsidRPr="006D1C74">
        <w:rPr>
          <w:rFonts w:asciiTheme="majorHAnsi" w:hAnsiTheme="majorHAnsi"/>
          <w:sz w:val="20"/>
          <w:szCs w:val="20"/>
          <w:lang w:val="pt-BR"/>
        </w:rPr>
        <w:t xml:space="preserve">militares </w:t>
      </w:r>
      <w:r w:rsidR="00BA111B" w:rsidRPr="006D1C74">
        <w:rPr>
          <w:rFonts w:asciiTheme="majorHAnsi" w:hAnsiTheme="majorHAnsi"/>
          <w:sz w:val="20"/>
          <w:szCs w:val="20"/>
          <w:lang w:val="pt-BR"/>
        </w:rPr>
        <w:t>podiam</w:t>
      </w:r>
      <w:r w:rsidRPr="006D1C74">
        <w:rPr>
          <w:rFonts w:asciiTheme="majorHAnsi" w:hAnsiTheme="majorHAnsi"/>
          <w:sz w:val="20"/>
          <w:szCs w:val="20"/>
          <w:lang w:val="pt-BR"/>
        </w:rPr>
        <w:t xml:space="preserve"> </w:t>
      </w:r>
      <w:r w:rsidR="00BA111B" w:rsidRPr="006D1C74">
        <w:rPr>
          <w:rFonts w:asciiTheme="majorHAnsi" w:hAnsiTheme="majorHAnsi"/>
          <w:sz w:val="20"/>
          <w:szCs w:val="20"/>
          <w:lang w:val="pt-BR"/>
        </w:rPr>
        <w:t>prejudicá-la</w:t>
      </w:r>
      <w:r w:rsidRPr="006D1C74">
        <w:rPr>
          <w:rFonts w:asciiTheme="majorHAnsi" w:hAnsiTheme="majorHAnsi"/>
          <w:sz w:val="20"/>
          <w:szCs w:val="20"/>
          <w:lang w:val="pt-BR"/>
        </w:rPr>
        <w:t>,</w:t>
      </w:r>
      <w:r w:rsidR="00B146A8" w:rsidRPr="006D1C74">
        <w:rPr>
          <w:rFonts w:asciiTheme="majorHAnsi" w:hAnsiTheme="majorHAnsi"/>
          <w:sz w:val="20"/>
          <w:szCs w:val="20"/>
          <w:lang w:val="pt-BR"/>
        </w:rPr>
        <w:t xml:space="preserve"> o </w:t>
      </w:r>
      <w:r w:rsidR="00135385" w:rsidRPr="006D1C74">
        <w:rPr>
          <w:rFonts w:asciiTheme="majorHAnsi" w:hAnsiTheme="majorHAnsi"/>
          <w:sz w:val="20"/>
          <w:szCs w:val="20"/>
          <w:lang w:val="pt-BR"/>
        </w:rPr>
        <w:t xml:space="preserve">que retira </w:t>
      </w:r>
      <w:r w:rsidR="00B146A8" w:rsidRPr="006D1C74">
        <w:rPr>
          <w:rFonts w:asciiTheme="majorHAnsi" w:hAnsiTheme="majorHAnsi"/>
          <w:sz w:val="20"/>
          <w:szCs w:val="20"/>
          <w:lang w:val="pt-BR"/>
        </w:rPr>
        <w:t>força</w:t>
      </w:r>
      <w:r w:rsidRPr="006D1C74">
        <w:rPr>
          <w:rFonts w:asciiTheme="majorHAnsi" w:hAnsiTheme="majorHAnsi"/>
          <w:sz w:val="20"/>
          <w:szCs w:val="20"/>
          <w:lang w:val="pt-BR"/>
        </w:rPr>
        <w:t xml:space="preserve"> </w:t>
      </w:r>
      <w:r w:rsidR="00BA111B" w:rsidRPr="006D1C74">
        <w:rPr>
          <w:rFonts w:asciiTheme="majorHAnsi" w:hAnsiTheme="majorHAnsi"/>
          <w:sz w:val="20"/>
          <w:szCs w:val="20"/>
          <w:lang w:val="pt-BR"/>
        </w:rPr>
        <w:t>probatória</w:t>
      </w:r>
      <w:r w:rsidR="00217759" w:rsidRPr="006D1C74">
        <w:rPr>
          <w:rFonts w:asciiTheme="majorHAnsi" w:hAnsiTheme="majorHAnsi"/>
          <w:sz w:val="20"/>
          <w:szCs w:val="20"/>
          <w:lang w:val="pt-BR"/>
        </w:rPr>
        <w:t xml:space="preserve"> </w:t>
      </w:r>
      <w:r w:rsidR="00135385" w:rsidRPr="006D1C74">
        <w:rPr>
          <w:rFonts w:asciiTheme="majorHAnsi" w:hAnsiTheme="majorHAnsi"/>
          <w:sz w:val="20"/>
          <w:szCs w:val="20"/>
          <w:lang w:val="pt-BR"/>
        </w:rPr>
        <w:t>d</w:t>
      </w:r>
      <w:r w:rsidR="00217759" w:rsidRPr="006D1C74">
        <w:rPr>
          <w:rFonts w:asciiTheme="majorHAnsi" w:hAnsiTheme="majorHAnsi"/>
          <w:sz w:val="20"/>
          <w:szCs w:val="20"/>
          <w:lang w:val="pt-BR"/>
        </w:rPr>
        <w:t xml:space="preserve">o </w:t>
      </w:r>
      <w:r w:rsidRPr="006D1C74">
        <w:rPr>
          <w:rFonts w:asciiTheme="majorHAnsi" w:hAnsiTheme="majorHAnsi"/>
          <w:sz w:val="20"/>
          <w:szCs w:val="20"/>
          <w:lang w:val="pt-BR"/>
        </w:rPr>
        <w:t xml:space="preserve">resultado de </w:t>
      </w:r>
      <w:r w:rsidR="00BA111B" w:rsidRPr="006D1C74">
        <w:rPr>
          <w:rFonts w:asciiTheme="majorHAnsi" w:hAnsiTheme="majorHAnsi"/>
          <w:sz w:val="20"/>
          <w:szCs w:val="20"/>
          <w:lang w:val="pt-BR"/>
        </w:rPr>
        <w:t>sua</w:t>
      </w:r>
      <w:r w:rsidRPr="006D1C74">
        <w:rPr>
          <w:rFonts w:asciiTheme="majorHAnsi" w:hAnsiTheme="majorHAnsi"/>
          <w:sz w:val="20"/>
          <w:szCs w:val="20"/>
          <w:lang w:val="pt-BR"/>
        </w:rPr>
        <w:t xml:space="preserve"> investiga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w:t>
      </w:r>
    </w:p>
    <w:p w14:paraId="22310680"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jc w:val="both"/>
        <w:rPr>
          <w:rFonts w:asciiTheme="majorHAnsi" w:eastAsia="Batang" w:hAnsiTheme="majorHAnsi" w:cs="Arial"/>
          <w:sz w:val="20"/>
          <w:szCs w:val="20"/>
          <w:bdr w:val="none" w:sz="0" w:space="0" w:color="auto"/>
          <w:lang w:val="pt-BR"/>
        </w:rPr>
      </w:pPr>
    </w:p>
    <w:p w14:paraId="4DD32255" w14:textId="77777777" w:rsidR="002649F0" w:rsidRPr="006D1C74" w:rsidRDefault="00BA111B"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0"/>
        <w:jc w:val="both"/>
        <w:rPr>
          <w:rFonts w:asciiTheme="majorHAnsi" w:eastAsia="Batang" w:hAnsiTheme="majorHAnsi" w:cs="Arial"/>
          <w:sz w:val="20"/>
          <w:szCs w:val="20"/>
          <w:bdr w:val="none" w:sz="0" w:space="0" w:color="auto"/>
          <w:lang w:val="pt-BR"/>
        </w:rPr>
      </w:pPr>
      <w:r w:rsidRPr="006D1C74">
        <w:rPr>
          <w:rFonts w:asciiTheme="majorHAnsi" w:hAnsiTheme="majorHAnsi"/>
          <w:sz w:val="20"/>
          <w:szCs w:val="20"/>
          <w:lang w:val="pt-BR"/>
        </w:rPr>
        <w:t>Em</w:t>
      </w:r>
      <w:r w:rsidR="002649F0" w:rsidRPr="006D1C74">
        <w:rPr>
          <w:rFonts w:asciiTheme="majorHAnsi" w:hAnsiTheme="majorHAnsi"/>
          <w:sz w:val="20"/>
          <w:szCs w:val="20"/>
          <w:lang w:val="pt-BR"/>
        </w:rPr>
        <w:t xml:space="preserve"> </w:t>
      </w:r>
      <w:r w:rsidRPr="006D1C74">
        <w:rPr>
          <w:rFonts w:asciiTheme="majorHAnsi" w:hAnsiTheme="majorHAnsi"/>
          <w:sz w:val="20"/>
          <w:szCs w:val="20"/>
          <w:lang w:val="pt-BR"/>
        </w:rPr>
        <w:t>virtude</w:t>
      </w:r>
      <w:r w:rsidR="00D74A93" w:rsidRPr="006D1C74">
        <w:rPr>
          <w:rFonts w:asciiTheme="majorHAnsi" w:hAnsiTheme="majorHAnsi"/>
          <w:sz w:val="20"/>
          <w:szCs w:val="20"/>
          <w:lang w:val="pt-BR"/>
        </w:rPr>
        <w:t xml:space="preserve"> das </w:t>
      </w:r>
      <w:r w:rsidR="002649F0" w:rsidRPr="006D1C74">
        <w:rPr>
          <w:rFonts w:asciiTheme="majorHAnsi" w:hAnsiTheme="majorHAnsi"/>
          <w:sz w:val="20"/>
          <w:szCs w:val="20"/>
          <w:lang w:val="pt-BR"/>
        </w:rPr>
        <w:t>considera</w:t>
      </w:r>
      <w:r w:rsidR="00CF037E" w:rsidRPr="006D1C74">
        <w:rPr>
          <w:rFonts w:asciiTheme="majorHAnsi" w:hAnsiTheme="majorHAnsi"/>
          <w:sz w:val="20"/>
          <w:szCs w:val="20"/>
          <w:lang w:val="pt-BR"/>
        </w:rPr>
        <w:t>ções</w:t>
      </w:r>
      <w:r w:rsidR="002649F0" w:rsidRPr="006D1C74">
        <w:rPr>
          <w:rFonts w:asciiTheme="majorHAnsi" w:hAnsiTheme="majorHAnsi"/>
          <w:sz w:val="20"/>
          <w:szCs w:val="20"/>
          <w:lang w:val="pt-BR"/>
        </w:rPr>
        <w:t xml:space="preserve"> precedentes,</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002649F0" w:rsidRPr="006D1C74">
        <w:rPr>
          <w:rFonts w:asciiTheme="majorHAnsi" w:hAnsiTheme="majorHAnsi"/>
          <w:sz w:val="20"/>
          <w:szCs w:val="20"/>
          <w:lang w:val="pt-BR"/>
        </w:rPr>
        <w:t xml:space="preserve"> conclu</w:t>
      </w:r>
      <w:r w:rsidR="00135385" w:rsidRPr="006D1C74">
        <w:rPr>
          <w:rFonts w:asciiTheme="majorHAnsi" w:hAnsiTheme="majorHAnsi"/>
          <w:sz w:val="20"/>
          <w:szCs w:val="20"/>
          <w:lang w:val="pt-BR"/>
        </w:rPr>
        <w:t>i</w:t>
      </w:r>
      <w:r w:rsidR="002649F0" w:rsidRPr="006D1C74">
        <w:rPr>
          <w:rFonts w:asciiTheme="majorHAnsi" w:hAnsiTheme="majorHAnsi"/>
          <w:sz w:val="20"/>
          <w:szCs w:val="20"/>
          <w:lang w:val="pt-BR"/>
        </w:rPr>
        <w:t xml:space="preserve"> que</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 xml:space="preserve">Estado </w:t>
      </w:r>
      <w:r w:rsidR="00795010" w:rsidRPr="006D1C74">
        <w:rPr>
          <w:rFonts w:asciiTheme="majorHAnsi" w:hAnsiTheme="majorHAnsi"/>
          <w:sz w:val="20"/>
          <w:szCs w:val="20"/>
          <w:lang w:val="pt-BR"/>
        </w:rPr>
        <w:t>brasileiro</w:t>
      </w:r>
      <w:r w:rsidR="00F37852" w:rsidRPr="006D1C74">
        <w:rPr>
          <w:rFonts w:asciiTheme="majorHAnsi" w:hAnsiTheme="majorHAnsi"/>
          <w:sz w:val="20"/>
          <w:szCs w:val="20"/>
          <w:lang w:val="pt-BR"/>
        </w:rPr>
        <w:t xml:space="preserve"> é </w:t>
      </w:r>
      <w:r w:rsidR="002649F0" w:rsidRPr="006D1C74">
        <w:rPr>
          <w:rFonts w:asciiTheme="majorHAnsi" w:hAnsiTheme="majorHAnsi"/>
          <w:sz w:val="20"/>
          <w:szCs w:val="20"/>
          <w:lang w:val="pt-BR"/>
        </w:rPr>
        <w:t>respons</w:t>
      </w:r>
      <w:r w:rsidR="00135385" w:rsidRPr="006D1C74">
        <w:rPr>
          <w:rFonts w:asciiTheme="majorHAnsi" w:hAnsiTheme="majorHAnsi"/>
          <w:sz w:val="20"/>
          <w:szCs w:val="20"/>
          <w:lang w:val="pt-BR"/>
        </w:rPr>
        <w:t>ável pel</w:t>
      </w:r>
      <w:r w:rsidR="00795010" w:rsidRPr="006D1C74">
        <w:rPr>
          <w:rFonts w:asciiTheme="majorHAnsi" w:hAnsiTheme="majorHAnsi"/>
          <w:sz w:val="20"/>
          <w:szCs w:val="20"/>
          <w:lang w:val="pt-BR"/>
        </w:rPr>
        <w:t xml:space="preserve">a </w:t>
      </w:r>
      <w:r w:rsidR="002649F0" w:rsidRPr="006D1C74">
        <w:rPr>
          <w:rFonts w:asciiTheme="majorHAnsi" w:hAnsiTheme="majorHAnsi"/>
          <w:sz w:val="20"/>
          <w:szCs w:val="20"/>
          <w:lang w:val="pt-BR"/>
        </w:rPr>
        <w:t>viola</w:t>
      </w:r>
      <w:r w:rsidR="00CF037E" w:rsidRPr="006D1C74">
        <w:rPr>
          <w:rFonts w:asciiTheme="majorHAnsi" w:hAnsiTheme="majorHAnsi"/>
          <w:sz w:val="20"/>
          <w:szCs w:val="20"/>
          <w:lang w:val="pt-BR"/>
        </w:rPr>
        <w:t>ção</w:t>
      </w:r>
      <w:r w:rsidR="00030019" w:rsidRPr="006D1C74">
        <w:rPr>
          <w:rFonts w:asciiTheme="majorHAnsi" w:hAnsiTheme="majorHAnsi"/>
          <w:sz w:val="20"/>
          <w:szCs w:val="20"/>
          <w:lang w:val="pt-BR"/>
        </w:rPr>
        <w:t xml:space="preserve"> do </w:t>
      </w:r>
      <w:r w:rsidR="00417BE8" w:rsidRPr="006D1C74">
        <w:rPr>
          <w:rFonts w:asciiTheme="majorHAnsi" w:hAnsiTheme="majorHAnsi"/>
          <w:sz w:val="20"/>
          <w:szCs w:val="20"/>
          <w:lang w:val="pt-BR"/>
        </w:rPr>
        <w:t>direito</w:t>
      </w:r>
      <w:r w:rsidR="00030019" w:rsidRPr="006D1C74">
        <w:rPr>
          <w:rFonts w:asciiTheme="majorHAnsi" w:hAnsiTheme="majorHAnsi"/>
          <w:sz w:val="20"/>
          <w:szCs w:val="20"/>
          <w:lang w:val="pt-BR"/>
        </w:rPr>
        <w:t xml:space="preserve"> à </w:t>
      </w:r>
      <w:r w:rsidR="002649F0" w:rsidRPr="006D1C74">
        <w:rPr>
          <w:rFonts w:asciiTheme="majorHAnsi" w:hAnsiTheme="majorHAnsi"/>
          <w:sz w:val="20"/>
          <w:szCs w:val="20"/>
          <w:lang w:val="pt-BR"/>
        </w:rPr>
        <w:t xml:space="preserve">vida </w:t>
      </w:r>
      <w:r w:rsidR="008F1868" w:rsidRPr="006D1C74">
        <w:rPr>
          <w:rFonts w:asciiTheme="majorHAnsi" w:hAnsiTheme="majorHAnsi"/>
          <w:sz w:val="20"/>
          <w:szCs w:val="20"/>
          <w:lang w:val="pt-BR"/>
        </w:rPr>
        <w:t>contido</w:t>
      </w:r>
      <w:r w:rsidR="00FC2F62" w:rsidRPr="006D1C74">
        <w:rPr>
          <w:rFonts w:asciiTheme="majorHAnsi" w:hAnsiTheme="majorHAnsi"/>
          <w:sz w:val="20"/>
          <w:szCs w:val="20"/>
          <w:lang w:val="pt-BR"/>
        </w:rPr>
        <w:t xml:space="preserve"> no </w:t>
      </w:r>
      <w:r w:rsidR="00F673C7" w:rsidRPr="006D1C74">
        <w:rPr>
          <w:rFonts w:asciiTheme="majorHAnsi" w:hAnsiTheme="majorHAnsi"/>
          <w:sz w:val="20"/>
          <w:szCs w:val="20"/>
          <w:lang w:val="pt-BR"/>
        </w:rPr>
        <w:t>artigo</w:t>
      </w:r>
      <w:r w:rsidR="002649F0" w:rsidRPr="006D1C74">
        <w:rPr>
          <w:rFonts w:asciiTheme="majorHAnsi" w:hAnsiTheme="majorHAnsi"/>
          <w:sz w:val="20"/>
          <w:szCs w:val="20"/>
          <w:lang w:val="pt-BR"/>
        </w:rPr>
        <w:t xml:space="preserve"> 4.1</w:t>
      </w:r>
      <w:r w:rsidR="00795010" w:rsidRPr="006D1C74">
        <w:rPr>
          <w:rFonts w:asciiTheme="majorHAnsi" w:hAnsiTheme="majorHAnsi"/>
          <w:sz w:val="20"/>
          <w:szCs w:val="20"/>
          <w:lang w:val="pt-BR"/>
        </w:rPr>
        <w:t xml:space="preserve"> da </w:t>
      </w:r>
      <w:r w:rsidR="002649F0" w:rsidRPr="006D1C74">
        <w:rPr>
          <w:rFonts w:asciiTheme="majorHAnsi" w:hAnsiTheme="majorHAnsi"/>
          <w:sz w:val="20"/>
          <w:szCs w:val="20"/>
          <w:lang w:val="pt-BR"/>
        </w:rPr>
        <w:t>Conven</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Americana</w:t>
      </w:r>
      <w:r w:rsidR="008F1868"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w:t>
      </w:r>
      <w:r w:rsidR="00135385" w:rsidRPr="006D1C74">
        <w:rPr>
          <w:rFonts w:asciiTheme="majorHAnsi" w:hAnsiTheme="majorHAnsi"/>
          <w:sz w:val="20"/>
          <w:szCs w:val="20"/>
          <w:lang w:val="pt-BR"/>
        </w:rPr>
        <w:t>co</w:t>
      </w:r>
      <w:r w:rsidR="00F673C7" w:rsidRPr="006D1C74">
        <w:rPr>
          <w:rFonts w:asciiTheme="majorHAnsi" w:hAnsiTheme="majorHAnsi"/>
          <w:sz w:val="20"/>
          <w:szCs w:val="20"/>
          <w:lang w:val="pt-BR"/>
        </w:rPr>
        <w:t xml:space="preserve">m </w:t>
      </w:r>
      <w:r w:rsidR="002649F0" w:rsidRPr="006D1C74">
        <w:rPr>
          <w:rFonts w:asciiTheme="majorHAnsi" w:hAnsiTheme="majorHAnsi"/>
          <w:sz w:val="20"/>
          <w:szCs w:val="20"/>
          <w:lang w:val="pt-BR"/>
        </w:rPr>
        <w:t>rela</w:t>
      </w:r>
      <w:r w:rsidR="00CF037E" w:rsidRPr="006D1C74">
        <w:rPr>
          <w:rFonts w:asciiTheme="majorHAnsi" w:hAnsiTheme="majorHAnsi"/>
          <w:sz w:val="20"/>
          <w:szCs w:val="20"/>
          <w:lang w:val="pt-BR"/>
        </w:rPr>
        <w:t>ção</w:t>
      </w:r>
      <w:r w:rsidR="00F673C7" w:rsidRPr="006D1C74">
        <w:rPr>
          <w:rFonts w:asciiTheme="majorHAnsi" w:hAnsiTheme="majorHAnsi"/>
          <w:sz w:val="20"/>
          <w:szCs w:val="20"/>
          <w:lang w:val="pt-BR"/>
        </w:rPr>
        <w:t xml:space="preserve"> </w:t>
      </w:r>
      <w:r w:rsidR="00135385" w:rsidRPr="006D1C74">
        <w:rPr>
          <w:rFonts w:asciiTheme="majorHAnsi" w:hAnsiTheme="majorHAnsi"/>
          <w:sz w:val="20"/>
          <w:szCs w:val="20"/>
          <w:lang w:val="pt-BR"/>
        </w:rPr>
        <w:t>à</w:t>
      </w:r>
      <w:r w:rsidR="00700267" w:rsidRPr="006D1C74">
        <w:rPr>
          <w:rFonts w:asciiTheme="majorHAnsi" w:hAnsiTheme="majorHAnsi"/>
          <w:sz w:val="20"/>
          <w:szCs w:val="20"/>
          <w:lang w:val="pt-BR"/>
        </w:rPr>
        <w:t xml:space="preserve">s </w:t>
      </w:r>
      <w:r w:rsidRPr="006D1C74">
        <w:rPr>
          <w:rFonts w:asciiTheme="majorHAnsi" w:hAnsiTheme="majorHAnsi"/>
          <w:sz w:val="20"/>
          <w:szCs w:val="20"/>
          <w:lang w:val="pt-BR"/>
        </w:rPr>
        <w:t>obrigações</w:t>
      </w:r>
      <w:r w:rsidR="002649F0" w:rsidRPr="006D1C74">
        <w:rPr>
          <w:rFonts w:asciiTheme="majorHAnsi" w:hAnsiTheme="majorHAnsi"/>
          <w:sz w:val="20"/>
          <w:szCs w:val="20"/>
          <w:lang w:val="pt-BR"/>
        </w:rPr>
        <w:t xml:space="preserve"> </w:t>
      </w:r>
      <w:r w:rsidRPr="006D1C74">
        <w:rPr>
          <w:rFonts w:asciiTheme="majorHAnsi" w:hAnsiTheme="majorHAnsi"/>
          <w:sz w:val="20"/>
          <w:szCs w:val="20"/>
          <w:lang w:val="pt-BR"/>
        </w:rPr>
        <w:t>estabelecidas</w:t>
      </w:r>
      <w:r w:rsidR="00FC2F62" w:rsidRPr="006D1C74">
        <w:rPr>
          <w:rFonts w:asciiTheme="majorHAnsi" w:hAnsiTheme="majorHAnsi"/>
          <w:sz w:val="20"/>
          <w:szCs w:val="20"/>
          <w:lang w:val="pt-BR"/>
        </w:rPr>
        <w:t xml:space="preserve"> no </w:t>
      </w:r>
      <w:r w:rsidR="00F673C7" w:rsidRPr="006D1C74">
        <w:rPr>
          <w:rFonts w:asciiTheme="majorHAnsi" w:hAnsiTheme="majorHAnsi"/>
          <w:sz w:val="20"/>
          <w:szCs w:val="20"/>
          <w:lang w:val="pt-BR"/>
        </w:rPr>
        <w:t>artigo</w:t>
      </w:r>
      <w:r w:rsidR="002649F0" w:rsidRPr="006D1C74">
        <w:rPr>
          <w:rFonts w:asciiTheme="majorHAnsi" w:hAnsiTheme="majorHAnsi"/>
          <w:sz w:val="20"/>
          <w:szCs w:val="20"/>
          <w:lang w:val="pt-BR"/>
        </w:rPr>
        <w:t xml:space="preserve"> 1.1 de</w:t>
      </w:r>
      <w:r w:rsidR="00135385" w:rsidRPr="006D1C74">
        <w:rPr>
          <w:rFonts w:asciiTheme="majorHAnsi" w:hAnsiTheme="majorHAnsi"/>
          <w:sz w:val="20"/>
          <w:szCs w:val="20"/>
          <w:lang w:val="pt-BR"/>
        </w:rPr>
        <w:t>sse</w:t>
      </w:r>
      <w:r w:rsidR="002649F0" w:rsidRPr="006D1C74">
        <w:rPr>
          <w:rFonts w:asciiTheme="majorHAnsi" w:hAnsiTheme="majorHAnsi"/>
          <w:sz w:val="20"/>
          <w:szCs w:val="20"/>
          <w:lang w:val="pt-BR"/>
        </w:rPr>
        <w:t xml:space="preserve"> instrumento,</w:t>
      </w:r>
      <w:r w:rsidR="00F673C7" w:rsidRPr="006D1C74">
        <w:rPr>
          <w:rFonts w:asciiTheme="majorHAnsi" w:hAnsiTheme="majorHAnsi"/>
          <w:sz w:val="20"/>
          <w:szCs w:val="20"/>
          <w:lang w:val="pt-BR"/>
        </w:rPr>
        <w:t xml:space="preserve"> em </w:t>
      </w:r>
      <w:r w:rsidR="002649F0" w:rsidRPr="006D1C74">
        <w:rPr>
          <w:rFonts w:asciiTheme="majorHAnsi" w:hAnsiTheme="majorHAnsi"/>
          <w:sz w:val="20"/>
          <w:szCs w:val="20"/>
          <w:lang w:val="pt-BR"/>
        </w:rPr>
        <w:t>p</w:t>
      </w:r>
      <w:r w:rsidR="00135385" w:rsidRPr="006D1C74">
        <w:rPr>
          <w:rFonts w:asciiTheme="majorHAnsi" w:hAnsiTheme="majorHAnsi"/>
          <w:sz w:val="20"/>
          <w:szCs w:val="20"/>
          <w:lang w:val="pt-BR"/>
        </w:rPr>
        <w:t>rejuízo</w:t>
      </w:r>
      <w:r w:rsidR="002649F0" w:rsidRPr="006D1C74">
        <w:rPr>
          <w:rFonts w:asciiTheme="majorHAnsi" w:hAnsiTheme="majorHAnsi"/>
          <w:sz w:val="20"/>
          <w:szCs w:val="20"/>
          <w:lang w:val="pt-BR"/>
        </w:rPr>
        <w:t xml:space="preserve"> de Antonio Tavares Pereira. A</w:t>
      </w:r>
      <w:r w:rsidR="00135385" w:rsidRPr="006D1C74">
        <w:rPr>
          <w:rFonts w:asciiTheme="majorHAnsi" w:hAnsiTheme="majorHAnsi"/>
          <w:sz w:val="20"/>
          <w:szCs w:val="20"/>
          <w:lang w:val="pt-BR"/>
        </w:rPr>
        <w:t>lém disso</w:t>
      </w:r>
      <w:r w:rsidR="002649F0"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002649F0" w:rsidRPr="006D1C74">
        <w:rPr>
          <w:rFonts w:asciiTheme="majorHAnsi" w:hAnsiTheme="majorHAnsi"/>
          <w:sz w:val="20"/>
          <w:szCs w:val="20"/>
          <w:lang w:val="pt-BR"/>
        </w:rPr>
        <w:t xml:space="preserve"> conclu</w:t>
      </w:r>
      <w:r w:rsidR="00135385" w:rsidRPr="006D1C74">
        <w:rPr>
          <w:rFonts w:asciiTheme="majorHAnsi" w:hAnsiTheme="majorHAnsi"/>
          <w:sz w:val="20"/>
          <w:szCs w:val="20"/>
          <w:lang w:val="pt-BR"/>
        </w:rPr>
        <w:t>i</w:t>
      </w:r>
      <w:r w:rsidR="002649F0" w:rsidRPr="006D1C74">
        <w:rPr>
          <w:rFonts w:asciiTheme="majorHAnsi" w:hAnsiTheme="majorHAnsi"/>
          <w:sz w:val="20"/>
          <w:szCs w:val="20"/>
          <w:lang w:val="pt-BR"/>
        </w:rPr>
        <w:t xml:space="preserve"> que</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 xml:space="preserve">Estado </w:t>
      </w:r>
      <w:r w:rsidR="00795010" w:rsidRPr="006D1C74">
        <w:rPr>
          <w:rFonts w:asciiTheme="majorHAnsi" w:hAnsiTheme="majorHAnsi"/>
          <w:sz w:val="20"/>
          <w:szCs w:val="20"/>
          <w:lang w:val="pt-BR"/>
        </w:rPr>
        <w:t>brasileiro</w:t>
      </w:r>
      <w:r w:rsidR="00F37852" w:rsidRPr="006D1C74">
        <w:rPr>
          <w:rFonts w:asciiTheme="majorHAnsi" w:hAnsiTheme="majorHAnsi"/>
          <w:sz w:val="20"/>
          <w:szCs w:val="20"/>
          <w:lang w:val="pt-BR"/>
        </w:rPr>
        <w:t xml:space="preserve"> é </w:t>
      </w:r>
      <w:r w:rsidR="002649F0" w:rsidRPr="006D1C74">
        <w:rPr>
          <w:rFonts w:asciiTheme="majorHAnsi" w:hAnsiTheme="majorHAnsi"/>
          <w:sz w:val="20"/>
          <w:szCs w:val="20"/>
          <w:lang w:val="pt-BR"/>
        </w:rPr>
        <w:t>respons</w:t>
      </w:r>
      <w:r w:rsidR="00135385" w:rsidRPr="006D1C74">
        <w:rPr>
          <w:rFonts w:asciiTheme="majorHAnsi" w:hAnsiTheme="majorHAnsi"/>
          <w:sz w:val="20"/>
          <w:szCs w:val="20"/>
          <w:lang w:val="pt-BR"/>
        </w:rPr>
        <w:t>ável pel</w:t>
      </w:r>
      <w:r w:rsidR="00795010" w:rsidRPr="006D1C74">
        <w:rPr>
          <w:rFonts w:asciiTheme="majorHAnsi" w:hAnsiTheme="majorHAnsi"/>
          <w:sz w:val="20"/>
          <w:szCs w:val="20"/>
          <w:lang w:val="pt-BR"/>
        </w:rPr>
        <w:t xml:space="preserve">a </w:t>
      </w:r>
      <w:r w:rsidR="002649F0" w:rsidRPr="006D1C74">
        <w:rPr>
          <w:rFonts w:asciiTheme="majorHAnsi" w:hAnsiTheme="majorHAnsi"/>
          <w:sz w:val="20"/>
          <w:szCs w:val="20"/>
          <w:lang w:val="pt-BR"/>
        </w:rPr>
        <w:t>viola</w:t>
      </w:r>
      <w:r w:rsidR="00CF037E" w:rsidRPr="006D1C74">
        <w:rPr>
          <w:rFonts w:asciiTheme="majorHAnsi" w:hAnsiTheme="majorHAnsi"/>
          <w:sz w:val="20"/>
          <w:szCs w:val="20"/>
          <w:lang w:val="pt-BR"/>
        </w:rPr>
        <w:t>ção</w:t>
      </w:r>
      <w:r w:rsidR="00030019" w:rsidRPr="006D1C74">
        <w:rPr>
          <w:rFonts w:asciiTheme="majorHAnsi" w:hAnsiTheme="majorHAnsi"/>
          <w:sz w:val="20"/>
          <w:szCs w:val="20"/>
          <w:lang w:val="pt-BR"/>
        </w:rPr>
        <w:t xml:space="preserve"> do </w:t>
      </w:r>
      <w:r w:rsidR="00417BE8" w:rsidRPr="006D1C74">
        <w:rPr>
          <w:rFonts w:asciiTheme="majorHAnsi" w:hAnsiTheme="majorHAnsi"/>
          <w:sz w:val="20"/>
          <w:szCs w:val="20"/>
          <w:lang w:val="pt-BR"/>
        </w:rPr>
        <w:t>direito</w:t>
      </w:r>
      <w:r w:rsidR="00030019" w:rsidRPr="006D1C74">
        <w:rPr>
          <w:rFonts w:asciiTheme="majorHAnsi" w:hAnsiTheme="majorHAnsi"/>
          <w:sz w:val="20"/>
          <w:szCs w:val="20"/>
          <w:lang w:val="pt-BR"/>
        </w:rPr>
        <w:t xml:space="preserve"> à </w:t>
      </w:r>
      <w:r w:rsidRPr="006D1C74">
        <w:rPr>
          <w:rFonts w:asciiTheme="majorHAnsi" w:hAnsiTheme="majorHAnsi"/>
          <w:sz w:val="20"/>
          <w:szCs w:val="20"/>
          <w:lang w:val="pt-BR"/>
        </w:rPr>
        <w:t>integridade</w:t>
      </w:r>
      <w:r w:rsidR="008F1868" w:rsidRPr="006D1C74">
        <w:rPr>
          <w:rFonts w:asciiTheme="majorHAnsi" w:hAnsiTheme="majorHAnsi"/>
          <w:sz w:val="20"/>
          <w:szCs w:val="20"/>
          <w:lang w:val="pt-BR"/>
        </w:rPr>
        <w:t>,</w:t>
      </w:r>
      <w:r w:rsidR="00030019" w:rsidRPr="006D1C74">
        <w:rPr>
          <w:rFonts w:asciiTheme="majorHAnsi" w:hAnsiTheme="majorHAnsi"/>
          <w:sz w:val="20"/>
          <w:szCs w:val="20"/>
          <w:lang w:val="pt-BR"/>
        </w:rPr>
        <w:t xml:space="preserve"> à </w:t>
      </w:r>
      <w:r w:rsidR="008F1868" w:rsidRPr="006D1C74">
        <w:rPr>
          <w:rFonts w:asciiTheme="majorHAnsi" w:hAnsiTheme="majorHAnsi"/>
          <w:sz w:val="20"/>
          <w:szCs w:val="20"/>
          <w:lang w:val="pt-BR"/>
        </w:rPr>
        <w:t>luz</w:t>
      </w:r>
      <w:r w:rsidR="00030019" w:rsidRPr="006D1C74">
        <w:rPr>
          <w:rFonts w:asciiTheme="majorHAnsi" w:hAnsiTheme="majorHAnsi"/>
          <w:sz w:val="20"/>
          <w:szCs w:val="20"/>
          <w:lang w:val="pt-BR"/>
        </w:rPr>
        <w:t xml:space="preserve"> do </w:t>
      </w:r>
      <w:r w:rsidR="00F673C7" w:rsidRPr="006D1C74">
        <w:rPr>
          <w:rFonts w:asciiTheme="majorHAnsi" w:hAnsiTheme="majorHAnsi"/>
          <w:sz w:val="20"/>
          <w:szCs w:val="20"/>
          <w:lang w:val="pt-BR"/>
        </w:rPr>
        <w:t>artigo</w:t>
      </w:r>
      <w:r w:rsidR="002649F0" w:rsidRPr="006D1C74">
        <w:rPr>
          <w:rFonts w:asciiTheme="majorHAnsi" w:hAnsiTheme="majorHAnsi"/>
          <w:sz w:val="20"/>
          <w:szCs w:val="20"/>
          <w:lang w:val="pt-BR"/>
        </w:rPr>
        <w:t xml:space="preserve"> 5.1</w:t>
      </w:r>
      <w:r w:rsidR="00795010" w:rsidRPr="006D1C74">
        <w:rPr>
          <w:rFonts w:asciiTheme="majorHAnsi" w:hAnsiTheme="majorHAnsi"/>
          <w:sz w:val="20"/>
          <w:szCs w:val="20"/>
          <w:lang w:val="pt-BR"/>
        </w:rPr>
        <w:t xml:space="preserve"> da </w:t>
      </w:r>
      <w:r w:rsidR="002649F0" w:rsidRPr="006D1C74">
        <w:rPr>
          <w:rFonts w:asciiTheme="majorHAnsi" w:hAnsiTheme="majorHAnsi"/>
          <w:sz w:val="20"/>
          <w:szCs w:val="20"/>
          <w:lang w:val="pt-BR"/>
        </w:rPr>
        <w:t>Conven</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Americana</w:t>
      </w:r>
      <w:r w:rsidR="008F1868"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w:t>
      </w:r>
      <w:r w:rsidR="00135385" w:rsidRPr="006D1C74">
        <w:rPr>
          <w:rFonts w:asciiTheme="majorHAnsi" w:hAnsiTheme="majorHAnsi"/>
          <w:sz w:val="20"/>
          <w:szCs w:val="20"/>
          <w:lang w:val="pt-BR"/>
        </w:rPr>
        <w:t>co</w:t>
      </w:r>
      <w:r w:rsidR="00F673C7" w:rsidRPr="006D1C74">
        <w:rPr>
          <w:rFonts w:asciiTheme="majorHAnsi" w:hAnsiTheme="majorHAnsi"/>
          <w:sz w:val="20"/>
          <w:szCs w:val="20"/>
          <w:lang w:val="pt-BR"/>
        </w:rPr>
        <w:t xml:space="preserve">m </w:t>
      </w:r>
      <w:r w:rsidR="002649F0" w:rsidRPr="006D1C74">
        <w:rPr>
          <w:rFonts w:asciiTheme="majorHAnsi" w:hAnsiTheme="majorHAnsi"/>
          <w:sz w:val="20"/>
          <w:szCs w:val="20"/>
          <w:lang w:val="pt-BR"/>
        </w:rPr>
        <w:t>rela</w:t>
      </w:r>
      <w:r w:rsidR="00CF037E" w:rsidRPr="006D1C74">
        <w:rPr>
          <w:rFonts w:asciiTheme="majorHAnsi" w:hAnsiTheme="majorHAnsi"/>
          <w:sz w:val="20"/>
          <w:szCs w:val="20"/>
          <w:lang w:val="pt-BR"/>
        </w:rPr>
        <w:t>ção</w:t>
      </w:r>
      <w:r w:rsidR="00F673C7" w:rsidRPr="006D1C74">
        <w:rPr>
          <w:rFonts w:asciiTheme="majorHAnsi" w:hAnsiTheme="majorHAnsi"/>
          <w:sz w:val="20"/>
          <w:szCs w:val="20"/>
          <w:lang w:val="pt-BR"/>
        </w:rPr>
        <w:t xml:space="preserve"> </w:t>
      </w:r>
      <w:r w:rsidR="00135385" w:rsidRPr="006D1C74">
        <w:rPr>
          <w:rFonts w:asciiTheme="majorHAnsi" w:hAnsiTheme="majorHAnsi"/>
          <w:sz w:val="20"/>
          <w:szCs w:val="20"/>
          <w:lang w:val="pt-BR"/>
        </w:rPr>
        <w:t>à</w:t>
      </w:r>
      <w:r w:rsidR="00700267" w:rsidRPr="006D1C74">
        <w:rPr>
          <w:rFonts w:asciiTheme="majorHAnsi" w:hAnsiTheme="majorHAnsi"/>
          <w:sz w:val="20"/>
          <w:szCs w:val="20"/>
          <w:lang w:val="pt-BR"/>
        </w:rPr>
        <w:t xml:space="preserve">s </w:t>
      </w:r>
      <w:r w:rsidRPr="006D1C74">
        <w:rPr>
          <w:rFonts w:asciiTheme="majorHAnsi" w:hAnsiTheme="majorHAnsi"/>
          <w:sz w:val="20"/>
          <w:szCs w:val="20"/>
          <w:lang w:val="pt-BR"/>
        </w:rPr>
        <w:t>obrigações</w:t>
      </w:r>
      <w:r w:rsidR="002649F0" w:rsidRPr="006D1C74">
        <w:rPr>
          <w:rFonts w:asciiTheme="majorHAnsi" w:hAnsiTheme="majorHAnsi"/>
          <w:sz w:val="20"/>
          <w:szCs w:val="20"/>
          <w:lang w:val="pt-BR"/>
        </w:rPr>
        <w:t xml:space="preserve"> </w:t>
      </w:r>
      <w:r w:rsidRPr="006D1C74">
        <w:rPr>
          <w:rFonts w:asciiTheme="majorHAnsi" w:hAnsiTheme="majorHAnsi"/>
          <w:sz w:val="20"/>
          <w:szCs w:val="20"/>
          <w:lang w:val="pt-BR"/>
        </w:rPr>
        <w:t>estabelecidas</w:t>
      </w:r>
      <w:r w:rsidR="00FC2F62" w:rsidRPr="006D1C74">
        <w:rPr>
          <w:rFonts w:asciiTheme="majorHAnsi" w:hAnsiTheme="majorHAnsi"/>
          <w:sz w:val="20"/>
          <w:szCs w:val="20"/>
          <w:lang w:val="pt-BR"/>
        </w:rPr>
        <w:t xml:space="preserve"> no </w:t>
      </w:r>
      <w:r w:rsidR="00F673C7" w:rsidRPr="006D1C74">
        <w:rPr>
          <w:rFonts w:asciiTheme="majorHAnsi" w:hAnsiTheme="majorHAnsi"/>
          <w:sz w:val="20"/>
          <w:szCs w:val="20"/>
          <w:lang w:val="pt-BR"/>
        </w:rPr>
        <w:t>artigo</w:t>
      </w:r>
      <w:r w:rsidR="002649F0" w:rsidRPr="006D1C74">
        <w:rPr>
          <w:rFonts w:asciiTheme="majorHAnsi" w:hAnsiTheme="majorHAnsi"/>
          <w:sz w:val="20"/>
          <w:szCs w:val="20"/>
          <w:lang w:val="pt-BR"/>
        </w:rPr>
        <w:t xml:space="preserve"> 1.1 de</w:t>
      </w:r>
      <w:r w:rsidR="00135385" w:rsidRPr="006D1C74">
        <w:rPr>
          <w:rFonts w:asciiTheme="majorHAnsi" w:hAnsiTheme="majorHAnsi"/>
          <w:sz w:val="20"/>
          <w:szCs w:val="20"/>
          <w:lang w:val="pt-BR"/>
        </w:rPr>
        <w:t>sse</w:t>
      </w:r>
      <w:r w:rsidR="002649F0" w:rsidRPr="006D1C74">
        <w:rPr>
          <w:rFonts w:asciiTheme="majorHAnsi" w:hAnsiTheme="majorHAnsi"/>
          <w:sz w:val="20"/>
          <w:szCs w:val="20"/>
          <w:lang w:val="pt-BR"/>
        </w:rPr>
        <w:t xml:space="preserve"> instrumento,</w:t>
      </w:r>
      <w:r w:rsidR="00F673C7" w:rsidRPr="006D1C74">
        <w:rPr>
          <w:rFonts w:asciiTheme="majorHAnsi" w:hAnsiTheme="majorHAnsi"/>
          <w:sz w:val="20"/>
          <w:szCs w:val="20"/>
          <w:lang w:val="pt-BR"/>
        </w:rPr>
        <w:t xml:space="preserve"> em </w:t>
      </w:r>
      <w:r w:rsidR="002649F0" w:rsidRPr="006D1C74">
        <w:rPr>
          <w:rFonts w:asciiTheme="majorHAnsi" w:hAnsiTheme="majorHAnsi"/>
          <w:sz w:val="20"/>
          <w:szCs w:val="20"/>
          <w:lang w:val="pt-BR"/>
        </w:rPr>
        <w:t>p</w:t>
      </w:r>
      <w:r w:rsidR="00135385" w:rsidRPr="006D1C74">
        <w:rPr>
          <w:rFonts w:asciiTheme="majorHAnsi" w:hAnsiTheme="majorHAnsi"/>
          <w:sz w:val="20"/>
          <w:szCs w:val="20"/>
          <w:lang w:val="pt-BR"/>
        </w:rPr>
        <w:t>rejuízo</w:t>
      </w:r>
      <w:r w:rsidR="00D74A93" w:rsidRPr="006D1C74">
        <w:rPr>
          <w:rFonts w:asciiTheme="majorHAnsi" w:hAnsiTheme="majorHAnsi"/>
          <w:sz w:val="20"/>
          <w:szCs w:val="20"/>
          <w:lang w:val="pt-BR"/>
        </w:rPr>
        <w:t xml:space="preserve"> das </w:t>
      </w:r>
      <w:r w:rsidR="002649F0" w:rsidRPr="006D1C74">
        <w:rPr>
          <w:rFonts w:asciiTheme="majorHAnsi" w:hAnsiTheme="majorHAnsi"/>
          <w:sz w:val="20"/>
          <w:szCs w:val="20"/>
          <w:lang w:val="pt-BR"/>
        </w:rPr>
        <w:t xml:space="preserve">185 </w:t>
      </w:r>
      <w:r w:rsidR="00795010" w:rsidRPr="006D1C74">
        <w:rPr>
          <w:rFonts w:asciiTheme="majorHAnsi" w:hAnsiTheme="majorHAnsi"/>
          <w:sz w:val="20"/>
          <w:szCs w:val="20"/>
          <w:lang w:val="pt-BR"/>
        </w:rPr>
        <w:t>vítima</w:t>
      </w:r>
      <w:r w:rsidR="002649F0" w:rsidRPr="006D1C74">
        <w:rPr>
          <w:rFonts w:asciiTheme="majorHAnsi" w:hAnsiTheme="majorHAnsi"/>
          <w:sz w:val="20"/>
          <w:szCs w:val="20"/>
          <w:lang w:val="pt-BR"/>
        </w:rPr>
        <w:t>s individualizadas</w:t>
      </w:r>
      <w:r w:rsidR="00FC2F62" w:rsidRPr="006D1C74">
        <w:rPr>
          <w:rFonts w:asciiTheme="majorHAnsi" w:hAnsiTheme="majorHAnsi"/>
          <w:sz w:val="20"/>
          <w:szCs w:val="20"/>
          <w:lang w:val="pt-BR"/>
        </w:rPr>
        <w:t xml:space="preserve"> no </w:t>
      </w:r>
      <w:r w:rsidR="002649F0" w:rsidRPr="006D1C74">
        <w:rPr>
          <w:rFonts w:asciiTheme="majorHAnsi" w:hAnsiTheme="majorHAnsi"/>
          <w:sz w:val="20"/>
          <w:szCs w:val="20"/>
          <w:lang w:val="pt-BR"/>
        </w:rPr>
        <w:t xml:space="preserve">presente </w:t>
      </w:r>
      <w:r w:rsidR="00927E16" w:rsidRPr="006D1C74">
        <w:rPr>
          <w:rFonts w:asciiTheme="majorHAnsi" w:hAnsiTheme="majorHAnsi"/>
          <w:sz w:val="20"/>
          <w:szCs w:val="20"/>
          <w:lang w:val="pt-BR"/>
        </w:rPr>
        <w:t>relatório</w:t>
      </w:r>
      <w:r w:rsidR="002649F0" w:rsidRPr="006D1C74">
        <w:rPr>
          <w:rFonts w:asciiTheme="majorHAnsi" w:hAnsiTheme="majorHAnsi"/>
          <w:sz w:val="20"/>
          <w:szCs w:val="20"/>
          <w:lang w:val="pt-BR"/>
        </w:rPr>
        <w:t xml:space="preserve">. </w:t>
      </w:r>
    </w:p>
    <w:p w14:paraId="37D8FBCF" w14:textId="77777777" w:rsidR="00486544" w:rsidRPr="006D1C74" w:rsidRDefault="00486544" w:rsidP="002649F0">
      <w:pPr>
        <w:ind w:left="720"/>
        <w:rPr>
          <w:rFonts w:asciiTheme="majorHAnsi" w:eastAsia="Times New Roman" w:hAnsiTheme="majorHAnsi" w:cs="Cambria"/>
          <w:color w:val="000000"/>
          <w:sz w:val="20"/>
          <w:szCs w:val="20"/>
          <w:u w:color="000000"/>
          <w:bdr w:val="none" w:sz="0" w:space="0" w:color="auto"/>
          <w:lang w:val="pt-BR" w:eastAsia="es-ES"/>
        </w:rPr>
      </w:pPr>
    </w:p>
    <w:p w14:paraId="1A410161" w14:textId="77777777" w:rsidR="002649F0" w:rsidRPr="006D1C74" w:rsidRDefault="00417BE8" w:rsidP="00E46227">
      <w:pPr>
        <w:pStyle w:val="Heading2"/>
        <w:rPr>
          <w:rFonts w:cs="Calibri"/>
          <w:color w:val="808080"/>
          <w:lang w:val="pt-BR"/>
        </w:rPr>
      </w:pPr>
      <w:bookmarkStart w:id="31" w:name="_Toc43554277"/>
      <w:r w:rsidRPr="006D1C74">
        <w:rPr>
          <w:lang w:val="pt-BR"/>
        </w:rPr>
        <w:t>Direito</w:t>
      </w:r>
      <w:r w:rsidR="002649F0" w:rsidRPr="006D1C74">
        <w:rPr>
          <w:lang w:val="pt-BR"/>
        </w:rPr>
        <w:t xml:space="preserve"> de </w:t>
      </w:r>
      <w:r w:rsidR="00E327B7" w:rsidRPr="006D1C74">
        <w:rPr>
          <w:lang w:val="pt-BR"/>
        </w:rPr>
        <w:t>reunião</w:t>
      </w:r>
      <w:r w:rsidR="002649F0" w:rsidRPr="006D1C74">
        <w:rPr>
          <w:vertAlign w:val="superscript"/>
          <w:lang w:val="pt-BR"/>
        </w:rPr>
        <w:footnoteReference w:id="66"/>
      </w:r>
      <w:r w:rsidR="002649F0" w:rsidRPr="006D1C74">
        <w:rPr>
          <w:lang w:val="pt-BR"/>
        </w:rPr>
        <w:t xml:space="preserve">, </w:t>
      </w:r>
      <w:r w:rsidR="00135385" w:rsidRPr="006D1C74">
        <w:rPr>
          <w:lang w:val="pt-BR"/>
        </w:rPr>
        <w:t xml:space="preserve">direito </w:t>
      </w:r>
      <w:r w:rsidR="00A5274C" w:rsidRPr="006D1C74">
        <w:rPr>
          <w:lang w:val="pt-BR"/>
        </w:rPr>
        <w:t>à</w:t>
      </w:r>
      <w:r w:rsidR="00135385" w:rsidRPr="006D1C74">
        <w:rPr>
          <w:lang w:val="pt-BR"/>
        </w:rPr>
        <w:t xml:space="preserve"> </w:t>
      </w:r>
      <w:r w:rsidR="00623C35" w:rsidRPr="006D1C74">
        <w:rPr>
          <w:lang w:val="pt-BR"/>
        </w:rPr>
        <w:t>liberdade</w:t>
      </w:r>
      <w:r w:rsidR="002649F0" w:rsidRPr="006D1C74">
        <w:rPr>
          <w:lang w:val="pt-BR"/>
        </w:rPr>
        <w:t xml:space="preserve"> de pensa</w:t>
      </w:r>
      <w:r w:rsidR="00700267" w:rsidRPr="006D1C74">
        <w:rPr>
          <w:lang w:val="pt-BR"/>
        </w:rPr>
        <w:t>mento</w:t>
      </w:r>
      <w:r w:rsidR="00CF037E" w:rsidRPr="006D1C74">
        <w:rPr>
          <w:lang w:val="pt-BR"/>
        </w:rPr>
        <w:t xml:space="preserve"> e </w:t>
      </w:r>
      <w:r w:rsidR="002649F0" w:rsidRPr="006D1C74">
        <w:rPr>
          <w:lang w:val="pt-BR"/>
        </w:rPr>
        <w:t xml:space="preserve">de </w:t>
      </w:r>
      <w:r w:rsidR="00BA111B" w:rsidRPr="006D1C74">
        <w:rPr>
          <w:lang w:val="pt-BR"/>
        </w:rPr>
        <w:t>expressão</w:t>
      </w:r>
      <w:r w:rsidR="002649F0" w:rsidRPr="006D1C74">
        <w:rPr>
          <w:vertAlign w:val="superscript"/>
          <w:lang w:val="pt-BR"/>
        </w:rPr>
        <w:footnoteReference w:id="67"/>
      </w:r>
      <w:r w:rsidR="00CF037E" w:rsidRPr="006D1C74">
        <w:rPr>
          <w:lang w:val="pt-BR"/>
        </w:rPr>
        <w:t xml:space="preserve"> e </w:t>
      </w:r>
      <w:r w:rsidRPr="006D1C74">
        <w:rPr>
          <w:lang w:val="pt-BR"/>
        </w:rPr>
        <w:t>direito</w:t>
      </w:r>
      <w:r w:rsidR="002649F0" w:rsidRPr="006D1C74">
        <w:rPr>
          <w:lang w:val="pt-BR"/>
        </w:rPr>
        <w:t xml:space="preserve"> de circula</w:t>
      </w:r>
      <w:r w:rsidR="00CF037E" w:rsidRPr="006D1C74">
        <w:rPr>
          <w:lang w:val="pt-BR"/>
        </w:rPr>
        <w:t>ção</w:t>
      </w:r>
      <w:r w:rsidR="002649F0" w:rsidRPr="006D1C74">
        <w:rPr>
          <w:vertAlign w:val="superscript"/>
          <w:lang w:val="pt-BR"/>
        </w:rPr>
        <w:footnoteReference w:id="68"/>
      </w:r>
      <w:bookmarkEnd w:id="31"/>
      <w:r w:rsidR="002649F0" w:rsidRPr="006D1C74">
        <w:rPr>
          <w:lang w:val="pt-BR"/>
        </w:rPr>
        <w:t xml:space="preserve"> </w:t>
      </w:r>
    </w:p>
    <w:p w14:paraId="4ADE9D29" w14:textId="77777777" w:rsidR="002649F0" w:rsidRPr="006D1C74" w:rsidRDefault="002649F0" w:rsidP="002649F0">
      <w:pPr>
        <w:ind w:left="720"/>
        <w:rPr>
          <w:rFonts w:asciiTheme="majorHAnsi" w:eastAsia="Cambria" w:hAnsiTheme="majorHAnsi" w:cs="Cambria"/>
          <w:color w:val="000000"/>
          <w:sz w:val="20"/>
          <w:szCs w:val="20"/>
          <w:u w:color="000000"/>
          <w:lang w:val="pt-BR" w:eastAsia="es-ES"/>
        </w:rPr>
      </w:pPr>
    </w:p>
    <w:p w14:paraId="59400D34" w14:textId="77777777" w:rsidR="00B6237A" w:rsidRPr="006D1C74" w:rsidRDefault="00135385"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0" w:firstLine="0"/>
        <w:jc w:val="both"/>
        <w:rPr>
          <w:rFonts w:asciiTheme="majorHAnsi" w:eastAsia="Times New Roman" w:hAnsiTheme="majorHAnsi" w:cs="Cambria"/>
          <w:color w:val="000000"/>
          <w:sz w:val="20"/>
          <w:szCs w:val="20"/>
          <w:u w:color="000000"/>
          <w:bdr w:val="none" w:sz="0" w:space="0" w:color="auto"/>
          <w:lang w:val="pt-BR" w:eastAsia="es-ES"/>
        </w:rPr>
      </w:pPr>
      <w:r w:rsidRPr="006D1C74">
        <w:rPr>
          <w:rFonts w:asciiTheme="majorHAnsi" w:eastAsia="Cambria" w:hAnsiTheme="majorHAnsi" w:cs="Cambria"/>
          <w:color w:val="000000"/>
          <w:sz w:val="20"/>
          <w:szCs w:val="20"/>
          <w:u w:color="000000"/>
          <w:lang w:val="pt-BR" w:eastAsia="es-ES"/>
        </w:rPr>
        <w:t>O</w:t>
      </w:r>
      <w:r w:rsidR="0062547E" w:rsidRPr="006D1C74">
        <w:rPr>
          <w:rFonts w:asciiTheme="majorHAnsi" w:eastAsia="Cambria" w:hAnsiTheme="majorHAnsi" w:cs="Cambria"/>
          <w:color w:val="000000"/>
          <w:sz w:val="20"/>
          <w:szCs w:val="20"/>
          <w:u w:color="000000"/>
          <w:lang w:val="pt-BR" w:eastAsia="es-ES"/>
        </w:rPr>
        <w:t xml:space="preserve">s </w:t>
      </w:r>
      <w:r w:rsidR="00417BE8" w:rsidRPr="006D1C74">
        <w:rPr>
          <w:rFonts w:asciiTheme="majorHAnsi" w:eastAsia="Cambria" w:hAnsiTheme="majorHAnsi" w:cs="Cambria"/>
          <w:color w:val="000000"/>
          <w:sz w:val="20"/>
          <w:szCs w:val="20"/>
          <w:u w:color="000000"/>
          <w:lang w:val="pt-BR" w:eastAsia="es-ES"/>
        </w:rPr>
        <w:t>direito</w:t>
      </w:r>
      <w:r w:rsidR="0062547E" w:rsidRPr="006D1C74">
        <w:rPr>
          <w:rFonts w:asciiTheme="majorHAnsi" w:eastAsia="Cambria" w:hAnsiTheme="majorHAnsi" w:cs="Cambria"/>
          <w:color w:val="000000"/>
          <w:sz w:val="20"/>
          <w:szCs w:val="20"/>
          <w:u w:color="000000"/>
          <w:lang w:val="pt-BR" w:eastAsia="es-ES"/>
        </w:rPr>
        <w:t>s</w:t>
      </w:r>
      <w:r w:rsidR="00030019" w:rsidRPr="006D1C74">
        <w:rPr>
          <w:rFonts w:asciiTheme="majorHAnsi" w:eastAsia="Cambria" w:hAnsiTheme="majorHAnsi" w:cs="Cambria"/>
          <w:color w:val="000000"/>
          <w:sz w:val="20"/>
          <w:szCs w:val="20"/>
          <w:u w:color="000000"/>
          <w:lang w:val="pt-BR" w:eastAsia="es-ES"/>
        </w:rPr>
        <w:t xml:space="preserve"> à </w:t>
      </w:r>
      <w:r w:rsidR="00623C35" w:rsidRPr="006D1C74">
        <w:rPr>
          <w:rFonts w:asciiTheme="majorHAnsi" w:eastAsia="Cambria" w:hAnsiTheme="majorHAnsi" w:cs="Cambria"/>
          <w:color w:val="000000"/>
          <w:sz w:val="20"/>
          <w:szCs w:val="20"/>
          <w:u w:color="000000"/>
          <w:lang w:val="pt-BR" w:eastAsia="es-ES"/>
        </w:rPr>
        <w:t>liberdade</w:t>
      </w:r>
      <w:r w:rsidR="0062547E" w:rsidRPr="006D1C74">
        <w:rPr>
          <w:rFonts w:asciiTheme="majorHAnsi" w:eastAsia="Cambria" w:hAnsiTheme="majorHAnsi" w:cs="Cambria"/>
          <w:color w:val="000000"/>
          <w:sz w:val="20"/>
          <w:szCs w:val="20"/>
          <w:u w:color="000000"/>
          <w:lang w:val="pt-BR" w:eastAsia="es-ES"/>
        </w:rPr>
        <w:t xml:space="preserve"> de </w:t>
      </w:r>
      <w:r w:rsidR="00BA111B" w:rsidRPr="006D1C74">
        <w:rPr>
          <w:rFonts w:asciiTheme="majorHAnsi" w:eastAsia="Cambria" w:hAnsiTheme="majorHAnsi" w:cs="Cambria"/>
          <w:color w:val="000000"/>
          <w:sz w:val="20"/>
          <w:szCs w:val="20"/>
          <w:u w:color="000000"/>
          <w:lang w:val="pt-BR" w:eastAsia="es-ES"/>
        </w:rPr>
        <w:t>expressão</w:t>
      </w:r>
      <w:r w:rsidR="00CF037E" w:rsidRPr="006D1C74">
        <w:rPr>
          <w:rFonts w:asciiTheme="majorHAnsi" w:eastAsia="Cambria" w:hAnsiTheme="majorHAnsi" w:cs="Cambria"/>
          <w:color w:val="000000"/>
          <w:sz w:val="20"/>
          <w:szCs w:val="20"/>
          <w:u w:color="000000"/>
          <w:lang w:val="pt-BR" w:eastAsia="es-ES"/>
        </w:rPr>
        <w:t xml:space="preserve"> e </w:t>
      </w:r>
      <w:r w:rsidR="00E327B7" w:rsidRPr="006D1C74">
        <w:rPr>
          <w:rFonts w:asciiTheme="majorHAnsi" w:eastAsia="Cambria" w:hAnsiTheme="majorHAnsi" w:cs="Cambria"/>
          <w:color w:val="000000"/>
          <w:sz w:val="20"/>
          <w:szCs w:val="20"/>
          <w:u w:color="000000"/>
          <w:lang w:val="pt-BR" w:eastAsia="es-ES"/>
        </w:rPr>
        <w:t>reunião</w:t>
      </w:r>
      <w:r w:rsidR="0062547E" w:rsidRPr="006D1C74">
        <w:rPr>
          <w:rFonts w:asciiTheme="majorHAnsi" w:eastAsia="Cambria" w:hAnsiTheme="majorHAnsi" w:cs="Cambria"/>
          <w:color w:val="000000"/>
          <w:sz w:val="20"/>
          <w:szCs w:val="20"/>
          <w:u w:color="000000"/>
          <w:lang w:val="pt-BR" w:eastAsia="es-ES"/>
        </w:rPr>
        <w:t xml:space="preserve"> pacífica</w:t>
      </w:r>
      <w:r w:rsidR="00B6237A" w:rsidRPr="006D1C74">
        <w:rPr>
          <w:rStyle w:val="FootnoteReference"/>
          <w:rFonts w:asciiTheme="majorHAnsi" w:eastAsia="Cambria" w:hAnsiTheme="majorHAnsi" w:cs="Cambria"/>
          <w:color w:val="000000"/>
          <w:sz w:val="20"/>
          <w:szCs w:val="20"/>
          <w:u w:color="000000"/>
          <w:lang w:val="pt-BR" w:eastAsia="es-ES"/>
        </w:rPr>
        <w:footnoteReference w:id="69"/>
      </w:r>
      <w:r w:rsidR="0062547E" w:rsidRPr="006D1C74">
        <w:rPr>
          <w:rFonts w:asciiTheme="majorHAnsi" w:eastAsia="Cambria" w:hAnsiTheme="majorHAnsi" w:cs="Cambria"/>
          <w:color w:val="000000"/>
          <w:sz w:val="20"/>
          <w:szCs w:val="20"/>
          <w:u w:color="000000"/>
          <w:lang w:val="pt-BR" w:eastAsia="es-ES"/>
        </w:rPr>
        <w:t xml:space="preserve"> garant</w:t>
      </w:r>
      <w:r w:rsidRPr="006D1C74">
        <w:rPr>
          <w:rFonts w:asciiTheme="majorHAnsi" w:eastAsia="Cambria" w:hAnsiTheme="majorHAnsi" w:cs="Cambria"/>
          <w:color w:val="000000"/>
          <w:sz w:val="20"/>
          <w:szCs w:val="20"/>
          <w:u w:color="000000"/>
          <w:lang w:val="pt-BR" w:eastAsia="es-ES"/>
        </w:rPr>
        <w:t>em</w:t>
      </w:r>
      <w:r w:rsidR="00CF037E" w:rsidRPr="006D1C74">
        <w:rPr>
          <w:rFonts w:asciiTheme="majorHAnsi" w:eastAsia="Cambria" w:hAnsiTheme="majorHAnsi" w:cs="Cambria"/>
          <w:color w:val="000000"/>
          <w:sz w:val="20"/>
          <w:szCs w:val="20"/>
          <w:u w:color="000000"/>
          <w:lang w:val="pt-BR" w:eastAsia="es-ES"/>
        </w:rPr>
        <w:t xml:space="preserve"> e </w:t>
      </w:r>
      <w:r w:rsidR="00BA111B" w:rsidRPr="006D1C74">
        <w:rPr>
          <w:rFonts w:asciiTheme="majorHAnsi" w:eastAsia="Cambria" w:hAnsiTheme="majorHAnsi" w:cs="Cambria"/>
          <w:color w:val="000000"/>
          <w:sz w:val="20"/>
          <w:szCs w:val="20"/>
          <w:u w:color="000000"/>
          <w:lang w:val="pt-BR" w:eastAsia="es-ES"/>
        </w:rPr>
        <w:t>protegem</w:t>
      </w:r>
      <w:r w:rsidR="0062547E" w:rsidRPr="006D1C74">
        <w:rPr>
          <w:rFonts w:asciiTheme="majorHAnsi" w:eastAsia="Cambria" w:hAnsiTheme="majorHAnsi" w:cs="Cambria"/>
          <w:color w:val="000000"/>
          <w:sz w:val="20"/>
          <w:szCs w:val="20"/>
          <w:u w:color="000000"/>
          <w:lang w:val="pt-BR" w:eastAsia="es-ES"/>
        </w:rPr>
        <w:t xml:space="preserve"> </w:t>
      </w:r>
      <w:r w:rsidR="00B6237A" w:rsidRPr="006D1C74">
        <w:rPr>
          <w:rFonts w:asciiTheme="majorHAnsi" w:eastAsia="Cambria" w:hAnsiTheme="majorHAnsi" w:cs="Cambria"/>
          <w:color w:val="000000"/>
          <w:sz w:val="20"/>
          <w:szCs w:val="20"/>
          <w:u w:color="000000"/>
          <w:lang w:val="pt-BR" w:eastAsia="es-ES"/>
        </w:rPr>
        <w:t xml:space="preserve">diversas formas de </w:t>
      </w:r>
      <w:r w:rsidR="00BA111B" w:rsidRPr="006D1C74">
        <w:rPr>
          <w:rFonts w:asciiTheme="majorHAnsi" w:eastAsia="Cambria" w:hAnsiTheme="majorHAnsi" w:cs="Cambria"/>
          <w:color w:val="000000"/>
          <w:sz w:val="20"/>
          <w:szCs w:val="20"/>
          <w:u w:color="000000"/>
          <w:lang w:val="pt-BR" w:eastAsia="es-ES"/>
        </w:rPr>
        <w:t>expressar</w:t>
      </w:r>
      <w:r w:rsidR="00B6237A" w:rsidRPr="006D1C74">
        <w:rPr>
          <w:rFonts w:asciiTheme="majorHAnsi" w:eastAsia="Cambria" w:hAnsiTheme="majorHAnsi" w:cs="Cambria"/>
          <w:color w:val="000000"/>
          <w:sz w:val="20"/>
          <w:szCs w:val="20"/>
          <w:u w:color="000000"/>
          <w:lang w:val="pt-BR" w:eastAsia="es-ES"/>
        </w:rPr>
        <w:t xml:space="preserve"> </w:t>
      </w:r>
      <w:r w:rsidR="00BA111B" w:rsidRPr="006D1C74">
        <w:rPr>
          <w:rFonts w:asciiTheme="majorHAnsi" w:eastAsia="Cambria" w:hAnsiTheme="majorHAnsi" w:cs="Cambria"/>
          <w:color w:val="000000"/>
          <w:sz w:val="20"/>
          <w:szCs w:val="20"/>
          <w:u w:color="000000"/>
          <w:lang w:val="pt-BR" w:eastAsia="es-ES"/>
        </w:rPr>
        <w:t>publicamente</w:t>
      </w:r>
      <w:r w:rsidR="00B6237A" w:rsidRPr="006D1C74">
        <w:rPr>
          <w:rFonts w:asciiTheme="majorHAnsi" w:eastAsia="Cambria" w:hAnsiTheme="majorHAnsi" w:cs="Cambria"/>
          <w:color w:val="000000"/>
          <w:sz w:val="20"/>
          <w:szCs w:val="20"/>
          <w:u w:color="000000"/>
          <w:lang w:val="pt-BR" w:eastAsia="es-ES"/>
        </w:rPr>
        <w:t xml:space="preserve"> opini</w:t>
      </w:r>
      <w:r w:rsidRPr="006D1C74">
        <w:rPr>
          <w:rFonts w:asciiTheme="majorHAnsi" w:eastAsia="Cambria" w:hAnsiTheme="majorHAnsi" w:cs="Cambria"/>
          <w:color w:val="000000"/>
          <w:sz w:val="20"/>
          <w:szCs w:val="20"/>
          <w:u w:color="000000"/>
          <w:lang w:val="pt-BR" w:eastAsia="es-ES"/>
        </w:rPr>
        <w:t>õ</w:t>
      </w:r>
      <w:r w:rsidR="00B6237A" w:rsidRPr="006D1C74">
        <w:rPr>
          <w:rFonts w:asciiTheme="majorHAnsi" w:eastAsia="Cambria" w:hAnsiTheme="majorHAnsi" w:cs="Cambria"/>
          <w:color w:val="000000"/>
          <w:sz w:val="20"/>
          <w:szCs w:val="20"/>
          <w:u w:color="000000"/>
          <w:lang w:val="pt-BR" w:eastAsia="es-ES"/>
        </w:rPr>
        <w:t>es</w:t>
      </w:r>
      <w:r w:rsidR="00CF037E" w:rsidRPr="006D1C74">
        <w:rPr>
          <w:rFonts w:asciiTheme="majorHAnsi" w:eastAsia="Cambria" w:hAnsiTheme="majorHAnsi" w:cs="Cambria"/>
          <w:color w:val="000000"/>
          <w:sz w:val="20"/>
          <w:szCs w:val="20"/>
          <w:u w:color="000000"/>
          <w:lang w:val="pt-BR" w:eastAsia="es-ES"/>
        </w:rPr>
        <w:t xml:space="preserve"> e </w:t>
      </w:r>
      <w:r w:rsidR="00B6237A" w:rsidRPr="006D1C74">
        <w:rPr>
          <w:rFonts w:asciiTheme="majorHAnsi" w:eastAsia="Cambria" w:hAnsiTheme="majorHAnsi" w:cs="Cambria"/>
          <w:color w:val="000000"/>
          <w:sz w:val="20"/>
          <w:szCs w:val="20"/>
          <w:u w:color="000000"/>
          <w:lang w:val="pt-BR" w:eastAsia="es-ES"/>
        </w:rPr>
        <w:t>demandar</w:t>
      </w:r>
      <w:r w:rsidR="00700267" w:rsidRPr="006D1C74">
        <w:rPr>
          <w:rFonts w:asciiTheme="majorHAnsi" w:eastAsia="Cambria" w:hAnsiTheme="majorHAnsi" w:cs="Cambria"/>
          <w:color w:val="000000"/>
          <w:sz w:val="20"/>
          <w:szCs w:val="20"/>
          <w:u w:color="000000"/>
          <w:lang w:val="pt-BR" w:eastAsia="es-ES"/>
        </w:rPr>
        <w:t xml:space="preserve"> o </w:t>
      </w:r>
      <w:r w:rsidR="00BA111B" w:rsidRPr="006D1C74">
        <w:rPr>
          <w:rFonts w:asciiTheme="majorHAnsi" w:eastAsia="Cambria" w:hAnsiTheme="majorHAnsi" w:cs="Cambria"/>
          <w:color w:val="000000"/>
          <w:sz w:val="20"/>
          <w:szCs w:val="20"/>
          <w:u w:color="000000"/>
          <w:lang w:val="pt-BR" w:eastAsia="es-ES"/>
        </w:rPr>
        <w:t>cumprimento</w:t>
      </w:r>
      <w:r w:rsidR="00B6237A" w:rsidRPr="006D1C74">
        <w:rPr>
          <w:rFonts w:asciiTheme="majorHAnsi" w:eastAsia="Cambria" w:hAnsiTheme="majorHAnsi" w:cs="Cambria"/>
          <w:color w:val="000000"/>
          <w:sz w:val="20"/>
          <w:szCs w:val="20"/>
          <w:u w:color="000000"/>
          <w:lang w:val="pt-BR" w:eastAsia="es-ES"/>
        </w:rPr>
        <w:t xml:space="preserve"> de diversos </w:t>
      </w:r>
      <w:r w:rsidR="00417BE8" w:rsidRPr="006D1C74">
        <w:rPr>
          <w:rFonts w:asciiTheme="majorHAnsi" w:eastAsia="Cambria" w:hAnsiTheme="majorHAnsi" w:cs="Cambria"/>
          <w:color w:val="000000"/>
          <w:sz w:val="20"/>
          <w:szCs w:val="20"/>
          <w:u w:color="000000"/>
          <w:lang w:val="pt-BR" w:eastAsia="es-ES"/>
        </w:rPr>
        <w:t>direito</w:t>
      </w:r>
      <w:r w:rsidR="00B6237A" w:rsidRPr="006D1C74">
        <w:rPr>
          <w:rFonts w:asciiTheme="majorHAnsi" w:eastAsia="Cambria" w:hAnsiTheme="majorHAnsi" w:cs="Cambria"/>
          <w:color w:val="000000"/>
          <w:sz w:val="20"/>
          <w:szCs w:val="20"/>
          <w:u w:color="000000"/>
          <w:lang w:val="pt-BR" w:eastAsia="es-ES"/>
        </w:rPr>
        <w:t>s</w:t>
      </w:r>
      <w:r w:rsidR="00B6237A" w:rsidRPr="006D1C74">
        <w:rPr>
          <w:rStyle w:val="FootnoteReference"/>
          <w:rFonts w:asciiTheme="majorHAnsi" w:eastAsia="Cambria" w:hAnsiTheme="majorHAnsi" w:cs="Cambria"/>
          <w:color w:val="000000"/>
          <w:sz w:val="20"/>
          <w:szCs w:val="20"/>
          <w:u w:color="000000"/>
          <w:lang w:val="pt-BR" w:eastAsia="es-ES"/>
        </w:rPr>
        <w:footnoteReference w:id="70"/>
      </w:r>
      <w:r w:rsidR="00B6237A" w:rsidRPr="006D1C74">
        <w:rPr>
          <w:rFonts w:asciiTheme="majorHAnsi" w:eastAsia="Cambria" w:hAnsiTheme="majorHAnsi" w:cs="Cambria"/>
          <w:color w:val="000000"/>
          <w:sz w:val="20"/>
          <w:szCs w:val="20"/>
          <w:u w:color="000000"/>
          <w:lang w:val="pt-BR" w:eastAsia="es-ES"/>
        </w:rPr>
        <w:t>.</w:t>
      </w:r>
      <w:r w:rsidR="00F673C7" w:rsidRPr="006D1C74">
        <w:rPr>
          <w:rFonts w:asciiTheme="majorHAnsi" w:eastAsia="Cambria" w:hAnsiTheme="majorHAnsi" w:cs="Cambria"/>
          <w:color w:val="000000"/>
          <w:sz w:val="20"/>
          <w:szCs w:val="20"/>
          <w:u w:color="000000"/>
          <w:lang w:val="pt-BR" w:eastAsia="es-ES"/>
        </w:rPr>
        <w:t xml:space="preserve"> </w:t>
      </w:r>
      <w:r w:rsidRPr="006D1C74">
        <w:rPr>
          <w:rFonts w:asciiTheme="majorHAnsi" w:eastAsia="Cambria" w:hAnsiTheme="majorHAnsi" w:cs="Cambria"/>
          <w:color w:val="000000"/>
          <w:sz w:val="20"/>
          <w:szCs w:val="20"/>
          <w:u w:color="000000"/>
          <w:lang w:val="pt-BR" w:eastAsia="es-ES"/>
        </w:rPr>
        <w:t>Co</w:t>
      </w:r>
      <w:r w:rsidR="00F673C7" w:rsidRPr="006D1C74">
        <w:rPr>
          <w:rFonts w:asciiTheme="majorHAnsi" w:eastAsia="Cambria" w:hAnsiTheme="majorHAnsi" w:cs="Cambria"/>
          <w:color w:val="000000"/>
          <w:sz w:val="20"/>
          <w:szCs w:val="20"/>
          <w:u w:color="000000"/>
          <w:lang w:val="pt-BR" w:eastAsia="es-ES"/>
        </w:rPr>
        <w:t xml:space="preserve">m </w:t>
      </w:r>
      <w:r w:rsidR="00B6237A" w:rsidRPr="006D1C74">
        <w:rPr>
          <w:rFonts w:asciiTheme="majorHAnsi" w:eastAsia="Cambria" w:hAnsiTheme="majorHAnsi" w:cs="Cambria"/>
          <w:color w:val="000000"/>
          <w:sz w:val="20"/>
          <w:szCs w:val="20"/>
          <w:u w:color="000000"/>
          <w:lang w:val="pt-BR" w:eastAsia="es-ES"/>
        </w:rPr>
        <w:t>rela</w:t>
      </w:r>
      <w:r w:rsidR="00CF037E" w:rsidRPr="006D1C74">
        <w:rPr>
          <w:rFonts w:asciiTheme="majorHAnsi" w:eastAsia="Cambria" w:hAnsiTheme="majorHAnsi" w:cs="Cambria"/>
          <w:color w:val="000000"/>
          <w:sz w:val="20"/>
          <w:szCs w:val="20"/>
          <w:u w:color="000000"/>
          <w:lang w:val="pt-BR" w:eastAsia="es-ES"/>
        </w:rPr>
        <w:t>ção</w:t>
      </w:r>
      <w:r w:rsidR="00F673C7" w:rsidRPr="006D1C74">
        <w:rPr>
          <w:rFonts w:asciiTheme="majorHAnsi" w:eastAsia="Cambria" w:hAnsiTheme="majorHAnsi" w:cs="Cambria"/>
          <w:color w:val="000000"/>
          <w:sz w:val="20"/>
          <w:szCs w:val="20"/>
          <w:u w:color="000000"/>
          <w:lang w:val="pt-BR" w:eastAsia="es-ES"/>
        </w:rPr>
        <w:t xml:space="preserve"> </w:t>
      </w:r>
      <w:r w:rsidRPr="006D1C74">
        <w:rPr>
          <w:rFonts w:asciiTheme="majorHAnsi" w:eastAsia="Cambria" w:hAnsiTheme="majorHAnsi" w:cs="Cambria"/>
          <w:color w:val="000000"/>
          <w:sz w:val="20"/>
          <w:szCs w:val="20"/>
          <w:u w:color="000000"/>
          <w:lang w:val="pt-BR" w:eastAsia="es-ES"/>
        </w:rPr>
        <w:t>a</w:t>
      </w:r>
      <w:r w:rsidR="00700267" w:rsidRPr="006D1C74">
        <w:rPr>
          <w:rFonts w:asciiTheme="majorHAnsi" w:eastAsia="Cambria" w:hAnsiTheme="majorHAnsi" w:cs="Cambria"/>
          <w:color w:val="000000"/>
          <w:sz w:val="20"/>
          <w:szCs w:val="20"/>
          <w:u w:color="000000"/>
          <w:lang w:val="pt-BR" w:eastAsia="es-ES"/>
        </w:rPr>
        <w:t xml:space="preserve">o </w:t>
      </w:r>
      <w:r w:rsidR="00417BE8" w:rsidRPr="006D1C74">
        <w:rPr>
          <w:rFonts w:asciiTheme="majorHAnsi" w:eastAsia="Cambria" w:hAnsiTheme="majorHAnsi" w:cs="Cambria"/>
          <w:color w:val="000000"/>
          <w:sz w:val="20"/>
          <w:szCs w:val="20"/>
          <w:u w:color="000000"/>
          <w:lang w:val="pt-BR" w:eastAsia="es-ES"/>
        </w:rPr>
        <w:t>direito</w:t>
      </w:r>
      <w:r w:rsidR="00B6237A" w:rsidRPr="006D1C74">
        <w:rPr>
          <w:rFonts w:asciiTheme="majorHAnsi" w:eastAsia="Cambria" w:hAnsiTheme="majorHAnsi" w:cs="Cambria"/>
          <w:color w:val="000000"/>
          <w:sz w:val="20"/>
          <w:szCs w:val="20"/>
          <w:u w:color="000000"/>
          <w:lang w:val="pt-BR" w:eastAsia="es-ES"/>
        </w:rPr>
        <w:t xml:space="preserve"> de </w:t>
      </w:r>
      <w:r w:rsidR="00E327B7" w:rsidRPr="006D1C74">
        <w:rPr>
          <w:rFonts w:asciiTheme="majorHAnsi" w:eastAsia="Cambria" w:hAnsiTheme="majorHAnsi" w:cs="Cambria"/>
          <w:color w:val="000000"/>
          <w:sz w:val="20"/>
          <w:szCs w:val="20"/>
          <w:u w:color="000000"/>
          <w:lang w:val="pt-BR" w:eastAsia="es-ES"/>
        </w:rPr>
        <w:t>reunião</w:t>
      </w:r>
      <w:r w:rsidR="00B6237A" w:rsidRPr="006D1C74">
        <w:rPr>
          <w:rFonts w:asciiTheme="majorHAnsi" w:eastAsia="Cambria" w:hAnsiTheme="majorHAnsi" w:cs="Cambria"/>
          <w:color w:val="000000"/>
          <w:sz w:val="20"/>
          <w:szCs w:val="20"/>
          <w:u w:color="000000"/>
          <w:lang w:val="pt-BR" w:eastAsia="es-ES"/>
        </w:rPr>
        <w:t>,</w:t>
      </w:r>
      <w:r w:rsidR="00700267" w:rsidRPr="006D1C74">
        <w:rPr>
          <w:rFonts w:asciiTheme="majorHAnsi" w:eastAsia="Cambria" w:hAnsiTheme="majorHAnsi" w:cs="Cambria"/>
          <w:color w:val="000000"/>
          <w:sz w:val="20"/>
          <w:szCs w:val="20"/>
          <w:u w:color="000000"/>
          <w:lang w:val="pt-BR" w:eastAsia="es-ES"/>
        </w:rPr>
        <w:t xml:space="preserve"> a </w:t>
      </w:r>
      <w:r w:rsidR="00B6237A" w:rsidRPr="006D1C74">
        <w:rPr>
          <w:rFonts w:asciiTheme="majorHAnsi" w:eastAsia="Cambria" w:hAnsiTheme="majorHAnsi" w:cs="Cambria"/>
          <w:color w:val="000000"/>
          <w:sz w:val="20"/>
          <w:szCs w:val="20"/>
          <w:u w:color="000000"/>
          <w:lang w:val="pt-BR" w:eastAsia="es-ES"/>
        </w:rPr>
        <w:t>Corte Interamericana afirm</w:t>
      </w:r>
      <w:r w:rsidRPr="006D1C74">
        <w:rPr>
          <w:rFonts w:asciiTheme="majorHAnsi" w:eastAsia="Cambria" w:hAnsiTheme="majorHAnsi" w:cs="Cambria"/>
          <w:color w:val="000000"/>
          <w:sz w:val="20"/>
          <w:szCs w:val="20"/>
          <w:u w:color="000000"/>
          <w:lang w:val="pt-BR" w:eastAsia="es-ES"/>
        </w:rPr>
        <w:t>ou</w:t>
      </w:r>
      <w:r w:rsidR="00B6237A" w:rsidRPr="006D1C74">
        <w:rPr>
          <w:rFonts w:asciiTheme="majorHAnsi" w:eastAsia="Cambria" w:hAnsiTheme="majorHAnsi" w:cs="Cambria"/>
          <w:color w:val="000000"/>
          <w:sz w:val="20"/>
          <w:szCs w:val="20"/>
          <w:u w:color="000000"/>
          <w:lang w:val="pt-BR" w:eastAsia="es-ES"/>
        </w:rPr>
        <w:t xml:space="preserve"> que</w:t>
      </w:r>
      <w:r w:rsidR="00700267" w:rsidRPr="006D1C74">
        <w:rPr>
          <w:rFonts w:asciiTheme="majorHAnsi" w:eastAsia="Cambria" w:hAnsiTheme="majorHAnsi" w:cs="Cambria"/>
          <w:color w:val="000000"/>
          <w:sz w:val="20"/>
          <w:szCs w:val="20"/>
          <w:u w:color="000000"/>
          <w:lang w:val="pt-BR" w:eastAsia="es-ES"/>
        </w:rPr>
        <w:t xml:space="preserve"> o </w:t>
      </w:r>
      <w:r w:rsidR="00417BE8" w:rsidRPr="006D1C74">
        <w:rPr>
          <w:rFonts w:asciiTheme="majorHAnsi" w:eastAsia="Cambria" w:hAnsiTheme="majorHAnsi" w:cs="Cambria"/>
          <w:color w:val="000000"/>
          <w:sz w:val="20"/>
          <w:szCs w:val="20"/>
          <w:u w:color="000000"/>
          <w:lang w:val="pt-BR" w:eastAsia="es-ES"/>
        </w:rPr>
        <w:t>direito</w:t>
      </w:r>
      <w:r w:rsidR="002649F0" w:rsidRPr="006D1C74">
        <w:rPr>
          <w:rFonts w:asciiTheme="majorHAnsi" w:eastAsia="Cambria" w:hAnsiTheme="majorHAnsi" w:cs="Cambria"/>
          <w:color w:val="000000"/>
          <w:sz w:val="20"/>
          <w:szCs w:val="20"/>
          <w:u w:color="000000"/>
          <w:lang w:val="pt-BR" w:eastAsia="es-ES"/>
        </w:rPr>
        <w:t xml:space="preserve"> a protestar contra </w:t>
      </w:r>
      <w:r w:rsidR="00BA111B" w:rsidRPr="006D1C74">
        <w:rPr>
          <w:rFonts w:asciiTheme="majorHAnsi" w:eastAsia="Cambria" w:hAnsiTheme="majorHAnsi" w:cs="Cambria"/>
          <w:color w:val="000000"/>
          <w:sz w:val="20"/>
          <w:szCs w:val="20"/>
          <w:u w:color="000000"/>
          <w:lang w:val="pt-BR" w:eastAsia="es-ES"/>
        </w:rPr>
        <w:t>alguma</w:t>
      </w:r>
      <w:r w:rsidR="002649F0" w:rsidRPr="006D1C74">
        <w:rPr>
          <w:rFonts w:asciiTheme="majorHAnsi" w:eastAsia="Cambria" w:hAnsiTheme="majorHAnsi" w:cs="Cambria"/>
          <w:color w:val="000000"/>
          <w:sz w:val="20"/>
          <w:szCs w:val="20"/>
          <w:u w:color="000000"/>
          <w:lang w:val="pt-BR" w:eastAsia="es-ES"/>
        </w:rPr>
        <w:t xml:space="preserve"> a</w:t>
      </w:r>
      <w:r w:rsidR="00CF037E" w:rsidRPr="006D1C74">
        <w:rPr>
          <w:rFonts w:asciiTheme="majorHAnsi" w:eastAsia="Cambria" w:hAnsiTheme="majorHAnsi" w:cs="Cambria"/>
          <w:color w:val="000000"/>
          <w:sz w:val="20"/>
          <w:szCs w:val="20"/>
          <w:u w:color="000000"/>
          <w:lang w:val="pt-BR" w:eastAsia="es-ES"/>
        </w:rPr>
        <w:t>ção</w:t>
      </w:r>
      <w:r w:rsidR="002649F0" w:rsidRPr="006D1C74">
        <w:rPr>
          <w:rFonts w:asciiTheme="majorHAnsi" w:eastAsia="Cambria" w:hAnsiTheme="majorHAnsi" w:cs="Cambria"/>
          <w:color w:val="000000"/>
          <w:sz w:val="20"/>
          <w:szCs w:val="20"/>
          <w:u w:color="000000"/>
          <w:lang w:val="pt-BR" w:eastAsia="es-ES"/>
        </w:rPr>
        <w:t xml:space="preserve"> o</w:t>
      </w:r>
      <w:r w:rsidRPr="006D1C74">
        <w:rPr>
          <w:rFonts w:asciiTheme="majorHAnsi" w:eastAsia="Cambria" w:hAnsiTheme="majorHAnsi" w:cs="Cambria"/>
          <w:color w:val="000000"/>
          <w:sz w:val="20"/>
          <w:szCs w:val="20"/>
          <w:u w:color="000000"/>
          <w:lang w:val="pt-BR" w:eastAsia="es-ES"/>
        </w:rPr>
        <w:t>u</w:t>
      </w:r>
      <w:r w:rsidR="002649F0" w:rsidRPr="006D1C74">
        <w:rPr>
          <w:rFonts w:asciiTheme="majorHAnsi" w:eastAsia="Cambria" w:hAnsiTheme="majorHAnsi" w:cs="Cambria"/>
          <w:color w:val="000000"/>
          <w:sz w:val="20"/>
          <w:szCs w:val="20"/>
          <w:u w:color="000000"/>
          <w:lang w:val="pt-BR" w:eastAsia="es-ES"/>
        </w:rPr>
        <w:t xml:space="preserve"> deci</w:t>
      </w:r>
      <w:r w:rsidR="0094446B" w:rsidRPr="006D1C74">
        <w:rPr>
          <w:rFonts w:asciiTheme="majorHAnsi" w:eastAsia="Cambria" w:hAnsiTheme="majorHAnsi" w:cs="Cambria"/>
          <w:color w:val="000000"/>
          <w:sz w:val="20"/>
          <w:szCs w:val="20"/>
          <w:u w:color="000000"/>
          <w:lang w:val="pt-BR" w:eastAsia="es-ES"/>
        </w:rPr>
        <w:t>são</w:t>
      </w:r>
      <w:r w:rsidR="002649F0" w:rsidRPr="006D1C74">
        <w:rPr>
          <w:rFonts w:asciiTheme="majorHAnsi" w:eastAsia="Cambria" w:hAnsiTheme="majorHAnsi" w:cs="Cambria"/>
          <w:color w:val="000000"/>
          <w:sz w:val="20"/>
          <w:szCs w:val="20"/>
          <w:u w:color="000000"/>
          <w:lang w:val="pt-BR" w:eastAsia="es-ES"/>
        </w:rPr>
        <w:t xml:space="preserve"> estatal o</w:t>
      </w:r>
      <w:r w:rsidRPr="006D1C74">
        <w:rPr>
          <w:rFonts w:asciiTheme="majorHAnsi" w:eastAsia="Cambria" w:hAnsiTheme="majorHAnsi" w:cs="Cambria"/>
          <w:color w:val="000000"/>
          <w:sz w:val="20"/>
          <w:szCs w:val="20"/>
          <w:u w:color="000000"/>
          <w:lang w:val="pt-BR" w:eastAsia="es-ES"/>
        </w:rPr>
        <w:t>u</w:t>
      </w:r>
      <w:r w:rsidR="002649F0" w:rsidRPr="006D1C74">
        <w:rPr>
          <w:rFonts w:asciiTheme="majorHAnsi" w:eastAsia="Cambria" w:hAnsiTheme="majorHAnsi" w:cs="Cambria"/>
          <w:color w:val="000000"/>
          <w:sz w:val="20"/>
          <w:szCs w:val="20"/>
          <w:u w:color="000000"/>
          <w:lang w:val="pt-BR" w:eastAsia="es-ES"/>
        </w:rPr>
        <w:t xml:space="preserve"> a manifestar inconformi</w:t>
      </w:r>
      <w:r w:rsidR="00F673C7" w:rsidRPr="006D1C74">
        <w:rPr>
          <w:rFonts w:asciiTheme="majorHAnsi" w:eastAsia="Cambria" w:hAnsiTheme="majorHAnsi" w:cs="Cambria"/>
          <w:color w:val="000000"/>
          <w:sz w:val="20"/>
          <w:szCs w:val="20"/>
          <w:u w:color="000000"/>
          <w:lang w:val="pt-BR" w:eastAsia="es-ES"/>
        </w:rPr>
        <w:t xml:space="preserve">dade com </w:t>
      </w:r>
      <w:r w:rsidR="002649F0" w:rsidRPr="006D1C74">
        <w:rPr>
          <w:rFonts w:asciiTheme="majorHAnsi" w:eastAsia="Cambria" w:hAnsiTheme="majorHAnsi" w:cs="Cambria"/>
          <w:color w:val="000000"/>
          <w:sz w:val="20"/>
          <w:szCs w:val="20"/>
          <w:u w:color="000000"/>
          <w:lang w:val="pt-BR" w:eastAsia="es-ES"/>
        </w:rPr>
        <w:t>ela está protegido por e</w:t>
      </w:r>
      <w:r w:rsidR="00B6237A" w:rsidRPr="006D1C74">
        <w:rPr>
          <w:rFonts w:asciiTheme="majorHAnsi" w:eastAsia="Cambria" w:hAnsiTheme="majorHAnsi" w:cs="Cambria"/>
          <w:color w:val="000000"/>
          <w:sz w:val="20"/>
          <w:szCs w:val="20"/>
          <w:u w:color="000000"/>
          <w:lang w:val="pt-BR" w:eastAsia="es-ES"/>
        </w:rPr>
        <w:t xml:space="preserve">ste </w:t>
      </w:r>
      <w:r w:rsidR="00417BE8" w:rsidRPr="006D1C74">
        <w:rPr>
          <w:rFonts w:asciiTheme="majorHAnsi" w:eastAsia="Cambria" w:hAnsiTheme="majorHAnsi" w:cs="Cambria"/>
          <w:color w:val="000000"/>
          <w:sz w:val="20"/>
          <w:szCs w:val="20"/>
          <w:u w:color="000000"/>
          <w:lang w:val="pt-BR" w:eastAsia="es-ES"/>
        </w:rPr>
        <w:t>direito</w:t>
      </w:r>
      <w:r w:rsidR="002649F0" w:rsidRPr="006D1C74">
        <w:rPr>
          <w:rFonts w:asciiTheme="majorHAnsi" w:eastAsia="Cambria" w:hAnsiTheme="majorHAnsi" w:cs="Cambria"/>
          <w:color w:val="000000"/>
          <w:sz w:val="20"/>
          <w:szCs w:val="20"/>
          <w:u w:color="000000"/>
          <w:lang w:val="pt-BR" w:eastAsia="es-ES"/>
        </w:rPr>
        <w:t>, consagrado</w:t>
      </w:r>
      <w:r w:rsidR="00FC2F62" w:rsidRPr="006D1C74">
        <w:rPr>
          <w:rFonts w:asciiTheme="majorHAnsi" w:eastAsia="Cambria" w:hAnsiTheme="majorHAnsi" w:cs="Cambria"/>
          <w:color w:val="000000"/>
          <w:sz w:val="20"/>
          <w:szCs w:val="20"/>
          <w:u w:color="000000"/>
          <w:lang w:val="pt-BR" w:eastAsia="es-ES"/>
        </w:rPr>
        <w:t xml:space="preserve"> no </w:t>
      </w:r>
      <w:r w:rsidR="00F673C7" w:rsidRPr="006D1C74">
        <w:rPr>
          <w:rFonts w:asciiTheme="majorHAnsi" w:eastAsia="Cambria" w:hAnsiTheme="majorHAnsi" w:cs="Cambria"/>
          <w:color w:val="000000"/>
          <w:sz w:val="20"/>
          <w:szCs w:val="20"/>
          <w:u w:color="000000"/>
          <w:lang w:val="pt-BR" w:eastAsia="es-ES"/>
        </w:rPr>
        <w:t>artigo</w:t>
      </w:r>
      <w:r w:rsidR="002649F0" w:rsidRPr="006D1C74">
        <w:rPr>
          <w:rFonts w:asciiTheme="majorHAnsi" w:eastAsia="Cambria" w:hAnsiTheme="majorHAnsi" w:cs="Cambria"/>
          <w:color w:val="000000"/>
          <w:sz w:val="20"/>
          <w:szCs w:val="20"/>
          <w:u w:color="000000"/>
          <w:lang w:val="pt-BR" w:eastAsia="es-ES"/>
        </w:rPr>
        <w:t xml:space="preserve"> 15</w:t>
      </w:r>
      <w:r w:rsidR="00795010" w:rsidRPr="006D1C74">
        <w:rPr>
          <w:rFonts w:asciiTheme="majorHAnsi" w:eastAsia="Cambria" w:hAnsiTheme="majorHAnsi" w:cs="Cambria"/>
          <w:color w:val="000000"/>
          <w:sz w:val="20"/>
          <w:szCs w:val="20"/>
          <w:u w:color="000000"/>
          <w:lang w:val="pt-BR" w:eastAsia="es-ES"/>
        </w:rPr>
        <w:t xml:space="preserve"> da </w:t>
      </w:r>
      <w:r w:rsidR="002649F0" w:rsidRPr="006D1C74">
        <w:rPr>
          <w:rFonts w:asciiTheme="majorHAnsi" w:eastAsia="Cambria" w:hAnsiTheme="majorHAnsi" w:cs="Cambria"/>
          <w:color w:val="000000"/>
          <w:sz w:val="20"/>
          <w:szCs w:val="20"/>
          <w:u w:color="000000"/>
          <w:lang w:val="pt-BR" w:eastAsia="es-ES"/>
        </w:rPr>
        <w:t>Conven</w:t>
      </w:r>
      <w:r w:rsidR="00CF037E" w:rsidRPr="006D1C74">
        <w:rPr>
          <w:rFonts w:asciiTheme="majorHAnsi" w:eastAsia="Cambria" w:hAnsiTheme="majorHAnsi" w:cs="Cambria"/>
          <w:color w:val="000000"/>
          <w:sz w:val="20"/>
          <w:szCs w:val="20"/>
          <w:u w:color="000000"/>
          <w:lang w:val="pt-BR" w:eastAsia="es-ES"/>
        </w:rPr>
        <w:t>ção</w:t>
      </w:r>
      <w:r w:rsidR="002649F0" w:rsidRPr="006D1C74">
        <w:rPr>
          <w:rFonts w:asciiTheme="majorHAnsi" w:eastAsia="Cambria" w:hAnsiTheme="majorHAnsi" w:cs="Cambria"/>
          <w:color w:val="000000"/>
          <w:sz w:val="20"/>
          <w:szCs w:val="20"/>
          <w:u w:color="000000"/>
          <w:lang w:val="pt-BR" w:eastAsia="es-ES"/>
        </w:rPr>
        <w:t xml:space="preserve"> Americana.</w:t>
      </w:r>
      <w:r w:rsidR="00F673C7" w:rsidRPr="006D1C74">
        <w:rPr>
          <w:rFonts w:asciiTheme="majorHAnsi" w:eastAsia="MS Mincho" w:hAnsiTheme="majorHAnsi" w:cs="Cambria"/>
          <w:color w:val="000000"/>
          <w:sz w:val="20"/>
          <w:szCs w:val="20"/>
          <w:u w:color="000000"/>
          <w:bdr w:val="none" w:sz="0" w:space="0" w:color="auto"/>
          <w:lang w:val="pt-BR" w:eastAsia="es-ES"/>
        </w:rPr>
        <w:t xml:space="preserve"> </w:t>
      </w:r>
      <w:r w:rsidRPr="006D1C74">
        <w:rPr>
          <w:rFonts w:asciiTheme="majorHAnsi" w:eastAsia="MS Mincho" w:hAnsiTheme="majorHAnsi" w:cs="Cambria"/>
          <w:color w:val="000000"/>
          <w:sz w:val="20"/>
          <w:szCs w:val="20"/>
          <w:u w:color="000000"/>
          <w:bdr w:val="none" w:sz="0" w:space="0" w:color="auto"/>
          <w:lang w:val="pt-BR" w:eastAsia="es-ES"/>
        </w:rPr>
        <w:t>E</w:t>
      </w:r>
      <w:r w:rsidR="002649F0" w:rsidRPr="006D1C74">
        <w:rPr>
          <w:rFonts w:asciiTheme="majorHAnsi" w:eastAsia="MS Mincho" w:hAnsiTheme="majorHAnsi" w:cs="Cambria"/>
          <w:color w:val="000000"/>
          <w:sz w:val="20"/>
          <w:szCs w:val="20"/>
          <w:u w:color="000000"/>
          <w:bdr w:val="none" w:sz="0" w:space="0" w:color="auto"/>
          <w:lang w:val="pt-BR" w:eastAsia="es-ES"/>
        </w:rPr>
        <w:t xml:space="preserve">ste </w:t>
      </w:r>
      <w:r w:rsidR="00F673C7" w:rsidRPr="006D1C74">
        <w:rPr>
          <w:rFonts w:asciiTheme="majorHAnsi" w:eastAsia="MS Mincho" w:hAnsiTheme="majorHAnsi" w:cs="Cambria"/>
          <w:color w:val="000000"/>
          <w:sz w:val="20"/>
          <w:szCs w:val="20"/>
          <w:u w:color="000000"/>
          <w:bdr w:val="none" w:sz="0" w:space="0" w:color="auto"/>
          <w:lang w:val="pt-BR" w:eastAsia="es-ES"/>
        </w:rPr>
        <w:t>artigo</w:t>
      </w:r>
      <w:r w:rsidR="002649F0" w:rsidRPr="006D1C74">
        <w:rPr>
          <w:rFonts w:asciiTheme="majorHAnsi" w:eastAsia="MS Mincho" w:hAnsiTheme="majorHAnsi" w:cs="Cambria"/>
          <w:color w:val="000000"/>
          <w:sz w:val="20"/>
          <w:szCs w:val="20"/>
          <w:u w:color="000000"/>
          <w:bdr w:val="none" w:sz="0" w:space="0" w:color="auto"/>
          <w:lang w:val="pt-BR" w:eastAsia="es-ES"/>
        </w:rPr>
        <w:t xml:space="preserve"> “recon</w:t>
      </w:r>
      <w:r w:rsidRPr="006D1C74">
        <w:rPr>
          <w:rFonts w:asciiTheme="majorHAnsi" w:eastAsia="MS Mincho" w:hAnsiTheme="majorHAnsi" w:cs="Cambria"/>
          <w:color w:val="000000"/>
          <w:sz w:val="20"/>
          <w:szCs w:val="20"/>
          <w:u w:color="000000"/>
          <w:bdr w:val="none" w:sz="0" w:space="0" w:color="auto"/>
          <w:lang w:val="pt-BR" w:eastAsia="es-ES"/>
        </w:rPr>
        <w:t>he</w:t>
      </w:r>
      <w:r w:rsidR="002649F0" w:rsidRPr="006D1C74">
        <w:rPr>
          <w:rFonts w:asciiTheme="majorHAnsi" w:eastAsia="MS Mincho" w:hAnsiTheme="majorHAnsi" w:cs="Cambria"/>
          <w:color w:val="000000"/>
          <w:sz w:val="20"/>
          <w:szCs w:val="20"/>
          <w:u w:color="000000"/>
          <w:bdr w:val="none" w:sz="0" w:space="0" w:color="auto"/>
          <w:lang w:val="pt-BR" w:eastAsia="es-ES"/>
        </w:rPr>
        <w:t>ce</w:t>
      </w:r>
      <w:r w:rsidR="00700267" w:rsidRPr="006D1C74">
        <w:rPr>
          <w:rFonts w:asciiTheme="majorHAnsi" w:eastAsia="MS Mincho" w:hAnsiTheme="majorHAnsi" w:cs="Cambria"/>
          <w:color w:val="000000"/>
          <w:sz w:val="20"/>
          <w:szCs w:val="20"/>
          <w:u w:color="000000"/>
          <w:bdr w:val="none" w:sz="0" w:space="0" w:color="auto"/>
          <w:lang w:val="pt-BR" w:eastAsia="es-ES"/>
        </w:rPr>
        <w:t xml:space="preserve"> o </w:t>
      </w:r>
      <w:r w:rsidR="00417BE8" w:rsidRPr="006D1C74">
        <w:rPr>
          <w:rFonts w:asciiTheme="majorHAnsi" w:eastAsia="MS Mincho" w:hAnsiTheme="majorHAnsi" w:cs="Cambria"/>
          <w:color w:val="000000"/>
          <w:sz w:val="20"/>
          <w:szCs w:val="20"/>
          <w:u w:color="000000"/>
          <w:bdr w:val="none" w:sz="0" w:space="0" w:color="auto"/>
          <w:lang w:val="pt-BR" w:eastAsia="es-ES"/>
        </w:rPr>
        <w:t>direito</w:t>
      </w:r>
      <w:r w:rsidR="002649F0" w:rsidRPr="006D1C74">
        <w:rPr>
          <w:rFonts w:asciiTheme="majorHAnsi" w:eastAsia="MS Mincho" w:hAnsiTheme="majorHAnsi" w:cs="Cambria"/>
          <w:color w:val="000000"/>
          <w:sz w:val="20"/>
          <w:szCs w:val="20"/>
          <w:u w:color="000000"/>
          <w:bdr w:val="none" w:sz="0" w:space="0" w:color="auto"/>
          <w:lang w:val="pt-BR" w:eastAsia="es-ES"/>
        </w:rPr>
        <w:t xml:space="preserve"> de </w:t>
      </w:r>
      <w:r w:rsidR="00E327B7" w:rsidRPr="006D1C74">
        <w:rPr>
          <w:rFonts w:asciiTheme="majorHAnsi" w:eastAsia="MS Mincho" w:hAnsiTheme="majorHAnsi" w:cs="Cambria"/>
          <w:color w:val="000000"/>
          <w:sz w:val="20"/>
          <w:szCs w:val="20"/>
          <w:u w:color="000000"/>
          <w:bdr w:val="none" w:sz="0" w:space="0" w:color="auto"/>
          <w:lang w:val="pt-BR" w:eastAsia="es-ES"/>
        </w:rPr>
        <w:t>reunião</w:t>
      </w:r>
      <w:r w:rsidR="002649F0" w:rsidRPr="006D1C74">
        <w:rPr>
          <w:rFonts w:asciiTheme="majorHAnsi" w:eastAsia="MS Mincho" w:hAnsiTheme="majorHAnsi" w:cs="Cambria"/>
          <w:color w:val="000000"/>
          <w:sz w:val="20"/>
          <w:szCs w:val="20"/>
          <w:u w:color="000000"/>
          <w:bdr w:val="none" w:sz="0" w:space="0" w:color="auto"/>
          <w:lang w:val="pt-BR" w:eastAsia="es-ES"/>
        </w:rPr>
        <w:t xml:space="preserve"> pacífica</w:t>
      </w:r>
      <w:r w:rsidR="00CF037E" w:rsidRPr="006D1C74">
        <w:rPr>
          <w:rFonts w:asciiTheme="majorHAnsi" w:eastAsia="MS Mincho" w:hAnsiTheme="majorHAnsi" w:cs="Cambria"/>
          <w:color w:val="000000"/>
          <w:sz w:val="20"/>
          <w:szCs w:val="20"/>
          <w:u w:color="000000"/>
          <w:bdr w:val="none" w:sz="0" w:space="0" w:color="auto"/>
          <w:lang w:val="pt-BR" w:eastAsia="es-ES"/>
        </w:rPr>
        <w:t xml:space="preserve"> e</w:t>
      </w:r>
      <w:r w:rsidR="00700267" w:rsidRPr="006D1C74">
        <w:rPr>
          <w:rFonts w:asciiTheme="majorHAnsi" w:eastAsia="MS Mincho" w:hAnsiTheme="majorHAnsi" w:cs="Cambria"/>
          <w:color w:val="000000"/>
          <w:sz w:val="20"/>
          <w:szCs w:val="20"/>
          <w:u w:color="000000"/>
          <w:bdr w:val="none" w:sz="0" w:space="0" w:color="auto"/>
          <w:lang w:val="pt-BR" w:eastAsia="es-ES"/>
        </w:rPr>
        <w:t xml:space="preserve"> sem </w:t>
      </w:r>
      <w:r w:rsidR="002649F0" w:rsidRPr="006D1C74">
        <w:rPr>
          <w:rFonts w:asciiTheme="majorHAnsi" w:eastAsia="MS Mincho" w:hAnsiTheme="majorHAnsi" w:cs="Cambria"/>
          <w:color w:val="000000"/>
          <w:sz w:val="20"/>
          <w:szCs w:val="20"/>
          <w:u w:color="000000"/>
          <w:bdr w:val="none" w:sz="0" w:space="0" w:color="auto"/>
          <w:lang w:val="pt-BR" w:eastAsia="es-ES"/>
        </w:rPr>
        <w:t>armas”, que ab</w:t>
      </w:r>
      <w:r w:rsidR="003627F4" w:rsidRPr="006D1C74">
        <w:rPr>
          <w:rFonts w:asciiTheme="majorHAnsi" w:eastAsia="MS Mincho" w:hAnsiTheme="majorHAnsi" w:cs="Cambria"/>
          <w:color w:val="000000"/>
          <w:sz w:val="20"/>
          <w:szCs w:val="20"/>
          <w:u w:color="000000"/>
          <w:bdr w:val="none" w:sz="0" w:space="0" w:color="auto"/>
          <w:lang w:val="pt-BR" w:eastAsia="es-ES"/>
        </w:rPr>
        <w:t>range</w:t>
      </w:r>
      <w:r w:rsidR="002649F0" w:rsidRPr="006D1C74">
        <w:rPr>
          <w:rFonts w:asciiTheme="majorHAnsi" w:eastAsia="MS Mincho" w:hAnsiTheme="majorHAnsi" w:cs="Cambria"/>
          <w:color w:val="000000"/>
          <w:sz w:val="20"/>
          <w:szCs w:val="20"/>
          <w:u w:color="000000"/>
          <w:bdr w:val="none" w:sz="0" w:space="0" w:color="auto"/>
          <w:lang w:val="pt-BR" w:eastAsia="es-ES"/>
        </w:rPr>
        <w:t xml:space="preserve"> tanto </w:t>
      </w:r>
      <w:r w:rsidR="00BA111B" w:rsidRPr="006D1C74">
        <w:rPr>
          <w:rFonts w:asciiTheme="majorHAnsi" w:eastAsia="MS Mincho" w:hAnsiTheme="majorHAnsi" w:cs="Cambria"/>
          <w:color w:val="000000"/>
          <w:sz w:val="20"/>
          <w:szCs w:val="20"/>
          <w:u w:color="000000"/>
          <w:bdr w:val="none" w:sz="0" w:space="0" w:color="auto"/>
          <w:lang w:val="pt-BR" w:eastAsia="es-ES"/>
        </w:rPr>
        <w:t>assembleias</w:t>
      </w:r>
      <w:r w:rsidR="002649F0" w:rsidRPr="006D1C74">
        <w:rPr>
          <w:rFonts w:asciiTheme="majorHAnsi" w:eastAsia="MS Mincho" w:hAnsiTheme="majorHAnsi" w:cs="Cambria"/>
          <w:color w:val="000000"/>
          <w:sz w:val="20"/>
          <w:szCs w:val="20"/>
          <w:u w:color="000000"/>
          <w:bdr w:val="none" w:sz="0" w:space="0" w:color="auto"/>
          <w:lang w:val="pt-BR" w:eastAsia="es-ES"/>
        </w:rPr>
        <w:t xml:space="preserve"> privadas como </w:t>
      </w:r>
      <w:r w:rsidR="003627F4" w:rsidRPr="006D1C74">
        <w:rPr>
          <w:rFonts w:asciiTheme="majorHAnsi" w:eastAsia="MS Mincho" w:hAnsiTheme="majorHAnsi" w:cs="Cambria"/>
          <w:color w:val="000000"/>
          <w:sz w:val="20"/>
          <w:szCs w:val="20"/>
          <w:u w:color="000000"/>
          <w:bdr w:val="none" w:sz="0" w:space="0" w:color="auto"/>
          <w:lang w:val="pt-BR" w:eastAsia="es-ES"/>
        </w:rPr>
        <w:t>co</w:t>
      </w:r>
      <w:r w:rsidR="002649F0" w:rsidRPr="006D1C74">
        <w:rPr>
          <w:rFonts w:asciiTheme="majorHAnsi" w:eastAsia="MS Mincho" w:hAnsiTheme="majorHAnsi" w:cs="Cambria"/>
          <w:color w:val="000000"/>
          <w:sz w:val="20"/>
          <w:szCs w:val="20"/>
          <w:u w:color="000000"/>
          <w:bdr w:val="none" w:sz="0" w:space="0" w:color="auto"/>
          <w:lang w:val="pt-BR" w:eastAsia="es-ES"/>
        </w:rPr>
        <w:t>mí</w:t>
      </w:r>
      <w:r w:rsidR="003627F4" w:rsidRPr="006D1C74">
        <w:rPr>
          <w:rFonts w:asciiTheme="majorHAnsi" w:eastAsia="MS Mincho" w:hAnsiTheme="majorHAnsi" w:cs="Cambria"/>
          <w:color w:val="000000"/>
          <w:sz w:val="20"/>
          <w:szCs w:val="20"/>
          <w:u w:color="000000"/>
          <w:bdr w:val="none" w:sz="0" w:space="0" w:color="auto"/>
          <w:lang w:val="pt-BR" w:eastAsia="es-ES"/>
        </w:rPr>
        <w:t>cio</w:t>
      </w:r>
      <w:r w:rsidR="002649F0" w:rsidRPr="006D1C74">
        <w:rPr>
          <w:rFonts w:asciiTheme="majorHAnsi" w:eastAsia="MS Mincho" w:hAnsiTheme="majorHAnsi" w:cs="Cambria"/>
          <w:color w:val="000000"/>
          <w:sz w:val="20"/>
          <w:szCs w:val="20"/>
          <w:u w:color="000000"/>
          <w:bdr w:val="none" w:sz="0" w:space="0" w:color="auto"/>
          <w:lang w:val="pt-BR" w:eastAsia="es-ES"/>
        </w:rPr>
        <w:t>s</w:t>
      </w:r>
      <w:r w:rsidR="00F673C7" w:rsidRPr="006D1C74">
        <w:rPr>
          <w:rFonts w:asciiTheme="majorHAnsi" w:eastAsia="MS Mincho" w:hAnsiTheme="majorHAnsi" w:cs="Cambria"/>
          <w:color w:val="000000"/>
          <w:sz w:val="20"/>
          <w:szCs w:val="20"/>
          <w:u w:color="000000"/>
          <w:bdr w:val="none" w:sz="0" w:space="0" w:color="auto"/>
          <w:lang w:val="pt-BR" w:eastAsia="es-ES"/>
        </w:rPr>
        <w:t xml:space="preserve"> na </w:t>
      </w:r>
      <w:r w:rsidR="002649F0" w:rsidRPr="006D1C74">
        <w:rPr>
          <w:rFonts w:asciiTheme="majorHAnsi" w:eastAsia="MS Mincho" w:hAnsiTheme="majorHAnsi" w:cs="Cambria"/>
          <w:color w:val="000000"/>
          <w:sz w:val="20"/>
          <w:szCs w:val="20"/>
          <w:u w:color="000000"/>
          <w:bdr w:val="none" w:sz="0" w:space="0" w:color="auto"/>
          <w:lang w:val="pt-BR" w:eastAsia="es-ES"/>
        </w:rPr>
        <w:t>v</w:t>
      </w:r>
      <w:r w:rsidR="00055622" w:rsidRPr="006D1C74">
        <w:rPr>
          <w:rFonts w:asciiTheme="majorHAnsi" w:eastAsia="MS Mincho" w:hAnsiTheme="majorHAnsi" w:cs="Cambria"/>
          <w:color w:val="000000"/>
          <w:sz w:val="20"/>
          <w:szCs w:val="20"/>
          <w:u w:color="000000"/>
          <w:bdr w:val="none" w:sz="0" w:space="0" w:color="auto"/>
          <w:lang w:val="pt-BR" w:eastAsia="es-ES"/>
        </w:rPr>
        <w:t>ia</w:t>
      </w:r>
      <w:r w:rsidR="002649F0" w:rsidRPr="006D1C74">
        <w:rPr>
          <w:rFonts w:asciiTheme="majorHAnsi" w:eastAsia="MS Mincho" w:hAnsiTheme="majorHAnsi" w:cs="Cambria"/>
          <w:color w:val="000000"/>
          <w:sz w:val="20"/>
          <w:szCs w:val="20"/>
          <w:u w:color="000000"/>
          <w:bdr w:val="none" w:sz="0" w:space="0" w:color="auto"/>
          <w:lang w:val="pt-BR" w:eastAsia="es-ES"/>
        </w:rPr>
        <w:t xml:space="preserve"> pública, </w:t>
      </w:r>
      <w:r w:rsidR="00BA111B" w:rsidRPr="006D1C74">
        <w:rPr>
          <w:rFonts w:asciiTheme="majorHAnsi" w:eastAsia="MS Mincho" w:hAnsiTheme="majorHAnsi" w:cs="Cambria"/>
          <w:color w:val="000000"/>
          <w:sz w:val="20"/>
          <w:szCs w:val="20"/>
          <w:u w:color="000000"/>
          <w:bdr w:val="none" w:sz="0" w:space="0" w:color="auto"/>
          <w:lang w:val="pt-BR" w:eastAsia="es-ES"/>
        </w:rPr>
        <w:t>sejam</w:t>
      </w:r>
      <w:r w:rsidR="002649F0" w:rsidRPr="006D1C74">
        <w:rPr>
          <w:rFonts w:asciiTheme="majorHAnsi" w:eastAsia="MS Mincho" w:hAnsiTheme="majorHAnsi" w:cs="Cambria"/>
          <w:color w:val="000000"/>
          <w:sz w:val="20"/>
          <w:szCs w:val="20"/>
          <w:u w:color="000000"/>
          <w:bdr w:val="none" w:sz="0" w:space="0" w:color="auto"/>
          <w:lang w:val="pt-BR" w:eastAsia="es-ES"/>
        </w:rPr>
        <w:t xml:space="preserve"> estáticos o</w:t>
      </w:r>
      <w:r w:rsidR="003627F4" w:rsidRPr="006D1C74">
        <w:rPr>
          <w:rFonts w:asciiTheme="majorHAnsi" w:eastAsia="MS Mincho" w:hAnsiTheme="majorHAnsi" w:cs="Cambria"/>
          <w:color w:val="000000"/>
          <w:sz w:val="20"/>
          <w:szCs w:val="20"/>
          <w:u w:color="000000"/>
          <w:bdr w:val="none" w:sz="0" w:space="0" w:color="auto"/>
          <w:lang w:val="pt-BR" w:eastAsia="es-ES"/>
        </w:rPr>
        <w:t>u</w:t>
      </w:r>
      <w:r w:rsidR="00F673C7" w:rsidRPr="006D1C74">
        <w:rPr>
          <w:rFonts w:asciiTheme="majorHAnsi" w:eastAsia="MS Mincho" w:hAnsiTheme="majorHAnsi" w:cs="Cambria"/>
          <w:color w:val="000000"/>
          <w:sz w:val="20"/>
          <w:szCs w:val="20"/>
          <w:u w:color="000000"/>
          <w:bdr w:val="none" w:sz="0" w:space="0" w:color="auto"/>
          <w:lang w:val="pt-BR" w:eastAsia="es-ES"/>
        </w:rPr>
        <w:t xml:space="preserve"> com </w:t>
      </w:r>
      <w:r w:rsidR="002649F0" w:rsidRPr="006D1C74">
        <w:rPr>
          <w:rFonts w:asciiTheme="majorHAnsi" w:eastAsia="MS Mincho" w:hAnsiTheme="majorHAnsi" w:cs="Cambria"/>
          <w:color w:val="000000"/>
          <w:sz w:val="20"/>
          <w:szCs w:val="20"/>
          <w:u w:color="000000"/>
          <w:bdr w:val="none" w:sz="0" w:space="0" w:color="auto"/>
          <w:lang w:val="pt-BR" w:eastAsia="es-ES"/>
        </w:rPr>
        <w:t>desl</w:t>
      </w:r>
      <w:r w:rsidR="003627F4" w:rsidRPr="006D1C74">
        <w:rPr>
          <w:rFonts w:asciiTheme="majorHAnsi" w:eastAsia="MS Mincho" w:hAnsiTheme="majorHAnsi" w:cs="Cambria"/>
          <w:color w:val="000000"/>
          <w:sz w:val="20"/>
          <w:szCs w:val="20"/>
          <w:u w:color="000000"/>
          <w:bdr w:val="none" w:sz="0" w:space="0" w:color="auto"/>
          <w:lang w:val="pt-BR" w:eastAsia="es-ES"/>
        </w:rPr>
        <w:t>oc</w:t>
      </w:r>
      <w:r w:rsidR="002649F0" w:rsidRPr="006D1C74">
        <w:rPr>
          <w:rFonts w:asciiTheme="majorHAnsi" w:eastAsia="MS Mincho" w:hAnsiTheme="majorHAnsi" w:cs="Cambria"/>
          <w:color w:val="000000"/>
          <w:sz w:val="20"/>
          <w:szCs w:val="20"/>
          <w:u w:color="000000"/>
          <w:bdr w:val="none" w:sz="0" w:space="0" w:color="auto"/>
          <w:lang w:val="pt-BR" w:eastAsia="es-ES"/>
        </w:rPr>
        <w:t>a</w:t>
      </w:r>
      <w:r w:rsidR="00700267" w:rsidRPr="006D1C74">
        <w:rPr>
          <w:rFonts w:asciiTheme="majorHAnsi" w:eastAsia="MS Mincho" w:hAnsiTheme="majorHAnsi" w:cs="Cambria"/>
          <w:color w:val="000000"/>
          <w:sz w:val="20"/>
          <w:szCs w:val="20"/>
          <w:u w:color="000000"/>
          <w:bdr w:val="none" w:sz="0" w:space="0" w:color="auto"/>
          <w:lang w:val="pt-BR" w:eastAsia="es-ES"/>
        </w:rPr>
        <w:t>mento</w:t>
      </w:r>
      <w:r w:rsidR="002649F0" w:rsidRPr="006D1C74">
        <w:rPr>
          <w:rFonts w:asciiTheme="majorHAnsi" w:eastAsia="MS Mincho" w:hAnsiTheme="majorHAnsi" w:cs="Cambria"/>
          <w:color w:val="000000"/>
          <w:sz w:val="20"/>
          <w:szCs w:val="20"/>
          <w:u w:color="000000"/>
          <w:bdr w:val="none" w:sz="0" w:space="0" w:color="auto"/>
          <w:lang w:val="pt-BR" w:eastAsia="es-ES"/>
        </w:rPr>
        <w:t>s</w:t>
      </w:r>
      <w:r w:rsidR="002649F0" w:rsidRPr="006D1C74">
        <w:rPr>
          <w:rFonts w:asciiTheme="majorHAnsi" w:eastAsia="MS Mincho" w:hAnsiTheme="majorHAnsi" w:cs="Arial"/>
          <w:color w:val="000000" w:themeColor="text1"/>
          <w:sz w:val="20"/>
          <w:szCs w:val="20"/>
          <w:u w:color="000000"/>
          <w:bdr w:val="none" w:sz="0" w:space="0" w:color="auto"/>
          <w:vertAlign w:val="superscript"/>
          <w:lang w:val="pt-BR" w:eastAsia="es-ES"/>
        </w:rPr>
        <w:footnoteReference w:id="71"/>
      </w:r>
      <w:r w:rsidR="002649F0" w:rsidRPr="006D1C74">
        <w:rPr>
          <w:rFonts w:asciiTheme="majorHAnsi" w:eastAsia="MS Mincho" w:hAnsiTheme="majorHAnsi" w:cs="Cambria"/>
          <w:color w:val="000000"/>
          <w:sz w:val="20"/>
          <w:szCs w:val="20"/>
          <w:u w:color="000000"/>
          <w:bdr w:val="none" w:sz="0" w:space="0" w:color="auto"/>
          <w:lang w:val="pt-BR" w:eastAsia="es-ES"/>
        </w:rPr>
        <w:t xml:space="preserve">. </w:t>
      </w:r>
      <w:r w:rsidR="00B6237A" w:rsidRPr="006D1C74">
        <w:rPr>
          <w:rFonts w:asciiTheme="majorHAnsi" w:eastAsia="MS Mincho" w:hAnsiTheme="majorHAnsi" w:cs="Cambria"/>
          <w:color w:val="000000"/>
          <w:sz w:val="20"/>
          <w:szCs w:val="20"/>
          <w:u w:color="000000"/>
          <w:bdr w:val="none" w:sz="0" w:space="0" w:color="auto"/>
          <w:lang w:val="pt-BR" w:eastAsia="es-ES"/>
        </w:rPr>
        <w:t xml:space="preserve"> Por </w:t>
      </w:r>
      <w:r w:rsidR="00CF037E" w:rsidRPr="006D1C74">
        <w:rPr>
          <w:rFonts w:asciiTheme="majorHAnsi" w:eastAsia="MS Mincho" w:hAnsiTheme="majorHAnsi" w:cs="Cambria"/>
          <w:color w:val="000000"/>
          <w:sz w:val="20"/>
          <w:szCs w:val="20"/>
          <w:u w:color="000000"/>
          <w:bdr w:val="none" w:sz="0" w:space="0" w:color="auto"/>
          <w:lang w:val="pt-BR" w:eastAsia="es-ES"/>
        </w:rPr>
        <w:t>outr</w:t>
      </w:r>
      <w:r w:rsidR="00B6237A" w:rsidRPr="006D1C74">
        <w:rPr>
          <w:rFonts w:asciiTheme="majorHAnsi" w:eastAsia="MS Mincho" w:hAnsiTheme="majorHAnsi" w:cs="Cambria"/>
          <w:color w:val="000000"/>
          <w:sz w:val="20"/>
          <w:szCs w:val="20"/>
          <w:u w:color="000000"/>
          <w:bdr w:val="none" w:sz="0" w:space="0" w:color="auto"/>
          <w:lang w:val="pt-BR" w:eastAsia="es-ES"/>
        </w:rPr>
        <w:t>o lado,</w:t>
      </w:r>
      <w:r w:rsidR="00700267" w:rsidRPr="006D1C74">
        <w:rPr>
          <w:rFonts w:asciiTheme="majorHAnsi" w:eastAsia="MS Mincho" w:hAnsiTheme="majorHAnsi" w:cs="Cambria"/>
          <w:color w:val="000000"/>
          <w:sz w:val="20"/>
          <w:szCs w:val="20"/>
          <w:u w:color="000000"/>
          <w:bdr w:val="none" w:sz="0" w:space="0" w:color="auto"/>
          <w:lang w:val="pt-BR" w:eastAsia="es-ES"/>
        </w:rPr>
        <w:t xml:space="preserve"> a </w:t>
      </w:r>
      <w:r w:rsidR="00B6237A" w:rsidRPr="006D1C74">
        <w:rPr>
          <w:rFonts w:asciiTheme="majorHAnsi" w:eastAsia="MS Mincho" w:hAnsiTheme="majorHAnsi" w:cs="Cambria"/>
          <w:color w:val="000000"/>
          <w:sz w:val="20"/>
          <w:szCs w:val="20"/>
          <w:u w:color="000000"/>
          <w:bdr w:val="none" w:sz="0" w:space="0" w:color="auto"/>
          <w:lang w:val="pt-BR" w:eastAsia="es-ES"/>
        </w:rPr>
        <w:t xml:space="preserve">Corte </w:t>
      </w:r>
      <w:r w:rsidR="00BA111B" w:rsidRPr="006D1C74">
        <w:rPr>
          <w:rFonts w:asciiTheme="majorHAnsi" w:eastAsia="MS Mincho" w:hAnsiTheme="majorHAnsi" w:cs="Cambria"/>
          <w:color w:val="000000"/>
          <w:sz w:val="20"/>
          <w:szCs w:val="20"/>
          <w:u w:color="000000"/>
          <w:bdr w:val="none" w:sz="0" w:space="0" w:color="auto"/>
          <w:lang w:val="pt-BR" w:eastAsia="es-ES"/>
        </w:rPr>
        <w:t>estabeleceu</w:t>
      </w:r>
      <w:r w:rsidR="00B6237A" w:rsidRPr="006D1C74">
        <w:rPr>
          <w:rFonts w:asciiTheme="majorHAnsi" w:eastAsia="MS Mincho" w:hAnsiTheme="majorHAnsi" w:cs="Cambria"/>
          <w:color w:val="000000"/>
          <w:sz w:val="20"/>
          <w:szCs w:val="20"/>
          <w:u w:color="000000"/>
          <w:bdr w:val="none" w:sz="0" w:space="0" w:color="auto"/>
          <w:lang w:val="pt-BR" w:eastAsia="es-ES"/>
        </w:rPr>
        <w:t xml:space="preserve"> que</w:t>
      </w:r>
      <w:r w:rsidR="00700267" w:rsidRPr="006D1C74">
        <w:rPr>
          <w:rFonts w:asciiTheme="majorHAnsi" w:eastAsia="MS Mincho" w:hAnsiTheme="majorHAnsi" w:cs="Cambria"/>
          <w:color w:val="000000"/>
          <w:sz w:val="20"/>
          <w:szCs w:val="20"/>
          <w:u w:color="000000"/>
          <w:bdr w:val="none" w:sz="0" w:space="0" w:color="auto"/>
          <w:lang w:val="pt-BR" w:eastAsia="es-ES"/>
        </w:rPr>
        <w:t xml:space="preserve"> a </w:t>
      </w:r>
      <w:r w:rsidR="00BA111B" w:rsidRPr="006D1C74">
        <w:rPr>
          <w:rFonts w:asciiTheme="majorHAnsi" w:eastAsia="MS Mincho" w:hAnsiTheme="majorHAnsi" w:cs="Cambria"/>
          <w:color w:val="000000"/>
          <w:sz w:val="20"/>
          <w:szCs w:val="20"/>
          <w:u w:color="000000"/>
          <w:bdr w:val="none" w:sz="0" w:space="0" w:color="auto"/>
          <w:lang w:val="pt-BR" w:eastAsia="es-ES"/>
        </w:rPr>
        <w:t>possibilidade</w:t>
      </w:r>
      <w:r w:rsidR="00F673C7" w:rsidRPr="006D1C74">
        <w:rPr>
          <w:rFonts w:asciiTheme="majorHAnsi" w:eastAsia="MS Mincho" w:hAnsiTheme="majorHAnsi" w:cs="Cambria"/>
          <w:color w:val="000000"/>
          <w:sz w:val="20"/>
          <w:szCs w:val="20"/>
          <w:u w:color="000000"/>
          <w:bdr w:val="none" w:sz="0" w:space="0" w:color="auto"/>
          <w:lang w:val="pt-BR" w:eastAsia="es-ES"/>
        </w:rPr>
        <w:t xml:space="preserve"> </w:t>
      </w:r>
      <w:r w:rsidR="002649F0" w:rsidRPr="006D1C74">
        <w:rPr>
          <w:rFonts w:asciiTheme="majorHAnsi" w:eastAsia="MS Mincho" w:hAnsiTheme="majorHAnsi" w:cs="Cambria"/>
          <w:color w:val="000000"/>
          <w:sz w:val="20"/>
          <w:szCs w:val="20"/>
          <w:u w:color="000000"/>
          <w:bdr w:val="none" w:sz="0" w:space="0" w:color="auto"/>
          <w:lang w:val="pt-BR" w:eastAsia="es-ES"/>
        </w:rPr>
        <w:t xml:space="preserve">de </w:t>
      </w:r>
      <w:r w:rsidR="003627F4" w:rsidRPr="006D1C74">
        <w:rPr>
          <w:rFonts w:asciiTheme="majorHAnsi" w:eastAsia="MS Mincho" w:hAnsiTheme="majorHAnsi" w:cs="Cambria"/>
          <w:color w:val="000000"/>
          <w:sz w:val="20"/>
          <w:szCs w:val="20"/>
          <w:u w:color="000000"/>
          <w:bdr w:val="none" w:sz="0" w:space="0" w:color="auto"/>
          <w:lang w:val="pt-BR" w:eastAsia="es-ES"/>
        </w:rPr>
        <w:t xml:space="preserve">se </w:t>
      </w:r>
      <w:r w:rsidR="002649F0" w:rsidRPr="006D1C74">
        <w:rPr>
          <w:rFonts w:asciiTheme="majorHAnsi" w:eastAsia="MS Mincho" w:hAnsiTheme="majorHAnsi" w:cs="Cambria"/>
          <w:color w:val="000000"/>
          <w:sz w:val="20"/>
          <w:szCs w:val="20"/>
          <w:u w:color="000000"/>
          <w:bdr w:val="none" w:sz="0" w:space="0" w:color="auto"/>
          <w:lang w:val="pt-BR" w:eastAsia="es-ES"/>
        </w:rPr>
        <w:t xml:space="preserve">manifestar de </w:t>
      </w:r>
      <w:r w:rsidR="00BA111B" w:rsidRPr="006D1C74">
        <w:rPr>
          <w:rFonts w:asciiTheme="majorHAnsi" w:eastAsia="MS Mincho" w:hAnsiTheme="majorHAnsi" w:cs="Cambria"/>
          <w:color w:val="000000"/>
          <w:sz w:val="20"/>
          <w:szCs w:val="20"/>
          <w:u w:color="000000"/>
          <w:bdr w:val="none" w:sz="0" w:space="0" w:color="auto"/>
          <w:lang w:val="pt-BR" w:eastAsia="es-ES"/>
        </w:rPr>
        <w:t>maneira</w:t>
      </w:r>
      <w:r w:rsidR="002649F0" w:rsidRPr="006D1C74">
        <w:rPr>
          <w:rFonts w:asciiTheme="majorHAnsi" w:eastAsia="MS Mincho" w:hAnsiTheme="majorHAnsi" w:cs="Cambria"/>
          <w:color w:val="000000"/>
          <w:sz w:val="20"/>
          <w:szCs w:val="20"/>
          <w:u w:color="000000"/>
          <w:bdr w:val="none" w:sz="0" w:space="0" w:color="auto"/>
          <w:lang w:val="pt-BR" w:eastAsia="es-ES"/>
        </w:rPr>
        <w:t xml:space="preserve"> pública</w:t>
      </w:r>
      <w:r w:rsidR="00CF037E" w:rsidRPr="006D1C74">
        <w:rPr>
          <w:rFonts w:asciiTheme="majorHAnsi" w:eastAsia="MS Mincho" w:hAnsiTheme="majorHAnsi" w:cs="Cambria"/>
          <w:color w:val="000000"/>
          <w:sz w:val="20"/>
          <w:szCs w:val="20"/>
          <w:u w:color="000000"/>
          <w:bdr w:val="none" w:sz="0" w:space="0" w:color="auto"/>
          <w:lang w:val="pt-BR" w:eastAsia="es-ES"/>
        </w:rPr>
        <w:t xml:space="preserve"> e </w:t>
      </w:r>
      <w:r w:rsidR="002649F0" w:rsidRPr="006D1C74">
        <w:rPr>
          <w:rFonts w:asciiTheme="majorHAnsi" w:eastAsia="MS Mincho" w:hAnsiTheme="majorHAnsi" w:cs="Cambria"/>
          <w:color w:val="000000"/>
          <w:sz w:val="20"/>
          <w:szCs w:val="20"/>
          <w:u w:color="000000"/>
          <w:bdr w:val="none" w:sz="0" w:space="0" w:color="auto"/>
          <w:lang w:val="pt-BR" w:eastAsia="es-ES"/>
        </w:rPr>
        <w:t>pacífica</w:t>
      </w:r>
      <w:r w:rsidR="00F37852" w:rsidRPr="006D1C74">
        <w:rPr>
          <w:rFonts w:asciiTheme="majorHAnsi" w:eastAsia="MS Mincho" w:hAnsiTheme="majorHAnsi" w:cs="Cambria"/>
          <w:color w:val="000000"/>
          <w:sz w:val="20"/>
          <w:szCs w:val="20"/>
          <w:u w:color="000000"/>
          <w:bdr w:val="none" w:sz="0" w:space="0" w:color="auto"/>
          <w:lang w:val="pt-BR" w:eastAsia="es-ES"/>
        </w:rPr>
        <w:t xml:space="preserve"> é </w:t>
      </w:r>
      <w:r w:rsidR="00030019" w:rsidRPr="006D1C74">
        <w:rPr>
          <w:rFonts w:asciiTheme="majorHAnsi" w:eastAsia="MS Mincho" w:hAnsiTheme="majorHAnsi" w:cs="Cambria"/>
          <w:color w:val="000000"/>
          <w:sz w:val="20"/>
          <w:szCs w:val="20"/>
          <w:u w:color="000000"/>
          <w:bdr w:val="none" w:sz="0" w:space="0" w:color="auto"/>
          <w:lang w:val="pt-BR" w:eastAsia="es-ES"/>
        </w:rPr>
        <w:t>uma</w:t>
      </w:r>
      <w:r w:rsidR="00D74A93" w:rsidRPr="006D1C74">
        <w:rPr>
          <w:rFonts w:asciiTheme="majorHAnsi" w:eastAsia="MS Mincho" w:hAnsiTheme="majorHAnsi" w:cs="Cambria"/>
          <w:color w:val="000000"/>
          <w:sz w:val="20"/>
          <w:szCs w:val="20"/>
          <w:u w:color="000000"/>
          <w:bdr w:val="none" w:sz="0" w:space="0" w:color="auto"/>
          <w:lang w:val="pt-BR" w:eastAsia="es-ES"/>
        </w:rPr>
        <w:t xml:space="preserve"> das </w:t>
      </w:r>
      <w:r w:rsidR="002649F0" w:rsidRPr="006D1C74">
        <w:rPr>
          <w:rFonts w:asciiTheme="majorHAnsi" w:eastAsia="MS Mincho" w:hAnsiTheme="majorHAnsi" w:cs="Cambria"/>
          <w:color w:val="000000"/>
          <w:sz w:val="20"/>
          <w:szCs w:val="20"/>
          <w:u w:color="000000"/>
          <w:bdr w:val="none" w:sz="0" w:space="0" w:color="auto"/>
          <w:lang w:val="pt-BR" w:eastAsia="es-ES"/>
        </w:rPr>
        <w:t xml:space="preserve">formas </w:t>
      </w:r>
      <w:r w:rsidR="00D74A93" w:rsidRPr="006D1C74">
        <w:rPr>
          <w:rFonts w:asciiTheme="majorHAnsi" w:eastAsia="MS Mincho" w:hAnsiTheme="majorHAnsi" w:cs="Cambria"/>
          <w:color w:val="000000"/>
          <w:sz w:val="20"/>
          <w:szCs w:val="20"/>
          <w:u w:color="000000"/>
          <w:bdr w:val="none" w:sz="0" w:space="0" w:color="auto"/>
          <w:lang w:val="pt-BR" w:eastAsia="es-ES"/>
        </w:rPr>
        <w:t>mais</w:t>
      </w:r>
      <w:r w:rsidR="002649F0" w:rsidRPr="006D1C74">
        <w:rPr>
          <w:rFonts w:asciiTheme="majorHAnsi" w:eastAsia="MS Mincho" w:hAnsiTheme="majorHAnsi" w:cs="Cambria"/>
          <w:color w:val="000000"/>
          <w:sz w:val="20"/>
          <w:szCs w:val="20"/>
          <w:u w:color="000000"/>
          <w:bdr w:val="none" w:sz="0" w:space="0" w:color="auto"/>
          <w:lang w:val="pt-BR" w:eastAsia="es-ES"/>
        </w:rPr>
        <w:t xml:space="preserve"> fác</w:t>
      </w:r>
      <w:r w:rsidR="003627F4" w:rsidRPr="006D1C74">
        <w:rPr>
          <w:rFonts w:asciiTheme="majorHAnsi" w:eastAsia="MS Mincho" w:hAnsiTheme="majorHAnsi" w:cs="Cambria"/>
          <w:color w:val="000000"/>
          <w:sz w:val="20"/>
          <w:szCs w:val="20"/>
          <w:u w:color="000000"/>
          <w:bdr w:val="none" w:sz="0" w:space="0" w:color="auto"/>
          <w:lang w:val="pt-BR" w:eastAsia="es-ES"/>
        </w:rPr>
        <w:t>e</w:t>
      </w:r>
      <w:r w:rsidR="002649F0" w:rsidRPr="006D1C74">
        <w:rPr>
          <w:rFonts w:asciiTheme="majorHAnsi" w:eastAsia="MS Mincho" w:hAnsiTheme="majorHAnsi" w:cs="Cambria"/>
          <w:color w:val="000000"/>
          <w:sz w:val="20"/>
          <w:szCs w:val="20"/>
          <w:u w:color="000000"/>
          <w:bdr w:val="none" w:sz="0" w:space="0" w:color="auto"/>
          <w:lang w:val="pt-BR" w:eastAsia="es-ES"/>
        </w:rPr>
        <w:t xml:space="preserve">is de </w:t>
      </w:r>
      <w:r w:rsidR="00BA111B" w:rsidRPr="006D1C74">
        <w:rPr>
          <w:rFonts w:asciiTheme="majorHAnsi" w:eastAsia="MS Mincho" w:hAnsiTheme="majorHAnsi" w:cs="Cambria"/>
          <w:color w:val="000000"/>
          <w:sz w:val="20"/>
          <w:szCs w:val="20"/>
          <w:u w:color="000000"/>
          <w:bdr w:val="none" w:sz="0" w:space="0" w:color="auto"/>
          <w:lang w:val="pt-BR" w:eastAsia="es-ES"/>
        </w:rPr>
        <w:t>exercer</w:t>
      </w:r>
      <w:r w:rsidR="00700267" w:rsidRPr="006D1C74">
        <w:rPr>
          <w:rFonts w:asciiTheme="majorHAnsi" w:eastAsia="MS Mincho" w:hAnsiTheme="majorHAnsi" w:cs="Cambria"/>
          <w:color w:val="000000"/>
          <w:sz w:val="20"/>
          <w:szCs w:val="20"/>
          <w:u w:color="000000"/>
          <w:bdr w:val="none" w:sz="0" w:space="0" w:color="auto"/>
          <w:lang w:val="pt-BR" w:eastAsia="es-ES"/>
        </w:rPr>
        <w:t xml:space="preserve"> o </w:t>
      </w:r>
      <w:r w:rsidR="00417BE8" w:rsidRPr="006D1C74">
        <w:rPr>
          <w:rFonts w:asciiTheme="majorHAnsi" w:eastAsia="MS Mincho" w:hAnsiTheme="majorHAnsi" w:cs="Cambria"/>
          <w:color w:val="000000"/>
          <w:sz w:val="20"/>
          <w:szCs w:val="20"/>
          <w:u w:color="000000"/>
          <w:bdr w:val="none" w:sz="0" w:space="0" w:color="auto"/>
          <w:lang w:val="pt-BR" w:eastAsia="es-ES"/>
        </w:rPr>
        <w:t>direito</w:t>
      </w:r>
      <w:r w:rsidR="00030019" w:rsidRPr="006D1C74">
        <w:rPr>
          <w:rFonts w:asciiTheme="majorHAnsi" w:eastAsia="MS Mincho" w:hAnsiTheme="majorHAnsi" w:cs="Cambria"/>
          <w:color w:val="000000"/>
          <w:sz w:val="20"/>
          <w:szCs w:val="20"/>
          <w:u w:color="000000"/>
          <w:bdr w:val="none" w:sz="0" w:space="0" w:color="auto"/>
          <w:lang w:val="pt-BR" w:eastAsia="es-ES"/>
        </w:rPr>
        <w:t xml:space="preserve"> à </w:t>
      </w:r>
      <w:r w:rsidR="00623C35" w:rsidRPr="006D1C74">
        <w:rPr>
          <w:rFonts w:asciiTheme="majorHAnsi" w:eastAsia="MS Mincho" w:hAnsiTheme="majorHAnsi" w:cs="Cambria"/>
          <w:color w:val="000000"/>
          <w:sz w:val="20"/>
          <w:szCs w:val="20"/>
          <w:u w:color="000000"/>
          <w:bdr w:val="none" w:sz="0" w:space="0" w:color="auto"/>
          <w:lang w:val="pt-BR" w:eastAsia="es-ES"/>
        </w:rPr>
        <w:t>liberdade</w:t>
      </w:r>
      <w:r w:rsidR="002649F0" w:rsidRPr="006D1C74">
        <w:rPr>
          <w:rFonts w:asciiTheme="majorHAnsi" w:eastAsia="MS Mincho" w:hAnsiTheme="majorHAnsi" w:cs="Cambria"/>
          <w:color w:val="000000"/>
          <w:sz w:val="20"/>
          <w:szCs w:val="20"/>
          <w:u w:color="000000"/>
          <w:bdr w:val="none" w:sz="0" w:space="0" w:color="auto"/>
          <w:lang w:val="pt-BR" w:eastAsia="es-ES"/>
        </w:rPr>
        <w:t xml:space="preserve"> de </w:t>
      </w:r>
      <w:r w:rsidR="00BA111B" w:rsidRPr="006D1C74">
        <w:rPr>
          <w:rFonts w:asciiTheme="majorHAnsi" w:eastAsia="MS Mincho" w:hAnsiTheme="majorHAnsi" w:cs="Cambria"/>
          <w:color w:val="000000"/>
          <w:sz w:val="20"/>
          <w:szCs w:val="20"/>
          <w:u w:color="000000"/>
          <w:bdr w:val="none" w:sz="0" w:space="0" w:color="auto"/>
          <w:lang w:val="pt-BR" w:eastAsia="es-ES"/>
        </w:rPr>
        <w:t>expressão</w:t>
      </w:r>
      <w:r w:rsidR="002649F0" w:rsidRPr="006D1C74">
        <w:rPr>
          <w:rFonts w:asciiTheme="majorHAnsi" w:eastAsia="MS Mincho" w:hAnsiTheme="majorHAnsi" w:cs="Cambria"/>
          <w:color w:val="000000"/>
          <w:sz w:val="20"/>
          <w:szCs w:val="20"/>
          <w:u w:color="000000"/>
          <w:bdr w:val="none" w:sz="0" w:space="0" w:color="auto"/>
          <w:lang w:val="pt-BR" w:eastAsia="es-ES"/>
        </w:rPr>
        <w:t xml:space="preserve"> para reclamar</w:t>
      </w:r>
      <w:r w:rsidR="00700267" w:rsidRPr="006D1C74">
        <w:rPr>
          <w:rFonts w:asciiTheme="majorHAnsi" w:eastAsia="MS Mincho" w:hAnsiTheme="majorHAnsi" w:cs="Cambria"/>
          <w:color w:val="000000"/>
          <w:sz w:val="20"/>
          <w:szCs w:val="20"/>
          <w:u w:color="000000"/>
          <w:bdr w:val="none" w:sz="0" w:space="0" w:color="auto"/>
          <w:lang w:val="pt-BR" w:eastAsia="es-ES"/>
        </w:rPr>
        <w:t xml:space="preserve"> a </w:t>
      </w:r>
      <w:r w:rsidR="002649F0" w:rsidRPr="006D1C74">
        <w:rPr>
          <w:rFonts w:asciiTheme="majorHAnsi" w:eastAsia="MS Mincho" w:hAnsiTheme="majorHAnsi" w:cs="Cambria"/>
          <w:color w:val="000000"/>
          <w:sz w:val="20"/>
          <w:szCs w:val="20"/>
          <w:u w:color="000000"/>
          <w:bdr w:val="none" w:sz="0" w:space="0" w:color="auto"/>
          <w:lang w:val="pt-BR" w:eastAsia="es-ES"/>
        </w:rPr>
        <w:t>prote</w:t>
      </w:r>
      <w:r w:rsidR="00CF037E" w:rsidRPr="006D1C74">
        <w:rPr>
          <w:rFonts w:asciiTheme="majorHAnsi" w:eastAsia="MS Mincho" w:hAnsiTheme="majorHAnsi" w:cs="Cambria"/>
          <w:color w:val="000000"/>
          <w:sz w:val="20"/>
          <w:szCs w:val="20"/>
          <w:u w:color="000000"/>
          <w:bdr w:val="none" w:sz="0" w:space="0" w:color="auto"/>
          <w:lang w:val="pt-BR" w:eastAsia="es-ES"/>
        </w:rPr>
        <w:t>ção</w:t>
      </w:r>
      <w:r w:rsidR="002649F0" w:rsidRPr="006D1C74">
        <w:rPr>
          <w:rFonts w:asciiTheme="majorHAnsi" w:eastAsia="MS Mincho" w:hAnsiTheme="majorHAnsi" w:cs="Cambria"/>
          <w:color w:val="000000"/>
          <w:sz w:val="20"/>
          <w:szCs w:val="20"/>
          <w:u w:color="000000"/>
          <w:bdr w:val="none" w:sz="0" w:space="0" w:color="auto"/>
          <w:lang w:val="pt-BR" w:eastAsia="es-ES"/>
        </w:rPr>
        <w:t xml:space="preserve"> de </w:t>
      </w:r>
      <w:r w:rsidR="00CF037E" w:rsidRPr="006D1C74">
        <w:rPr>
          <w:rFonts w:asciiTheme="majorHAnsi" w:eastAsia="MS Mincho" w:hAnsiTheme="majorHAnsi" w:cs="Cambria"/>
          <w:color w:val="000000"/>
          <w:sz w:val="20"/>
          <w:szCs w:val="20"/>
          <w:u w:color="000000"/>
          <w:bdr w:val="none" w:sz="0" w:space="0" w:color="auto"/>
          <w:lang w:val="pt-BR" w:eastAsia="es-ES"/>
        </w:rPr>
        <w:t>outr</w:t>
      </w:r>
      <w:r w:rsidR="002649F0" w:rsidRPr="006D1C74">
        <w:rPr>
          <w:rFonts w:asciiTheme="majorHAnsi" w:eastAsia="MS Mincho" w:hAnsiTheme="majorHAnsi" w:cs="Cambria"/>
          <w:color w:val="000000"/>
          <w:sz w:val="20"/>
          <w:szCs w:val="20"/>
          <w:u w:color="000000"/>
          <w:bdr w:val="none" w:sz="0" w:space="0" w:color="auto"/>
          <w:lang w:val="pt-BR" w:eastAsia="es-ES"/>
        </w:rPr>
        <w:t xml:space="preserve">os </w:t>
      </w:r>
      <w:r w:rsidR="00417BE8" w:rsidRPr="006D1C74">
        <w:rPr>
          <w:rFonts w:asciiTheme="majorHAnsi" w:eastAsia="MS Mincho" w:hAnsiTheme="majorHAnsi" w:cs="Cambria"/>
          <w:color w:val="000000"/>
          <w:sz w:val="20"/>
          <w:szCs w:val="20"/>
          <w:u w:color="000000"/>
          <w:bdr w:val="none" w:sz="0" w:space="0" w:color="auto"/>
          <w:lang w:val="pt-BR" w:eastAsia="es-ES"/>
        </w:rPr>
        <w:t>direito</w:t>
      </w:r>
      <w:r w:rsidR="002649F0" w:rsidRPr="006D1C74">
        <w:rPr>
          <w:rFonts w:asciiTheme="majorHAnsi" w:eastAsia="MS Mincho" w:hAnsiTheme="majorHAnsi" w:cs="Cambria"/>
          <w:color w:val="000000"/>
          <w:sz w:val="20"/>
          <w:szCs w:val="20"/>
          <w:u w:color="000000"/>
          <w:bdr w:val="none" w:sz="0" w:space="0" w:color="auto"/>
          <w:lang w:val="pt-BR" w:eastAsia="es-ES"/>
        </w:rPr>
        <w:t>s</w:t>
      </w:r>
      <w:r w:rsidR="002649F0" w:rsidRPr="006D1C74">
        <w:rPr>
          <w:rFonts w:asciiTheme="majorHAnsi" w:eastAsia="MS Mincho" w:hAnsiTheme="majorHAnsi" w:cs="Arial"/>
          <w:color w:val="000000" w:themeColor="text1"/>
          <w:sz w:val="20"/>
          <w:szCs w:val="20"/>
          <w:u w:color="000000"/>
          <w:bdr w:val="none" w:sz="0" w:space="0" w:color="auto"/>
          <w:vertAlign w:val="superscript"/>
          <w:lang w:val="pt-BR" w:eastAsia="es-ES"/>
        </w:rPr>
        <w:footnoteReference w:id="72"/>
      </w:r>
      <w:r w:rsidR="002649F0" w:rsidRPr="006D1C74">
        <w:rPr>
          <w:rFonts w:asciiTheme="majorHAnsi" w:eastAsia="MS Mincho" w:hAnsiTheme="majorHAnsi" w:cs="Cambria"/>
          <w:color w:val="000000"/>
          <w:sz w:val="20"/>
          <w:szCs w:val="20"/>
          <w:u w:color="000000"/>
          <w:bdr w:val="none" w:sz="0" w:space="0" w:color="auto"/>
          <w:lang w:val="pt-BR" w:eastAsia="es-ES"/>
        </w:rPr>
        <w:t xml:space="preserve">. </w:t>
      </w:r>
      <w:r w:rsidR="00B6237A" w:rsidRPr="006D1C74">
        <w:rPr>
          <w:rFonts w:asciiTheme="majorHAnsi" w:eastAsia="MS Mincho" w:hAnsiTheme="majorHAnsi" w:cs="Cambria"/>
          <w:color w:val="000000"/>
          <w:sz w:val="20"/>
          <w:szCs w:val="20"/>
          <w:u w:color="000000"/>
          <w:bdr w:val="none" w:sz="0" w:space="0" w:color="auto"/>
          <w:lang w:val="pt-BR" w:eastAsia="es-ES"/>
        </w:rPr>
        <w:t xml:space="preserve"> </w:t>
      </w:r>
    </w:p>
    <w:p w14:paraId="09475F88" w14:textId="77777777" w:rsidR="00B6237A" w:rsidRPr="006D1C74" w:rsidRDefault="00B6237A" w:rsidP="00B6237A">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both"/>
        <w:rPr>
          <w:rFonts w:asciiTheme="majorHAnsi" w:eastAsia="Times New Roman" w:hAnsiTheme="majorHAnsi" w:cs="Cambria"/>
          <w:color w:val="000000"/>
          <w:sz w:val="20"/>
          <w:szCs w:val="20"/>
          <w:u w:color="000000"/>
          <w:bdr w:val="none" w:sz="0" w:space="0" w:color="auto"/>
          <w:lang w:val="pt-BR" w:eastAsia="es-ES"/>
        </w:rPr>
      </w:pPr>
    </w:p>
    <w:p w14:paraId="12289D81" w14:textId="77777777" w:rsidR="002649F0" w:rsidRPr="006D1C74" w:rsidRDefault="003627F4"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0" w:firstLine="0"/>
        <w:jc w:val="both"/>
        <w:rPr>
          <w:rFonts w:asciiTheme="majorHAnsi" w:eastAsia="Times New Roman" w:hAnsiTheme="majorHAnsi" w:cs="Cambria"/>
          <w:color w:val="000000"/>
          <w:sz w:val="20"/>
          <w:szCs w:val="20"/>
          <w:u w:color="000000"/>
          <w:bdr w:val="none" w:sz="0" w:space="0" w:color="auto"/>
          <w:lang w:val="pt-BR" w:eastAsia="es-ES"/>
        </w:rPr>
      </w:pPr>
      <w:r w:rsidRPr="006D1C74">
        <w:rPr>
          <w:rFonts w:asciiTheme="majorHAnsi" w:eastAsia="MS Mincho" w:hAnsiTheme="majorHAnsi" w:cs="Cambria"/>
          <w:color w:val="000000"/>
          <w:sz w:val="20"/>
          <w:szCs w:val="20"/>
          <w:u w:color="000000"/>
          <w:bdr w:val="none" w:sz="0" w:space="0" w:color="auto"/>
          <w:lang w:val="pt-BR" w:eastAsia="es-ES"/>
        </w:rPr>
        <w:t>N</w:t>
      </w:r>
      <w:r w:rsidR="00B6237A" w:rsidRPr="006D1C74">
        <w:rPr>
          <w:rFonts w:asciiTheme="majorHAnsi" w:eastAsia="MS Mincho" w:hAnsiTheme="majorHAnsi" w:cs="Cambria"/>
          <w:color w:val="000000"/>
          <w:sz w:val="20"/>
          <w:szCs w:val="20"/>
          <w:u w:color="000000"/>
          <w:bdr w:val="none" w:sz="0" w:space="0" w:color="auto"/>
          <w:lang w:val="pt-BR" w:eastAsia="es-ES"/>
        </w:rPr>
        <w:t>este sentido,</w:t>
      </w:r>
      <w:r w:rsidR="00700267" w:rsidRPr="006D1C74">
        <w:rPr>
          <w:rFonts w:asciiTheme="majorHAnsi" w:eastAsia="MS Mincho" w:hAnsiTheme="majorHAnsi" w:cs="Cambria"/>
          <w:color w:val="000000"/>
          <w:sz w:val="20"/>
          <w:szCs w:val="20"/>
          <w:u w:color="000000"/>
          <w:bdr w:val="none" w:sz="0" w:space="0" w:color="auto"/>
          <w:lang w:val="pt-BR" w:eastAsia="es-ES"/>
        </w:rPr>
        <w:t xml:space="preserve"> a </w:t>
      </w:r>
      <w:r w:rsidR="00417BE8" w:rsidRPr="006D1C74">
        <w:rPr>
          <w:rFonts w:asciiTheme="majorHAnsi" w:eastAsia="MS Mincho" w:hAnsiTheme="majorHAnsi" w:cs="Cambria"/>
          <w:color w:val="000000"/>
          <w:sz w:val="20"/>
          <w:szCs w:val="20"/>
          <w:u w:color="000000"/>
          <w:bdr w:val="none" w:sz="0" w:space="0" w:color="auto"/>
          <w:lang w:val="pt-BR" w:eastAsia="es-ES"/>
        </w:rPr>
        <w:t>Comissão</w:t>
      </w:r>
      <w:r w:rsidR="00B6237A" w:rsidRPr="006D1C74">
        <w:rPr>
          <w:rFonts w:asciiTheme="majorHAnsi" w:eastAsia="MS Mincho" w:hAnsiTheme="majorHAnsi" w:cs="Cambria"/>
          <w:color w:val="000000"/>
          <w:sz w:val="20"/>
          <w:szCs w:val="20"/>
          <w:u w:color="000000"/>
          <w:bdr w:val="none" w:sz="0" w:space="0" w:color="auto"/>
          <w:lang w:val="pt-BR" w:eastAsia="es-ES"/>
        </w:rPr>
        <w:t xml:space="preserve"> </w:t>
      </w:r>
      <w:r w:rsidR="00BA111B" w:rsidRPr="006D1C74">
        <w:rPr>
          <w:rFonts w:asciiTheme="majorHAnsi" w:eastAsia="MS Mincho" w:hAnsiTheme="majorHAnsi" w:cs="Cambria"/>
          <w:color w:val="000000"/>
          <w:sz w:val="20"/>
          <w:szCs w:val="20"/>
          <w:u w:color="000000"/>
          <w:bdr w:val="none" w:sz="0" w:space="0" w:color="auto"/>
          <w:lang w:val="pt-BR" w:eastAsia="es-ES"/>
        </w:rPr>
        <w:t>assinalou</w:t>
      </w:r>
      <w:r w:rsidR="00B6237A" w:rsidRPr="006D1C74">
        <w:rPr>
          <w:rFonts w:asciiTheme="majorHAnsi" w:eastAsia="MS Mincho" w:hAnsiTheme="majorHAnsi" w:cs="Cambria"/>
          <w:color w:val="000000"/>
          <w:sz w:val="20"/>
          <w:szCs w:val="20"/>
          <w:u w:color="000000"/>
          <w:bdr w:val="none" w:sz="0" w:space="0" w:color="auto"/>
          <w:lang w:val="pt-BR" w:eastAsia="es-ES"/>
        </w:rPr>
        <w:t xml:space="preserve"> que</w:t>
      </w:r>
      <w:r w:rsidR="00700267" w:rsidRPr="006D1C74">
        <w:rPr>
          <w:rFonts w:asciiTheme="majorHAnsi" w:eastAsia="MS Mincho" w:hAnsiTheme="majorHAnsi" w:cs="Cambria"/>
          <w:color w:val="000000"/>
          <w:sz w:val="20"/>
          <w:szCs w:val="20"/>
          <w:u w:color="000000"/>
          <w:bdr w:val="none" w:sz="0" w:space="0" w:color="auto"/>
          <w:lang w:val="pt-BR" w:eastAsia="es-ES"/>
        </w:rPr>
        <w:t xml:space="preserve"> o </w:t>
      </w:r>
      <w:r w:rsidR="00417BE8" w:rsidRPr="006D1C74">
        <w:rPr>
          <w:rFonts w:asciiTheme="majorHAnsi" w:eastAsia="MS Mincho" w:hAnsiTheme="majorHAnsi" w:cs="Cambria"/>
          <w:color w:val="000000"/>
          <w:sz w:val="20"/>
          <w:szCs w:val="20"/>
          <w:u w:color="000000"/>
          <w:bdr w:val="none" w:sz="0" w:space="0" w:color="auto"/>
          <w:lang w:val="pt-BR" w:eastAsia="es-ES"/>
        </w:rPr>
        <w:t>direito</w:t>
      </w:r>
      <w:r w:rsidR="00030019" w:rsidRPr="006D1C74">
        <w:rPr>
          <w:rFonts w:asciiTheme="majorHAnsi" w:eastAsia="MS Mincho" w:hAnsiTheme="majorHAnsi" w:cs="Cambria"/>
          <w:color w:val="000000"/>
          <w:sz w:val="20"/>
          <w:szCs w:val="20"/>
          <w:u w:color="000000"/>
          <w:bdr w:val="none" w:sz="0" w:space="0" w:color="auto"/>
          <w:lang w:val="pt-BR" w:eastAsia="es-ES"/>
        </w:rPr>
        <w:t xml:space="preserve"> </w:t>
      </w:r>
      <w:r w:rsidRPr="006D1C74">
        <w:rPr>
          <w:rFonts w:asciiTheme="majorHAnsi" w:eastAsia="MS Mincho" w:hAnsiTheme="majorHAnsi" w:cs="Cambria"/>
          <w:color w:val="000000"/>
          <w:sz w:val="20"/>
          <w:szCs w:val="20"/>
          <w:u w:color="000000"/>
          <w:bdr w:val="none" w:sz="0" w:space="0" w:color="auto"/>
          <w:lang w:val="pt-BR" w:eastAsia="es-ES"/>
        </w:rPr>
        <w:t>ao</w:t>
      </w:r>
      <w:r w:rsidR="00030019" w:rsidRPr="006D1C74">
        <w:rPr>
          <w:rFonts w:asciiTheme="majorHAnsi" w:eastAsia="MS Mincho" w:hAnsiTheme="majorHAnsi" w:cs="Cambria"/>
          <w:color w:val="000000"/>
          <w:sz w:val="20"/>
          <w:szCs w:val="20"/>
          <w:u w:color="000000"/>
          <w:bdr w:val="none" w:sz="0" w:space="0" w:color="auto"/>
          <w:lang w:val="pt-BR" w:eastAsia="es-ES"/>
        </w:rPr>
        <w:t xml:space="preserve"> </w:t>
      </w:r>
      <w:r w:rsidR="00B6237A" w:rsidRPr="006D1C74">
        <w:rPr>
          <w:rFonts w:asciiTheme="majorHAnsi" w:eastAsia="MS Mincho" w:hAnsiTheme="majorHAnsi" w:cs="Cambria"/>
          <w:color w:val="000000"/>
          <w:sz w:val="20"/>
          <w:szCs w:val="20"/>
          <w:u w:color="000000"/>
          <w:bdr w:val="none" w:sz="0" w:space="0" w:color="auto"/>
          <w:lang w:val="pt-BR" w:eastAsia="es-ES"/>
        </w:rPr>
        <w:t>protest</w:t>
      </w:r>
      <w:r w:rsidRPr="006D1C74">
        <w:rPr>
          <w:rFonts w:asciiTheme="majorHAnsi" w:eastAsia="MS Mincho" w:hAnsiTheme="majorHAnsi" w:cs="Cambria"/>
          <w:color w:val="000000"/>
          <w:sz w:val="20"/>
          <w:szCs w:val="20"/>
          <w:u w:color="000000"/>
          <w:bdr w:val="none" w:sz="0" w:space="0" w:color="auto"/>
          <w:lang w:val="pt-BR" w:eastAsia="es-ES"/>
        </w:rPr>
        <w:t>o</w:t>
      </w:r>
      <w:r w:rsidR="00B6237A" w:rsidRPr="006D1C74">
        <w:rPr>
          <w:rFonts w:asciiTheme="majorHAnsi" w:eastAsia="MS Mincho" w:hAnsiTheme="majorHAnsi" w:cs="Cambria"/>
          <w:color w:val="000000"/>
          <w:sz w:val="20"/>
          <w:szCs w:val="20"/>
          <w:u w:color="000000"/>
          <w:bdr w:val="none" w:sz="0" w:space="0" w:color="auto"/>
          <w:lang w:val="pt-BR" w:eastAsia="es-ES"/>
        </w:rPr>
        <w:t xml:space="preserve"> pacífic</w:t>
      </w:r>
      <w:r w:rsidRPr="006D1C74">
        <w:rPr>
          <w:rFonts w:asciiTheme="majorHAnsi" w:eastAsia="MS Mincho" w:hAnsiTheme="majorHAnsi" w:cs="Cambria"/>
          <w:color w:val="000000"/>
          <w:sz w:val="20"/>
          <w:szCs w:val="20"/>
          <w:u w:color="000000"/>
          <w:bdr w:val="none" w:sz="0" w:space="0" w:color="auto"/>
          <w:lang w:val="pt-BR" w:eastAsia="es-ES"/>
        </w:rPr>
        <w:t>o</w:t>
      </w:r>
      <w:r w:rsidR="00B6237A" w:rsidRPr="006D1C74">
        <w:rPr>
          <w:rFonts w:asciiTheme="majorHAnsi" w:eastAsia="MS Mincho" w:hAnsiTheme="majorHAnsi" w:cs="Cambria"/>
          <w:color w:val="000000"/>
          <w:sz w:val="20"/>
          <w:szCs w:val="20"/>
          <w:u w:color="000000"/>
          <w:bdr w:val="none" w:sz="0" w:space="0" w:color="auto"/>
          <w:lang w:val="pt-BR" w:eastAsia="es-ES"/>
        </w:rPr>
        <w:t xml:space="preserve"> constitu</w:t>
      </w:r>
      <w:r w:rsidRPr="006D1C74">
        <w:rPr>
          <w:rFonts w:asciiTheme="majorHAnsi" w:eastAsia="MS Mincho" w:hAnsiTheme="majorHAnsi" w:cs="Cambria"/>
          <w:color w:val="000000"/>
          <w:sz w:val="20"/>
          <w:szCs w:val="20"/>
          <w:u w:color="000000"/>
          <w:bdr w:val="none" w:sz="0" w:space="0" w:color="auto"/>
          <w:lang w:val="pt-BR" w:eastAsia="es-ES"/>
        </w:rPr>
        <w:t>i</w:t>
      </w:r>
      <w:r w:rsidR="00B6237A" w:rsidRPr="006D1C74">
        <w:rPr>
          <w:rFonts w:asciiTheme="majorHAnsi" w:eastAsia="MS Mincho" w:hAnsiTheme="majorHAnsi" w:cs="Cambria"/>
          <w:color w:val="000000"/>
          <w:sz w:val="20"/>
          <w:szCs w:val="20"/>
          <w:u w:color="000000"/>
          <w:bdr w:val="none" w:sz="0" w:space="0" w:color="auto"/>
          <w:lang w:val="pt-BR" w:eastAsia="es-ES"/>
        </w:rPr>
        <w:t xml:space="preserve"> “</w:t>
      </w:r>
      <w:r w:rsidR="00BA111B" w:rsidRPr="006D1C74">
        <w:rPr>
          <w:rFonts w:asciiTheme="majorHAnsi" w:eastAsia="MS Mincho" w:hAnsiTheme="majorHAnsi" w:cs="Cambria"/>
          <w:color w:val="000000"/>
          <w:sz w:val="20"/>
          <w:szCs w:val="20"/>
          <w:u w:color="000000"/>
          <w:bdr w:val="none" w:sz="0" w:space="0" w:color="auto"/>
          <w:lang w:val="pt-BR" w:eastAsia="es-ES"/>
        </w:rPr>
        <w:t>um</w:t>
      </w:r>
      <w:r w:rsidR="00B6237A" w:rsidRPr="006D1C74">
        <w:rPr>
          <w:rFonts w:asciiTheme="majorHAnsi" w:eastAsia="MS Mincho" w:hAnsiTheme="majorHAnsi" w:cs="Cambria"/>
          <w:color w:val="000000"/>
          <w:sz w:val="20"/>
          <w:szCs w:val="20"/>
          <w:u w:color="000000"/>
          <w:bdr w:val="none" w:sz="0" w:space="0" w:color="auto"/>
          <w:lang w:val="pt-BR" w:eastAsia="es-ES"/>
        </w:rPr>
        <w:t xml:space="preserve"> canal que permite</w:t>
      </w:r>
      <w:r w:rsidR="00030019" w:rsidRPr="006D1C74">
        <w:rPr>
          <w:rFonts w:asciiTheme="majorHAnsi" w:eastAsia="MS Mincho" w:hAnsiTheme="majorHAnsi" w:cs="Cambria"/>
          <w:color w:val="000000"/>
          <w:sz w:val="20"/>
          <w:szCs w:val="20"/>
          <w:u w:color="000000"/>
          <w:bdr w:val="none" w:sz="0" w:space="0" w:color="auto"/>
          <w:lang w:val="pt-BR" w:eastAsia="es-ES"/>
        </w:rPr>
        <w:t xml:space="preserve"> às </w:t>
      </w:r>
      <w:r w:rsidR="00CA7940" w:rsidRPr="006D1C74">
        <w:rPr>
          <w:rFonts w:asciiTheme="majorHAnsi" w:eastAsia="MS Mincho" w:hAnsiTheme="majorHAnsi" w:cs="Cambria"/>
          <w:color w:val="000000"/>
          <w:sz w:val="20"/>
          <w:szCs w:val="20"/>
          <w:u w:color="000000"/>
          <w:bdr w:val="none" w:sz="0" w:space="0" w:color="auto"/>
          <w:lang w:val="pt-BR" w:eastAsia="es-ES"/>
        </w:rPr>
        <w:t>pessoa</w:t>
      </w:r>
      <w:r w:rsidR="00B6237A" w:rsidRPr="006D1C74">
        <w:rPr>
          <w:rFonts w:asciiTheme="majorHAnsi" w:eastAsia="MS Mincho" w:hAnsiTheme="majorHAnsi" w:cs="Cambria"/>
          <w:color w:val="000000"/>
          <w:sz w:val="20"/>
          <w:szCs w:val="20"/>
          <w:u w:color="000000"/>
          <w:bdr w:val="none" w:sz="0" w:space="0" w:color="auto"/>
          <w:lang w:val="pt-BR" w:eastAsia="es-ES"/>
        </w:rPr>
        <w:t>s</w:t>
      </w:r>
      <w:r w:rsidR="00CF037E" w:rsidRPr="006D1C74">
        <w:rPr>
          <w:rFonts w:asciiTheme="majorHAnsi" w:eastAsia="MS Mincho" w:hAnsiTheme="majorHAnsi" w:cs="Cambria"/>
          <w:color w:val="000000"/>
          <w:sz w:val="20"/>
          <w:szCs w:val="20"/>
          <w:u w:color="000000"/>
          <w:bdr w:val="none" w:sz="0" w:space="0" w:color="auto"/>
          <w:lang w:val="pt-BR" w:eastAsia="es-ES"/>
        </w:rPr>
        <w:t xml:space="preserve"> e </w:t>
      </w:r>
      <w:r w:rsidR="00B6237A" w:rsidRPr="006D1C74">
        <w:rPr>
          <w:rFonts w:asciiTheme="majorHAnsi" w:eastAsia="MS Mincho" w:hAnsiTheme="majorHAnsi" w:cs="Cambria"/>
          <w:color w:val="000000"/>
          <w:sz w:val="20"/>
          <w:szCs w:val="20"/>
          <w:u w:color="000000"/>
          <w:bdr w:val="none" w:sz="0" w:space="0" w:color="auto"/>
          <w:lang w:val="pt-BR" w:eastAsia="es-ES"/>
        </w:rPr>
        <w:t>a di</w:t>
      </w:r>
      <w:r w:rsidRPr="006D1C74">
        <w:rPr>
          <w:rFonts w:asciiTheme="majorHAnsi" w:eastAsia="MS Mincho" w:hAnsiTheme="majorHAnsi" w:cs="Cambria"/>
          <w:color w:val="000000"/>
          <w:sz w:val="20"/>
          <w:szCs w:val="20"/>
          <w:u w:color="000000"/>
          <w:bdr w:val="none" w:sz="0" w:space="0" w:color="auto"/>
          <w:lang w:val="pt-BR" w:eastAsia="es-ES"/>
        </w:rPr>
        <w:t>ver</w:t>
      </w:r>
      <w:r w:rsidR="00B6237A" w:rsidRPr="006D1C74">
        <w:rPr>
          <w:rFonts w:asciiTheme="majorHAnsi" w:eastAsia="MS Mincho" w:hAnsiTheme="majorHAnsi" w:cs="Cambria"/>
          <w:color w:val="000000"/>
          <w:sz w:val="20"/>
          <w:szCs w:val="20"/>
          <w:u w:color="000000"/>
          <w:bdr w:val="none" w:sz="0" w:space="0" w:color="auto"/>
          <w:lang w:val="pt-BR" w:eastAsia="es-ES"/>
        </w:rPr>
        <w:t>sos grupos</w:t>
      </w:r>
      <w:r w:rsidR="00795010" w:rsidRPr="006D1C74">
        <w:rPr>
          <w:rFonts w:asciiTheme="majorHAnsi" w:eastAsia="MS Mincho" w:hAnsiTheme="majorHAnsi" w:cs="Cambria"/>
          <w:color w:val="000000"/>
          <w:sz w:val="20"/>
          <w:szCs w:val="20"/>
          <w:u w:color="000000"/>
          <w:bdr w:val="none" w:sz="0" w:space="0" w:color="auto"/>
          <w:lang w:val="pt-BR" w:eastAsia="es-ES"/>
        </w:rPr>
        <w:t xml:space="preserve"> da </w:t>
      </w:r>
      <w:r w:rsidR="00B6237A" w:rsidRPr="006D1C74">
        <w:rPr>
          <w:rFonts w:asciiTheme="majorHAnsi" w:eastAsia="MS Mincho" w:hAnsiTheme="majorHAnsi" w:cs="Cambria"/>
          <w:color w:val="000000"/>
          <w:sz w:val="20"/>
          <w:szCs w:val="20"/>
          <w:u w:color="000000"/>
          <w:bdr w:val="none" w:sz="0" w:space="0" w:color="auto"/>
          <w:lang w:val="pt-BR" w:eastAsia="es-ES"/>
        </w:rPr>
        <w:t>sociedad</w:t>
      </w:r>
      <w:r w:rsidRPr="006D1C74">
        <w:rPr>
          <w:rFonts w:asciiTheme="majorHAnsi" w:eastAsia="MS Mincho" w:hAnsiTheme="majorHAnsi" w:cs="Cambria"/>
          <w:color w:val="000000"/>
          <w:sz w:val="20"/>
          <w:szCs w:val="20"/>
          <w:u w:color="000000"/>
          <w:bdr w:val="none" w:sz="0" w:space="0" w:color="auto"/>
          <w:lang w:val="pt-BR" w:eastAsia="es-ES"/>
        </w:rPr>
        <w:t>e</w:t>
      </w:r>
      <w:r w:rsidR="00B6237A" w:rsidRPr="006D1C74">
        <w:rPr>
          <w:rFonts w:asciiTheme="majorHAnsi" w:eastAsia="MS Mincho" w:hAnsiTheme="majorHAnsi" w:cs="Cambria"/>
          <w:color w:val="000000"/>
          <w:sz w:val="20"/>
          <w:szCs w:val="20"/>
          <w:u w:color="000000"/>
          <w:bdr w:val="none" w:sz="0" w:space="0" w:color="auto"/>
          <w:lang w:val="pt-BR" w:eastAsia="es-ES"/>
        </w:rPr>
        <w:t xml:space="preserve"> </w:t>
      </w:r>
      <w:r w:rsidR="00BA111B" w:rsidRPr="006D1C74">
        <w:rPr>
          <w:rFonts w:asciiTheme="majorHAnsi" w:eastAsia="MS Mincho" w:hAnsiTheme="majorHAnsi" w:cs="Cambria"/>
          <w:color w:val="000000"/>
          <w:sz w:val="20"/>
          <w:szCs w:val="20"/>
          <w:u w:color="000000"/>
          <w:bdr w:val="none" w:sz="0" w:space="0" w:color="auto"/>
          <w:lang w:val="pt-BR" w:eastAsia="es-ES"/>
        </w:rPr>
        <w:t>expressar</w:t>
      </w:r>
      <w:r w:rsidR="00B6237A" w:rsidRPr="006D1C74">
        <w:rPr>
          <w:rFonts w:asciiTheme="majorHAnsi" w:eastAsia="MS Mincho" w:hAnsiTheme="majorHAnsi" w:cs="Cambria"/>
          <w:color w:val="000000"/>
          <w:sz w:val="20"/>
          <w:szCs w:val="20"/>
          <w:u w:color="000000"/>
          <w:bdr w:val="none" w:sz="0" w:space="0" w:color="auto"/>
          <w:lang w:val="pt-BR" w:eastAsia="es-ES"/>
        </w:rPr>
        <w:t xml:space="preserve"> su</w:t>
      </w:r>
      <w:r w:rsidR="001032A6">
        <w:rPr>
          <w:rFonts w:asciiTheme="majorHAnsi" w:eastAsia="MS Mincho" w:hAnsiTheme="majorHAnsi" w:cs="Cambria"/>
          <w:color w:val="000000"/>
          <w:sz w:val="20"/>
          <w:szCs w:val="20"/>
          <w:u w:color="000000"/>
          <w:bdr w:val="none" w:sz="0" w:space="0" w:color="auto"/>
          <w:lang w:val="pt-BR" w:eastAsia="es-ES"/>
        </w:rPr>
        <w:t>a</w:t>
      </w:r>
      <w:r w:rsidR="00B6237A" w:rsidRPr="006D1C74">
        <w:rPr>
          <w:rFonts w:asciiTheme="majorHAnsi" w:eastAsia="MS Mincho" w:hAnsiTheme="majorHAnsi" w:cs="Cambria"/>
          <w:color w:val="000000"/>
          <w:sz w:val="20"/>
          <w:szCs w:val="20"/>
          <w:u w:color="000000"/>
          <w:bdr w:val="none" w:sz="0" w:space="0" w:color="auto"/>
          <w:lang w:val="pt-BR" w:eastAsia="es-ES"/>
        </w:rPr>
        <w:t xml:space="preserve">s demandas, </w:t>
      </w:r>
      <w:r w:rsidR="00BA111B" w:rsidRPr="006D1C74">
        <w:rPr>
          <w:rFonts w:asciiTheme="majorHAnsi" w:eastAsia="MS Mincho" w:hAnsiTheme="majorHAnsi" w:cs="Cambria"/>
          <w:color w:val="000000"/>
          <w:sz w:val="20"/>
          <w:szCs w:val="20"/>
          <w:u w:color="000000"/>
          <w:bdr w:val="none" w:sz="0" w:space="0" w:color="auto"/>
          <w:lang w:val="pt-BR" w:eastAsia="es-ES"/>
        </w:rPr>
        <w:t>dissentir</w:t>
      </w:r>
      <w:r w:rsidR="00CF037E" w:rsidRPr="006D1C74">
        <w:rPr>
          <w:rFonts w:asciiTheme="majorHAnsi" w:eastAsia="MS Mincho" w:hAnsiTheme="majorHAnsi" w:cs="Cambria"/>
          <w:color w:val="000000"/>
          <w:sz w:val="20"/>
          <w:szCs w:val="20"/>
          <w:u w:color="000000"/>
          <w:bdr w:val="none" w:sz="0" w:space="0" w:color="auto"/>
          <w:lang w:val="pt-BR" w:eastAsia="es-ES"/>
        </w:rPr>
        <w:t xml:space="preserve"> e </w:t>
      </w:r>
      <w:r w:rsidR="00B6237A" w:rsidRPr="006D1C74">
        <w:rPr>
          <w:rFonts w:asciiTheme="majorHAnsi" w:eastAsia="MS Mincho" w:hAnsiTheme="majorHAnsi" w:cs="Cambria"/>
          <w:color w:val="000000"/>
          <w:sz w:val="20"/>
          <w:szCs w:val="20"/>
          <w:u w:color="000000"/>
          <w:bdr w:val="none" w:sz="0" w:space="0" w:color="auto"/>
          <w:lang w:val="pt-BR" w:eastAsia="es-ES"/>
        </w:rPr>
        <w:t xml:space="preserve">reclamar </w:t>
      </w:r>
      <w:r w:rsidR="00156036" w:rsidRPr="006D1C74">
        <w:rPr>
          <w:rFonts w:asciiTheme="majorHAnsi" w:eastAsia="MS Mincho" w:hAnsiTheme="majorHAnsi" w:cs="Cambria"/>
          <w:color w:val="000000"/>
          <w:sz w:val="20"/>
          <w:szCs w:val="20"/>
          <w:u w:color="000000"/>
          <w:bdr w:val="none" w:sz="0" w:space="0" w:color="auto"/>
          <w:lang w:val="pt-BR" w:eastAsia="es-ES"/>
        </w:rPr>
        <w:t>respeito</w:t>
      </w:r>
      <w:r w:rsidR="00217759" w:rsidRPr="006D1C74">
        <w:rPr>
          <w:rFonts w:asciiTheme="majorHAnsi" w:eastAsia="MS Mincho" w:hAnsiTheme="majorHAnsi" w:cs="Cambria"/>
          <w:color w:val="000000"/>
          <w:sz w:val="20"/>
          <w:szCs w:val="20"/>
          <w:u w:color="000000"/>
          <w:bdr w:val="none" w:sz="0" w:space="0" w:color="auto"/>
          <w:lang w:val="pt-BR" w:eastAsia="es-ES"/>
        </w:rPr>
        <w:t xml:space="preserve"> </w:t>
      </w:r>
      <w:r w:rsidRPr="006D1C74">
        <w:rPr>
          <w:rFonts w:asciiTheme="majorHAnsi" w:eastAsia="MS Mincho" w:hAnsiTheme="majorHAnsi" w:cs="Cambria"/>
          <w:color w:val="000000"/>
          <w:sz w:val="20"/>
          <w:szCs w:val="20"/>
          <w:u w:color="000000"/>
          <w:bdr w:val="none" w:sz="0" w:space="0" w:color="auto"/>
          <w:lang w:val="pt-BR" w:eastAsia="es-ES"/>
        </w:rPr>
        <w:t>d</w:t>
      </w:r>
      <w:r w:rsidR="00217759" w:rsidRPr="006D1C74">
        <w:rPr>
          <w:rFonts w:asciiTheme="majorHAnsi" w:eastAsia="MS Mincho" w:hAnsiTheme="majorHAnsi" w:cs="Cambria"/>
          <w:color w:val="000000"/>
          <w:sz w:val="20"/>
          <w:szCs w:val="20"/>
          <w:u w:color="000000"/>
          <w:bdr w:val="none" w:sz="0" w:space="0" w:color="auto"/>
          <w:lang w:val="pt-BR" w:eastAsia="es-ES"/>
        </w:rPr>
        <w:t xml:space="preserve">o </w:t>
      </w:r>
      <w:r w:rsidR="00143756" w:rsidRPr="006D1C74">
        <w:rPr>
          <w:rFonts w:asciiTheme="majorHAnsi" w:eastAsia="MS Mincho" w:hAnsiTheme="majorHAnsi" w:cs="Cambria"/>
          <w:color w:val="000000"/>
          <w:sz w:val="20"/>
          <w:szCs w:val="20"/>
          <w:u w:color="000000"/>
          <w:bdr w:val="none" w:sz="0" w:space="0" w:color="auto"/>
          <w:lang w:val="pt-BR" w:eastAsia="es-ES"/>
        </w:rPr>
        <w:t>governo</w:t>
      </w:r>
      <w:r w:rsidR="00B6237A" w:rsidRPr="006D1C74">
        <w:rPr>
          <w:rFonts w:asciiTheme="majorHAnsi" w:eastAsia="MS Mincho" w:hAnsiTheme="majorHAnsi" w:cs="Cambria"/>
          <w:color w:val="000000"/>
          <w:sz w:val="20"/>
          <w:szCs w:val="20"/>
          <w:u w:color="000000"/>
          <w:bdr w:val="none" w:sz="0" w:space="0" w:color="auto"/>
          <w:lang w:val="pt-BR" w:eastAsia="es-ES"/>
        </w:rPr>
        <w:t xml:space="preserve"> </w:t>
      </w:r>
      <w:r w:rsidRPr="006D1C74">
        <w:rPr>
          <w:rFonts w:asciiTheme="majorHAnsi" w:eastAsia="MS Mincho" w:hAnsiTheme="majorHAnsi" w:cs="Cambria"/>
          <w:color w:val="000000"/>
          <w:sz w:val="20"/>
          <w:szCs w:val="20"/>
          <w:u w:color="000000"/>
          <w:bdr w:val="none" w:sz="0" w:space="0" w:color="auto"/>
          <w:lang w:val="pt-BR" w:eastAsia="es-ES"/>
        </w:rPr>
        <w:t>à</w:t>
      </w:r>
      <w:r w:rsidR="00B6237A" w:rsidRPr="006D1C74">
        <w:rPr>
          <w:rFonts w:asciiTheme="majorHAnsi" w:eastAsia="MS Mincho" w:hAnsiTheme="majorHAnsi" w:cs="Cambria"/>
          <w:color w:val="000000"/>
          <w:sz w:val="20"/>
          <w:szCs w:val="20"/>
          <w:u w:color="000000"/>
          <w:bdr w:val="none" w:sz="0" w:space="0" w:color="auto"/>
          <w:lang w:val="pt-BR" w:eastAsia="es-ES"/>
        </w:rPr>
        <w:t xml:space="preserve"> su</w:t>
      </w:r>
      <w:r w:rsidRPr="006D1C74">
        <w:rPr>
          <w:rFonts w:asciiTheme="majorHAnsi" w:eastAsia="MS Mincho" w:hAnsiTheme="majorHAnsi" w:cs="Cambria"/>
          <w:color w:val="000000"/>
          <w:sz w:val="20"/>
          <w:szCs w:val="20"/>
          <w:u w:color="000000"/>
          <w:bdr w:val="none" w:sz="0" w:space="0" w:color="auto"/>
          <w:lang w:val="pt-BR" w:eastAsia="es-ES"/>
        </w:rPr>
        <w:t>a</w:t>
      </w:r>
      <w:r w:rsidR="00B6237A" w:rsidRPr="006D1C74">
        <w:rPr>
          <w:rFonts w:asciiTheme="majorHAnsi" w:eastAsia="MS Mincho" w:hAnsiTheme="majorHAnsi" w:cs="Cambria"/>
          <w:color w:val="000000"/>
          <w:sz w:val="20"/>
          <w:szCs w:val="20"/>
          <w:u w:color="000000"/>
          <w:bdr w:val="none" w:sz="0" w:space="0" w:color="auto"/>
          <w:lang w:val="pt-BR" w:eastAsia="es-ES"/>
        </w:rPr>
        <w:t xml:space="preserve"> situa</w:t>
      </w:r>
      <w:r w:rsidR="00CF037E" w:rsidRPr="006D1C74">
        <w:rPr>
          <w:rFonts w:asciiTheme="majorHAnsi" w:eastAsia="MS Mincho" w:hAnsiTheme="majorHAnsi" w:cs="Cambria"/>
          <w:color w:val="000000"/>
          <w:sz w:val="20"/>
          <w:szCs w:val="20"/>
          <w:u w:color="000000"/>
          <w:bdr w:val="none" w:sz="0" w:space="0" w:color="auto"/>
          <w:lang w:val="pt-BR" w:eastAsia="es-ES"/>
        </w:rPr>
        <w:t>ção</w:t>
      </w:r>
      <w:r w:rsidR="00B6237A" w:rsidRPr="006D1C74">
        <w:rPr>
          <w:rFonts w:asciiTheme="majorHAnsi" w:eastAsia="MS Mincho" w:hAnsiTheme="majorHAnsi" w:cs="Cambria"/>
          <w:color w:val="000000"/>
          <w:sz w:val="20"/>
          <w:szCs w:val="20"/>
          <w:u w:color="000000"/>
          <w:bdr w:val="none" w:sz="0" w:space="0" w:color="auto"/>
          <w:lang w:val="pt-BR" w:eastAsia="es-ES"/>
        </w:rPr>
        <w:t xml:space="preserve"> particular, </w:t>
      </w:r>
      <w:r w:rsidRPr="006D1C74">
        <w:rPr>
          <w:rFonts w:asciiTheme="majorHAnsi" w:eastAsia="MS Mincho" w:hAnsiTheme="majorHAnsi" w:cs="Cambria"/>
          <w:color w:val="000000"/>
          <w:sz w:val="20"/>
          <w:szCs w:val="20"/>
          <w:u w:color="000000"/>
          <w:bdr w:val="none" w:sz="0" w:space="0" w:color="auto"/>
          <w:lang w:val="pt-BR" w:eastAsia="es-ES"/>
        </w:rPr>
        <w:t>bem</w:t>
      </w:r>
      <w:r w:rsidR="00B6237A" w:rsidRPr="006D1C74">
        <w:rPr>
          <w:rFonts w:asciiTheme="majorHAnsi" w:eastAsia="MS Mincho" w:hAnsiTheme="majorHAnsi" w:cs="Cambria"/>
          <w:color w:val="000000"/>
          <w:sz w:val="20"/>
          <w:szCs w:val="20"/>
          <w:u w:color="000000"/>
          <w:bdr w:val="none" w:sz="0" w:space="0" w:color="auto"/>
          <w:lang w:val="pt-BR" w:eastAsia="es-ES"/>
        </w:rPr>
        <w:t xml:space="preserve"> como</w:t>
      </w:r>
      <w:r w:rsidR="00700267" w:rsidRPr="006D1C74">
        <w:rPr>
          <w:rFonts w:asciiTheme="majorHAnsi" w:eastAsia="MS Mincho" w:hAnsiTheme="majorHAnsi" w:cs="Cambria"/>
          <w:color w:val="000000"/>
          <w:sz w:val="20"/>
          <w:szCs w:val="20"/>
          <w:u w:color="000000"/>
          <w:bdr w:val="none" w:sz="0" w:space="0" w:color="auto"/>
          <w:lang w:val="pt-BR" w:eastAsia="es-ES"/>
        </w:rPr>
        <w:t xml:space="preserve"> </w:t>
      </w:r>
      <w:r w:rsidR="00BA111B" w:rsidRPr="006D1C74">
        <w:rPr>
          <w:rFonts w:asciiTheme="majorHAnsi" w:eastAsia="MS Mincho" w:hAnsiTheme="majorHAnsi" w:cs="Cambria"/>
          <w:color w:val="000000"/>
          <w:sz w:val="20"/>
          <w:szCs w:val="20"/>
          <w:u w:color="000000"/>
          <w:bdr w:val="none" w:sz="0" w:space="0" w:color="auto"/>
          <w:lang w:val="pt-BR" w:eastAsia="es-ES"/>
        </w:rPr>
        <w:t>acesso</w:t>
      </w:r>
      <w:r w:rsidR="00CF037E" w:rsidRPr="006D1C74">
        <w:rPr>
          <w:rFonts w:asciiTheme="majorHAnsi" w:eastAsia="MS Mincho" w:hAnsiTheme="majorHAnsi" w:cs="Cambria"/>
          <w:color w:val="000000"/>
          <w:sz w:val="20"/>
          <w:szCs w:val="20"/>
          <w:u w:color="000000"/>
          <w:bdr w:val="none" w:sz="0" w:space="0" w:color="auto"/>
          <w:lang w:val="pt-BR" w:eastAsia="es-ES"/>
        </w:rPr>
        <w:t xml:space="preserve"> e </w:t>
      </w:r>
      <w:r w:rsidR="00BA111B" w:rsidRPr="006D1C74">
        <w:rPr>
          <w:rFonts w:asciiTheme="majorHAnsi" w:eastAsia="MS Mincho" w:hAnsiTheme="majorHAnsi" w:cs="Cambria"/>
          <w:color w:val="000000"/>
          <w:sz w:val="20"/>
          <w:szCs w:val="20"/>
          <w:u w:color="000000"/>
          <w:bdr w:val="none" w:sz="0" w:space="0" w:color="auto"/>
          <w:lang w:val="pt-BR" w:eastAsia="es-ES"/>
        </w:rPr>
        <w:t>cumprimento</w:t>
      </w:r>
      <w:r w:rsidR="00B6237A" w:rsidRPr="006D1C74">
        <w:rPr>
          <w:rFonts w:asciiTheme="majorHAnsi" w:eastAsia="MS Mincho" w:hAnsiTheme="majorHAnsi" w:cs="Cambria"/>
          <w:color w:val="000000"/>
          <w:sz w:val="20"/>
          <w:szCs w:val="20"/>
          <w:u w:color="000000"/>
          <w:bdr w:val="none" w:sz="0" w:space="0" w:color="auto"/>
          <w:lang w:val="pt-BR" w:eastAsia="es-ES"/>
        </w:rPr>
        <w:t xml:space="preserve"> </w:t>
      </w:r>
      <w:r w:rsidRPr="006D1C74">
        <w:rPr>
          <w:rFonts w:asciiTheme="majorHAnsi" w:eastAsia="MS Mincho" w:hAnsiTheme="majorHAnsi" w:cs="Cambria"/>
          <w:color w:val="000000"/>
          <w:sz w:val="20"/>
          <w:szCs w:val="20"/>
          <w:u w:color="000000"/>
          <w:bdr w:val="none" w:sz="0" w:space="0" w:color="auto"/>
          <w:lang w:val="pt-BR" w:eastAsia="es-ES"/>
        </w:rPr>
        <w:t>de</w:t>
      </w:r>
      <w:r w:rsidR="00B6237A" w:rsidRPr="006D1C74">
        <w:rPr>
          <w:rFonts w:asciiTheme="majorHAnsi" w:eastAsia="MS Mincho" w:hAnsiTheme="majorHAnsi" w:cs="Cambria"/>
          <w:color w:val="000000"/>
          <w:sz w:val="20"/>
          <w:szCs w:val="20"/>
          <w:u w:color="000000"/>
          <w:bdr w:val="none" w:sz="0" w:space="0" w:color="auto"/>
          <w:lang w:val="pt-BR" w:eastAsia="es-ES"/>
        </w:rPr>
        <w:t xml:space="preserve"> </w:t>
      </w:r>
      <w:r w:rsidR="00417BE8" w:rsidRPr="006D1C74">
        <w:rPr>
          <w:rFonts w:asciiTheme="majorHAnsi" w:eastAsia="MS Mincho" w:hAnsiTheme="majorHAnsi" w:cs="Cambria"/>
          <w:color w:val="000000"/>
          <w:sz w:val="20"/>
          <w:szCs w:val="20"/>
          <w:u w:color="000000"/>
          <w:bdr w:val="none" w:sz="0" w:space="0" w:color="auto"/>
          <w:lang w:val="pt-BR" w:eastAsia="es-ES"/>
        </w:rPr>
        <w:t>direito</w:t>
      </w:r>
      <w:r w:rsidR="00B6237A" w:rsidRPr="006D1C74">
        <w:rPr>
          <w:rFonts w:asciiTheme="majorHAnsi" w:eastAsia="MS Mincho" w:hAnsiTheme="majorHAnsi" w:cs="Cambria"/>
          <w:color w:val="000000"/>
          <w:sz w:val="20"/>
          <w:szCs w:val="20"/>
          <w:u w:color="000000"/>
          <w:bdr w:val="none" w:sz="0" w:space="0" w:color="auto"/>
          <w:lang w:val="pt-BR" w:eastAsia="es-ES"/>
        </w:rPr>
        <w:t>s políticos</w:t>
      </w:r>
      <w:r w:rsidR="00CF037E" w:rsidRPr="006D1C74">
        <w:rPr>
          <w:rFonts w:asciiTheme="majorHAnsi" w:eastAsia="MS Mincho" w:hAnsiTheme="majorHAnsi" w:cs="Cambria"/>
          <w:color w:val="000000"/>
          <w:sz w:val="20"/>
          <w:szCs w:val="20"/>
          <w:u w:color="000000"/>
          <w:bdr w:val="none" w:sz="0" w:space="0" w:color="auto"/>
          <w:lang w:val="pt-BR" w:eastAsia="es-ES"/>
        </w:rPr>
        <w:t xml:space="preserve"> e</w:t>
      </w:r>
      <w:r w:rsidR="00700267" w:rsidRPr="006D1C74">
        <w:rPr>
          <w:rFonts w:asciiTheme="majorHAnsi" w:eastAsia="MS Mincho" w:hAnsiTheme="majorHAnsi" w:cs="Cambria"/>
          <w:color w:val="000000"/>
          <w:sz w:val="20"/>
          <w:szCs w:val="20"/>
          <w:u w:color="000000"/>
          <w:bdr w:val="none" w:sz="0" w:space="0" w:color="auto"/>
          <w:lang w:val="pt-BR" w:eastAsia="es-ES"/>
        </w:rPr>
        <w:t xml:space="preserve"> </w:t>
      </w:r>
      <w:r w:rsidR="001032A6">
        <w:rPr>
          <w:rFonts w:asciiTheme="majorHAnsi" w:eastAsia="MS Mincho" w:hAnsiTheme="majorHAnsi" w:cs="Cambria"/>
          <w:color w:val="000000"/>
          <w:sz w:val="20"/>
          <w:szCs w:val="20"/>
          <w:u w:color="000000"/>
          <w:bdr w:val="none" w:sz="0" w:space="0" w:color="auto"/>
          <w:lang w:val="pt-BR" w:eastAsia="es-ES"/>
        </w:rPr>
        <w:t>d</w:t>
      </w:r>
      <w:r w:rsidR="00700267" w:rsidRPr="006D1C74">
        <w:rPr>
          <w:rFonts w:asciiTheme="majorHAnsi" w:eastAsia="MS Mincho" w:hAnsiTheme="majorHAnsi" w:cs="Cambria"/>
          <w:color w:val="000000"/>
          <w:sz w:val="20"/>
          <w:szCs w:val="20"/>
          <w:u w:color="000000"/>
          <w:bdr w:val="none" w:sz="0" w:space="0" w:color="auto"/>
          <w:lang w:val="pt-BR" w:eastAsia="es-ES"/>
        </w:rPr>
        <w:t xml:space="preserve">os </w:t>
      </w:r>
      <w:r w:rsidR="00417BE8" w:rsidRPr="006D1C74">
        <w:rPr>
          <w:rFonts w:asciiTheme="majorHAnsi" w:eastAsia="MS Mincho" w:hAnsiTheme="majorHAnsi" w:cs="Cambria"/>
          <w:color w:val="000000"/>
          <w:sz w:val="20"/>
          <w:szCs w:val="20"/>
          <w:u w:color="000000"/>
          <w:bdr w:val="none" w:sz="0" w:space="0" w:color="auto"/>
          <w:lang w:val="pt-BR" w:eastAsia="es-ES"/>
        </w:rPr>
        <w:t>direito</w:t>
      </w:r>
      <w:r w:rsidR="00B6237A" w:rsidRPr="006D1C74">
        <w:rPr>
          <w:rFonts w:asciiTheme="majorHAnsi" w:eastAsia="MS Mincho" w:hAnsiTheme="majorHAnsi" w:cs="Cambria"/>
          <w:color w:val="000000"/>
          <w:sz w:val="20"/>
          <w:szCs w:val="20"/>
          <w:u w:color="000000"/>
          <w:bdr w:val="none" w:sz="0" w:space="0" w:color="auto"/>
          <w:lang w:val="pt-BR" w:eastAsia="es-ES"/>
        </w:rPr>
        <w:t>s econ</w:t>
      </w:r>
      <w:r w:rsidR="001032A6">
        <w:rPr>
          <w:rFonts w:asciiTheme="majorHAnsi" w:eastAsia="MS Mincho" w:hAnsiTheme="majorHAnsi" w:cs="Cambria"/>
          <w:color w:val="000000"/>
          <w:sz w:val="20"/>
          <w:szCs w:val="20"/>
          <w:u w:color="000000"/>
          <w:bdr w:val="none" w:sz="0" w:space="0" w:color="auto"/>
          <w:lang w:val="pt-BR" w:eastAsia="es-ES"/>
        </w:rPr>
        <w:t>ô</w:t>
      </w:r>
      <w:r w:rsidR="00B6237A" w:rsidRPr="006D1C74">
        <w:rPr>
          <w:rFonts w:asciiTheme="majorHAnsi" w:eastAsia="MS Mincho" w:hAnsiTheme="majorHAnsi" w:cs="Cambria"/>
          <w:color w:val="000000"/>
          <w:sz w:val="20"/>
          <w:szCs w:val="20"/>
          <w:u w:color="000000"/>
          <w:bdr w:val="none" w:sz="0" w:space="0" w:color="auto"/>
          <w:lang w:val="pt-BR" w:eastAsia="es-ES"/>
        </w:rPr>
        <w:t>micos, soci</w:t>
      </w:r>
      <w:r w:rsidR="00700267" w:rsidRPr="006D1C74">
        <w:rPr>
          <w:rFonts w:asciiTheme="majorHAnsi" w:eastAsia="MS Mincho" w:hAnsiTheme="majorHAnsi" w:cs="Cambria"/>
          <w:color w:val="000000"/>
          <w:sz w:val="20"/>
          <w:szCs w:val="20"/>
          <w:u w:color="000000"/>
          <w:bdr w:val="none" w:sz="0" w:space="0" w:color="auto"/>
          <w:lang w:val="pt-BR" w:eastAsia="es-ES"/>
        </w:rPr>
        <w:t>ais</w:t>
      </w:r>
      <w:r w:rsidR="00B6237A" w:rsidRPr="006D1C74">
        <w:rPr>
          <w:rFonts w:asciiTheme="majorHAnsi" w:eastAsia="MS Mincho" w:hAnsiTheme="majorHAnsi" w:cs="Cambria"/>
          <w:color w:val="000000"/>
          <w:sz w:val="20"/>
          <w:szCs w:val="20"/>
          <w:u w:color="000000"/>
          <w:bdr w:val="none" w:sz="0" w:space="0" w:color="auto"/>
          <w:lang w:val="pt-BR" w:eastAsia="es-ES"/>
        </w:rPr>
        <w:t>, cultur</w:t>
      </w:r>
      <w:r w:rsidR="00700267" w:rsidRPr="006D1C74">
        <w:rPr>
          <w:rFonts w:asciiTheme="majorHAnsi" w:eastAsia="MS Mincho" w:hAnsiTheme="majorHAnsi" w:cs="Cambria"/>
          <w:color w:val="000000"/>
          <w:sz w:val="20"/>
          <w:szCs w:val="20"/>
          <w:u w:color="000000"/>
          <w:bdr w:val="none" w:sz="0" w:space="0" w:color="auto"/>
          <w:lang w:val="pt-BR" w:eastAsia="es-ES"/>
        </w:rPr>
        <w:t>ais</w:t>
      </w:r>
      <w:r w:rsidR="00CF037E" w:rsidRPr="006D1C74">
        <w:rPr>
          <w:rFonts w:asciiTheme="majorHAnsi" w:eastAsia="MS Mincho" w:hAnsiTheme="majorHAnsi" w:cs="Cambria"/>
          <w:color w:val="000000"/>
          <w:sz w:val="20"/>
          <w:szCs w:val="20"/>
          <w:u w:color="000000"/>
          <w:bdr w:val="none" w:sz="0" w:space="0" w:color="auto"/>
          <w:lang w:val="pt-BR" w:eastAsia="es-ES"/>
        </w:rPr>
        <w:t xml:space="preserve"> e </w:t>
      </w:r>
      <w:r w:rsidR="00B6237A" w:rsidRPr="006D1C74">
        <w:rPr>
          <w:rFonts w:asciiTheme="majorHAnsi" w:eastAsia="MS Mincho" w:hAnsiTheme="majorHAnsi" w:cs="Cambria"/>
          <w:color w:val="000000"/>
          <w:sz w:val="20"/>
          <w:szCs w:val="20"/>
          <w:u w:color="000000"/>
          <w:bdr w:val="none" w:sz="0" w:space="0" w:color="auto"/>
          <w:lang w:val="pt-BR" w:eastAsia="es-ES"/>
        </w:rPr>
        <w:t>ambient</w:t>
      </w:r>
      <w:r w:rsidR="00700267" w:rsidRPr="006D1C74">
        <w:rPr>
          <w:rFonts w:asciiTheme="majorHAnsi" w:eastAsia="MS Mincho" w:hAnsiTheme="majorHAnsi" w:cs="Cambria"/>
          <w:color w:val="000000"/>
          <w:sz w:val="20"/>
          <w:szCs w:val="20"/>
          <w:u w:color="000000"/>
          <w:bdr w:val="none" w:sz="0" w:space="0" w:color="auto"/>
          <w:lang w:val="pt-BR" w:eastAsia="es-ES"/>
        </w:rPr>
        <w:t>ais</w:t>
      </w:r>
      <w:r w:rsidR="00B6237A" w:rsidRPr="006D1C74">
        <w:rPr>
          <w:rFonts w:asciiTheme="majorHAnsi" w:eastAsia="MS Mincho" w:hAnsiTheme="majorHAnsi" w:cs="Cambria"/>
          <w:color w:val="000000"/>
          <w:sz w:val="20"/>
          <w:szCs w:val="20"/>
          <w:u w:color="000000"/>
          <w:bdr w:val="none" w:sz="0" w:space="0" w:color="auto"/>
          <w:lang w:val="pt-BR" w:eastAsia="es-ES"/>
        </w:rPr>
        <w:t>”</w:t>
      </w:r>
      <w:r w:rsidR="00B6237A" w:rsidRPr="006D1C74">
        <w:rPr>
          <w:rStyle w:val="FootnoteReference"/>
          <w:rFonts w:asciiTheme="majorHAnsi" w:eastAsia="MS Mincho" w:hAnsiTheme="majorHAnsi" w:cs="Cambria"/>
          <w:color w:val="000000"/>
          <w:sz w:val="20"/>
          <w:szCs w:val="20"/>
          <w:u w:color="000000"/>
          <w:bdr w:val="none" w:sz="0" w:space="0" w:color="auto"/>
          <w:lang w:val="pt-BR" w:eastAsia="es-ES"/>
        </w:rPr>
        <w:footnoteReference w:id="73"/>
      </w:r>
      <w:r w:rsidR="00B6237A" w:rsidRPr="006D1C74">
        <w:rPr>
          <w:rFonts w:asciiTheme="majorHAnsi" w:eastAsia="MS Mincho" w:hAnsiTheme="majorHAnsi" w:cs="Cambria"/>
          <w:color w:val="000000"/>
          <w:sz w:val="20"/>
          <w:szCs w:val="20"/>
          <w:u w:color="000000"/>
          <w:bdr w:val="none" w:sz="0" w:space="0" w:color="auto"/>
          <w:lang w:val="pt-BR" w:eastAsia="es-ES"/>
        </w:rPr>
        <w:t>.</w:t>
      </w:r>
      <w:r w:rsidR="00F37852" w:rsidRPr="006D1C74">
        <w:rPr>
          <w:rFonts w:asciiTheme="majorHAnsi" w:eastAsia="MS Mincho" w:hAnsiTheme="majorHAnsi" w:cs="Cambria"/>
          <w:color w:val="000000"/>
          <w:sz w:val="20"/>
          <w:szCs w:val="20"/>
          <w:u w:color="000000"/>
          <w:bdr w:val="none" w:sz="0" w:space="0" w:color="auto"/>
          <w:lang w:val="pt-BR" w:eastAsia="es-ES"/>
        </w:rPr>
        <w:t xml:space="preserve"> </w:t>
      </w:r>
      <w:r w:rsidRPr="006D1C74">
        <w:rPr>
          <w:rFonts w:asciiTheme="majorHAnsi" w:eastAsia="MS Mincho" w:hAnsiTheme="majorHAnsi" w:cs="Cambria"/>
          <w:color w:val="000000"/>
          <w:sz w:val="20"/>
          <w:szCs w:val="20"/>
          <w:u w:color="000000"/>
          <w:bdr w:val="none" w:sz="0" w:space="0" w:color="auto"/>
          <w:lang w:val="pt-BR" w:eastAsia="es-ES"/>
        </w:rPr>
        <w:t xml:space="preserve">Assim, </w:t>
      </w:r>
      <w:r w:rsidR="00700267" w:rsidRPr="006D1C74">
        <w:rPr>
          <w:rFonts w:asciiTheme="majorHAnsi" w:eastAsia="MS Mincho" w:hAnsiTheme="majorHAnsi" w:cs="Cambria"/>
          <w:color w:val="000000"/>
          <w:sz w:val="20"/>
          <w:szCs w:val="20"/>
          <w:u w:color="000000"/>
          <w:bdr w:val="none" w:sz="0" w:space="0" w:color="auto"/>
          <w:lang w:val="pt-BR" w:eastAsia="es-ES"/>
        </w:rPr>
        <w:t xml:space="preserve">a </w:t>
      </w:r>
      <w:r w:rsidR="00623C35" w:rsidRPr="006D1C74">
        <w:rPr>
          <w:rFonts w:asciiTheme="majorHAnsi" w:eastAsia="MS Mincho" w:hAnsiTheme="majorHAnsi" w:cs="Cambria"/>
          <w:color w:val="000000"/>
          <w:sz w:val="20"/>
          <w:szCs w:val="20"/>
          <w:u w:color="000000"/>
          <w:bdr w:val="none" w:sz="0" w:space="0" w:color="auto"/>
          <w:lang w:val="pt-BR" w:eastAsia="es-ES"/>
        </w:rPr>
        <w:t>liberdade</w:t>
      </w:r>
      <w:r w:rsidR="002649F0" w:rsidRPr="006D1C74">
        <w:rPr>
          <w:rFonts w:asciiTheme="majorHAnsi" w:eastAsia="MS Mincho" w:hAnsiTheme="majorHAnsi" w:cs="Cambria"/>
          <w:color w:val="000000"/>
          <w:sz w:val="20"/>
          <w:szCs w:val="20"/>
          <w:u w:color="000000"/>
          <w:bdr w:val="none" w:sz="0" w:space="0" w:color="auto"/>
          <w:lang w:val="pt-BR" w:eastAsia="es-ES"/>
        </w:rPr>
        <w:t xml:space="preserve"> de </w:t>
      </w:r>
      <w:r w:rsidR="00BA111B" w:rsidRPr="006D1C74">
        <w:rPr>
          <w:rFonts w:asciiTheme="majorHAnsi" w:eastAsia="MS Mincho" w:hAnsiTheme="majorHAnsi" w:cs="Cambria"/>
          <w:color w:val="000000"/>
          <w:sz w:val="20"/>
          <w:szCs w:val="20"/>
          <w:u w:color="000000"/>
          <w:bdr w:val="none" w:sz="0" w:space="0" w:color="auto"/>
          <w:lang w:val="pt-BR" w:eastAsia="es-ES"/>
        </w:rPr>
        <w:t>expressão</w:t>
      </w:r>
      <w:r w:rsidR="002649F0" w:rsidRPr="006D1C74">
        <w:rPr>
          <w:rFonts w:asciiTheme="majorHAnsi" w:eastAsia="MS Mincho" w:hAnsiTheme="majorHAnsi" w:cs="Cambria"/>
          <w:color w:val="000000"/>
          <w:sz w:val="20"/>
          <w:szCs w:val="20"/>
          <w:u w:color="000000"/>
          <w:bdr w:val="none" w:sz="0" w:space="0" w:color="auto"/>
          <w:lang w:val="pt-BR" w:eastAsia="es-ES"/>
        </w:rPr>
        <w:t xml:space="preserve"> está </w:t>
      </w:r>
      <w:r w:rsidR="00BA111B" w:rsidRPr="006D1C74">
        <w:rPr>
          <w:rFonts w:asciiTheme="majorHAnsi" w:eastAsia="MS Mincho" w:hAnsiTheme="majorHAnsi" w:cs="Cambria"/>
          <w:color w:val="000000"/>
          <w:sz w:val="20"/>
          <w:szCs w:val="20"/>
          <w:u w:color="000000"/>
          <w:bdr w:val="none" w:sz="0" w:space="0" w:color="auto"/>
          <w:lang w:val="pt-BR" w:eastAsia="es-ES"/>
        </w:rPr>
        <w:t>intrinsecamente</w:t>
      </w:r>
      <w:r w:rsidR="002649F0" w:rsidRPr="006D1C74">
        <w:rPr>
          <w:rFonts w:asciiTheme="majorHAnsi" w:eastAsia="MS Mincho" w:hAnsiTheme="majorHAnsi" w:cs="Cambria"/>
          <w:color w:val="000000"/>
          <w:sz w:val="20"/>
          <w:szCs w:val="20"/>
          <w:u w:color="000000"/>
          <w:bdr w:val="none" w:sz="0" w:space="0" w:color="auto"/>
          <w:lang w:val="pt-BR" w:eastAsia="es-ES"/>
        </w:rPr>
        <w:t xml:space="preserve"> relacionada</w:t>
      </w:r>
      <w:r w:rsidR="00F673C7" w:rsidRPr="006D1C74">
        <w:rPr>
          <w:rFonts w:asciiTheme="majorHAnsi" w:eastAsia="MS Mincho" w:hAnsiTheme="majorHAnsi" w:cs="Cambria"/>
          <w:color w:val="000000"/>
          <w:sz w:val="20"/>
          <w:szCs w:val="20"/>
          <w:u w:color="000000"/>
          <w:bdr w:val="none" w:sz="0" w:space="0" w:color="auto"/>
          <w:lang w:val="pt-BR" w:eastAsia="es-ES"/>
        </w:rPr>
        <w:t xml:space="preserve"> com </w:t>
      </w:r>
      <w:r w:rsidR="00700267" w:rsidRPr="006D1C74">
        <w:rPr>
          <w:rFonts w:asciiTheme="majorHAnsi" w:eastAsia="MS Mincho" w:hAnsiTheme="majorHAnsi" w:cs="Cambria"/>
          <w:color w:val="000000"/>
          <w:sz w:val="20"/>
          <w:szCs w:val="20"/>
          <w:u w:color="000000"/>
          <w:bdr w:val="none" w:sz="0" w:space="0" w:color="auto"/>
          <w:lang w:val="pt-BR" w:eastAsia="es-ES"/>
        </w:rPr>
        <w:t xml:space="preserve">o </w:t>
      </w:r>
      <w:r w:rsidR="00417BE8" w:rsidRPr="006D1C74">
        <w:rPr>
          <w:rFonts w:asciiTheme="majorHAnsi" w:eastAsia="MS Mincho" w:hAnsiTheme="majorHAnsi" w:cs="Cambria"/>
          <w:color w:val="000000"/>
          <w:sz w:val="20"/>
          <w:szCs w:val="20"/>
          <w:u w:color="000000"/>
          <w:bdr w:val="none" w:sz="0" w:space="0" w:color="auto"/>
          <w:lang w:val="pt-BR" w:eastAsia="es-ES"/>
        </w:rPr>
        <w:t>direito</w:t>
      </w:r>
      <w:r w:rsidR="002649F0" w:rsidRPr="006D1C74">
        <w:rPr>
          <w:rFonts w:asciiTheme="majorHAnsi" w:eastAsia="MS Mincho" w:hAnsiTheme="majorHAnsi" w:cs="Cambria"/>
          <w:color w:val="000000"/>
          <w:sz w:val="20"/>
          <w:szCs w:val="20"/>
          <w:u w:color="000000"/>
          <w:bdr w:val="none" w:sz="0" w:space="0" w:color="auto"/>
          <w:lang w:val="pt-BR" w:eastAsia="es-ES"/>
        </w:rPr>
        <w:t xml:space="preserve"> de </w:t>
      </w:r>
      <w:r w:rsidR="00E327B7" w:rsidRPr="006D1C74">
        <w:rPr>
          <w:rFonts w:asciiTheme="majorHAnsi" w:eastAsia="MS Mincho" w:hAnsiTheme="majorHAnsi" w:cs="Cambria"/>
          <w:color w:val="000000"/>
          <w:sz w:val="20"/>
          <w:szCs w:val="20"/>
          <w:u w:color="000000"/>
          <w:bdr w:val="none" w:sz="0" w:space="0" w:color="auto"/>
          <w:lang w:val="pt-BR" w:eastAsia="es-ES"/>
        </w:rPr>
        <w:t>reunião</w:t>
      </w:r>
      <w:r w:rsidR="002649F0" w:rsidRPr="006D1C74">
        <w:rPr>
          <w:rFonts w:asciiTheme="majorHAnsi" w:eastAsia="MS Mincho" w:hAnsiTheme="majorHAnsi" w:cs="Cambria"/>
          <w:color w:val="000000"/>
          <w:sz w:val="20"/>
          <w:szCs w:val="20"/>
          <w:u w:color="000000"/>
          <w:bdr w:val="none" w:sz="0" w:space="0" w:color="auto"/>
          <w:lang w:val="pt-BR" w:eastAsia="es-ES"/>
        </w:rPr>
        <w:t>.</w:t>
      </w:r>
      <w:r w:rsidR="00B6237A" w:rsidRPr="006D1C74">
        <w:rPr>
          <w:rFonts w:asciiTheme="majorHAnsi" w:eastAsia="MS Mincho" w:hAnsiTheme="majorHAnsi" w:cs="Cambria"/>
          <w:color w:val="000000"/>
          <w:sz w:val="20"/>
          <w:szCs w:val="20"/>
          <w:u w:color="000000"/>
          <w:bdr w:val="none" w:sz="0" w:space="0" w:color="auto"/>
          <w:lang w:val="pt-BR" w:eastAsia="es-ES"/>
        </w:rPr>
        <w:t xml:space="preserve"> A</w:t>
      </w:r>
      <w:r w:rsidRPr="006D1C74">
        <w:rPr>
          <w:rFonts w:asciiTheme="majorHAnsi" w:eastAsia="MS Mincho" w:hAnsiTheme="majorHAnsi" w:cs="Cambria"/>
          <w:color w:val="000000"/>
          <w:sz w:val="20"/>
          <w:szCs w:val="20"/>
          <w:u w:color="000000"/>
          <w:bdr w:val="none" w:sz="0" w:space="0" w:color="auto"/>
          <w:lang w:val="pt-BR" w:eastAsia="es-ES"/>
        </w:rPr>
        <w:t>lém disso</w:t>
      </w:r>
      <w:r w:rsidR="00B6237A" w:rsidRPr="006D1C74">
        <w:rPr>
          <w:rFonts w:asciiTheme="majorHAnsi" w:eastAsia="MS Mincho" w:hAnsiTheme="majorHAnsi" w:cs="Cambria"/>
          <w:color w:val="000000"/>
          <w:sz w:val="20"/>
          <w:szCs w:val="20"/>
          <w:u w:color="000000"/>
          <w:bdr w:val="none" w:sz="0" w:space="0" w:color="auto"/>
          <w:lang w:val="pt-BR" w:eastAsia="es-ES"/>
        </w:rPr>
        <w:t>,</w:t>
      </w:r>
      <w:r w:rsidR="00700267" w:rsidRPr="006D1C74">
        <w:rPr>
          <w:rFonts w:asciiTheme="majorHAnsi" w:eastAsia="MS Mincho" w:hAnsiTheme="majorHAnsi" w:cs="Cambria"/>
          <w:color w:val="000000"/>
          <w:sz w:val="20"/>
          <w:szCs w:val="20"/>
          <w:u w:color="000000"/>
          <w:bdr w:val="none" w:sz="0" w:space="0" w:color="auto"/>
          <w:lang w:val="pt-BR" w:eastAsia="es-ES"/>
        </w:rPr>
        <w:t xml:space="preserve"> a </w:t>
      </w:r>
      <w:r w:rsidR="00417BE8" w:rsidRPr="006D1C74">
        <w:rPr>
          <w:rFonts w:asciiTheme="majorHAnsi" w:eastAsia="MS Mincho" w:hAnsiTheme="majorHAnsi" w:cs="Cambria"/>
          <w:color w:val="000000"/>
          <w:sz w:val="20"/>
          <w:szCs w:val="20"/>
          <w:u w:color="000000"/>
          <w:bdr w:val="none" w:sz="0" w:space="0" w:color="auto"/>
          <w:lang w:val="pt-BR" w:eastAsia="es-ES"/>
        </w:rPr>
        <w:t>Comissão</w:t>
      </w:r>
      <w:r w:rsidR="00B6237A" w:rsidRPr="006D1C74">
        <w:rPr>
          <w:rFonts w:asciiTheme="majorHAnsi" w:eastAsia="MS Mincho" w:hAnsiTheme="majorHAnsi" w:cs="Cambria"/>
          <w:color w:val="000000"/>
          <w:sz w:val="20"/>
          <w:szCs w:val="20"/>
          <w:u w:color="000000"/>
          <w:bdr w:val="none" w:sz="0" w:space="0" w:color="auto"/>
          <w:lang w:val="pt-BR" w:eastAsia="es-ES"/>
        </w:rPr>
        <w:t xml:space="preserve"> </w:t>
      </w:r>
      <w:r w:rsidRPr="006D1C74">
        <w:rPr>
          <w:rFonts w:asciiTheme="majorHAnsi" w:eastAsia="MS Mincho" w:hAnsiTheme="majorHAnsi" w:cs="Cambria"/>
          <w:color w:val="000000"/>
          <w:sz w:val="20"/>
          <w:szCs w:val="20"/>
          <w:u w:color="000000"/>
          <w:bdr w:val="none" w:sz="0" w:space="0" w:color="auto"/>
          <w:lang w:val="pt-BR" w:eastAsia="es-ES"/>
        </w:rPr>
        <w:t>assinalou</w:t>
      </w:r>
      <w:r w:rsidR="00B6237A" w:rsidRPr="006D1C74">
        <w:rPr>
          <w:rFonts w:asciiTheme="majorHAnsi" w:eastAsia="MS Mincho" w:hAnsiTheme="majorHAnsi" w:cs="Cambria"/>
          <w:color w:val="000000"/>
          <w:sz w:val="20"/>
          <w:szCs w:val="20"/>
          <w:u w:color="000000"/>
          <w:bdr w:val="none" w:sz="0" w:space="0" w:color="auto"/>
          <w:lang w:val="pt-BR" w:eastAsia="es-ES"/>
        </w:rPr>
        <w:t xml:space="preserve"> que</w:t>
      </w:r>
      <w:r w:rsidR="00700267" w:rsidRPr="006D1C74">
        <w:rPr>
          <w:rFonts w:asciiTheme="majorHAnsi" w:eastAsia="MS Mincho" w:hAnsiTheme="majorHAnsi" w:cs="Cambria"/>
          <w:color w:val="000000"/>
          <w:sz w:val="20"/>
          <w:szCs w:val="20"/>
          <w:u w:color="000000"/>
          <w:bdr w:val="none" w:sz="0" w:space="0" w:color="auto"/>
          <w:lang w:val="pt-BR" w:eastAsia="es-ES"/>
        </w:rPr>
        <w:t xml:space="preserve"> o </w:t>
      </w:r>
      <w:r w:rsidR="00417BE8" w:rsidRPr="006D1C74">
        <w:rPr>
          <w:rFonts w:asciiTheme="majorHAnsi" w:eastAsia="MS Mincho" w:hAnsiTheme="majorHAnsi" w:cs="Cambria"/>
          <w:color w:val="000000"/>
          <w:sz w:val="20"/>
          <w:szCs w:val="20"/>
          <w:u w:color="000000"/>
          <w:bdr w:val="none" w:sz="0" w:space="0" w:color="auto"/>
          <w:lang w:val="pt-BR" w:eastAsia="es-ES"/>
        </w:rPr>
        <w:t>direito</w:t>
      </w:r>
      <w:r w:rsidR="00030019" w:rsidRPr="006D1C74">
        <w:rPr>
          <w:rFonts w:asciiTheme="majorHAnsi" w:eastAsia="MS Mincho" w:hAnsiTheme="majorHAnsi" w:cs="Cambria"/>
          <w:color w:val="000000"/>
          <w:sz w:val="20"/>
          <w:szCs w:val="20"/>
          <w:u w:color="000000"/>
          <w:bdr w:val="none" w:sz="0" w:space="0" w:color="auto"/>
          <w:lang w:val="pt-BR" w:eastAsia="es-ES"/>
        </w:rPr>
        <w:t xml:space="preserve"> à </w:t>
      </w:r>
      <w:r w:rsidR="00B6237A" w:rsidRPr="006D1C74">
        <w:rPr>
          <w:rFonts w:asciiTheme="majorHAnsi" w:eastAsia="MS Mincho" w:hAnsiTheme="majorHAnsi" w:cs="Cambria"/>
          <w:color w:val="000000"/>
          <w:sz w:val="20"/>
          <w:szCs w:val="20"/>
          <w:u w:color="000000"/>
          <w:bdr w:val="none" w:sz="0" w:space="0" w:color="auto"/>
          <w:lang w:val="pt-BR" w:eastAsia="es-ES"/>
        </w:rPr>
        <w:t>li</w:t>
      </w:r>
      <w:r w:rsidRPr="006D1C74">
        <w:rPr>
          <w:rFonts w:asciiTheme="majorHAnsi" w:eastAsia="MS Mincho" w:hAnsiTheme="majorHAnsi" w:cs="Cambria"/>
          <w:color w:val="000000"/>
          <w:sz w:val="20"/>
          <w:szCs w:val="20"/>
          <w:u w:color="000000"/>
          <w:bdr w:val="none" w:sz="0" w:space="0" w:color="auto"/>
          <w:lang w:val="pt-BR" w:eastAsia="es-ES"/>
        </w:rPr>
        <w:t>v</w:t>
      </w:r>
      <w:r w:rsidR="00B6237A" w:rsidRPr="006D1C74">
        <w:rPr>
          <w:rFonts w:asciiTheme="majorHAnsi" w:eastAsia="MS Mincho" w:hAnsiTheme="majorHAnsi" w:cs="Cambria"/>
          <w:color w:val="000000"/>
          <w:sz w:val="20"/>
          <w:szCs w:val="20"/>
          <w:u w:color="000000"/>
          <w:bdr w:val="none" w:sz="0" w:space="0" w:color="auto"/>
          <w:lang w:val="pt-BR" w:eastAsia="es-ES"/>
        </w:rPr>
        <w:t>re manifesta</w:t>
      </w:r>
      <w:r w:rsidR="00CF037E" w:rsidRPr="006D1C74">
        <w:rPr>
          <w:rFonts w:asciiTheme="majorHAnsi" w:eastAsia="MS Mincho" w:hAnsiTheme="majorHAnsi" w:cs="Cambria"/>
          <w:color w:val="000000"/>
          <w:sz w:val="20"/>
          <w:szCs w:val="20"/>
          <w:u w:color="000000"/>
          <w:bdr w:val="none" w:sz="0" w:space="0" w:color="auto"/>
          <w:lang w:val="pt-BR" w:eastAsia="es-ES"/>
        </w:rPr>
        <w:t>ção e</w:t>
      </w:r>
      <w:r w:rsidR="00030019" w:rsidRPr="006D1C74">
        <w:rPr>
          <w:rFonts w:asciiTheme="majorHAnsi" w:eastAsia="MS Mincho" w:hAnsiTheme="majorHAnsi" w:cs="Cambria"/>
          <w:color w:val="000000"/>
          <w:sz w:val="20"/>
          <w:szCs w:val="20"/>
          <w:u w:color="000000"/>
          <w:bdr w:val="none" w:sz="0" w:space="0" w:color="auto"/>
          <w:lang w:val="pt-BR" w:eastAsia="es-ES"/>
        </w:rPr>
        <w:t xml:space="preserve"> </w:t>
      </w:r>
      <w:r w:rsidRPr="006D1C74">
        <w:rPr>
          <w:rFonts w:asciiTheme="majorHAnsi" w:eastAsia="MS Mincho" w:hAnsiTheme="majorHAnsi" w:cs="Cambria"/>
          <w:color w:val="000000"/>
          <w:sz w:val="20"/>
          <w:szCs w:val="20"/>
          <w:u w:color="000000"/>
          <w:bdr w:val="none" w:sz="0" w:space="0" w:color="auto"/>
          <w:lang w:val="pt-BR" w:eastAsia="es-ES"/>
        </w:rPr>
        <w:t>ao</w:t>
      </w:r>
      <w:r w:rsidR="00030019" w:rsidRPr="006D1C74">
        <w:rPr>
          <w:rFonts w:asciiTheme="majorHAnsi" w:eastAsia="MS Mincho" w:hAnsiTheme="majorHAnsi" w:cs="Cambria"/>
          <w:color w:val="000000"/>
          <w:sz w:val="20"/>
          <w:szCs w:val="20"/>
          <w:u w:color="000000"/>
          <w:bdr w:val="none" w:sz="0" w:space="0" w:color="auto"/>
          <w:lang w:val="pt-BR" w:eastAsia="es-ES"/>
        </w:rPr>
        <w:t xml:space="preserve"> </w:t>
      </w:r>
      <w:r w:rsidR="00B6237A" w:rsidRPr="006D1C74">
        <w:rPr>
          <w:rFonts w:asciiTheme="majorHAnsi" w:eastAsia="MS Mincho" w:hAnsiTheme="majorHAnsi" w:cs="Cambria"/>
          <w:color w:val="000000"/>
          <w:sz w:val="20"/>
          <w:szCs w:val="20"/>
          <w:u w:color="000000"/>
          <w:bdr w:val="none" w:sz="0" w:space="0" w:color="auto"/>
          <w:lang w:val="pt-BR" w:eastAsia="es-ES"/>
        </w:rPr>
        <w:t>protest</w:t>
      </w:r>
      <w:r w:rsidRPr="006D1C74">
        <w:rPr>
          <w:rFonts w:asciiTheme="majorHAnsi" w:eastAsia="MS Mincho" w:hAnsiTheme="majorHAnsi" w:cs="Cambria"/>
          <w:color w:val="000000"/>
          <w:sz w:val="20"/>
          <w:szCs w:val="20"/>
          <w:u w:color="000000"/>
          <w:bdr w:val="none" w:sz="0" w:space="0" w:color="auto"/>
          <w:lang w:val="pt-BR" w:eastAsia="es-ES"/>
        </w:rPr>
        <w:t>o</w:t>
      </w:r>
      <w:r w:rsidR="00B6237A" w:rsidRPr="006D1C74">
        <w:rPr>
          <w:rFonts w:asciiTheme="majorHAnsi" w:eastAsia="MS Mincho" w:hAnsiTheme="majorHAnsi" w:cs="Cambria"/>
          <w:color w:val="000000"/>
          <w:sz w:val="20"/>
          <w:szCs w:val="20"/>
          <w:u w:color="000000"/>
          <w:bdr w:val="none" w:sz="0" w:space="0" w:color="auto"/>
          <w:lang w:val="pt-BR" w:eastAsia="es-ES"/>
        </w:rPr>
        <w:t xml:space="preserve"> pacífic</w:t>
      </w:r>
      <w:r w:rsidRPr="006D1C74">
        <w:rPr>
          <w:rFonts w:asciiTheme="majorHAnsi" w:eastAsia="MS Mincho" w:hAnsiTheme="majorHAnsi" w:cs="Cambria"/>
          <w:color w:val="000000"/>
          <w:sz w:val="20"/>
          <w:szCs w:val="20"/>
          <w:u w:color="000000"/>
          <w:bdr w:val="none" w:sz="0" w:space="0" w:color="auto"/>
          <w:lang w:val="pt-BR" w:eastAsia="es-ES"/>
        </w:rPr>
        <w:t>o</w:t>
      </w:r>
      <w:r w:rsidR="00F37852" w:rsidRPr="006D1C74">
        <w:rPr>
          <w:rFonts w:asciiTheme="majorHAnsi" w:eastAsia="MS Mincho" w:hAnsiTheme="majorHAnsi" w:cs="Cambria"/>
          <w:color w:val="000000"/>
          <w:sz w:val="20"/>
          <w:szCs w:val="20"/>
          <w:u w:color="000000"/>
          <w:bdr w:val="none" w:sz="0" w:space="0" w:color="auto"/>
          <w:lang w:val="pt-BR" w:eastAsia="es-ES"/>
        </w:rPr>
        <w:t xml:space="preserve"> </w:t>
      </w:r>
      <w:r w:rsidRPr="006D1C74">
        <w:rPr>
          <w:rFonts w:asciiTheme="majorHAnsi" w:eastAsia="MS Mincho" w:hAnsiTheme="majorHAnsi" w:cs="Cambria"/>
          <w:color w:val="000000"/>
          <w:sz w:val="20"/>
          <w:szCs w:val="20"/>
          <w:u w:color="000000"/>
          <w:bdr w:val="none" w:sz="0" w:space="0" w:color="auto"/>
          <w:lang w:val="pt-BR" w:eastAsia="es-ES"/>
        </w:rPr>
        <w:t>é</w:t>
      </w:r>
      <w:r w:rsidR="00F37852" w:rsidRPr="006D1C74">
        <w:rPr>
          <w:rFonts w:asciiTheme="majorHAnsi" w:eastAsia="MS Mincho" w:hAnsiTheme="majorHAnsi" w:cs="Cambria"/>
          <w:color w:val="000000"/>
          <w:sz w:val="20"/>
          <w:szCs w:val="20"/>
          <w:u w:color="000000"/>
          <w:bdr w:val="none" w:sz="0" w:space="0" w:color="auto"/>
          <w:lang w:val="pt-BR" w:eastAsia="es-ES"/>
        </w:rPr>
        <w:t xml:space="preserve"> </w:t>
      </w:r>
      <w:r w:rsidR="00B6237A" w:rsidRPr="006D1C74">
        <w:rPr>
          <w:rFonts w:asciiTheme="majorHAnsi" w:eastAsia="MS Mincho" w:hAnsiTheme="majorHAnsi" w:cs="Cambria"/>
          <w:color w:val="000000"/>
          <w:sz w:val="20"/>
          <w:szCs w:val="20"/>
          <w:u w:color="000000"/>
          <w:bdr w:val="none" w:sz="0" w:space="0" w:color="auto"/>
          <w:lang w:val="pt-BR" w:eastAsia="es-ES"/>
        </w:rPr>
        <w:t xml:space="preserve">elemento </w:t>
      </w:r>
      <w:r w:rsidR="00BA111B" w:rsidRPr="006D1C74">
        <w:rPr>
          <w:rFonts w:asciiTheme="majorHAnsi" w:eastAsia="MS Mincho" w:hAnsiTheme="majorHAnsi" w:cs="Cambria"/>
          <w:color w:val="000000"/>
          <w:sz w:val="20"/>
          <w:szCs w:val="20"/>
          <w:u w:color="000000"/>
          <w:bdr w:val="none" w:sz="0" w:space="0" w:color="auto"/>
          <w:lang w:val="pt-BR" w:eastAsia="es-ES"/>
        </w:rPr>
        <w:t>essencial</w:t>
      </w:r>
      <w:r w:rsidR="00030019" w:rsidRPr="006D1C74">
        <w:rPr>
          <w:rFonts w:asciiTheme="majorHAnsi" w:eastAsia="MS Mincho" w:hAnsiTheme="majorHAnsi" w:cs="Cambria"/>
          <w:color w:val="000000"/>
          <w:sz w:val="20"/>
          <w:szCs w:val="20"/>
          <w:u w:color="000000"/>
          <w:bdr w:val="none" w:sz="0" w:space="0" w:color="auto"/>
          <w:lang w:val="pt-BR" w:eastAsia="es-ES"/>
        </w:rPr>
        <w:t xml:space="preserve"> do </w:t>
      </w:r>
      <w:r w:rsidR="00B6237A" w:rsidRPr="006D1C74">
        <w:rPr>
          <w:rFonts w:asciiTheme="majorHAnsi" w:eastAsia="MS Mincho" w:hAnsiTheme="majorHAnsi" w:cs="Cambria"/>
          <w:color w:val="000000"/>
          <w:sz w:val="20"/>
          <w:szCs w:val="20"/>
          <w:u w:color="000000"/>
          <w:bdr w:val="none" w:sz="0" w:space="0" w:color="auto"/>
          <w:lang w:val="pt-BR" w:eastAsia="es-ES"/>
        </w:rPr>
        <w:t>funciona</w:t>
      </w:r>
      <w:r w:rsidR="00700267" w:rsidRPr="006D1C74">
        <w:rPr>
          <w:rFonts w:asciiTheme="majorHAnsi" w:eastAsia="MS Mincho" w:hAnsiTheme="majorHAnsi" w:cs="Cambria"/>
          <w:color w:val="000000"/>
          <w:sz w:val="20"/>
          <w:szCs w:val="20"/>
          <w:u w:color="000000"/>
          <w:bdr w:val="none" w:sz="0" w:space="0" w:color="auto"/>
          <w:lang w:val="pt-BR" w:eastAsia="es-ES"/>
        </w:rPr>
        <w:t>mento</w:t>
      </w:r>
      <w:r w:rsidR="00CF037E" w:rsidRPr="006D1C74">
        <w:rPr>
          <w:rFonts w:asciiTheme="majorHAnsi" w:eastAsia="MS Mincho" w:hAnsiTheme="majorHAnsi" w:cs="Cambria"/>
          <w:color w:val="000000"/>
          <w:sz w:val="20"/>
          <w:szCs w:val="20"/>
          <w:u w:color="000000"/>
          <w:bdr w:val="none" w:sz="0" w:space="0" w:color="auto"/>
          <w:lang w:val="pt-BR" w:eastAsia="es-ES"/>
        </w:rPr>
        <w:t xml:space="preserve"> e</w:t>
      </w:r>
      <w:r w:rsidR="00700267" w:rsidRPr="006D1C74">
        <w:rPr>
          <w:rFonts w:asciiTheme="majorHAnsi" w:eastAsia="MS Mincho" w:hAnsiTheme="majorHAnsi" w:cs="Cambria"/>
          <w:color w:val="000000"/>
          <w:sz w:val="20"/>
          <w:szCs w:val="20"/>
          <w:u w:color="000000"/>
          <w:bdr w:val="none" w:sz="0" w:space="0" w:color="auto"/>
          <w:lang w:val="pt-BR" w:eastAsia="es-ES"/>
        </w:rPr>
        <w:t xml:space="preserve"> </w:t>
      </w:r>
      <w:r w:rsidRPr="006D1C74">
        <w:rPr>
          <w:rFonts w:asciiTheme="majorHAnsi" w:eastAsia="MS Mincho" w:hAnsiTheme="majorHAnsi" w:cs="Cambria"/>
          <w:color w:val="000000"/>
          <w:sz w:val="20"/>
          <w:szCs w:val="20"/>
          <w:u w:color="000000"/>
          <w:bdr w:val="none" w:sz="0" w:space="0" w:color="auto"/>
          <w:lang w:val="pt-BR" w:eastAsia="es-ES"/>
        </w:rPr>
        <w:t>d</w:t>
      </w:r>
      <w:r w:rsidR="00700267" w:rsidRPr="006D1C74">
        <w:rPr>
          <w:rFonts w:asciiTheme="majorHAnsi" w:eastAsia="MS Mincho" w:hAnsiTheme="majorHAnsi" w:cs="Cambria"/>
          <w:color w:val="000000"/>
          <w:sz w:val="20"/>
          <w:szCs w:val="20"/>
          <w:u w:color="000000"/>
          <w:bdr w:val="none" w:sz="0" w:space="0" w:color="auto"/>
          <w:lang w:val="pt-BR" w:eastAsia="es-ES"/>
        </w:rPr>
        <w:t xml:space="preserve">a </w:t>
      </w:r>
      <w:r w:rsidRPr="006D1C74">
        <w:rPr>
          <w:rFonts w:asciiTheme="majorHAnsi" w:eastAsia="MS Mincho" w:hAnsiTheme="majorHAnsi" w:cs="Cambria"/>
          <w:color w:val="000000"/>
          <w:sz w:val="20"/>
          <w:szCs w:val="20"/>
          <w:u w:color="000000"/>
          <w:bdr w:val="none" w:sz="0" w:space="0" w:color="auto"/>
          <w:lang w:val="pt-BR" w:eastAsia="es-ES"/>
        </w:rPr>
        <w:t xml:space="preserve">própria </w:t>
      </w:r>
      <w:r w:rsidR="00BA111B" w:rsidRPr="006D1C74">
        <w:rPr>
          <w:rFonts w:asciiTheme="majorHAnsi" w:eastAsia="MS Mincho" w:hAnsiTheme="majorHAnsi" w:cs="Cambria"/>
          <w:color w:val="000000"/>
          <w:sz w:val="20"/>
          <w:szCs w:val="20"/>
          <w:u w:color="000000"/>
          <w:bdr w:val="none" w:sz="0" w:space="0" w:color="auto"/>
          <w:lang w:val="pt-BR" w:eastAsia="es-ES"/>
        </w:rPr>
        <w:t>existência</w:t>
      </w:r>
      <w:r w:rsidR="00B6237A" w:rsidRPr="006D1C74">
        <w:rPr>
          <w:rFonts w:asciiTheme="majorHAnsi" w:eastAsia="MS Mincho" w:hAnsiTheme="majorHAnsi" w:cs="Cambria"/>
          <w:color w:val="000000"/>
          <w:sz w:val="20"/>
          <w:szCs w:val="20"/>
          <w:u w:color="000000"/>
          <w:bdr w:val="none" w:sz="0" w:space="0" w:color="auto"/>
          <w:lang w:val="pt-BR" w:eastAsia="es-ES"/>
        </w:rPr>
        <w:t xml:space="preserve"> </w:t>
      </w:r>
      <w:r w:rsidR="00030019" w:rsidRPr="006D1C74">
        <w:rPr>
          <w:rFonts w:asciiTheme="majorHAnsi" w:eastAsia="MS Mincho" w:hAnsiTheme="majorHAnsi" w:cs="Cambria"/>
          <w:color w:val="000000"/>
          <w:sz w:val="20"/>
          <w:szCs w:val="20"/>
          <w:u w:color="000000"/>
          <w:bdr w:val="none" w:sz="0" w:space="0" w:color="auto"/>
          <w:lang w:val="pt-BR" w:eastAsia="es-ES"/>
        </w:rPr>
        <w:t xml:space="preserve">do </w:t>
      </w:r>
      <w:r w:rsidR="00B6237A" w:rsidRPr="006D1C74">
        <w:rPr>
          <w:rFonts w:asciiTheme="majorHAnsi" w:eastAsia="MS Mincho" w:hAnsiTheme="majorHAnsi" w:cs="Cambria"/>
          <w:color w:val="000000"/>
          <w:sz w:val="20"/>
          <w:szCs w:val="20"/>
          <w:u w:color="000000"/>
          <w:bdr w:val="none" w:sz="0" w:space="0" w:color="auto"/>
          <w:lang w:val="pt-BR" w:eastAsia="es-ES"/>
        </w:rPr>
        <w:t xml:space="preserve">sistema democrático </w:t>
      </w:r>
      <w:r w:rsidRPr="006D1C74">
        <w:rPr>
          <w:rFonts w:asciiTheme="majorHAnsi" w:eastAsia="MS Mincho" w:hAnsiTheme="majorHAnsi" w:cs="Cambria"/>
          <w:color w:val="000000"/>
          <w:sz w:val="20"/>
          <w:szCs w:val="20"/>
          <w:u w:color="000000"/>
          <w:bdr w:val="none" w:sz="0" w:space="0" w:color="auto"/>
          <w:lang w:val="pt-BR" w:eastAsia="es-ES"/>
        </w:rPr>
        <w:t>e</w:t>
      </w:r>
      <w:r w:rsidR="00B6237A" w:rsidRPr="006D1C74">
        <w:rPr>
          <w:rFonts w:asciiTheme="majorHAnsi" w:eastAsia="MS Mincho" w:hAnsiTheme="majorHAnsi" w:cs="Cambria"/>
          <w:color w:val="000000"/>
          <w:sz w:val="20"/>
          <w:szCs w:val="20"/>
          <w:u w:color="000000"/>
          <w:bdr w:val="none" w:sz="0" w:space="0" w:color="auto"/>
          <w:lang w:val="pt-BR" w:eastAsia="es-ES"/>
        </w:rPr>
        <w:t>, portanto,</w:t>
      </w:r>
      <w:r w:rsidR="00F673C7" w:rsidRPr="006D1C74">
        <w:rPr>
          <w:rFonts w:asciiTheme="majorHAnsi" w:eastAsia="MS Mincho" w:hAnsiTheme="majorHAnsi" w:cs="Cambria"/>
          <w:color w:val="000000"/>
          <w:sz w:val="20"/>
          <w:szCs w:val="20"/>
          <w:u w:color="000000"/>
          <w:bdr w:val="none" w:sz="0" w:space="0" w:color="auto"/>
          <w:lang w:val="pt-BR" w:eastAsia="es-ES"/>
        </w:rPr>
        <w:t xml:space="preserve"> não </w:t>
      </w:r>
      <w:r w:rsidR="00585D35" w:rsidRPr="006D1C74">
        <w:rPr>
          <w:rFonts w:asciiTheme="majorHAnsi" w:eastAsia="MS Mincho" w:hAnsiTheme="majorHAnsi" w:cs="Cambria"/>
          <w:color w:val="000000"/>
          <w:sz w:val="20"/>
          <w:szCs w:val="20"/>
          <w:u w:color="000000"/>
          <w:bdr w:val="none" w:sz="0" w:space="0" w:color="auto"/>
          <w:lang w:val="pt-BR" w:eastAsia="es-ES"/>
        </w:rPr>
        <w:t>dev</w:t>
      </w:r>
      <w:r w:rsidR="00B6237A" w:rsidRPr="006D1C74">
        <w:rPr>
          <w:rFonts w:asciiTheme="majorHAnsi" w:eastAsia="MS Mincho" w:hAnsiTheme="majorHAnsi" w:cs="Cambria"/>
          <w:color w:val="000000"/>
          <w:sz w:val="20"/>
          <w:szCs w:val="20"/>
          <w:u w:color="000000"/>
          <w:bdr w:val="none" w:sz="0" w:space="0" w:color="auto"/>
          <w:lang w:val="pt-BR" w:eastAsia="es-ES"/>
        </w:rPr>
        <w:t xml:space="preserve">e ser interpretado </w:t>
      </w:r>
      <w:r w:rsidR="00BA111B" w:rsidRPr="006D1C74">
        <w:rPr>
          <w:rFonts w:asciiTheme="majorHAnsi" w:eastAsia="MS Mincho" w:hAnsiTheme="majorHAnsi" w:cs="Cambria"/>
          <w:color w:val="000000"/>
          <w:sz w:val="20"/>
          <w:szCs w:val="20"/>
          <w:u w:color="000000"/>
          <w:bdr w:val="none" w:sz="0" w:space="0" w:color="auto"/>
          <w:lang w:val="pt-BR" w:eastAsia="es-ES"/>
        </w:rPr>
        <w:t>restritivamente</w:t>
      </w:r>
      <w:r w:rsidR="00B6237A" w:rsidRPr="006D1C74">
        <w:rPr>
          <w:rStyle w:val="FootnoteReference"/>
          <w:rFonts w:asciiTheme="majorHAnsi" w:eastAsia="MS Mincho" w:hAnsiTheme="majorHAnsi" w:cs="Cambria"/>
          <w:color w:val="000000"/>
          <w:sz w:val="20"/>
          <w:szCs w:val="20"/>
          <w:u w:color="000000"/>
          <w:bdr w:val="none" w:sz="0" w:space="0" w:color="auto"/>
          <w:lang w:val="pt-BR" w:eastAsia="es-ES"/>
        </w:rPr>
        <w:footnoteReference w:id="74"/>
      </w:r>
      <w:r w:rsidR="00B6237A" w:rsidRPr="006D1C74">
        <w:rPr>
          <w:rFonts w:asciiTheme="majorHAnsi" w:eastAsia="MS Mincho" w:hAnsiTheme="majorHAnsi" w:cs="Cambria"/>
          <w:color w:val="000000"/>
          <w:sz w:val="20"/>
          <w:szCs w:val="20"/>
          <w:u w:color="000000"/>
          <w:bdr w:val="none" w:sz="0" w:space="0" w:color="auto"/>
          <w:lang w:val="pt-BR" w:eastAsia="es-ES"/>
        </w:rPr>
        <w:t xml:space="preserve">. </w:t>
      </w:r>
    </w:p>
    <w:p w14:paraId="3B2F2113"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both"/>
        <w:rPr>
          <w:rFonts w:asciiTheme="majorHAnsi" w:eastAsia="Times New Roman" w:hAnsiTheme="majorHAnsi" w:cs="Cambria"/>
          <w:color w:val="000000"/>
          <w:sz w:val="20"/>
          <w:szCs w:val="20"/>
          <w:u w:color="000000"/>
          <w:bdr w:val="none" w:sz="0" w:space="0" w:color="auto"/>
          <w:lang w:val="pt-BR" w:eastAsia="es-ES"/>
        </w:rPr>
      </w:pPr>
    </w:p>
    <w:p w14:paraId="1A14AD1F" w14:textId="77777777" w:rsidR="002649F0" w:rsidRPr="006D1C74" w:rsidRDefault="003627F4"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0" w:firstLine="0"/>
        <w:jc w:val="both"/>
        <w:rPr>
          <w:rFonts w:asciiTheme="majorHAnsi" w:eastAsia="Times New Roman" w:hAnsiTheme="majorHAnsi" w:cs="Cambria"/>
          <w:color w:val="000000"/>
          <w:sz w:val="20"/>
          <w:szCs w:val="20"/>
          <w:u w:color="000000"/>
          <w:bdr w:val="none" w:sz="0" w:space="0" w:color="auto"/>
          <w:lang w:val="pt-BR" w:eastAsia="es-ES"/>
        </w:rPr>
      </w:pPr>
      <w:r w:rsidRPr="006D1C74">
        <w:rPr>
          <w:rFonts w:asciiTheme="majorHAnsi" w:eastAsia="Cambria" w:hAnsiTheme="majorHAnsi" w:cs="Cambria"/>
          <w:color w:val="000000"/>
          <w:sz w:val="20"/>
          <w:szCs w:val="20"/>
          <w:u w:color="000000"/>
          <w:lang w:val="pt-BR" w:eastAsia="es-ES"/>
        </w:rPr>
        <w:t>N</w:t>
      </w:r>
      <w:r w:rsidR="00700267" w:rsidRPr="006D1C74">
        <w:rPr>
          <w:rFonts w:asciiTheme="majorHAnsi" w:eastAsia="Cambria" w:hAnsiTheme="majorHAnsi" w:cs="Cambria"/>
          <w:color w:val="000000"/>
          <w:sz w:val="20"/>
          <w:szCs w:val="20"/>
          <w:u w:color="000000"/>
          <w:lang w:val="pt-BR" w:eastAsia="es-ES"/>
        </w:rPr>
        <w:t xml:space="preserve">o </w:t>
      </w:r>
      <w:r w:rsidR="006234CC" w:rsidRPr="006D1C74">
        <w:rPr>
          <w:rFonts w:asciiTheme="majorHAnsi" w:eastAsia="Cambria" w:hAnsiTheme="majorHAnsi" w:cs="Cambria"/>
          <w:color w:val="000000"/>
          <w:sz w:val="20"/>
          <w:szCs w:val="20"/>
          <w:u w:color="000000"/>
          <w:lang w:val="pt-BR" w:eastAsia="es-ES"/>
        </w:rPr>
        <w:t xml:space="preserve">presente </w:t>
      </w:r>
      <w:r w:rsidR="002649F0" w:rsidRPr="006D1C74">
        <w:rPr>
          <w:rFonts w:asciiTheme="majorHAnsi" w:eastAsia="Cambria" w:hAnsiTheme="majorHAnsi" w:cs="Cambria"/>
          <w:color w:val="000000"/>
          <w:sz w:val="20"/>
          <w:szCs w:val="20"/>
          <w:u w:color="000000"/>
          <w:lang w:val="pt-BR" w:eastAsia="es-ES"/>
        </w:rPr>
        <w:t>caso,</w:t>
      </w:r>
      <w:r w:rsidR="00700267" w:rsidRPr="006D1C74">
        <w:rPr>
          <w:rFonts w:asciiTheme="majorHAnsi" w:eastAsia="Cambria" w:hAnsiTheme="majorHAnsi" w:cs="Cambria"/>
          <w:color w:val="000000"/>
          <w:sz w:val="20"/>
          <w:szCs w:val="20"/>
          <w:u w:color="000000"/>
          <w:lang w:val="pt-BR" w:eastAsia="es-ES"/>
        </w:rPr>
        <w:t xml:space="preserve"> o </w:t>
      </w:r>
      <w:r w:rsidR="002649F0" w:rsidRPr="006D1C74">
        <w:rPr>
          <w:rFonts w:asciiTheme="majorHAnsi" w:eastAsia="Cambria" w:hAnsiTheme="majorHAnsi" w:cs="Cambria"/>
          <w:color w:val="000000"/>
          <w:sz w:val="20"/>
          <w:szCs w:val="20"/>
          <w:u w:color="000000"/>
          <w:lang w:val="pt-BR" w:eastAsia="es-ES"/>
        </w:rPr>
        <w:t>uso</w:t>
      </w:r>
      <w:r w:rsidR="00795010" w:rsidRPr="006D1C74">
        <w:rPr>
          <w:rFonts w:asciiTheme="majorHAnsi" w:eastAsia="Cambria" w:hAnsiTheme="majorHAnsi" w:cs="Cambria"/>
          <w:color w:val="000000"/>
          <w:sz w:val="20"/>
          <w:szCs w:val="20"/>
          <w:u w:color="000000"/>
          <w:lang w:val="pt-BR" w:eastAsia="es-ES"/>
        </w:rPr>
        <w:t xml:space="preserve"> da </w:t>
      </w:r>
      <w:r w:rsidR="00B146A8" w:rsidRPr="006D1C74">
        <w:rPr>
          <w:rFonts w:asciiTheme="majorHAnsi" w:eastAsia="Cambria" w:hAnsiTheme="majorHAnsi" w:cs="Cambria"/>
          <w:color w:val="000000"/>
          <w:sz w:val="20"/>
          <w:szCs w:val="20"/>
          <w:u w:color="000000"/>
          <w:lang w:val="pt-BR" w:eastAsia="es-ES"/>
        </w:rPr>
        <w:t>força</w:t>
      </w:r>
      <w:r w:rsidR="00217759" w:rsidRPr="006D1C74">
        <w:rPr>
          <w:rFonts w:asciiTheme="majorHAnsi" w:eastAsia="Cambria" w:hAnsiTheme="majorHAnsi" w:cs="Cambria"/>
          <w:color w:val="000000"/>
          <w:sz w:val="20"/>
          <w:szCs w:val="20"/>
          <w:u w:color="000000"/>
          <w:lang w:val="pt-BR" w:eastAsia="es-ES"/>
        </w:rPr>
        <w:t xml:space="preserve"> ao </w:t>
      </w:r>
      <w:r w:rsidRPr="006D1C74">
        <w:rPr>
          <w:rFonts w:asciiTheme="majorHAnsi" w:eastAsia="Cambria" w:hAnsiTheme="majorHAnsi" w:cs="Cambria"/>
          <w:color w:val="000000"/>
          <w:sz w:val="20"/>
          <w:szCs w:val="20"/>
          <w:u w:color="000000"/>
          <w:lang w:val="pt-BR" w:eastAsia="es-ES"/>
        </w:rPr>
        <w:t>q</w:t>
      </w:r>
      <w:r w:rsidR="002649F0" w:rsidRPr="006D1C74">
        <w:rPr>
          <w:rFonts w:asciiTheme="majorHAnsi" w:eastAsia="Cambria" w:hAnsiTheme="majorHAnsi" w:cs="Cambria"/>
          <w:color w:val="000000"/>
          <w:sz w:val="20"/>
          <w:szCs w:val="20"/>
          <w:u w:color="000000"/>
          <w:lang w:val="pt-BR" w:eastAsia="es-ES"/>
        </w:rPr>
        <w:t xml:space="preserve">ual se </w:t>
      </w:r>
      <w:r w:rsidRPr="006D1C74">
        <w:rPr>
          <w:rFonts w:asciiTheme="majorHAnsi" w:eastAsia="Cambria" w:hAnsiTheme="majorHAnsi" w:cs="Cambria"/>
          <w:color w:val="000000"/>
          <w:sz w:val="20"/>
          <w:szCs w:val="20"/>
          <w:u w:color="000000"/>
          <w:lang w:val="pt-BR" w:eastAsia="es-ES"/>
        </w:rPr>
        <w:t>fez</w:t>
      </w:r>
      <w:r w:rsidR="002649F0" w:rsidRPr="006D1C74">
        <w:rPr>
          <w:rFonts w:asciiTheme="majorHAnsi" w:eastAsia="Cambria" w:hAnsiTheme="majorHAnsi" w:cs="Cambria"/>
          <w:color w:val="000000"/>
          <w:sz w:val="20"/>
          <w:szCs w:val="20"/>
          <w:u w:color="000000"/>
          <w:lang w:val="pt-BR" w:eastAsia="es-ES"/>
        </w:rPr>
        <w:t xml:space="preserve"> </w:t>
      </w:r>
      <w:r w:rsidR="003171F3" w:rsidRPr="006D1C74">
        <w:rPr>
          <w:rFonts w:asciiTheme="majorHAnsi" w:eastAsia="Cambria" w:hAnsiTheme="majorHAnsi" w:cs="Cambria"/>
          <w:color w:val="000000"/>
          <w:sz w:val="20"/>
          <w:szCs w:val="20"/>
          <w:u w:color="000000"/>
          <w:lang w:val="pt-BR" w:eastAsia="es-ES"/>
        </w:rPr>
        <w:t>referência</w:t>
      </w:r>
      <w:r w:rsidR="002649F0" w:rsidRPr="006D1C74">
        <w:rPr>
          <w:rFonts w:asciiTheme="majorHAnsi" w:eastAsia="Cambria" w:hAnsiTheme="majorHAnsi" w:cs="Cambria"/>
          <w:color w:val="000000"/>
          <w:sz w:val="20"/>
          <w:szCs w:val="20"/>
          <w:u w:color="000000"/>
          <w:lang w:val="pt-BR" w:eastAsia="es-ES"/>
        </w:rPr>
        <w:t xml:space="preserve"> anteriormente </w:t>
      </w:r>
      <w:r w:rsidRPr="006D1C74">
        <w:rPr>
          <w:rFonts w:asciiTheme="majorHAnsi" w:eastAsia="Cambria" w:hAnsiTheme="majorHAnsi" w:cs="Cambria"/>
          <w:color w:val="000000"/>
          <w:sz w:val="20"/>
          <w:szCs w:val="20"/>
          <w:u w:color="000000"/>
          <w:lang w:val="pt-BR" w:eastAsia="es-ES"/>
        </w:rPr>
        <w:t>ocorreu</w:t>
      </w:r>
      <w:r w:rsidR="00FC2F62" w:rsidRPr="006D1C74">
        <w:rPr>
          <w:rFonts w:asciiTheme="majorHAnsi" w:eastAsia="Cambria" w:hAnsiTheme="majorHAnsi" w:cs="Cambria"/>
          <w:color w:val="000000"/>
          <w:sz w:val="20"/>
          <w:szCs w:val="20"/>
          <w:u w:color="000000"/>
          <w:lang w:val="pt-BR" w:eastAsia="es-ES"/>
        </w:rPr>
        <w:t xml:space="preserve"> no </w:t>
      </w:r>
      <w:r w:rsidRPr="006D1C74">
        <w:rPr>
          <w:rFonts w:asciiTheme="majorHAnsi" w:eastAsia="Cambria" w:hAnsiTheme="majorHAnsi" w:cs="Cambria"/>
          <w:color w:val="000000"/>
          <w:sz w:val="20"/>
          <w:szCs w:val="20"/>
          <w:u w:color="000000"/>
          <w:lang w:val="pt-BR" w:eastAsia="es-ES"/>
        </w:rPr>
        <w:t>âmbito</w:t>
      </w:r>
      <w:r w:rsidR="00CA6F81" w:rsidRPr="006D1C74">
        <w:rPr>
          <w:rFonts w:asciiTheme="majorHAnsi" w:eastAsia="Cambria" w:hAnsiTheme="majorHAnsi" w:cs="Cambria"/>
          <w:color w:val="000000"/>
          <w:sz w:val="20"/>
          <w:szCs w:val="20"/>
          <w:u w:color="000000"/>
          <w:lang w:val="pt-BR" w:eastAsia="es-ES"/>
        </w:rPr>
        <w:t xml:space="preserve"> do </w:t>
      </w:r>
      <w:r w:rsidR="002649F0" w:rsidRPr="006D1C74">
        <w:rPr>
          <w:rFonts w:asciiTheme="majorHAnsi" w:eastAsia="Cambria" w:hAnsiTheme="majorHAnsi" w:cs="Cambria"/>
          <w:color w:val="000000"/>
          <w:sz w:val="20"/>
          <w:szCs w:val="20"/>
          <w:u w:color="000000"/>
          <w:lang w:val="pt-BR" w:eastAsia="es-ES"/>
        </w:rPr>
        <w:t xml:space="preserve">que </w:t>
      </w:r>
      <w:r w:rsidR="00BA111B" w:rsidRPr="006D1C74">
        <w:rPr>
          <w:rFonts w:asciiTheme="majorHAnsi" w:eastAsia="Cambria" w:hAnsiTheme="majorHAnsi" w:cs="Cambria"/>
          <w:color w:val="000000"/>
          <w:sz w:val="20"/>
          <w:szCs w:val="20"/>
          <w:u w:color="000000"/>
          <w:lang w:val="pt-BR" w:eastAsia="es-ES"/>
        </w:rPr>
        <w:t>estava</w:t>
      </w:r>
      <w:r w:rsidR="002649F0" w:rsidRPr="006D1C74">
        <w:rPr>
          <w:rFonts w:asciiTheme="majorHAnsi" w:eastAsia="Cambria" w:hAnsiTheme="majorHAnsi" w:cs="Cambria"/>
          <w:color w:val="000000"/>
          <w:sz w:val="20"/>
          <w:szCs w:val="20"/>
          <w:u w:color="000000"/>
          <w:lang w:val="pt-BR" w:eastAsia="es-ES"/>
        </w:rPr>
        <w:t xml:space="preserve"> plane</w:t>
      </w:r>
      <w:r w:rsidRPr="006D1C74">
        <w:rPr>
          <w:rFonts w:asciiTheme="majorHAnsi" w:eastAsia="Cambria" w:hAnsiTheme="majorHAnsi" w:cs="Cambria"/>
          <w:color w:val="000000"/>
          <w:sz w:val="20"/>
          <w:szCs w:val="20"/>
          <w:u w:color="000000"/>
          <w:lang w:val="pt-BR" w:eastAsia="es-ES"/>
        </w:rPr>
        <w:t>j</w:t>
      </w:r>
      <w:r w:rsidR="002649F0" w:rsidRPr="006D1C74">
        <w:rPr>
          <w:rFonts w:asciiTheme="majorHAnsi" w:eastAsia="Cambria" w:hAnsiTheme="majorHAnsi" w:cs="Cambria"/>
          <w:color w:val="000000"/>
          <w:sz w:val="20"/>
          <w:szCs w:val="20"/>
          <w:u w:color="000000"/>
          <w:lang w:val="pt-BR" w:eastAsia="es-ES"/>
        </w:rPr>
        <w:t xml:space="preserve">ado </w:t>
      </w:r>
      <w:r w:rsidRPr="006D1C74">
        <w:rPr>
          <w:rFonts w:asciiTheme="majorHAnsi" w:eastAsia="Cambria" w:hAnsiTheme="majorHAnsi" w:cs="Cambria"/>
          <w:color w:val="000000"/>
          <w:sz w:val="20"/>
          <w:szCs w:val="20"/>
          <w:u w:color="000000"/>
          <w:lang w:val="pt-BR" w:eastAsia="es-ES"/>
        </w:rPr>
        <w:t>para ser</w:t>
      </w:r>
      <w:r w:rsidR="00030019" w:rsidRPr="006D1C74">
        <w:rPr>
          <w:rFonts w:asciiTheme="majorHAnsi" w:eastAsia="Cambria" w:hAnsiTheme="majorHAnsi" w:cs="Cambria"/>
          <w:color w:val="000000"/>
          <w:sz w:val="20"/>
          <w:szCs w:val="20"/>
          <w:u w:color="000000"/>
          <w:lang w:val="pt-BR" w:eastAsia="es-ES"/>
        </w:rPr>
        <w:t xml:space="preserve"> uma </w:t>
      </w:r>
      <w:r w:rsidR="002649F0" w:rsidRPr="006D1C74">
        <w:rPr>
          <w:rFonts w:asciiTheme="majorHAnsi" w:eastAsia="Cambria" w:hAnsiTheme="majorHAnsi" w:cs="Cambria"/>
          <w:color w:val="000000"/>
          <w:sz w:val="20"/>
          <w:szCs w:val="20"/>
          <w:u w:color="000000"/>
          <w:lang w:val="pt-BR" w:eastAsia="es-ES"/>
        </w:rPr>
        <w:t>manifesta</w:t>
      </w:r>
      <w:r w:rsidR="00CF037E" w:rsidRPr="006D1C74">
        <w:rPr>
          <w:rFonts w:asciiTheme="majorHAnsi" w:eastAsia="Cambria" w:hAnsiTheme="majorHAnsi" w:cs="Cambria"/>
          <w:color w:val="000000"/>
          <w:sz w:val="20"/>
          <w:szCs w:val="20"/>
          <w:u w:color="000000"/>
          <w:lang w:val="pt-BR" w:eastAsia="es-ES"/>
        </w:rPr>
        <w:t>ção</w:t>
      </w:r>
      <w:r w:rsidR="00F37852" w:rsidRPr="006D1C74">
        <w:rPr>
          <w:rFonts w:asciiTheme="majorHAnsi" w:eastAsia="Cambria" w:hAnsiTheme="majorHAnsi" w:cs="Cambria"/>
          <w:color w:val="000000"/>
          <w:sz w:val="20"/>
          <w:szCs w:val="20"/>
          <w:u w:color="000000"/>
          <w:lang w:val="pt-BR" w:eastAsia="es-ES"/>
        </w:rPr>
        <w:t xml:space="preserve"> pela </w:t>
      </w:r>
      <w:r w:rsidR="002649F0" w:rsidRPr="006D1C74">
        <w:rPr>
          <w:rFonts w:asciiTheme="majorHAnsi" w:eastAsia="Cambria" w:hAnsiTheme="majorHAnsi" w:cs="Cambria"/>
          <w:color w:val="000000"/>
          <w:sz w:val="20"/>
          <w:szCs w:val="20"/>
          <w:u w:color="000000"/>
          <w:lang w:val="pt-BR" w:eastAsia="es-ES"/>
        </w:rPr>
        <w:t xml:space="preserve">reforma </w:t>
      </w:r>
      <w:r w:rsidR="00F6715A" w:rsidRPr="006D1C74">
        <w:rPr>
          <w:rFonts w:asciiTheme="majorHAnsi" w:eastAsia="Cambria" w:hAnsiTheme="majorHAnsi" w:cs="Cambria"/>
          <w:color w:val="000000"/>
          <w:sz w:val="20"/>
          <w:szCs w:val="20"/>
          <w:u w:color="000000"/>
          <w:lang w:val="pt-BR" w:eastAsia="es-ES"/>
        </w:rPr>
        <w:t>agrária</w:t>
      </w:r>
      <w:r w:rsidR="002649F0" w:rsidRPr="006D1C74">
        <w:rPr>
          <w:rFonts w:asciiTheme="majorHAnsi" w:eastAsia="Cambria" w:hAnsiTheme="majorHAnsi" w:cs="Cambria"/>
          <w:color w:val="000000"/>
          <w:sz w:val="20"/>
          <w:szCs w:val="20"/>
          <w:u w:color="000000"/>
          <w:lang w:val="pt-BR" w:eastAsia="es-ES"/>
        </w:rPr>
        <w:t>. Tanto</w:t>
      </w:r>
      <w:r w:rsidR="00700267" w:rsidRPr="006D1C74">
        <w:rPr>
          <w:rFonts w:asciiTheme="majorHAnsi" w:eastAsia="Cambria" w:hAnsiTheme="majorHAnsi" w:cs="Cambria"/>
          <w:color w:val="000000"/>
          <w:sz w:val="20"/>
          <w:szCs w:val="20"/>
          <w:u w:color="000000"/>
          <w:lang w:val="pt-BR" w:eastAsia="es-ES"/>
        </w:rPr>
        <w:t xml:space="preserve"> o </w:t>
      </w:r>
      <w:r w:rsidR="00BA111B" w:rsidRPr="006D1C74">
        <w:rPr>
          <w:rFonts w:asciiTheme="majorHAnsi" w:eastAsia="Cambria" w:hAnsiTheme="majorHAnsi" w:cs="Cambria"/>
          <w:color w:val="000000"/>
          <w:sz w:val="20"/>
          <w:szCs w:val="20"/>
          <w:u w:color="000000"/>
          <w:lang w:val="pt-BR" w:eastAsia="es-ES"/>
        </w:rPr>
        <w:t>senhor</w:t>
      </w:r>
      <w:r w:rsidR="002649F0" w:rsidRPr="006D1C74">
        <w:rPr>
          <w:rFonts w:asciiTheme="majorHAnsi" w:eastAsia="Cambria" w:hAnsiTheme="majorHAnsi" w:cs="Cambria"/>
          <w:color w:val="000000"/>
          <w:sz w:val="20"/>
          <w:szCs w:val="20"/>
          <w:u w:color="000000"/>
          <w:lang w:val="pt-BR" w:eastAsia="es-ES"/>
        </w:rPr>
        <w:t xml:space="preserve"> Antonio Tavares Pereira como</w:t>
      </w:r>
      <w:r w:rsidR="00700267" w:rsidRPr="006D1C74">
        <w:rPr>
          <w:rFonts w:asciiTheme="majorHAnsi" w:eastAsia="Cambria" w:hAnsiTheme="majorHAnsi" w:cs="Cambria"/>
          <w:color w:val="000000"/>
          <w:sz w:val="20"/>
          <w:szCs w:val="20"/>
          <w:u w:color="000000"/>
          <w:lang w:val="pt-BR" w:eastAsia="es-ES"/>
        </w:rPr>
        <w:t xml:space="preserve"> as </w:t>
      </w:r>
      <w:r w:rsidR="00CF037E" w:rsidRPr="006D1C74">
        <w:rPr>
          <w:rFonts w:asciiTheme="majorHAnsi" w:eastAsia="Cambria" w:hAnsiTheme="majorHAnsi" w:cs="Cambria"/>
          <w:color w:val="000000"/>
          <w:sz w:val="20"/>
          <w:szCs w:val="20"/>
          <w:u w:color="000000"/>
          <w:lang w:val="pt-BR" w:eastAsia="es-ES"/>
        </w:rPr>
        <w:t>outr</w:t>
      </w:r>
      <w:r w:rsidR="002649F0" w:rsidRPr="006D1C74">
        <w:rPr>
          <w:rFonts w:asciiTheme="majorHAnsi" w:eastAsia="Cambria" w:hAnsiTheme="majorHAnsi" w:cs="Cambria"/>
          <w:color w:val="000000"/>
          <w:sz w:val="20"/>
          <w:szCs w:val="20"/>
          <w:u w:color="000000"/>
          <w:lang w:val="pt-BR" w:eastAsia="es-ES"/>
        </w:rPr>
        <w:t xml:space="preserve">as 185 </w:t>
      </w:r>
      <w:r w:rsidR="00CA7940" w:rsidRPr="006D1C74">
        <w:rPr>
          <w:rFonts w:asciiTheme="majorHAnsi" w:eastAsia="Cambria" w:hAnsiTheme="majorHAnsi" w:cs="Cambria"/>
          <w:color w:val="000000"/>
          <w:sz w:val="20"/>
          <w:szCs w:val="20"/>
          <w:u w:color="000000"/>
          <w:lang w:val="pt-BR" w:eastAsia="es-ES"/>
        </w:rPr>
        <w:t>pessoa</w:t>
      </w:r>
      <w:r w:rsidR="002649F0" w:rsidRPr="006D1C74">
        <w:rPr>
          <w:rFonts w:asciiTheme="majorHAnsi" w:eastAsia="Cambria" w:hAnsiTheme="majorHAnsi" w:cs="Cambria"/>
          <w:color w:val="000000"/>
          <w:sz w:val="20"/>
          <w:szCs w:val="20"/>
          <w:u w:color="000000"/>
          <w:lang w:val="pt-BR" w:eastAsia="es-ES"/>
        </w:rPr>
        <w:t>s que f</w:t>
      </w:r>
      <w:r w:rsidRPr="006D1C74">
        <w:rPr>
          <w:rFonts w:asciiTheme="majorHAnsi" w:eastAsia="Cambria" w:hAnsiTheme="majorHAnsi" w:cs="Cambria"/>
          <w:color w:val="000000"/>
          <w:sz w:val="20"/>
          <w:szCs w:val="20"/>
          <w:u w:color="000000"/>
          <w:lang w:val="pt-BR" w:eastAsia="es-ES"/>
        </w:rPr>
        <w:t>oram</w:t>
      </w:r>
      <w:r w:rsidR="002649F0" w:rsidRPr="006D1C74">
        <w:rPr>
          <w:rFonts w:asciiTheme="majorHAnsi" w:eastAsia="Cambria" w:hAnsiTheme="majorHAnsi" w:cs="Cambria"/>
          <w:color w:val="000000"/>
          <w:sz w:val="20"/>
          <w:szCs w:val="20"/>
          <w:u w:color="000000"/>
          <w:lang w:val="pt-BR" w:eastAsia="es-ES"/>
        </w:rPr>
        <w:t xml:space="preserve"> </w:t>
      </w:r>
      <w:r w:rsidR="00135454" w:rsidRPr="006D1C74">
        <w:rPr>
          <w:rFonts w:asciiTheme="majorHAnsi" w:eastAsia="Cambria" w:hAnsiTheme="majorHAnsi" w:cs="Cambria"/>
          <w:color w:val="000000"/>
          <w:sz w:val="20"/>
          <w:szCs w:val="20"/>
          <w:u w:color="000000"/>
          <w:lang w:val="pt-BR" w:eastAsia="es-ES"/>
        </w:rPr>
        <w:t>ferid</w:t>
      </w:r>
      <w:r w:rsidR="002649F0" w:rsidRPr="006D1C74">
        <w:rPr>
          <w:rFonts w:asciiTheme="majorHAnsi" w:eastAsia="Cambria" w:hAnsiTheme="majorHAnsi" w:cs="Cambria"/>
          <w:color w:val="000000"/>
          <w:sz w:val="20"/>
          <w:szCs w:val="20"/>
          <w:u w:color="000000"/>
          <w:lang w:val="pt-BR" w:eastAsia="es-ES"/>
        </w:rPr>
        <w:t>as</w:t>
      </w:r>
      <w:r w:rsidRPr="006D1C74">
        <w:rPr>
          <w:rFonts w:asciiTheme="majorHAnsi" w:eastAsia="Cambria" w:hAnsiTheme="majorHAnsi" w:cs="Cambria"/>
          <w:color w:val="000000"/>
          <w:sz w:val="20"/>
          <w:szCs w:val="20"/>
          <w:u w:color="000000"/>
          <w:lang w:val="pt-BR" w:eastAsia="es-ES"/>
        </w:rPr>
        <w:t xml:space="preserve"> faziam</w:t>
      </w:r>
      <w:r w:rsidR="002649F0" w:rsidRPr="006D1C74">
        <w:rPr>
          <w:rFonts w:asciiTheme="majorHAnsi" w:eastAsia="Cambria" w:hAnsiTheme="majorHAnsi" w:cs="Cambria"/>
          <w:color w:val="000000"/>
          <w:sz w:val="20"/>
          <w:szCs w:val="20"/>
          <w:u w:color="000000"/>
          <w:lang w:val="pt-BR" w:eastAsia="es-ES"/>
        </w:rPr>
        <w:t xml:space="preserve"> parte</w:t>
      </w:r>
      <w:r w:rsidR="00795010" w:rsidRPr="006D1C74">
        <w:rPr>
          <w:rFonts w:asciiTheme="majorHAnsi" w:eastAsia="Cambria" w:hAnsiTheme="majorHAnsi" w:cs="Cambria"/>
          <w:color w:val="000000"/>
          <w:sz w:val="20"/>
          <w:szCs w:val="20"/>
          <w:u w:color="000000"/>
          <w:lang w:val="pt-BR" w:eastAsia="es-ES"/>
        </w:rPr>
        <w:t xml:space="preserve"> da </w:t>
      </w:r>
      <w:r w:rsidR="002649F0" w:rsidRPr="006D1C74">
        <w:rPr>
          <w:rFonts w:asciiTheme="majorHAnsi" w:eastAsia="Cambria" w:hAnsiTheme="majorHAnsi" w:cs="Cambria"/>
          <w:color w:val="000000"/>
          <w:sz w:val="20"/>
          <w:szCs w:val="20"/>
          <w:u w:color="000000"/>
          <w:lang w:val="pt-BR" w:eastAsia="es-ES"/>
        </w:rPr>
        <w:t xml:space="preserve">caravana de </w:t>
      </w:r>
      <w:r w:rsidR="00700267" w:rsidRPr="006D1C74">
        <w:rPr>
          <w:rFonts w:asciiTheme="majorHAnsi" w:eastAsia="Cambria" w:hAnsiTheme="majorHAnsi" w:cs="Cambria"/>
          <w:color w:val="000000"/>
          <w:sz w:val="20"/>
          <w:szCs w:val="20"/>
          <w:u w:color="000000"/>
          <w:lang w:val="pt-BR" w:eastAsia="es-ES"/>
        </w:rPr>
        <w:t>trabalh</w:t>
      </w:r>
      <w:r w:rsidR="002649F0" w:rsidRPr="006D1C74">
        <w:rPr>
          <w:rFonts w:asciiTheme="majorHAnsi" w:eastAsia="Cambria" w:hAnsiTheme="majorHAnsi" w:cs="Cambria"/>
          <w:color w:val="000000"/>
          <w:sz w:val="20"/>
          <w:szCs w:val="20"/>
          <w:u w:color="000000"/>
          <w:lang w:val="pt-BR" w:eastAsia="es-ES"/>
        </w:rPr>
        <w:t>adores rur</w:t>
      </w:r>
      <w:r w:rsidR="00700267" w:rsidRPr="006D1C74">
        <w:rPr>
          <w:rFonts w:asciiTheme="majorHAnsi" w:eastAsia="Cambria" w:hAnsiTheme="majorHAnsi" w:cs="Cambria"/>
          <w:color w:val="000000"/>
          <w:sz w:val="20"/>
          <w:szCs w:val="20"/>
          <w:u w:color="000000"/>
          <w:lang w:val="pt-BR" w:eastAsia="es-ES"/>
        </w:rPr>
        <w:t>ais</w:t>
      </w:r>
      <w:r w:rsidR="002649F0" w:rsidRPr="006D1C74">
        <w:rPr>
          <w:rFonts w:asciiTheme="majorHAnsi" w:eastAsia="Cambria" w:hAnsiTheme="majorHAnsi" w:cs="Cambria"/>
          <w:color w:val="000000"/>
          <w:sz w:val="20"/>
          <w:szCs w:val="20"/>
          <w:u w:color="000000"/>
          <w:lang w:val="pt-BR" w:eastAsia="es-ES"/>
        </w:rPr>
        <w:t xml:space="preserve"> que se dirig</w:t>
      </w:r>
      <w:r w:rsidR="00055622" w:rsidRPr="006D1C74">
        <w:rPr>
          <w:rFonts w:asciiTheme="majorHAnsi" w:eastAsia="Cambria" w:hAnsiTheme="majorHAnsi" w:cs="Cambria"/>
          <w:color w:val="000000"/>
          <w:sz w:val="20"/>
          <w:szCs w:val="20"/>
          <w:u w:color="000000"/>
          <w:lang w:val="pt-BR" w:eastAsia="es-ES"/>
        </w:rPr>
        <w:t>ia</w:t>
      </w:r>
      <w:r w:rsidR="00F673C7" w:rsidRPr="006D1C74">
        <w:rPr>
          <w:rFonts w:asciiTheme="majorHAnsi" w:eastAsia="Cambria" w:hAnsiTheme="majorHAnsi" w:cs="Cambria"/>
          <w:color w:val="000000"/>
          <w:sz w:val="20"/>
          <w:szCs w:val="20"/>
          <w:u w:color="000000"/>
          <w:lang w:val="pt-BR" w:eastAsia="es-ES"/>
        </w:rPr>
        <w:t xml:space="preserve"> em </w:t>
      </w:r>
      <w:r w:rsidRPr="006D1C74">
        <w:rPr>
          <w:rFonts w:asciiTheme="majorHAnsi" w:eastAsia="Cambria" w:hAnsiTheme="majorHAnsi" w:cs="Cambria"/>
          <w:color w:val="000000"/>
          <w:sz w:val="20"/>
          <w:szCs w:val="20"/>
          <w:u w:color="000000"/>
          <w:lang w:val="pt-BR" w:eastAsia="es-ES"/>
        </w:rPr>
        <w:t>ônibus</w:t>
      </w:r>
      <w:r w:rsidR="002649F0" w:rsidRPr="006D1C74">
        <w:rPr>
          <w:rFonts w:asciiTheme="majorHAnsi" w:eastAsia="Cambria" w:hAnsiTheme="majorHAnsi" w:cs="Cambria"/>
          <w:color w:val="000000"/>
          <w:sz w:val="20"/>
          <w:szCs w:val="20"/>
          <w:u w:color="000000"/>
          <w:lang w:val="pt-BR" w:eastAsia="es-ES"/>
        </w:rPr>
        <w:t xml:space="preserve"> a Curitiba para realizar </w:t>
      </w:r>
      <w:r w:rsidRPr="006D1C74">
        <w:rPr>
          <w:rFonts w:asciiTheme="majorHAnsi" w:eastAsia="Cambria" w:hAnsiTheme="majorHAnsi" w:cs="Cambria"/>
          <w:color w:val="000000"/>
          <w:sz w:val="20"/>
          <w:szCs w:val="20"/>
          <w:u w:color="000000"/>
          <w:lang w:val="pt-BR" w:eastAsia="es-ES"/>
        </w:rPr>
        <w:t>ess</w:t>
      </w:r>
      <w:r w:rsidR="002649F0" w:rsidRPr="006D1C74">
        <w:rPr>
          <w:rFonts w:asciiTheme="majorHAnsi" w:eastAsia="Cambria" w:hAnsiTheme="majorHAnsi" w:cs="Cambria"/>
          <w:color w:val="000000"/>
          <w:sz w:val="20"/>
          <w:szCs w:val="20"/>
          <w:u w:color="000000"/>
          <w:lang w:val="pt-BR" w:eastAsia="es-ES"/>
        </w:rPr>
        <w:t>a manifesta</w:t>
      </w:r>
      <w:r w:rsidR="00CF037E" w:rsidRPr="006D1C74">
        <w:rPr>
          <w:rFonts w:asciiTheme="majorHAnsi" w:eastAsia="Cambria" w:hAnsiTheme="majorHAnsi" w:cs="Cambria"/>
          <w:color w:val="000000"/>
          <w:sz w:val="20"/>
          <w:szCs w:val="20"/>
          <w:u w:color="000000"/>
          <w:lang w:val="pt-BR" w:eastAsia="es-ES"/>
        </w:rPr>
        <w:t>ção</w:t>
      </w:r>
      <w:r w:rsidR="002649F0" w:rsidRPr="006D1C74">
        <w:rPr>
          <w:rFonts w:asciiTheme="majorHAnsi" w:eastAsia="Cambria" w:hAnsiTheme="majorHAnsi" w:cs="Cambria"/>
          <w:color w:val="000000"/>
          <w:sz w:val="20"/>
          <w:szCs w:val="20"/>
          <w:u w:color="000000"/>
          <w:lang w:val="pt-BR" w:eastAsia="es-ES"/>
        </w:rPr>
        <w:t>,</w:t>
      </w:r>
      <w:r w:rsidR="00795010" w:rsidRPr="006D1C74">
        <w:rPr>
          <w:rFonts w:asciiTheme="majorHAnsi" w:eastAsia="Cambria" w:hAnsiTheme="majorHAnsi" w:cs="Cambria"/>
          <w:color w:val="000000"/>
          <w:sz w:val="20"/>
          <w:szCs w:val="20"/>
          <w:u w:color="000000"/>
          <w:lang w:val="pt-BR" w:eastAsia="es-ES"/>
        </w:rPr>
        <w:t xml:space="preserve"> da </w:t>
      </w:r>
      <w:r w:rsidR="00BA111B" w:rsidRPr="006D1C74">
        <w:rPr>
          <w:rFonts w:asciiTheme="majorHAnsi" w:eastAsia="Cambria" w:hAnsiTheme="majorHAnsi" w:cs="Cambria"/>
          <w:color w:val="000000"/>
          <w:sz w:val="20"/>
          <w:szCs w:val="20"/>
          <w:u w:color="000000"/>
          <w:lang w:val="pt-BR" w:eastAsia="es-ES"/>
        </w:rPr>
        <w:t>qual</w:t>
      </w:r>
      <w:r w:rsidR="00700267" w:rsidRPr="006D1C74">
        <w:rPr>
          <w:rFonts w:asciiTheme="majorHAnsi" w:eastAsia="Cambria" w:hAnsiTheme="majorHAnsi" w:cs="Cambria"/>
          <w:color w:val="000000"/>
          <w:sz w:val="20"/>
          <w:szCs w:val="20"/>
          <w:u w:color="000000"/>
          <w:lang w:val="pt-BR" w:eastAsia="es-ES"/>
        </w:rPr>
        <w:t xml:space="preserve"> o </w:t>
      </w:r>
      <w:r w:rsidR="002649F0" w:rsidRPr="006D1C74">
        <w:rPr>
          <w:rFonts w:asciiTheme="majorHAnsi" w:eastAsia="Cambria" w:hAnsiTheme="majorHAnsi" w:cs="Cambria"/>
          <w:color w:val="000000"/>
          <w:sz w:val="20"/>
          <w:szCs w:val="20"/>
          <w:u w:color="000000"/>
          <w:lang w:val="pt-BR" w:eastAsia="es-ES"/>
        </w:rPr>
        <w:t>Estado t</w:t>
      </w:r>
      <w:r w:rsidRPr="006D1C74">
        <w:rPr>
          <w:rFonts w:asciiTheme="majorHAnsi" w:eastAsia="Cambria" w:hAnsiTheme="majorHAnsi" w:cs="Cambria"/>
          <w:color w:val="000000"/>
          <w:sz w:val="20"/>
          <w:szCs w:val="20"/>
          <w:u w:color="000000"/>
          <w:lang w:val="pt-BR" w:eastAsia="es-ES"/>
        </w:rPr>
        <w:t>inh</w:t>
      </w:r>
      <w:r w:rsidR="00055622" w:rsidRPr="006D1C74">
        <w:rPr>
          <w:rFonts w:asciiTheme="majorHAnsi" w:eastAsia="Cambria" w:hAnsiTheme="majorHAnsi" w:cs="Cambria"/>
          <w:color w:val="000000"/>
          <w:sz w:val="20"/>
          <w:szCs w:val="20"/>
          <w:u w:color="000000"/>
          <w:lang w:val="pt-BR" w:eastAsia="es-ES"/>
        </w:rPr>
        <w:t>a</w:t>
      </w:r>
      <w:r w:rsidR="002649F0" w:rsidRPr="006D1C74">
        <w:rPr>
          <w:rFonts w:asciiTheme="majorHAnsi" w:eastAsia="Cambria" w:hAnsiTheme="majorHAnsi" w:cs="Cambria"/>
          <w:color w:val="000000"/>
          <w:sz w:val="20"/>
          <w:szCs w:val="20"/>
          <w:u w:color="000000"/>
          <w:lang w:val="pt-BR" w:eastAsia="es-ES"/>
        </w:rPr>
        <w:t xml:space="preserve"> pleno </w:t>
      </w:r>
      <w:r w:rsidR="00BA111B" w:rsidRPr="006D1C74">
        <w:rPr>
          <w:rFonts w:asciiTheme="majorHAnsi" w:eastAsia="Cambria" w:hAnsiTheme="majorHAnsi" w:cs="Cambria"/>
          <w:color w:val="000000"/>
          <w:sz w:val="20"/>
          <w:szCs w:val="20"/>
          <w:u w:color="000000"/>
          <w:lang w:val="pt-BR" w:eastAsia="es-ES"/>
        </w:rPr>
        <w:t>conhecimento</w:t>
      </w:r>
      <w:r w:rsidR="002649F0" w:rsidRPr="006D1C74">
        <w:rPr>
          <w:rFonts w:asciiTheme="majorHAnsi" w:eastAsia="Cambria" w:hAnsiTheme="majorHAnsi" w:cs="Cambria"/>
          <w:color w:val="000000"/>
          <w:sz w:val="20"/>
          <w:szCs w:val="20"/>
          <w:u w:color="000000"/>
          <w:lang w:val="pt-BR" w:eastAsia="es-ES"/>
        </w:rPr>
        <w:t>.</w:t>
      </w:r>
      <w:r w:rsidR="00217759" w:rsidRPr="006D1C74">
        <w:rPr>
          <w:rFonts w:asciiTheme="majorHAnsi" w:eastAsia="Cambria" w:hAnsiTheme="majorHAnsi" w:cs="Cambria"/>
          <w:color w:val="000000"/>
          <w:sz w:val="20"/>
          <w:szCs w:val="20"/>
          <w:u w:color="000000"/>
          <w:lang w:val="pt-BR" w:eastAsia="es-ES"/>
        </w:rPr>
        <w:t xml:space="preserve"> </w:t>
      </w:r>
      <w:r w:rsidRPr="006D1C74">
        <w:rPr>
          <w:rFonts w:asciiTheme="majorHAnsi" w:eastAsia="Cambria" w:hAnsiTheme="majorHAnsi" w:cs="Cambria"/>
          <w:color w:val="000000"/>
          <w:sz w:val="20"/>
          <w:szCs w:val="20"/>
          <w:u w:color="000000"/>
          <w:lang w:val="pt-BR" w:eastAsia="es-ES"/>
        </w:rPr>
        <w:t>A</w:t>
      </w:r>
      <w:r w:rsidR="00217759" w:rsidRPr="006D1C74">
        <w:rPr>
          <w:rFonts w:asciiTheme="majorHAnsi" w:eastAsia="Cambria" w:hAnsiTheme="majorHAnsi" w:cs="Cambria"/>
          <w:color w:val="000000"/>
          <w:sz w:val="20"/>
          <w:szCs w:val="20"/>
          <w:u w:color="000000"/>
          <w:lang w:val="pt-BR" w:eastAsia="es-ES"/>
        </w:rPr>
        <w:t xml:space="preserve"> </w:t>
      </w:r>
      <w:r w:rsidR="001032A6">
        <w:rPr>
          <w:rFonts w:asciiTheme="majorHAnsi" w:eastAsia="Cambria" w:hAnsiTheme="majorHAnsi" w:cs="Cambria"/>
          <w:color w:val="000000"/>
          <w:sz w:val="20"/>
          <w:szCs w:val="20"/>
          <w:u w:color="000000"/>
          <w:lang w:val="pt-BR" w:eastAsia="es-ES"/>
        </w:rPr>
        <w:t xml:space="preserve">esse </w:t>
      </w:r>
      <w:r w:rsidR="00156036" w:rsidRPr="006D1C74">
        <w:rPr>
          <w:rFonts w:asciiTheme="majorHAnsi" w:eastAsia="Cambria" w:hAnsiTheme="majorHAnsi" w:cs="Cambria"/>
          <w:color w:val="000000"/>
          <w:sz w:val="20"/>
          <w:szCs w:val="20"/>
          <w:u w:color="000000"/>
          <w:lang w:val="pt-BR" w:eastAsia="es-ES"/>
        </w:rPr>
        <w:t>respeito</w:t>
      </w:r>
      <w:r w:rsidR="002649F0" w:rsidRPr="006D1C74">
        <w:rPr>
          <w:rFonts w:asciiTheme="majorHAnsi" w:eastAsia="Cambria" w:hAnsiTheme="majorHAnsi" w:cs="Cambria"/>
          <w:color w:val="000000"/>
          <w:sz w:val="20"/>
          <w:szCs w:val="20"/>
          <w:u w:color="000000"/>
          <w:lang w:val="pt-BR" w:eastAsia="es-ES"/>
        </w:rPr>
        <w:t>,</w:t>
      </w:r>
      <w:r w:rsidR="00700267" w:rsidRPr="006D1C74">
        <w:rPr>
          <w:rFonts w:asciiTheme="majorHAnsi" w:eastAsia="Cambria" w:hAnsiTheme="majorHAnsi" w:cs="Cambria"/>
          <w:color w:val="000000"/>
          <w:sz w:val="20"/>
          <w:szCs w:val="20"/>
          <w:u w:color="000000"/>
          <w:lang w:val="pt-BR" w:eastAsia="es-ES"/>
        </w:rPr>
        <w:t xml:space="preserve"> a </w:t>
      </w:r>
      <w:r w:rsidR="00417BE8" w:rsidRPr="006D1C74">
        <w:rPr>
          <w:rFonts w:asciiTheme="majorHAnsi" w:eastAsia="Cambria" w:hAnsiTheme="majorHAnsi" w:cs="Cambria"/>
          <w:color w:val="000000"/>
          <w:sz w:val="20"/>
          <w:szCs w:val="20"/>
          <w:u w:color="000000"/>
          <w:lang w:val="pt-BR" w:eastAsia="es-ES"/>
        </w:rPr>
        <w:t>Comissão</w:t>
      </w:r>
      <w:r w:rsidR="002649F0" w:rsidRPr="006D1C74">
        <w:rPr>
          <w:rFonts w:asciiTheme="majorHAnsi" w:eastAsia="Cambria" w:hAnsiTheme="majorHAnsi" w:cs="Cambria"/>
          <w:color w:val="000000"/>
          <w:sz w:val="20"/>
          <w:szCs w:val="20"/>
          <w:u w:color="000000"/>
          <w:lang w:val="pt-BR" w:eastAsia="es-ES"/>
        </w:rPr>
        <w:t xml:space="preserve"> </w:t>
      </w:r>
      <w:r w:rsidRPr="006D1C74">
        <w:rPr>
          <w:rFonts w:asciiTheme="majorHAnsi" w:eastAsia="Cambria" w:hAnsiTheme="majorHAnsi" w:cs="Cambria"/>
          <w:color w:val="000000"/>
          <w:sz w:val="20"/>
          <w:szCs w:val="20"/>
          <w:u w:color="000000"/>
          <w:lang w:val="pt-BR" w:eastAsia="es-ES"/>
        </w:rPr>
        <w:t>assinalou</w:t>
      </w:r>
      <w:r w:rsidR="002649F0" w:rsidRPr="006D1C74">
        <w:rPr>
          <w:rFonts w:asciiTheme="majorHAnsi" w:eastAsia="Cambria" w:hAnsiTheme="majorHAnsi" w:cs="Cambria"/>
          <w:color w:val="000000"/>
          <w:sz w:val="20"/>
          <w:szCs w:val="20"/>
          <w:u w:color="000000"/>
          <w:lang w:val="pt-BR" w:eastAsia="es-ES"/>
        </w:rPr>
        <w:t xml:space="preserve"> que</w:t>
      </w:r>
      <w:r w:rsidR="00700267" w:rsidRPr="006D1C74">
        <w:rPr>
          <w:rFonts w:asciiTheme="majorHAnsi" w:eastAsia="Cambria" w:hAnsiTheme="majorHAnsi" w:cs="Cambria"/>
          <w:color w:val="000000"/>
          <w:sz w:val="20"/>
          <w:szCs w:val="20"/>
          <w:u w:color="000000"/>
          <w:lang w:val="pt-BR" w:eastAsia="es-ES"/>
        </w:rPr>
        <w:t xml:space="preserve"> os </w:t>
      </w:r>
      <w:r w:rsidR="00BA111B" w:rsidRPr="006D1C74">
        <w:rPr>
          <w:rFonts w:asciiTheme="majorHAnsi" w:eastAsia="Cambria" w:hAnsiTheme="majorHAnsi" w:cs="Cambria"/>
          <w:color w:val="000000"/>
          <w:sz w:val="20"/>
          <w:szCs w:val="20"/>
          <w:u w:color="000000"/>
          <w:lang w:val="pt-BR" w:eastAsia="es-ES"/>
        </w:rPr>
        <w:t>princípios</w:t>
      </w:r>
      <w:r w:rsidR="002649F0" w:rsidRPr="006D1C74">
        <w:rPr>
          <w:rFonts w:asciiTheme="majorHAnsi" w:eastAsia="Cambria" w:hAnsiTheme="majorHAnsi" w:cs="Cambria"/>
          <w:color w:val="000000"/>
          <w:sz w:val="20"/>
          <w:szCs w:val="20"/>
          <w:u w:color="000000"/>
          <w:lang w:val="pt-BR" w:eastAsia="es-ES"/>
        </w:rPr>
        <w:t xml:space="preserve"> ger</w:t>
      </w:r>
      <w:r w:rsidR="00700267" w:rsidRPr="006D1C74">
        <w:rPr>
          <w:rFonts w:asciiTheme="majorHAnsi" w:eastAsia="Cambria" w:hAnsiTheme="majorHAnsi" w:cs="Cambria"/>
          <w:color w:val="000000"/>
          <w:sz w:val="20"/>
          <w:szCs w:val="20"/>
          <w:u w:color="000000"/>
          <w:lang w:val="pt-BR" w:eastAsia="es-ES"/>
        </w:rPr>
        <w:t>ais</w:t>
      </w:r>
      <w:r w:rsidR="002649F0" w:rsidRPr="006D1C74">
        <w:rPr>
          <w:rFonts w:asciiTheme="majorHAnsi" w:eastAsia="Cambria" w:hAnsiTheme="majorHAnsi" w:cs="Cambria"/>
          <w:color w:val="000000"/>
          <w:sz w:val="20"/>
          <w:szCs w:val="20"/>
          <w:u w:color="000000"/>
          <w:lang w:val="pt-BR" w:eastAsia="es-ES"/>
        </w:rPr>
        <w:t xml:space="preserve"> sobre</w:t>
      </w:r>
      <w:r w:rsidR="00700267" w:rsidRPr="006D1C74">
        <w:rPr>
          <w:rFonts w:asciiTheme="majorHAnsi" w:eastAsia="Cambria" w:hAnsiTheme="majorHAnsi" w:cs="Cambria"/>
          <w:color w:val="000000"/>
          <w:sz w:val="20"/>
          <w:szCs w:val="20"/>
          <w:u w:color="000000"/>
          <w:lang w:val="pt-BR" w:eastAsia="es-ES"/>
        </w:rPr>
        <w:t xml:space="preserve"> o </w:t>
      </w:r>
      <w:r w:rsidR="002649F0" w:rsidRPr="006D1C74">
        <w:rPr>
          <w:rFonts w:asciiTheme="majorHAnsi" w:eastAsia="Cambria" w:hAnsiTheme="majorHAnsi" w:cs="Cambria"/>
          <w:color w:val="000000"/>
          <w:sz w:val="20"/>
          <w:szCs w:val="20"/>
          <w:u w:color="000000"/>
          <w:lang w:val="pt-BR" w:eastAsia="es-ES"/>
        </w:rPr>
        <w:t>uso</w:t>
      </w:r>
      <w:r w:rsidR="00795010" w:rsidRPr="006D1C74">
        <w:rPr>
          <w:rFonts w:asciiTheme="majorHAnsi" w:eastAsia="Cambria" w:hAnsiTheme="majorHAnsi" w:cs="Cambria"/>
          <w:color w:val="000000"/>
          <w:sz w:val="20"/>
          <w:szCs w:val="20"/>
          <w:u w:color="000000"/>
          <w:lang w:val="pt-BR" w:eastAsia="es-ES"/>
        </w:rPr>
        <w:t xml:space="preserve"> da </w:t>
      </w:r>
      <w:r w:rsidR="00B146A8" w:rsidRPr="006D1C74">
        <w:rPr>
          <w:rFonts w:asciiTheme="majorHAnsi" w:eastAsia="Cambria" w:hAnsiTheme="majorHAnsi" w:cs="Cambria"/>
          <w:color w:val="000000"/>
          <w:sz w:val="20"/>
          <w:szCs w:val="20"/>
          <w:u w:color="000000"/>
          <w:lang w:val="pt-BR" w:eastAsia="es-ES"/>
        </w:rPr>
        <w:t>força</w:t>
      </w:r>
      <w:r w:rsidR="002649F0" w:rsidRPr="006D1C74">
        <w:rPr>
          <w:rFonts w:asciiTheme="majorHAnsi" w:eastAsia="Cambria" w:hAnsiTheme="majorHAnsi" w:cs="Cambria"/>
          <w:color w:val="000000"/>
          <w:sz w:val="20"/>
          <w:szCs w:val="20"/>
          <w:u w:color="000000"/>
          <w:lang w:val="pt-BR" w:eastAsia="es-ES"/>
        </w:rPr>
        <w:t>, aplicados</w:t>
      </w:r>
      <w:r w:rsidR="00217759" w:rsidRPr="006D1C74">
        <w:rPr>
          <w:rFonts w:asciiTheme="majorHAnsi" w:eastAsia="Cambria" w:hAnsiTheme="majorHAnsi" w:cs="Cambria"/>
          <w:color w:val="000000"/>
          <w:sz w:val="20"/>
          <w:szCs w:val="20"/>
          <w:u w:color="000000"/>
          <w:lang w:val="pt-BR" w:eastAsia="es-ES"/>
        </w:rPr>
        <w:t xml:space="preserve"> ao </w:t>
      </w:r>
      <w:r w:rsidR="002649F0" w:rsidRPr="006D1C74">
        <w:rPr>
          <w:rFonts w:asciiTheme="majorHAnsi" w:eastAsia="Cambria" w:hAnsiTheme="majorHAnsi" w:cs="Cambria"/>
          <w:color w:val="000000"/>
          <w:sz w:val="20"/>
          <w:szCs w:val="20"/>
          <w:u w:color="000000"/>
          <w:lang w:val="pt-BR" w:eastAsia="es-ES"/>
        </w:rPr>
        <w:t>contexto de protest</w:t>
      </w:r>
      <w:r w:rsidRPr="006D1C74">
        <w:rPr>
          <w:rFonts w:asciiTheme="majorHAnsi" w:eastAsia="Cambria" w:hAnsiTheme="majorHAnsi" w:cs="Cambria"/>
          <w:color w:val="000000"/>
          <w:sz w:val="20"/>
          <w:szCs w:val="20"/>
          <w:u w:color="000000"/>
          <w:lang w:val="pt-BR" w:eastAsia="es-ES"/>
        </w:rPr>
        <w:t>o</w:t>
      </w:r>
      <w:r w:rsidR="002649F0" w:rsidRPr="006D1C74">
        <w:rPr>
          <w:rFonts w:asciiTheme="majorHAnsi" w:eastAsia="Cambria" w:hAnsiTheme="majorHAnsi" w:cs="Cambria"/>
          <w:color w:val="000000"/>
          <w:sz w:val="20"/>
          <w:szCs w:val="20"/>
          <w:u w:color="000000"/>
          <w:lang w:val="pt-BR" w:eastAsia="es-ES"/>
        </w:rPr>
        <w:t>s</w:t>
      </w:r>
      <w:r w:rsidR="00CF037E" w:rsidRPr="006D1C74">
        <w:rPr>
          <w:rFonts w:asciiTheme="majorHAnsi" w:eastAsia="Cambria" w:hAnsiTheme="majorHAnsi" w:cs="Cambria"/>
          <w:color w:val="000000"/>
          <w:sz w:val="20"/>
          <w:szCs w:val="20"/>
          <w:u w:color="000000"/>
          <w:lang w:val="pt-BR" w:eastAsia="es-ES"/>
        </w:rPr>
        <w:t xml:space="preserve"> e </w:t>
      </w:r>
      <w:r w:rsidR="002649F0" w:rsidRPr="006D1C74">
        <w:rPr>
          <w:rFonts w:asciiTheme="majorHAnsi" w:eastAsia="Cambria" w:hAnsiTheme="majorHAnsi" w:cs="Cambria"/>
          <w:color w:val="000000"/>
          <w:sz w:val="20"/>
          <w:szCs w:val="20"/>
          <w:u w:color="000000"/>
          <w:lang w:val="pt-BR" w:eastAsia="es-ES"/>
        </w:rPr>
        <w:t>manifesta</w:t>
      </w:r>
      <w:r w:rsidR="00CF037E" w:rsidRPr="006D1C74">
        <w:rPr>
          <w:rFonts w:asciiTheme="majorHAnsi" w:eastAsia="Cambria" w:hAnsiTheme="majorHAnsi" w:cs="Cambria"/>
          <w:color w:val="000000"/>
          <w:sz w:val="20"/>
          <w:szCs w:val="20"/>
          <w:u w:color="000000"/>
          <w:lang w:val="pt-BR" w:eastAsia="es-ES"/>
        </w:rPr>
        <w:t>ções</w:t>
      </w:r>
      <w:r w:rsidR="002649F0" w:rsidRPr="006D1C74">
        <w:rPr>
          <w:rFonts w:asciiTheme="majorHAnsi" w:eastAsia="Cambria" w:hAnsiTheme="majorHAnsi" w:cs="Cambria"/>
          <w:color w:val="000000"/>
          <w:sz w:val="20"/>
          <w:szCs w:val="20"/>
          <w:u w:color="000000"/>
          <w:lang w:val="pt-BR" w:eastAsia="es-ES"/>
        </w:rPr>
        <w:t xml:space="preserve">, </w:t>
      </w:r>
      <w:r w:rsidR="00BA111B" w:rsidRPr="006D1C74">
        <w:rPr>
          <w:rFonts w:asciiTheme="majorHAnsi" w:eastAsia="Cambria" w:hAnsiTheme="majorHAnsi" w:cs="Cambria"/>
          <w:color w:val="000000"/>
          <w:sz w:val="20"/>
          <w:szCs w:val="20"/>
          <w:u w:color="000000"/>
          <w:lang w:val="pt-BR" w:eastAsia="es-ES"/>
        </w:rPr>
        <w:t>requerem</w:t>
      </w:r>
      <w:r w:rsidR="002649F0" w:rsidRPr="006D1C74">
        <w:rPr>
          <w:rFonts w:asciiTheme="majorHAnsi" w:eastAsia="Cambria" w:hAnsiTheme="majorHAnsi" w:cs="Cambria"/>
          <w:color w:val="000000"/>
          <w:sz w:val="20"/>
          <w:szCs w:val="20"/>
          <w:u w:color="000000"/>
          <w:lang w:val="pt-BR" w:eastAsia="es-ES"/>
        </w:rPr>
        <w:t xml:space="preserve"> que</w:t>
      </w:r>
      <w:r w:rsidR="00700267" w:rsidRPr="006D1C74">
        <w:rPr>
          <w:rFonts w:asciiTheme="majorHAnsi" w:eastAsia="Cambria" w:hAnsiTheme="majorHAnsi" w:cs="Cambria"/>
          <w:color w:val="000000"/>
          <w:sz w:val="20"/>
          <w:szCs w:val="20"/>
          <w:u w:color="000000"/>
          <w:lang w:val="pt-BR" w:eastAsia="es-ES"/>
        </w:rPr>
        <w:t xml:space="preserve"> a </w:t>
      </w:r>
      <w:r w:rsidR="002649F0" w:rsidRPr="006D1C74">
        <w:rPr>
          <w:rFonts w:asciiTheme="majorHAnsi" w:eastAsia="Cambria" w:hAnsiTheme="majorHAnsi" w:cs="Cambria"/>
          <w:color w:val="000000"/>
          <w:sz w:val="20"/>
          <w:szCs w:val="20"/>
          <w:u w:color="000000"/>
          <w:lang w:val="pt-BR" w:eastAsia="es-ES"/>
        </w:rPr>
        <w:t>gest</w:t>
      </w:r>
      <w:r w:rsidRPr="006D1C74">
        <w:rPr>
          <w:rFonts w:asciiTheme="majorHAnsi" w:eastAsia="Cambria" w:hAnsiTheme="majorHAnsi" w:cs="Cambria"/>
          <w:color w:val="000000"/>
          <w:sz w:val="20"/>
          <w:szCs w:val="20"/>
          <w:u w:color="000000"/>
          <w:lang w:val="pt-BR" w:eastAsia="es-ES"/>
        </w:rPr>
        <w:t>ão</w:t>
      </w:r>
      <w:r w:rsidR="00700267" w:rsidRPr="006D1C74">
        <w:rPr>
          <w:rFonts w:asciiTheme="majorHAnsi" w:eastAsia="Cambria" w:hAnsiTheme="majorHAnsi" w:cs="Cambria"/>
          <w:color w:val="000000"/>
          <w:sz w:val="20"/>
          <w:szCs w:val="20"/>
          <w:u w:color="000000"/>
          <w:lang w:val="pt-BR" w:eastAsia="es-ES"/>
        </w:rPr>
        <w:t xml:space="preserve"> d</w:t>
      </w:r>
      <w:r w:rsidRPr="006D1C74">
        <w:rPr>
          <w:rFonts w:asciiTheme="majorHAnsi" w:eastAsia="Cambria" w:hAnsiTheme="majorHAnsi" w:cs="Cambria"/>
          <w:color w:val="000000"/>
          <w:sz w:val="20"/>
          <w:szCs w:val="20"/>
          <w:u w:color="000000"/>
          <w:lang w:val="pt-BR" w:eastAsia="es-ES"/>
        </w:rPr>
        <w:t>a</w:t>
      </w:r>
      <w:r w:rsidR="00700267" w:rsidRPr="006D1C74">
        <w:rPr>
          <w:rFonts w:asciiTheme="majorHAnsi" w:eastAsia="Cambria" w:hAnsiTheme="majorHAnsi" w:cs="Cambria"/>
          <w:color w:val="000000"/>
          <w:sz w:val="20"/>
          <w:szCs w:val="20"/>
          <w:u w:color="000000"/>
          <w:lang w:val="pt-BR" w:eastAsia="es-ES"/>
        </w:rPr>
        <w:t xml:space="preserve">s </w:t>
      </w:r>
      <w:r w:rsidR="002649F0" w:rsidRPr="006D1C74">
        <w:rPr>
          <w:rFonts w:asciiTheme="majorHAnsi" w:eastAsia="Cambria" w:hAnsiTheme="majorHAnsi" w:cs="Cambria"/>
          <w:color w:val="000000"/>
          <w:sz w:val="20"/>
          <w:szCs w:val="20"/>
          <w:u w:color="000000"/>
          <w:lang w:val="pt-BR" w:eastAsia="es-ES"/>
        </w:rPr>
        <w:t>opera</w:t>
      </w:r>
      <w:r w:rsidRPr="006D1C74">
        <w:rPr>
          <w:rFonts w:asciiTheme="majorHAnsi" w:eastAsia="Cambria" w:hAnsiTheme="majorHAnsi" w:cs="Cambria"/>
          <w:color w:val="000000"/>
          <w:sz w:val="20"/>
          <w:szCs w:val="20"/>
          <w:u w:color="000000"/>
          <w:lang w:val="pt-BR" w:eastAsia="es-ES"/>
        </w:rPr>
        <w:t xml:space="preserve">ções </w:t>
      </w:r>
      <w:r w:rsidR="002649F0" w:rsidRPr="006D1C74">
        <w:rPr>
          <w:rFonts w:asciiTheme="majorHAnsi" w:eastAsia="Cambria" w:hAnsiTheme="majorHAnsi" w:cs="Cambria"/>
          <w:color w:val="000000"/>
          <w:sz w:val="20"/>
          <w:szCs w:val="20"/>
          <w:u w:color="000000"/>
          <w:lang w:val="pt-BR" w:eastAsia="es-ES"/>
        </w:rPr>
        <w:t>de segur</w:t>
      </w:r>
      <w:r w:rsidRPr="006D1C74">
        <w:rPr>
          <w:rFonts w:asciiTheme="majorHAnsi" w:eastAsia="Cambria" w:hAnsiTheme="majorHAnsi" w:cs="Cambria"/>
          <w:color w:val="000000"/>
          <w:sz w:val="20"/>
          <w:szCs w:val="20"/>
          <w:u w:color="000000"/>
          <w:lang w:val="pt-BR" w:eastAsia="es-ES"/>
        </w:rPr>
        <w:t>ança</w:t>
      </w:r>
      <w:r w:rsidR="00F673C7" w:rsidRPr="006D1C74">
        <w:rPr>
          <w:rFonts w:asciiTheme="majorHAnsi" w:eastAsia="Cambria" w:hAnsiTheme="majorHAnsi" w:cs="Cambria"/>
          <w:color w:val="000000"/>
          <w:sz w:val="20"/>
          <w:szCs w:val="20"/>
          <w:u w:color="000000"/>
          <w:lang w:val="pt-BR" w:eastAsia="es-ES"/>
        </w:rPr>
        <w:t xml:space="preserve"> </w:t>
      </w:r>
      <w:r w:rsidR="00BA111B" w:rsidRPr="006D1C74">
        <w:rPr>
          <w:rFonts w:asciiTheme="majorHAnsi" w:eastAsia="Cambria" w:hAnsiTheme="majorHAnsi" w:cs="Cambria"/>
          <w:color w:val="000000"/>
          <w:sz w:val="20"/>
          <w:szCs w:val="20"/>
          <w:u w:color="000000"/>
          <w:lang w:val="pt-BR" w:eastAsia="es-ES"/>
        </w:rPr>
        <w:t>seja</w:t>
      </w:r>
      <w:r w:rsidR="002649F0" w:rsidRPr="006D1C74">
        <w:rPr>
          <w:rFonts w:asciiTheme="majorHAnsi" w:eastAsia="Cambria" w:hAnsiTheme="majorHAnsi" w:cs="Cambria"/>
          <w:color w:val="000000"/>
          <w:sz w:val="20"/>
          <w:szCs w:val="20"/>
          <w:u w:color="000000"/>
          <w:lang w:val="pt-BR" w:eastAsia="es-ES"/>
        </w:rPr>
        <w:t xml:space="preserve"> plan</w:t>
      </w:r>
      <w:r w:rsidR="00E3657A" w:rsidRPr="006D1C74">
        <w:rPr>
          <w:rFonts w:asciiTheme="majorHAnsi" w:eastAsia="Cambria" w:hAnsiTheme="majorHAnsi" w:cs="Cambria"/>
          <w:color w:val="000000"/>
          <w:sz w:val="20"/>
          <w:szCs w:val="20"/>
          <w:u w:color="000000"/>
          <w:lang w:val="pt-BR" w:eastAsia="es-ES"/>
        </w:rPr>
        <w:t>ej</w:t>
      </w:r>
      <w:r w:rsidR="002649F0" w:rsidRPr="006D1C74">
        <w:rPr>
          <w:rFonts w:asciiTheme="majorHAnsi" w:eastAsia="Cambria" w:hAnsiTheme="majorHAnsi" w:cs="Cambria"/>
          <w:color w:val="000000"/>
          <w:sz w:val="20"/>
          <w:szCs w:val="20"/>
          <w:u w:color="000000"/>
          <w:lang w:val="pt-BR" w:eastAsia="es-ES"/>
        </w:rPr>
        <w:t>ada de forma cuidadosa</w:t>
      </w:r>
      <w:r w:rsidR="00CF037E" w:rsidRPr="006D1C74">
        <w:rPr>
          <w:rFonts w:asciiTheme="majorHAnsi" w:eastAsia="Cambria" w:hAnsiTheme="majorHAnsi" w:cs="Cambria"/>
          <w:color w:val="000000"/>
          <w:sz w:val="20"/>
          <w:szCs w:val="20"/>
          <w:u w:color="000000"/>
          <w:lang w:val="pt-BR" w:eastAsia="es-ES"/>
        </w:rPr>
        <w:t xml:space="preserve"> e </w:t>
      </w:r>
      <w:r w:rsidR="002649F0" w:rsidRPr="006D1C74">
        <w:rPr>
          <w:rFonts w:asciiTheme="majorHAnsi" w:eastAsia="Cambria" w:hAnsiTheme="majorHAnsi" w:cs="Cambria"/>
          <w:color w:val="000000"/>
          <w:sz w:val="20"/>
          <w:szCs w:val="20"/>
          <w:u w:color="000000"/>
          <w:lang w:val="pt-BR" w:eastAsia="es-ES"/>
        </w:rPr>
        <w:t xml:space="preserve">minuciosa por </w:t>
      </w:r>
      <w:r w:rsidR="00CA7940" w:rsidRPr="006D1C74">
        <w:rPr>
          <w:rFonts w:asciiTheme="majorHAnsi" w:eastAsia="Cambria" w:hAnsiTheme="majorHAnsi" w:cs="Cambria"/>
          <w:color w:val="000000"/>
          <w:sz w:val="20"/>
          <w:szCs w:val="20"/>
          <w:u w:color="000000"/>
          <w:lang w:val="pt-BR" w:eastAsia="es-ES"/>
        </w:rPr>
        <w:t>pessoa</w:t>
      </w:r>
      <w:r w:rsidR="002649F0" w:rsidRPr="006D1C74">
        <w:rPr>
          <w:rFonts w:asciiTheme="majorHAnsi" w:eastAsia="Cambria" w:hAnsiTheme="majorHAnsi" w:cs="Cambria"/>
          <w:color w:val="000000"/>
          <w:sz w:val="20"/>
          <w:szCs w:val="20"/>
          <w:u w:color="000000"/>
          <w:lang w:val="pt-BR" w:eastAsia="es-ES"/>
        </w:rPr>
        <w:t>s</w:t>
      </w:r>
      <w:r w:rsidR="00F673C7" w:rsidRPr="006D1C74">
        <w:rPr>
          <w:rFonts w:asciiTheme="majorHAnsi" w:eastAsia="Cambria" w:hAnsiTheme="majorHAnsi" w:cs="Cambria"/>
          <w:color w:val="000000"/>
          <w:sz w:val="20"/>
          <w:szCs w:val="20"/>
          <w:u w:color="000000"/>
          <w:lang w:val="pt-BR" w:eastAsia="es-ES"/>
        </w:rPr>
        <w:t xml:space="preserve"> com </w:t>
      </w:r>
      <w:r w:rsidR="002649F0" w:rsidRPr="006D1C74">
        <w:rPr>
          <w:rFonts w:asciiTheme="majorHAnsi" w:eastAsia="Cambria" w:hAnsiTheme="majorHAnsi" w:cs="Cambria"/>
          <w:color w:val="000000"/>
          <w:sz w:val="20"/>
          <w:szCs w:val="20"/>
          <w:u w:color="000000"/>
          <w:lang w:val="pt-BR" w:eastAsia="es-ES"/>
        </w:rPr>
        <w:t>experi</w:t>
      </w:r>
      <w:r w:rsidR="001032A6">
        <w:rPr>
          <w:rFonts w:asciiTheme="majorHAnsi" w:eastAsia="Cambria" w:hAnsiTheme="majorHAnsi" w:cs="Cambria"/>
          <w:color w:val="000000"/>
          <w:sz w:val="20"/>
          <w:szCs w:val="20"/>
          <w:u w:color="000000"/>
          <w:lang w:val="pt-BR" w:eastAsia="es-ES"/>
        </w:rPr>
        <w:t>ê</w:t>
      </w:r>
      <w:r w:rsidR="002649F0" w:rsidRPr="006D1C74">
        <w:rPr>
          <w:rFonts w:asciiTheme="majorHAnsi" w:eastAsia="Cambria" w:hAnsiTheme="majorHAnsi" w:cs="Cambria"/>
          <w:color w:val="000000"/>
          <w:sz w:val="20"/>
          <w:szCs w:val="20"/>
          <w:u w:color="000000"/>
          <w:lang w:val="pt-BR" w:eastAsia="es-ES"/>
        </w:rPr>
        <w:t>ncia</w:t>
      </w:r>
      <w:r w:rsidR="00CF037E" w:rsidRPr="006D1C74">
        <w:rPr>
          <w:rFonts w:asciiTheme="majorHAnsi" w:eastAsia="Cambria" w:hAnsiTheme="majorHAnsi" w:cs="Cambria"/>
          <w:color w:val="000000"/>
          <w:sz w:val="20"/>
          <w:szCs w:val="20"/>
          <w:u w:color="000000"/>
          <w:lang w:val="pt-BR" w:eastAsia="es-ES"/>
        </w:rPr>
        <w:t xml:space="preserve"> e </w:t>
      </w:r>
      <w:r w:rsidR="002649F0" w:rsidRPr="006D1C74">
        <w:rPr>
          <w:rFonts w:asciiTheme="majorHAnsi" w:eastAsia="Cambria" w:hAnsiTheme="majorHAnsi" w:cs="Cambria"/>
          <w:color w:val="000000"/>
          <w:sz w:val="20"/>
          <w:szCs w:val="20"/>
          <w:u w:color="000000"/>
          <w:lang w:val="pt-BR" w:eastAsia="es-ES"/>
        </w:rPr>
        <w:t>capacita</w:t>
      </w:r>
      <w:r w:rsidR="00CF037E" w:rsidRPr="006D1C74">
        <w:rPr>
          <w:rFonts w:asciiTheme="majorHAnsi" w:eastAsia="Cambria" w:hAnsiTheme="majorHAnsi" w:cs="Cambria"/>
          <w:color w:val="000000"/>
          <w:sz w:val="20"/>
          <w:szCs w:val="20"/>
          <w:u w:color="000000"/>
          <w:lang w:val="pt-BR" w:eastAsia="es-ES"/>
        </w:rPr>
        <w:t>ção</w:t>
      </w:r>
      <w:r w:rsidR="002649F0" w:rsidRPr="006D1C74">
        <w:rPr>
          <w:rFonts w:asciiTheme="majorHAnsi" w:eastAsia="Cambria" w:hAnsiTheme="majorHAnsi" w:cs="Cambria"/>
          <w:color w:val="000000"/>
          <w:sz w:val="20"/>
          <w:szCs w:val="20"/>
          <w:u w:color="000000"/>
          <w:lang w:val="pt-BR" w:eastAsia="es-ES"/>
        </w:rPr>
        <w:t xml:space="preserve"> específicas para este tipo de situa</w:t>
      </w:r>
      <w:r w:rsidR="00CF037E" w:rsidRPr="006D1C74">
        <w:rPr>
          <w:rFonts w:asciiTheme="majorHAnsi" w:eastAsia="Cambria" w:hAnsiTheme="majorHAnsi" w:cs="Cambria"/>
          <w:color w:val="000000"/>
          <w:sz w:val="20"/>
          <w:szCs w:val="20"/>
          <w:u w:color="000000"/>
          <w:lang w:val="pt-BR" w:eastAsia="es-ES"/>
        </w:rPr>
        <w:t xml:space="preserve">ção e </w:t>
      </w:r>
      <w:r w:rsidR="00E3657A" w:rsidRPr="006D1C74">
        <w:rPr>
          <w:rFonts w:asciiTheme="majorHAnsi" w:eastAsia="Cambria" w:hAnsiTheme="majorHAnsi" w:cs="Cambria"/>
          <w:color w:val="000000"/>
          <w:sz w:val="20"/>
          <w:szCs w:val="20"/>
          <w:u w:color="000000"/>
          <w:lang w:val="pt-BR" w:eastAsia="es-ES"/>
        </w:rPr>
        <w:t>segundo</w:t>
      </w:r>
      <w:r w:rsidR="002649F0" w:rsidRPr="006D1C74">
        <w:rPr>
          <w:rFonts w:asciiTheme="majorHAnsi" w:eastAsia="Cambria" w:hAnsiTheme="majorHAnsi" w:cs="Cambria"/>
          <w:color w:val="000000"/>
          <w:sz w:val="20"/>
          <w:szCs w:val="20"/>
          <w:u w:color="000000"/>
          <w:lang w:val="pt-BR" w:eastAsia="es-ES"/>
        </w:rPr>
        <w:t xml:space="preserve"> protocolos de </w:t>
      </w:r>
      <w:r w:rsidR="00BA111B" w:rsidRPr="006D1C74">
        <w:rPr>
          <w:rFonts w:asciiTheme="majorHAnsi" w:eastAsia="Cambria" w:hAnsiTheme="majorHAnsi" w:cs="Cambria"/>
          <w:color w:val="000000"/>
          <w:sz w:val="20"/>
          <w:szCs w:val="20"/>
          <w:u w:color="000000"/>
          <w:lang w:val="pt-BR" w:eastAsia="es-ES"/>
        </w:rPr>
        <w:t>atuação</w:t>
      </w:r>
      <w:r w:rsidR="002649F0" w:rsidRPr="006D1C74">
        <w:rPr>
          <w:rFonts w:asciiTheme="majorHAnsi" w:eastAsia="Cambria" w:hAnsiTheme="majorHAnsi" w:cs="Cambria"/>
          <w:color w:val="000000"/>
          <w:sz w:val="20"/>
          <w:szCs w:val="20"/>
          <w:u w:color="000000"/>
          <w:lang w:val="pt-BR" w:eastAsia="es-ES"/>
        </w:rPr>
        <w:t xml:space="preserve"> claros</w:t>
      </w:r>
      <w:r w:rsidR="002649F0" w:rsidRPr="006D1C74">
        <w:rPr>
          <w:rFonts w:asciiTheme="majorHAnsi" w:eastAsia="Cambria" w:hAnsiTheme="majorHAnsi" w:cs="Cambria"/>
          <w:color w:val="000000"/>
          <w:sz w:val="20"/>
          <w:szCs w:val="20"/>
          <w:u w:color="000000"/>
          <w:vertAlign w:val="superscript"/>
          <w:lang w:val="pt-BR" w:eastAsia="es-ES"/>
        </w:rPr>
        <w:footnoteReference w:id="75"/>
      </w:r>
      <w:r w:rsidR="002649F0" w:rsidRPr="006D1C74">
        <w:rPr>
          <w:rFonts w:asciiTheme="majorHAnsi" w:eastAsia="Cambria" w:hAnsiTheme="majorHAnsi" w:cs="Cambria"/>
          <w:color w:val="000000"/>
          <w:sz w:val="20"/>
          <w:szCs w:val="20"/>
          <w:u w:color="000000"/>
          <w:lang w:val="pt-BR" w:eastAsia="es-ES"/>
        </w:rPr>
        <w:t xml:space="preserve">. </w:t>
      </w:r>
      <w:r w:rsidR="00B42161" w:rsidRPr="006D1C74">
        <w:rPr>
          <w:rFonts w:asciiTheme="majorHAnsi" w:eastAsia="Cambria" w:hAnsiTheme="majorHAnsi" w:cs="Cambria"/>
          <w:color w:val="000000"/>
          <w:sz w:val="20"/>
          <w:szCs w:val="20"/>
          <w:u w:color="000000"/>
          <w:lang w:val="pt-BR" w:eastAsia="es-ES"/>
        </w:rPr>
        <w:t>A</w:t>
      </w:r>
      <w:r w:rsidR="00AB0179" w:rsidRPr="006D1C74">
        <w:rPr>
          <w:rFonts w:asciiTheme="majorHAnsi" w:eastAsia="Cambria" w:hAnsiTheme="majorHAnsi" w:cs="Cambria"/>
          <w:color w:val="000000"/>
          <w:sz w:val="20"/>
          <w:szCs w:val="20"/>
          <w:u w:color="000000"/>
          <w:lang w:val="pt-BR" w:eastAsia="es-ES"/>
        </w:rPr>
        <w:t xml:space="preserve"> </w:t>
      </w:r>
      <w:r w:rsidR="00417BE8" w:rsidRPr="006D1C74">
        <w:rPr>
          <w:rFonts w:asciiTheme="majorHAnsi" w:eastAsia="Cambria" w:hAnsiTheme="majorHAnsi" w:cs="Cambria"/>
          <w:color w:val="000000"/>
          <w:sz w:val="20"/>
          <w:szCs w:val="20"/>
          <w:u w:color="000000"/>
          <w:lang w:val="pt-BR" w:eastAsia="es-ES"/>
        </w:rPr>
        <w:t>Comissão</w:t>
      </w:r>
      <w:r w:rsidR="00AB0179" w:rsidRPr="006D1C74">
        <w:rPr>
          <w:rFonts w:asciiTheme="majorHAnsi" w:eastAsia="Cambria" w:hAnsiTheme="majorHAnsi" w:cs="Cambria"/>
          <w:color w:val="000000"/>
          <w:sz w:val="20"/>
          <w:szCs w:val="20"/>
          <w:u w:color="000000"/>
          <w:lang w:val="pt-BR" w:eastAsia="es-ES"/>
        </w:rPr>
        <w:t xml:space="preserve"> reitera que</w:t>
      </w:r>
      <w:r w:rsidR="00700267" w:rsidRPr="006D1C74">
        <w:rPr>
          <w:rFonts w:asciiTheme="majorHAnsi" w:eastAsia="Cambria" w:hAnsiTheme="majorHAnsi" w:cs="Cambria"/>
          <w:color w:val="000000"/>
          <w:sz w:val="20"/>
          <w:szCs w:val="20"/>
          <w:u w:color="000000"/>
          <w:lang w:val="pt-BR" w:eastAsia="es-ES"/>
        </w:rPr>
        <w:t xml:space="preserve"> o </w:t>
      </w:r>
      <w:r w:rsidR="00AB0179" w:rsidRPr="006D1C74">
        <w:rPr>
          <w:rFonts w:asciiTheme="majorHAnsi" w:eastAsia="Cambria" w:hAnsiTheme="majorHAnsi" w:cs="Cambria"/>
          <w:color w:val="000000"/>
          <w:sz w:val="20"/>
          <w:szCs w:val="20"/>
          <w:u w:color="000000"/>
          <w:lang w:val="pt-BR" w:eastAsia="es-ES"/>
        </w:rPr>
        <w:t>uso</w:t>
      </w:r>
      <w:r w:rsidR="00795010" w:rsidRPr="006D1C74">
        <w:rPr>
          <w:rFonts w:asciiTheme="majorHAnsi" w:eastAsia="Cambria" w:hAnsiTheme="majorHAnsi" w:cs="Cambria"/>
          <w:color w:val="000000"/>
          <w:sz w:val="20"/>
          <w:szCs w:val="20"/>
          <w:u w:color="000000"/>
          <w:lang w:val="pt-BR" w:eastAsia="es-ES"/>
        </w:rPr>
        <w:t xml:space="preserve"> da </w:t>
      </w:r>
      <w:r w:rsidR="00B146A8" w:rsidRPr="006D1C74">
        <w:rPr>
          <w:rFonts w:asciiTheme="majorHAnsi" w:eastAsia="Cambria" w:hAnsiTheme="majorHAnsi" w:cs="Cambria"/>
          <w:color w:val="000000"/>
          <w:sz w:val="20"/>
          <w:szCs w:val="20"/>
          <w:u w:color="000000"/>
          <w:lang w:val="pt-BR" w:eastAsia="es-ES"/>
        </w:rPr>
        <w:t>força</w:t>
      </w:r>
      <w:r w:rsidR="00AB0179" w:rsidRPr="006D1C74">
        <w:rPr>
          <w:rFonts w:asciiTheme="majorHAnsi" w:eastAsia="Cambria" w:hAnsiTheme="majorHAnsi" w:cs="Cambria"/>
          <w:color w:val="000000"/>
          <w:sz w:val="20"/>
          <w:szCs w:val="20"/>
          <w:u w:color="000000"/>
          <w:lang w:val="pt-BR" w:eastAsia="es-ES"/>
        </w:rPr>
        <w:t xml:space="preserve"> </w:t>
      </w:r>
      <w:r w:rsidR="00585D35" w:rsidRPr="006D1C74">
        <w:rPr>
          <w:rFonts w:asciiTheme="majorHAnsi" w:eastAsia="Cambria" w:hAnsiTheme="majorHAnsi" w:cs="Cambria"/>
          <w:color w:val="000000"/>
          <w:sz w:val="20"/>
          <w:szCs w:val="20"/>
          <w:u w:color="000000"/>
          <w:lang w:val="pt-BR" w:eastAsia="es-ES"/>
        </w:rPr>
        <w:t>dev</w:t>
      </w:r>
      <w:r w:rsidR="00AB0179" w:rsidRPr="006D1C74">
        <w:rPr>
          <w:rFonts w:asciiTheme="majorHAnsi" w:eastAsia="Cambria" w:hAnsiTheme="majorHAnsi" w:cs="Cambria"/>
          <w:color w:val="000000"/>
          <w:sz w:val="20"/>
          <w:szCs w:val="20"/>
          <w:u w:color="000000"/>
          <w:lang w:val="pt-BR" w:eastAsia="es-ES"/>
        </w:rPr>
        <w:t>e ser considerado como</w:t>
      </w:r>
      <w:r w:rsidR="00030019" w:rsidRPr="006D1C74">
        <w:rPr>
          <w:rFonts w:asciiTheme="majorHAnsi" w:eastAsia="Cambria" w:hAnsiTheme="majorHAnsi" w:cs="Cambria"/>
          <w:color w:val="000000"/>
          <w:sz w:val="20"/>
          <w:szCs w:val="20"/>
          <w:u w:color="000000"/>
          <w:lang w:val="pt-BR" w:eastAsia="es-ES"/>
        </w:rPr>
        <w:t xml:space="preserve"> um </w:t>
      </w:r>
      <w:r w:rsidR="00AB0179" w:rsidRPr="006D1C74">
        <w:rPr>
          <w:rFonts w:asciiTheme="majorHAnsi" w:eastAsia="Cambria" w:hAnsiTheme="majorHAnsi" w:cs="Cambria"/>
          <w:color w:val="000000"/>
          <w:sz w:val="20"/>
          <w:szCs w:val="20"/>
          <w:u w:color="000000"/>
          <w:lang w:val="pt-BR" w:eastAsia="es-ES"/>
        </w:rPr>
        <w:t>recurso último para impedir</w:t>
      </w:r>
      <w:r w:rsidR="00030019" w:rsidRPr="006D1C74">
        <w:rPr>
          <w:rFonts w:asciiTheme="majorHAnsi" w:eastAsia="Cambria" w:hAnsiTheme="majorHAnsi" w:cs="Cambria"/>
          <w:color w:val="000000"/>
          <w:sz w:val="20"/>
          <w:szCs w:val="20"/>
          <w:u w:color="000000"/>
          <w:lang w:val="pt-BR" w:eastAsia="es-ES"/>
        </w:rPr>
        <w:t xml:space="preserve"> um </w:t>
      </w:r>
      <w:r w:rsidR="00F37852" w:rsidRPr="006D1C74">
        <w:rPr>
          <w:rFonts w:asciiTheme="majorHAnsi" w:eastAsia="Cambria" w:hAnsiTheme="majorHAnsi" w:cs="Cambria"/>
          <w:color w:val="000000"/>
          <w:sz w:val="20"/>
          <w:szCs w:val="20"/>
          <w:u w:color="000000"/>
          <w:lang w:val="pt-BR" w:eastAsia="es-ES"/>
        </w:rPr>
        <w:t>fato</w:t>
      </w:r>
      <w:r w:rsidR="00AB0179" w:rsidRPr="006D1C74">
        <w:rPr>
          <w:rFonts w:asciiTheme="majorHAnsi" w:eastAsia="Cambria" w:hAnsiTheme="majorHAnsi" w:cs="Cambria"/>
          <w:color w:val="000000"/>
          <w:sz w:val="20"/>
          <w:szCs w:val="20"/>
          <w:u w:color="000000"/>
          <w:lang w:val="pt-BR" w:eastAsia="es-ES"/>
        </w:rPr>
        <w:t xml:space="preserve"> de </w:t>
      </w:r>
      <w:r w:rsidR="00C6461F" w:rsidRPr="006D1C74">
        <w:rPr>
          <w:rFonts w:asciiTheme="majorHAnsi" w:eastAsia="Cambria" w:hAnsiTheme="majorHAnsi" w:cs="Cambria"/>
          <w:color w:val="000000"/>
          <w:sz w:val="20"/>
          <w:szCs w:val="20"/>
          <w:u w:color="000000"/>
          <w:lang w:val="pt-BR" w:eastAsia="es-ES"/>
        </w:rPr>
        <w:t>maio</w:t>
      </w:r>
      <w:r w:rsidR="00AB0179" w:rsidRPr="006D1C74">
        <w:rPr>
          <w:rFonts w:asciiTheme="majorHAnsi" w:eastAsia="Cambria" w:hAnsiTheme="majorHAnsi" w:cs="Cambria"/>
          <w:color w:val="000000"/>
          <w:sz w:val="20"/>
          <w:szCs w:val="20"/>
          <w:u w:color="000000"/>
          <w:lang w:val="pt-BR" w:eastAsia="es-ES"/>
        </w:rPr>
        <w:t xml:space="preserve">r </w:t>
      </w:r>
      <w:r w:rsidR="00BA111B" w:rsidRPr="006D1C74">
        <w:rPr>
          <w:rFonts w:asciiTheme="majorHAnsi" w:eastAsia="Cambria" w:hAnsiTheme="majorHAnsi" w:cs="Cambria"/>
          <w:color w:val="000000"/>
          <w:sz w:val="20"/>
          <w:szCs w:val="20"/>
          <w:u w:color="000000"/>
          <w:lang w:val="pt-BR" w:eastAsia="es-ES"/>
        </w:rPr>
        <w:t>gravidade</w:t>
      </w:r>
      <w:r w:rsidR="00F673C7" w:rsidRPr="006D1C74">
        <w:rPr>
          <w:rFonts w:asciiTheme="majorHAnsi" w:eastAsia="Cambria" w:hAnsiTheme="majorHAnsi" w:cs="Cambria"/>
          <w:color w:val="000000"/>
          <w:sz w:val="20"/>
          <w:szCs w:val="20"/>
          <w:u w:color="000000"/>
          <w:lang w:val="pt-BR" w:eastAsia="es-ES"/>
        </w:rPr>
        <w:t xml:space="preserve"> </w:t>
      </w:r>
      <w:r w:rsidR="0094285F" w:rsidRPr="006D1C74">
        <w:rPr>
          <w:rFonts w:asciiTheme="majorHAnsi" w:eastAsia="Cambria" w:hAnsiTheme="majorHAnsi" w:cs="Cambria"/>
          <w:color w:val="000000"/>
          <w:sz w:val="20"/>
          <w:szCs w:val="20"/>
          <w:u w:color="000000"/>
          <w:lang w:val="pt-BR" w:eastAsia="es-ES"/>
        </w:rPr>
        <w:t xml:space="preserve">do </w:t>
      </w:r>
      <w:r w:rsidR="00AB0179" w:rsidRPr="006D1C74">
        <w:rPr>
          <w:rFonts w:asciiTheme="majorHAnsi" w:eastAsia="Cambria" w:hAnsiTheme="majorHAnsi" w:cs="Cambria"/>
          <w:color w:val="000000"/>
          <w:sz w:val="20"/>
          <w:szCs w:val="20"/>
          <w:u w:color="000000"/>
          <w:lang w:val="pt-BR" w:eastAsia="es-ES"/>
        </w:rPr>
        <w:t>que</w:t>
      </w:r>
      <w:r w:rsidR="00700267" w:rsidRPr="006D1C74">
        <w:rPr>
          <w:rFonts w:asciiTheme="majorHAnsi" w:eastAsia="Cambria" w:hAnsiTheme="majorHAnsi" w:cs="Cambria"/>
          <w:color w:val="000000"/>
          <w:sz w:val="20"/>
          <w:szCs w:val="20"/>
          <w:u w:color="000000"/>
          <w:lang w:val="pt-BR" w:eastAsia="es-ES"/>
        </w:rPr>
        <w:t xml:space="preserve"> o </w:t>
      </w:r>
      <w:r w:rsidR="00AB0179" w:rsidRPr="006D1C74">
        <w:rPr>
          <w:rFonts w:asciiTheme="majorHAnsi" w:eastAsia="Cambria" w:hAnsiTheme="majorHAnsi" w:cs="Cambria"/>
          <w:color w:val="000000"/>
          <w:sz w:val="20"/>
          <w:szCs w:val="20"/>
          <w:u w:color="000000"/>
          <w:lang w:val="pt-BR" w:eastAsia="es-ES"/>
        </w:rPr>
        <w:t>provoca</w:t>
      </w:r>
      <w:r w:rsidR="0094285F" w:rsidRPr="006D1C74">
        <w:rPr>
          <w:rFonts w:asciiTheme="majorHAnsi" w:eastAsia="Cambria" w:hAnsiTheme="majorHAnsi" w:cs="Cambria"/>
          <w:color w:val="000000"/>
          <w:sz w:val="20"/>
          <w:szCs w:val="20"/>
          <w:u w:color="000000"/>
          <w:lang w:val="pt-BR" w:eastAsia="es-ES"/>
        </w:rPr>
        <w:t>do pel</w:t>
      </w:r>
      <w:r w:rsidR="00700267" w:rsidRPr="006D1C74">
        <w:rPr>
          <w:rFonts w:asciiTheme="majorHAnsi" w:eastAsia="Cambria" w:hAnsiTheme="majorHAnsi" w:cs="Cambria"/>
          <w:color w:val="000000"/>
          <w:sz w:val="20"/>
          <w:szCs w:val="20"/>
          <w:u w:color="000000"/>
          <w:lang w:val="pt-BR" w:eastAsia="es-ES"/>
        </w:rPr>
        <w:t xml:space="preserve">a </w:t>
      </w:r>
      <w:r w:rsidR="00AB0179" w:rsidRPr="006D1C74">
        <w:rPr>
          <w:rFonts w:asciiTheme="majorHAnsi" w:eastAsia="Cambria" w:hAnsiTheme="majorHAnsi" w:cs="Cambria"/>
          <w:color w:val="000000"/>
          <w:sz w:val="20"/>
          <w:szCs w:val="20"/>
          <w:u w:color="000000"/>
          <w:lang w:val="pt-BR" w:eastAsia="es-ES"/>
        </w:rPr>
        <w:t>rea</w:t>
      </w:r>
      <w:r w:rsidR="00CF037E" w:rsidRPr="006D1C74">
        <w:rPr>
          <w:rFonts w:asciiTheme="majorHAnsi" w:eastAsia="Cambria" w:hAnsiTheme="majorHAnsi" w:cs="Cambria"/>
          <w:color w:val="000000"/>
          <w:sz w:val="20"/>
          <w:szCs w:val="20"/>
          <w:u w:color="000000"/>
          <w:lang w:val="pt-BR" w:eastAsia="es-ES"/>
        </w:rPr>
        <w:t>ção</w:t>
      </w:r>
      <w:r w:rsidR="00AB0179" w:rsidRPr="006D1C74">
        <w:rPr>
          <w:rFonts w:asciiTheme="majorHAnsi" w:eastAsia="Cambria" w:hAnsiTheme="majorHAnsi" w:cs="Cambria"/>
          <w:color w:val="000000"/>
          <w:sz w:val="20"/>
          <w:szCs w:val="20"/>
          <w:u w:color="000000"/>
          <w:lang w:val="pt-BR" w:eastAsia="es-ES"/>
        </w:rPr>
        <w:t xml:space="preserve"> estatal. Portanto, para que se</w:t>
      </w:r>
      <w:r w:rsidR="0094285F" w:rsidRPr="006D1C74">
        <w:rPr>
          <w:rFonts w:asciiTheme="majorHAnsi" w:eastAsia="Cambria" w:hAnsiTheme="majorHAnsi" w:cs="Cambria"/>
          <w:color w:val="000000"/>
          <w:sz w:val="20"/>
          <w:szCs w:val="20"/>
          <w:u w:color="000000"/>
          <w:lang w:val="pt-BR" w:eastAsia="es-ES"/>
        </w:rPr>
        <w:t>ja</w:t>
      </w:r>
      <w:r w:rsidR="00AB0179" w:rsidRPr="006D1C74">
        <w:rPr>
          <w:rFonts w:asciiTheme="majorHAnsi" w:eastAsia="Cambria" w:hAnsiTheme="majorHAnsi" w:cs="Cambria"/>
          <w:color w:val="000000"/>
          <w:sz w:val="20"/>
          <w:szCs w:val="20"/>
          <w:u w:color="000000"/>
          <w:lang w:val="pt-BR" w:eastAsia="es-ES"/>
        </w:rPr>
        <w:t xml:space="preserve"> justificado, </w:t>
      </w:r>
      <w:r w:rsidR="00585D35" w:rsidRPr="006D1C74">
        <w:rPr>
          <w:rFonts w:asciiTheme="majorHAnsi" w:eastAsia="Cambria" w:hAnsiTheme="majorHAnsi" w:cs="Cambria"/>
          <w:color w:val="000000"/>
          <w:sz w:val="20"/>
          <w:szCs w:val="20"/>
          <w:u w:color="000000"/>
          <w:lang w:val="pt-BR" w:eastAsia="es-ES"/>
        </w:rPr>
        <w:t>dev</w:t>
      </w:r>
      <w:r w:rsidR="00AB0179" w:rsidRPr="006D1C74">
        <w:rPr>
          <w:rFonts w:asciiTheme="majorHAnsi" w:eastAsia="Cambria" w:hAnsiTheme="majorHAnsi" w:cs="Cambria"/>
          <w:color w:val="000000"/>
          <w:sz w:val="20"/>
          <w:szCs w:val="20"/>
          <w:u w:color="000000"/>
          <w:lang w:val="pt-BR" w:eastAsia="es-ES"/>
        </w:rPr>
        <w:t xml:space="preserve">erá </w:t>
      </w:r>
      <w:r w:rsidR="00BA111B" w:rsidRPr="006D1C74">
        <w:rPr>
          <w:rFonts w:asciiTheme="majorHAnsi" w:eastAsia="Cambria" w:hAnsiTheme="majorHAnsi" w:cs="Cambria"/>
          <w:color w:val="000000"/>
          <w:sz w:val="20"/>
          <w:szCs w:val="20"/>
          <w:u w:color="000000"/>
          <w:lang w:val="pt-BR" w:eastAsia="es-ES"/>
        </w:rPr>
        <w:t>satisfazer</w:t>
      </w:r>
      <w:r w:rsidR="00700267" w:rsidRPr="006D1C74">
        <w:rPr>
          <w:rFonts w:asciiTheme="majorHAnsi" w:eastAsia="Cambria" w:hAnsiTheme="majorHAnsi" w:cs="Cambria"/>
          <w:color w:val="000000"/>
          <w:sz w:val="20"/>
          <w:szCs w:val="20"/>
          <w:u w:color="000000"/>
          <w:lang w:val="pt-BR" w:eastAsia="es-ES"/>
        </w:rPr>
        <w:t xml:space="preserve"> os </w:t>
      </w:r>
      <w:r w:rsidR="00BA111B" w:rsidRPr="006D1C74">
        <w:rPr>
          <w:rFonts w:asciiTheme="majorHAnsi" w:eastAsia="Cambria" w:hAnsiTheme="majorHAnsi" w:cs="Cambria"/>
          <w:color w:val="000000"/>
          <w:sz w:val="20"/>
          <w:szCs w:val="20"/>
          <w:u w:color="000000"/>
          <w:lang w:val="pt-BR" w:eastAsia="es-ES"/>
        </w:rPr>
        <w:t>princípios</w:t>
      </w:r>
      <w:r w:rsidR="00AB0179" w:rsidRPr="006D1C74">
        <w:rPr>
          <w:rFonts w:asciiTheme="majorHAnsi" w:eastAsia="Cambria" w:hAnsiTheme="majorHAnsi" w:cs="Cambria"/>
          <w:color w:val="000000"/>
          <w:sz w:val="20"/>
          <w:szCs w:val="20"/>
          <w:u w:color="000000"/>
          <w:lang w:val="pt-BR" w:eastAsia="es-ES"/>
        </w:rPr>
        <w:t xml:space="preserve"> de </w:t>
      </w:r>
      <w:r w:rsidR="00BA111B" w:rsidRPr="006D1C74">
        <w:rPr>
          <w:rFonts w:asciiTheme="majorHAnsi" w:eastAsia="Cambria" w:hAnsiTheme="majorHAnsi" w:cs="Cambria"/>
          <w:color w:val="000000"/>
          <w:sz w:val="20"/>
          <w:szCs w:val="20"/>
          <w:u w:color="000000"/>
          <w:lang w:val="pt-BR" w:eastAsia="es-ES"/>
        </w:rPr>
        <w:t>legalidade</w:t>
      </w:r>
      <w:r w:rsidR="00AB0179" w:rsidRPr="006D1C74">
        <w:rPr>
          <w:rFonts w:asciiTheme="majorHAnsi" w:eastAsia="Cambria" w:hAnsiTheme="majorHAnsi" w:cs="Cambria"/>
          <w:color w:val="000000"/>
          <w:sz w:val="20"/>
          <w:szCs w:val="20"/>
          <w:u w:color="000000"/>
          <w:lang w:val="pt-BR" w:eastAsia="es-ES"/>
        </w:rPr>
        <w:t xml:space="preserve">, absoluta </w:t>
      </w:r>
      <w:r w:rsidR="00CA6F81" w:rsidRPr="006D1C74">
        <w:rPr>
          <w:rFonts w:asciiTheme="majorHAnsi" w:eastAsia="Cambria" w:hAnsiTheme="majorHAnsi" w:cs="Cambria"/>
          <w:color w:val="000000"/>
          <w:sz w:val="20"/>
          <w:szCs w:val="20"/>
          <w:u w:color="000000"/>
          <w:lang w:val="pt-BR" w:eastAsia="es-ES"/>
        </w:rPr>
        <w:t>necessi</w:t>
      </w:r>
      <w:r w:rsidR="00F673C7" w:rsidRPr="006D1C74">
        <w:rPr>
          <w:rFonts w:asciiTheme="majorHAnsi" w:eastAsia="Cambria" w:hAnsiTheme="majorHAnsi" w:cs="Cambria"/>
          <w:color w:val="000000"/>
          <w:sz w:val="20"/>
          <w:szCs w:val="20"/>
          <w:u w:color="000000"/>
          <w:lang w:val="pt-BR" w:eastAsia="es-ES"/>
        </w:rPr>
        <w:t xml:space="preserve">dade </w:t>
      </w:r>
      <w:r w:rsidR="00CF037E" w:rsidRPr="006D1C74">
        <w:rPr>
          <w:rFonts w:asciiTheme="majorHAnsi" w:eastAsia="Cambria" w:hAnsiTheme="majorHAnsi" w:cs="Cambria"/>
          <w:color w:val="000000"/>
          <w:sz w:val="20"/>
          <w:szCs w:val="20"/>
          <w:u w:color="000000"/>
          <w:lang w:val="pt-BR" w:eastAsia="es-ES"/>
        </w:rPr>
        <w:t xml:space="preserve">e </w:t>
      </w:r>
      <w:r w:rsidR="00BA111B" w:rsidRPr="006D1C74">
        <w:rPr>
          <w:rFonts w:asciiTheme="majorHAnsi" w:eastAsia="Cambria" w:hAnsiTheme="majorHAnsi" w:cs="Cambria"/>
          <w:color w:val="000000"/>
          <w:sz w:val="20"/>
          <w:szCs w:val="20"/>
          <w:u w:color="000000"/>
          <w:lang w:val="pt-BR" w:eastAsia="es-ES"/>
        </w:rPr>
        <w:t>proporcionalidade</w:t>
      </w:r>
      <w:r w:rsidR="00AB0179" w:rsidRPr="006D1C74">
        <w:rPr>
          <w:rStyle w:val="FootnoteReference"/>
          <w:rFonts w:asciiTheme="majorHAnsi" w:eastAsia="Cambria" w:hAnsiTheme="majorHAnsi" w:cs="Cambria"/>
          <w:color w:val="000000"/>
          <w:sz w:val="20"/>
          <w:szCs w:val="20"/>
          <w:u w:color="000000"/>
          <w:lang w:val="pt-BR" w:eastAsia="es-ES"/>
        </w:rPr>
        <w:footnoteReference w:id="76"/>
      </w:r>
      <w:r w:rsidR="00AB0179" w:rsidRPr="006D1C74">
        <w:rPr>
          <w:rFonts w:asciiTheme="majorHAnsi" w:eastAsia="Cambria" w:hAnsiTheme="majorHAnsi" w:cs="Cambria"/>
          <w:color w:val="000000"/>
          <w:sz w:val="20"/>
          <w:szCs w:val="20"/>
          <w:u w:color="000000"/>
          <w:lang w:val="pt-BR" w:eastAsia="es-ES"/>
        </w:rPr>
        <w:t xml:space="preserve">. </w:t>
      </w:r>
    </w:p>
    <w:p w14:paraId="26424239"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pt-BR" w:eastAsia="es-ES"/>
        </w:rPr>
      </w:pPr>
    </w:p>
    <w:p w14:paraId="56F354E1" w14:textId="77777777" w:rsidR="002649F0" w:rsidRPr="006D1C74" w:rsidRDefault="0094285F"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pt-BR" w:eastAsia="es-ES"/>
        </w:rPr>
      </w:pPr>
      <w:r w:rsidRPr="006D1C74">
        <w:rPr>
          <w:rFonts w:asciiTheme="majorHAnsi" w:hAnsiTheme="majorHAnsi"/>
          <w:sz w:val="20"/>
          <w:szCs w:val="20"/>
          <w:lang w:val="pt-BR"/>
        </w:rPr>
        <w:t>Numa perícia apresentada à</w:t>
      </w:r>
      <w:r w:rsidR="00700267" w:rsidRPr="006D1C74">
        <w:rPr>
          <w:rFonts w:asciiTheme="majorHAnsi" w:hAnsiTheme="majorHAnsi"/>
          <w:sz w:val="20"/>
          <w:szCs w:val="20"/>
          <w:lang w:val="pt-BR"/>
        </w:rPr>
        <w:t xml:space="preserve"> </w:t>
      </w:r>
      <w:r w:rsidR="002649F0" w:rsidRPr="006D1C74">
        <w:rPr>
          <w:rFonts w:asciiTheme="majorHAnsi" w:hAnsiTheme="majorHAnsi"/>
          <w:sz w:val="20"/>
          <w:szCs w:val="20"/>
          <w:lang w:val="pt-BR"/>
        </w:rPr>
        <w:t xml:space="preserve">Corte Interamericana de </w:t>
      </w:r>
      <w:r w:rsidR="00417BE8" w:rsidRPr="006D1C74">
        <w:rPr>
          <w:rFonts w:asciiTheme="majorHAnsi" w:hAnsiTheme="majorHAnsi"/>
          <w:sz w:val="20"/>
          <w:szCs w:val="20"/>
          <w:lang w:val="pt-BR"/>
        </w:rPr>
        <w:t>Direito</w:t>
      </w:r>
      <w:r w:rsidR="002649F0" w:rsidRPr="006D1C74">
        <w:rPr>
          <w:rFonts w:asciiTheme="majorHAnsi" w:hAnsiTheme="majorHAnsi"/>
          <w:sz w:val="20"/>
          <w:szCs w:val="20"/>
          <w:lang w:val="pt-BR"/>
        </w:rPr>
        <w:t>s Humanos,</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ex</w:t>
      </w:r>
      <w:r w:rsidRPr="006D1C74">
        <w:rPr>
          <w:rFonts w:asciiTheme="majorHAnsi" w:hAnsiTheme="majorHAnsi"/>
          <w:sz w:val="20"/>
          <w:szCs w:val="20"/>
          <w:lang w:val="pt-BR"/>
        </w:rPr>
        <w:t>-</w:t>
      </w:r>
      <w:r w:rsidR="002649F0" w:rsidRPr="006D1C74">
        <w:rPr>
          <w:rFonts w:asciiTheme="majorHAnsi" w:hAnsiTheme="majorHAnsi"/>
          <w:sz w:val="20"/>
          <w:szCs w:val="20"/>
          <w:lang w:val="pt-BR"/>
        </w:rPr>
        <w:t>Relator</w:t>
      </w:r>
      <w:r w:rsidR="00D74A93" w:rsidRPr="006D1C74">
        <w:rPr>
          <w:rFonts w:asciiTheme="majorHAnsi" w:hAnsiTheme="majorHAnsi"/>
          <w:sz w:val="20"/>
          <w:szCs w:val="20"/>
          <w:lang w:val="pt-BR"/>
        </w:rPr>
        <w:t xml:space="preserve"> das </w:t>
      </w:r>
      <w:r w:rsidR="002649F0" w:rsidRPr="006D1C74">
        <w:rPr>
          <w:rFonts w:asciiTheme="majorHAnsi" w:hAnsiTheme="majorHAnsi"/>
          <w:sz w:val="20"/>
          <w:szCs w:val="20"/>
          <w:lang w:val="pt-BR"/>
        </w:rPr>
        <w:t>Na</w:t>
      </w:r>
      <w:r w:rsidR="00CF037E" w:rsidRPr="006D1C74">
        <w:rPr>
          <w:rFonts w:asciiTheme="majorHAnsi" w:hAnsiTheme="majorHAnsi"/>
          <w:sz w:val="20"/>
          <w:szCs w:val="20"/>
          <w:lang w:val="pt-BR"/>
        </w:rPr>
        <w:t>ções</w:t>
      </w:r>
      <w:r w:rsidR="002649F0" w:rsidRPr="006D1C74">
        <w:rPr>
          <w:rFonts w:asciiTheme="majorHAnsi" w:hAnsiTheme="majorHAnsi"/>
          <w:sz w:val="20"/>
          <w:szCs w:val="20"/>
          <w:lang w:val="pt-BR"/>
        </w:rPr>
        <w:t xml:space="preserve"> Unidas sobre</w:t>
      </w:r>
      <w:r w:rsidR="00700267" w:rsidRPr="006D1C74">
        <w:rPr>
          <w:rFonts w:asciiTheme="majorHAnsi" w:hAnsiTheme="majorHAnsi"/>
          <w:sz w:val="20"/>
          <w:szCs w:val="20"/>
          <w:lang w:val="pt-BR"/>
        </w:rPr>
        <w:t xml:space="preserve"> o </w:t>
      </w:r>
      <w:r w:rsidR="00417BE8" w:rsidRPr="006D1C74">
        <w:rPr>
          <w:rFonts w:asciiTheme="majorHAnsi" w:hAnsiTheme="majorHAnsi"/>
          <w:sz w:val="20"/>
          <w:szCs w:val="20"/>
          <w:lang w:val="pt-BR"/>
        </w:rPr>
        <w:t>direito</w:t>
      </w:r>
      <w:r w:rsidR="002649F0" w:rsidRPr="006D1C74">
        <w:rPr>
          <w:rFonts w:asciiTheme="majorHAnsi" w:hAnsiTheme="majorHAnsi"/>
          <w:sz w:val="20"/>
          <w:szCs w:val="20"/>
          <w:lang w:val="pt-BR"/>
        </w:rPr>
        <w:t xml:space="preserve"> de </w:t>
      </w:r>
      <w:r w:rsidR="00E327B7" w:rsidRPr="006D1C74">
        <w:rPr>
          <w:rFonts w:asciiTheme="majorHAnsi" w:hAnsiTheme="majorHAnsi"/>
          <w:sz w:val="20"/>
          <w:szCs w:val="20"/>
          <w:lang w:val="pt-BR"/>
        </w:rPr>
        <w:t>reunião</w:t>
      </w:r>
      <w:r w:rsidR="00CF037E" w:rsidRPr="006D1C74">
        <w:rPr>
          <w:rFonts w:asciiTheme="majorHAnsi" w:hAnsiTheme="majorHAnsi"/>
          <w:sz w:val="20"/>
          <w:szCs w:val="20"/>
          <w:lang w:val="pt-BR"/>
        </w:rPr>
        <w:t xml:space="preserve"> e </w:t>
      </w:r>
      <w:r w:rsidR="00BA111B" w:rsidRPr="006D1C74">
        <w:rPr>
          <w:rFonts w:asciiTheme="majorHAnsi" w:hAnsiTheme="majorHAnsi"/>
          <w:sz w:val="20"/>
          <w:szCs w:val="20"/>
          <w:lang w:val="pt-BR"/>
        </w:rPr>
        <w:t>associação</w:t>
      </w:r>
      <w:r w:rsidR="002649F0" w:rsidRPr="006D1C74">
        <w:rPr>
          <w:rFonts w:asciiTheme="majorHAnsi" w:hAnsiTheme="majorHAnsi"/>
          <w:sz w:val="20"/>
          <w:szCs w:val="20"/>
          <w:lang w:val="pt-BR"/>
        </w:rPr>
        <w:t xml:space="preserve"> </w:t>
      </w:r>
      <w:r w:rsidRPr="006D1C74">
        <w:rPr>
          <w:rFonts w:asciiTheme="majorHAnsi" w:hAnsiTheme="majorHAnsi"/>
          <w:sz w:val="20"/>
          <w:szCs w:val="20"/>
          <w:lang w:val="pt-BR"/>
        </w:rPr>
        <w:t>assinalou:</w:t>
      </w:r>
      <w:r w:rsidR="002649F0" w:rsidRPr="006D1C74">
        <w:rPr>
          <w:rFonts w:asciiTheme="majorHAnsi" w:hAnsiTheme="majorHAnsi"/>
          <w:sz w:val="20"/>
          <w:szCs w:val="20"/>
          <w:lang w:val="pt-BR"/>
        </w:rPr>
        <w:t xml:space="preserve"> </w:t>
      </w:r>
      <w:r w:rsidR="002649F0" w:rsidRPr="006D1C74">
        <w:rPr>
          <w:rFonts w:asciiTheme="majorHAnsi" w:eastAsiaTheme="minorHAnsi" w:hAnsiTheme="majorHAnsi" w:cstheme="minorBidi"/>
          <w:sz w:val="20"/>
          <w:szCs w:val="20"/>
          <w:bdr w:val="none" w:sz="0" w:space="0" w:color="auto"/>
          <w:lang w:val="pt-BR"/>
        </w:rPr>
        <w:t>“</w:t>
      </w:r>
      <w:r w:rsidR="00BA111B" w:rsidRPr="006D1C74">
        <w:rPr>
          <w:rFonts w:asciiTheme="majorHAnsi" w:eastAsiaTheme="minorHAnsi" w:hAnsiTheme="majorHAnsi" w:cstheme="minorBidi"/>
          <w:sz w:val="20"/>
          <w:szCs w:val="20"/>
          <w:bdr w:val="none" w:sz="0" w:space="0" w:color="auto"/>
          <w:lang w:val="pt-BR"/>
        </w:rPr>
        <w:t>quando</w:t>
      </w:r>
      <w:r w:rsidR="00700267" w:rsidRPr="006D1C74">
        <w:rPr>
          <w:rFonts w:asciiTheme="majorHAnsi" w:eastAsiaTheme="minorHAnsi" w:hAnsiTheme="majorHAnsi" w:cstheme="minorBidi"/>
          <w:sz w:val="20"/>
          <w:szCs w:val="20"/>
          <w:bdr w:val="none" w:sz="0" w:space="0" w:color="auto"/>
          <w:lang w:val="pt-BR"/>
        </w:rPr>
        <w:t xml:space="preserve"> a </w:t>
      </w:r>
      <w:r w:rsidR="002649F0" w:rsidRPr="006D1C74">
        <w:rPr>
          <w:rFonts w:asciiTheme="majorHAnsi" w:eastAsiaTheme="minorHAnsi" w:hAnsiTheme="majorHAnsi" w:cstheme="minorBidi"/>
          <w:sz w:val="20"/>
          <w:szCs w:val="20"/>
          <w:bdr w:val="none" w:sz="0" w:space="0" w:color="auto"/>
          <w:lang w:val="pt-BR"/>
        </w:rPr>
        <w:t>viola</w:t>
      </w:r>
      <w:r w:rsidR="00CF037E" w:rsidRPr="006D1C74">
        <w:rPr>
          <w:rFonts w:asciiTheme="majorHAnsi" w:eastAsiaTheme="minorHAnsi" w:hAnsiTheme="majorHAnsi" w:cstheme="minorBidi"/>
          <w:sz w:val="20"/>
          <w:szCs w:val="20"/>
          <w:bdr w:val="none" w:sz="0" w:space="0" w:color="auto"/>
          <w:lang w:val="pt-BR"/>
        </w:rPr>
        <w:t>ção</w:t>
      </w:r>
      <w:r w:rsidR="00030019" w:rsidRPr="006D1C74">
        <w:rPr>
          <w:rFonts w:asciiTheme="majorHAnsi" w:eastAsiaTheme="minorHAnsi" w:hAnsiTheme="majorHAnsi" w:cstheme="minorBidi"/>
          <w:sz w:val="20"/>
          <w:szCs w:val="20"/>
          <w:bdr w:val="none" w:sz="0" w:space="0" w:color="auto"/>
          <w:lang w:val="pt-BR"/>
        </w:rPr>
        <w:t xml:space="preserve"> do </w:t>
      </w:r>
      <w:r w:rsidR="00417BE8" w:rsidRPr="006D1C74">
        <w:rPr>
          <w:rFonts w:asciiTheme="majorHAnsi" w:eastAsiaTheme="minorHAnsi" w:hAnsiTheme="majorHAnsi" w:cstheme="minorBidi"/>
          <w:sz w:val="20"/>
          <w:szCs w:val="20"/>
          <w:bdr w:val="none" w:sz="0" w:space="0" w:color="auto"/>
          <w:lang w:val="pt-BR"/>
        </w:rPr>
        <w:t>direito</w:t>
      </w:r>
      <w:r w:rsidR="00030019" w:rsidRPr="006D1C74">
        <w:rPr>
          <w:rFonts w:asciiTheme="majorHAnsi" w:eastAsiaTheme="minorHAnsi" w:hAnsiTheme="majorHAnsi" w:cstheme="minorBidi"/>
          <w:sz w:val="20"/>
          <w:szCs w:val="20"/>
          <w:bdr w:val="none" w:sz="0" w:space="0" w:color="auto"/>
          <w:lang w:val="pt-BR"/>
        </w:rPr>
        <w:t xml:space="preserve"> à </w:t>
      </w:r>
      <w:r w:rsidR="00623C35" w:rsidRPr="006D1C74">
        <w:rPr>
          <w:rFonts w:asciiTheme="majorHAnsi" w:eastAsiaTheme="minorHAnsi" w:hAnsiTheme="majorHAnsi" w:cstheme="minorBidi"/>
          <w:sz w:val="20"/>
          <w:szCs w:val="20"/>
          <w:bdr w:val="none" w:sz="0" w:space="0" w:color="auto"/>
          <w:lang w:val="pt-BR"/>
        </w:rPr>
        <w:t>liberdade</w:t>
      </w:r>
      <w:r w:rsidR="002649F0" w:rsidRPr="006D1C74">
        <w:rPr>
          <w:rFonts w:asciiTheme="majorHAnsi" w:eastAsiaTheme="minorHAnsi" w:hAnsiTheme="majorHAnsi" w:cstheme="minorBidi"/>
          <w:sz w:val="20"/>
          <w:szCs w:val="20"/>
          <w:bdr w:val="none" w:sz="0" w:space="0" w:color="auto"/>
          <w:lang w:val="pt-BR"/>
        </w:rPr>
        <w:t xml:space="preserve"> de </w:t>
      </w:r>
      <w:r w:rsidR="00E327B7" w:rsidRPr="006D1C74">
        <w:rPr>
          <w:rFonts w:asciiTheme="majorHAnsi" w:eastAsiaTheme="minorHAnsi" w:hAnsiTheme="majorHAnsi" w:cstheme="minorBidi"/>
          <w:sz w:val="20"/>
          <w:szCs w:val="20"/>
          <w:bdr w:val="none" w:sz="0" w:space="0" w:color="auto"/>
          <w:lang w:val="pt-BR"/>
        </w:rPr>
        <w:t>reunião</w:t>
      </w:r>
      <w:r w:rsidR="002649F0" w:rsidRPr="006D1C74">
        <w:rPr>
          <w:rFonts w:asciiTheme="majorHAnsi" w:eastAsiaTheme="minorHAnsi" w:hAnsiTheme="majorHAnsi" w:cstheme="minorBidi"/>
          <w:sz w:val="20"/>
          <w:szCs w:val="20"/>
          <w:bdr w:val="none" w:sz="0" w:space="0" w:color="auto"/>
          <w:lang w:val="pt-BR"/>
        </w:rPr>
        <w:t xml:space="preserve"> pacífica</w:t>
      </w:r>
      <w:r w:rsidR="00F37852" w:rsidRPr="006D1C74">
        <w:rPr>
          <w:rFonts w:asciiTheme="majorHAnsi" w:eastAsiaTheme="minorHAnsi" w:hAnsiTheme="majorHAnsi" w:cstheme="minorBidi"/>
          <w:sz w:val="20"/>
          <w:szCs w:val="20"/>
          <w:bdr w:val="none" w:sz="0" w:space="0" w:color="auto"/>
          <w:lang w:val="pt-BR"/>
        </w:rPr>
        <w:t xml:space="preserve"> é </w:t>
      </w:r>
      <w:r w:rsidR="00030019" w:rsidRPr="006D1C74">
        <w:rPr>
          <w:rFonts w:asciiTheme="majorHAnsi" w:eastAsiaTheme="minorHAnsi" w:hAnsiTheme="majorHAnsi" w:cstheme="minorBidi"/>
          <w:sz w:val="20"/>
          <w:szCs w:val="20"/>
          <w:bdr w:val="none" w:sz="0" w:space="0" w:color="auto"/>
          <w:lang w:val="pt-BR"/>
        </w:rPr>
        <w:t xml:space="preserve">um </w:t>
      </w:r>
      <w:r w:rsidR="00BA111B" w:rsidRPr="006D1C74">
        <w:rPr>
          <w:rFonts w:asciiTheme="majorHAnsi" w:eastAsiaTheme="minorHAnsi" w:hAnsiTheme="majorHAnsi" w:cstheme="minorBidi"/>
          <w:sz w:val="20"/>
          <w:szCs w:val="20"/>
          <w:bdr w:val="none" w:sz="0" w:space="0" w:color="auto"/>
          <w:lang w:val="pt-BR"/>
        </w:rPr>
        <w:t>fator</w:t>
      </w:r>
      <w:r w:rsidR="002649F0" w:rsidRPr="006D1C74">
        <w:rPr>
          <w:rFonts w:asciiTheme="majorHAnsi" w:eastAsiaTheme="minorHAnsi" w:hAnsiTheme="majorHAnsi" w:cstheme="minorBidi"/>
          <w:sz w:val="20"/>
          <w:szCs w:val="20"/>
          <w:bdr w:val="none" w:sz="0" w:space="0" w:color="auto"/>
          <w:lang w:val="pt-BR"/>
        </w:rPr>
        <w:t xml:space="preserve"> habilitante e inclus</w:t>
      </w:r>
      <w:r w:rsidRPr="006D1C74">
        <w:rPr>
          <w:rFonts w:asciiTheme="majorHAnsi" w:eastAsiaTheme="minorHAnsi" w:hAnsiTheme="majorHAnsi" w:cstheme="minorBidi"/>
          <w:sz w:val="20"/>
          <w:szCs w:val="20"/>
          <w:bdr w:val="none" w:sz="0" w:space="0" w:color="auto"/>
          <w:lang w:val="pt-BR"/>
        </w:rPr>
        <w:t>ive</w:t>
      </w:r>
      <w:r w:rsidR="002649F0" w:rsidRPr="006D1C74">
        <w:rPr>
          <w:rFonts w:asciiTheme="majorHAnsi" w:eastAsiaTheme="minorHAnsi" w:hAnsiTheme="majorHAnsi" w:cstheme="minorBidi"/>
          <w:sz w:val="20"/>
          <w:szCs w:val="20"/>
          <w:bdr w:val="none" w:sz="0" w:space="0" w:color="auto"/>
          <w:lang w:val="pt-BR"/>
        </w:rPr>
        <w:t xml:space="preserve"> determinante o</w:t>
      </w:r>
      <w:r w:rsidRPr="006D1C74">
        <w:rPr>
          <w:rFonts w:asciiTheme="majorHAnsi" w:eastAsiaTheme="minorHAnsi" w:hAnsiTheme="majorHAnsi" w:cstheme="minorBidi"/>
          <w:sz w:val="20"/>
          <w:szCs w:val="20"/>
          <w:bdr w:val="none" w:sz="0" w:space="0" w:color="auto"/>
          <w:lang w:val="pt-BR"/>
        </w:rPr>
        <w:t>u</w:t>
      </w:r>
      <w:r w:rsidR="00030019" w:rsidRPr="006D1C74">
        <w:rPr>
          <w:rFonts w:asciiTheme="majorHAnsi" w:eastAsiaTheme="minorHAnsi" w:hAnsiTheme="majorHAnsi" w:cstheme="minorBidi"/>
          <w:sz w:val="20"/>
          <w:szCs w:val="20"/>
          <w:bdr w:val="none" w:sz="0" w:space="0" w:color="auto"/>
          <w:lang w:val="pt-BR"/>
        </w:rPr>
        <w:t xml:space="preserve"> uma </w:t>
      </w:r>
      <w:r w:rsidR="002649F0" w:rsidRPr="006D1C74">
        <w:rPr>
          <w:rFonts w:asciiTheme="majorHAnsi" w:eastAsiaTheme="minorHAnsi" w:hAnsiTheme="majorHAnsi" w:cstheme="minorBidi"/>
          <w:sz w:val="20"/>
          <w:szCs w:val="20"/>
          <w:bdr w:val="none" w:sz="0" w:space="0" w:color="auto"/>
          <w:lang w:val="pt-BR"/>
        </w:rPr>
        <w:t>precondi</w:t>
      </w:r>
      <w:r w:rsidR="00CF037E" w:rsidRPr="006D1C74">
        <w:rPr>
          <w:rFonts w:asciiTheme="majorHAnsi" w:eastAsiaTheme="minorHAnsi" w:hAnsiTheme="majorHAnsi" w:cstheme="minorBidi"/>
          <w:sz w:val="20"/>
          <w:szCs w:val="20"/>
          <w:bdr w:val="none" w:sz="0" w:space="0" w:color="auto"/>
          <w:lang w:val="pt-BR"/>
        </w:rPr>
        <w:t>ção</w:t>
      </w:r>
      <w:r w:rsidR="002649F0" w:rsidRPr="006D1C74">
        <w:rPr>
          <w:rFonts w:asciiTheme="majorHAnsi" w:eastAsiaTheme="minorHAnsi" w:hAnsiTheme="majorHAnsi" w:cstheme="minorBidi"/>
          <w:sz w:val="20"/>
          <w:szCs w:val="20"/>
          <w:bdr w:val="none" w:sz="0" w:space="0" w:color="auto"/>
          <w:lang w:val="pt-BR"/>
        </w:rPr>
        <w:t xml:space="preserve"> para</w:t>
      </w:r>
      <w:r w:rsidR="00700267" w:rsidRPr="006D1C74">
        <w:rPr>
          <w:rFonts w:asciiTheme="majorHAnsi" w:eastAsiaTheme="minorHAnsi" w:hAnsiTheme="majorHAnsi" w:cstheme="minorBidi"/>
          <w:sz w:val="20"/>
          <w:szCs w:val="20"/>
          <w:bdr w:val="none" w:sz="0" w:space="0" w:color="auto"/>
          <w:lang w:val="pt-BR"/>
        </w:rPr>
        <w:t xml:space="preserve"> a </w:t>
      </w:r>
      <w:r w:rsidR="002649F0" w:rsidRPr="006D1C74">
        <w:rPr>
          <w:rFonts w:asciiTheme="majorHAnsi" w:eastAsiaTheme="minorHAnsi" w:hAnsiTheme="majorHAnsi" w:cstheme="minorBidi"/>
          <w:sz w:val="20"/>
          <w:szCs w:val="20"/>
          <w:bdr w:val="none" w:sz="0" w:space="0" w:color="auto"/>
          <w:lang w:val="pt-BR"/>
        </w:rPr>
        <w:t>viola</w:t>
      </w:r>
      <w:r w:rsidR="00CF037E" w:rsidRPr="006D1C74">
        <w:rPr>
          <w:rFonts w:asciiTheme="majorHAnsi" w:eastAsiaTheme="minorHAnsi" w:hAnsiTheme="majorHAnsi" w:cstheme="minorBidi"/>
          <w:sz w:val="20"/>
          <w:szCs w:val="20"/>
          <w:bdr w:val="none" w:sz="0" w:space="0" w:color="auto"/>
          <w:lang w:val="pt-BR"/>
        </w:rPr>
        <w:t>ção</w:t>
      </w:r>
      <w:r w:rsidR="002649F0" w:rsidRPr="006D1C74">
        <w:rPr>
          <w:rFonts w:asciiTheme="majorHAnsi" w:eastAsiaTheme="minorHAnsi" w:hAnsiTheme="majorHAnsi" w:cstheme="minorBidi"/>
          <w:sz w:val="20"/>
          <w:szCs w:val="20"/>
          <w:bdr w:val="none" w:sz="0" w:space="0" w:color="auto"/>
          <w:lang w:val="pt-BR"/>
        </w:rPr>
        <w:t xml:space="preserve"> de </w:t>
      </w:r>
      <w:r w:rsidR="00CF037E" w:rsidRPr="006D1C74">
        <w:rPr>
          <w:rFonts w:asciiTheme="majorHAnsi" w:eastAsiaTheme="minorHAnsi" w:hAnsiTheme="majorHAnsi" w:cstheme="minorBidi"/>
          <w:sz w:val="20"/>
          <w:szCs w:val="20"/>
          <w:bdr w:val="none" w:sz="0" w:space="0" w:color="auto"/>
          <w:lang w:val="pt-BR"/>
        </w:rPr>
        <w:t>outr</w:t>
      </w:r>
      <w:r w:rsidR="002649F0" w:rsidRPr="006D1C74">
        <w:rPr>
          <w:rFonts w:asciiTheme="majorHAnsi" w:eastAsiaTheme="minorHAnsi" w:hAnsiTheme="majorHAnsi" w:cstheme="minorBidi"/>
          <w:sz w:val="20"/>
          <w:szCs w:val="20"/>
          <w:bdr w:val="none" w:sz="0" w:space="0" w:color="auto"/>
          <w:lang w:val="pt-BR"/>
        </w:rPr>
        <w:t xml:space="preserve">os </w:t>
      </w:r>
      <w:r w:rsidR="00417BE8" w:rsidRPr="006D1C74">
        <w:rPr>
          <w:rFonts w:asciiTheme="majorHAnsi" w:eastAsiaTheme="minorHAnsi" w:hAnsiTheme="majorHAnsi" w:cstheme="minorBidi"/>
          <w:sz w:val="20"/>
          <w:szCs w:val="20"/>
          <w:bdr w:val="none" w:sz="0" w:space="0" w:color="auto"/>
          <w:lang w:val="pt-BR"/>
        </w:rPr>
        <w:t>direito</w:t>
      </w:r>
      <w:r w:rsidR="002649F0" w:rsidRPr="006D1C74">
        <w:rPr>
          <w:rFonts w:asciiTheme="majorHAnsi" w:eastAsiaTheme="minorHAnsi" w:hAnsiTheme="majorHAnsi" w:cstheme="minorBidi"/>
          <w:sz w:val="20"/>
          <w:szCs w:val="20"/>
          <w:bdr w:val="none" w:sz="0" w:space="0" w:color="auto"/>
          <w:lang w:val="pt-BR"/>
        </w:rPr>
        <w:t xml:space="preserve">s […], </w:t>
      </w:r>
      <w:r w:rsidR="00501D1D" w:rsidRPr="006D1C74">
        <w:rPr>
          <w:rFonts w:asciiTheme="majorHAnsi" w:eastAsiaTheme="minorHAnsi" w:hAnsiTheme="majorHAnsi" w:cstheme="minorBidi"/>
          <w:sz w:val="20"/>
          <w:szCs w:val="20"/>
          <w:bdr w:val="none" w:sz="0" w:space="0" w:color="auto"/>
          <w:lang w:val="pt-BR"/>
        </w:rPr>
        <w:t>também</w:t>
      </w:r>
      <w:r w:rsidR="002649F0" w:rsidRPr="006D1C74">
        <w:rPr>
          <w:rFonts w:asciiTheme="majorHAnsi" w:eastAsiaTheme="minorHAnsi" w:hAnsiTheme="majorHAnsi" w:cstheme="minorBidi"/>
          <w:sz w:val="20"/>
          <w:szCs w:val="20"/>
          <w:bdr w:val="none" w:sz="0" w:space="0" w:color="auto"/>
          <w:lang w:val="pt-BR"/>
        </w:rPr>
        <w:t xml:space="preserve"> </w:t>
      </w:r>
      <w:r w:rsidR="00BA111B" w:rsidRPr="006D1C74">
        <w:rPr>
          <w:rFonts w:asciiTheme="majorHAnsi" w:eastAsiaTheme="minorHAnsi" w:hAnsiTheme="majorHAnsi" w:cstheme="minorBidi"/>
          <w:sz w:val="20"/>
          <w:szCs w:val="20"/>
          <w:bdr w:val="none" w:sz="0" w:space="0" w:color="auto"/>
          <w:lang w:val="pt-BR"/>
        </w:rPr>
        <w:t>inevitavelmente</w:t>
      </w:r>
      <w:r w:rsidR="002649F0" w:rsidRPr="006D1C74">
        <w:rPr>
          <w:rFonts w:asciiTheme="majorHAnsi" w:eastAsiaTheme="minorHAnsi" w:hAnsiTheme="majorHAnsi" w:cstheme="minorBidi"/>
          <w:sz w:val="20"/>
          <w:szCs w:val="20"/>
          <w:bdr w:val="none" w:sz="0" w:space="0" w:color="auto"/>
          <w:lang w:val="pt-BR"/>
        </w:rPr>
        <w:t xml:space="preserve"> se </w:t>
      </w:r>
      <w:r w:rsidR="00BA111B" w:rsidRPr="006D1C74">
        <w:rPr>
          <w:rFonts w:asciiTheme="majorHAnsi" w:eastAsiaTheme="minorHAnsi" w:hAnsiTheme="majorHAnsi" w:cstheme="minorBidi"/>
          <w:sz w:val="20"/>
          <w:szCs w:val="20"/>
          <w:bdr w:val="none" w:sz="0" w:space="0" w:color="auto"/>
          <w:lang w:val="pt-BR"/>
        </w:rPr>
        <w:t>vê</w:t>
      </w:r>
      <w:r w:rsidR="002649F0" w:rsidRPr="006D1C74">
        <w:rPr>
          <w:rFonts w:asciiTheme="majorHAnsi" w:eastAsiaTheme="minorHAnsi" w:hAnsiTheme="majorHAnsi" w:cstheme="minorBidi"/>
          <w:sz w:val="20"/>
          <w:szCs w:val="20"/>
          <w:bdr w:val="none" w:sz="0" w:space="0" w:color="auto"/>
          <w:lang w:val="pt-BR"/>
        </w:rPr>
        <w:t xml:space="preserve"> </w:t>
      </w:r>
      <w:r w:rsidR="00BA111B" w:rsidRPr="006D1C74">
        <w:rPr>
          <w:rFonts w:asciiTheme="majorHAnsi" w:eastAsiaTheme="minorHAnsi" w:hAnsiTheme="majorHAnsi" w:cstheme="minorBidi"/>
          <w:sz w:val="20"/>
          <w:szCs w:val="20"/>
          <w:bdr w:val="none" w:sz="0" w:space="0" w:color="auto"/>
          <w:lang w:val="pt-BR"/>
        </w:rPr>
        <w:t>afetado</w:t>
      </w:r>
      <w:r w:rsidR="00700267" w:rsidRPr="006D1C74">
        <w:rPr>
          <w:rFonts w:asciiTheme="majorHAnsi" w:eastAsiaTheme="minorHAnsi" w:hAnsiTheme="majorHAnsi" w:cstheme="minorBidi"/>
          <w:sz w:val="20"/>
          <w:szCs w:val="20"/>
          <w:bdr w:val="none" w:sz="0" w:space="0" w:color="auto"/>
          <w:lang w:val="pt-BR"/>
        </w:rPr>
        <w:t xml:space="preserve"> o </w:t>
      </w:r>
      <w:r w:rsidR="00417BE8" w:rsidRPr="006D1C74">
        <w:rPr>
          <w:rFonts w:asciiTheme="majorHAnsi" w:eastAsiaTheme="minorHAnsi" w:hAnsiTheme="majorHAnsi" w:cstheme="minorBidi"/>
          <w:sz w:val="20"/>
          <w:szCs w:val="20"/>
          <w:bdr w:val="none" w:sz="0" w:space="0" w:color="auto"/>
          <w:lang w:val="pt-BR"/>
        </w:rPr>
        <w:t>direito</w:t>
      </w:r>
      <w:r w:rsidR="00030019" w:rsidRPr="006D1C74">
        <w:rPr>
          <w:rFonts w:asciiTheme="majorHAnsi" w:eastAsiaTheme="minorHAnsi" w:hAnsiTheme="majorHAnsi" w:cstheme="minorBidi"/>
          <w:sz w:val="20"/>
          <w:szCs w:val="20"/>
          <w:bdr w:val="none" w:sz="0" w:space="0" w:color="auto"/>
          <w:lang w:val="pt-BR"/>
        </w:rPr>
        <w:t xml:space="preserve"> à </w:t>
      </w:r>
      <w:r w:rsidR="00623C35" w:rsidRPr="006D1C74">
        <w:rPr>
          <w:rFonts w:asciiTheme="majorHAnsi" w:eastAsiaTheme="minorHAnsi" w:hAnsiTheme="majorHAnsi" w:cstheme="minorBidi"/>
          <w:sz w:val="20"/>
          <w:szCs w:val="20"/>
          <w:bdr w:val="none" w:sz="0" w:space="0" w:color="auto"/>
          <w:lang w:val="pt-BR"/>
        </w:rPr>
        <w:t>liberdade</w:t>
      </w:r>
      <w:r w:rsidR="002649F0" w:rsidRPr="006D1C74">
        <w:rPr>
          <w:rFonts w:asciiTheme="majorHAnsi" w:eastAsiaTheme="minorHAnsi" w:hAnsiTheme="majorHAnsi" w:cstheme="minorBidi"/>
          <w:sz w:val="20"/>
          <w:szCs w:val="20"/>
          <w:bdr w:val="none" w:sz="0" w:space="0" w:color="auto"/>
          <w:lang w:val="pt-BR"/>
        </w:rPr>
        <w:t xml:space="preserve"> de </w:t>
      </w:r>
      <w:r w:rsidR="00E327B7" w:rsidRPr="006D1C74">
        <w:rPr>
          <w:rFonts w:asciiTheme="majorHAnsi" w:eastAsiaTheme="minorHAnsi" w:hAnsiTheme="majorHAnsi" w:cstheme="minorBidi"/>
          <w:sz w:val="20"/>
          <w:szCs w:val="20"/>
          <w:bdr w:val="none" w:sz="0" w:space="0" w:color="auto"/>
          <w:lang w:val="pt-BR"/>
        </w:rPr>
        <w:t>reunião</w:t>
      </w:r>
      <w:r w:rsidR="002649F0" w:rsidRPr="006D1C74">
        <w:rPr>
          <w:rFonts w:asciiTheme="majorHAnsi" w:eastAsiaTheme="minorHAnsi" w:hAnsiTheme="majorHAnsi" w:cstheme="minorBidi"/>
          <w:sz w:val="20"/>
          <w:szCs w:val="20"/>
          <w:bdr w:val="none" w:sz="0" w:space="0" w:color="auto"/>
          <w:lang w:val="pt-BR"/>
        </w:rPr>
        <w:t xml:space="preserve"> pacífica</w:t>
      </w:r>
      <w:r w:rsidR="00CF037E" w:rsidRPr="006D1C74">
        <w:rPr>
          <w:rFonts w:asciiTheme="majorHAnsi" w:eastAsiaTheme="minorHAnsi" w:hAnsiTheme="majorHAnsi" w:cstheme="minorBidi"/>
          <w:sz w:val="20"/>
          <w:szCs w:val="20"/>
          <w:bdr w:val="none" w:sz="0" w:space="0" w:color="auto"/>
          <w:lang w:val="pt-BR"/>
        </w:rPr>
        <w:t xml:space="preserve"> e </w:t>
      </w:r>
      <w:r w:rsidRPr="006D1C74">
        <w:rPr>
          <w:rFonts w:asciiTheme="majorHAnsi" w:eastAsiaTheme="minorHAnsi" w:hAnsiTheme="majorHAnsi" w:cstheme="minorBidi"/>
          <w:sz w:val="20"/>
          <w:szCs w:val="20"/>
          <w:bdr w:val="none" w:sz="0" w:space="0" w:color="auto"/>
          <w:lang w:val="pt-BR"/>
        </w:rPr>
        <w:t>iss</w:t>
      </w:r>
      <w:r w:rsidR="002649F0" w:rsidRPr="006D1C74">
        <w:rPr>
          <w:rFonts w:asciiTheme="majorHAnsi" w:eastAsiaTheme="minorHAnsi" w:hAnsiTheme="majorHAnsi" w:cstheme="minorBidi"/>
          <w:sz w:val="20"/>
          <w:szCs w:val="20"/>
          <w:bdr w:val="none" w:sz="0" w:space="0" w:color="auto"/>
          <w:lang w:val="pt-BR"/>
        </w:rPr>
        <w:t>o merece ser recon</w:t>
      </w:r>
      <w:r w:rsidR="005D3ACD">
        <w:rPr>
          <w:rFonts w:asciiTheme="majorHAnsi" w:eastAsiaTheme="minorHAnsi" w:hAnsiTheme="majorHAnsi" w:cstheme="minorBidi"/>
          <w:sz w:val="20"/>
          <w:szCs w:val="20"/>
          <w:bdr w:val="none" w:sz="0" w:space="0" w:color="auto"/>
          <w:lang w:val="pt-BR"/>
        </w:rPr>
        <w:t>he</w:t>
      </w:r>
      <w:r w:rsidR="002649F0" w:rsidRPr="006D1C74">
        <w:rPr>
          <w:rFonts w:asciiTheme="majorHAnsi" w:eastAsiaTheme="minorHAnsi" w:hAnsiTheme="majorHAnsi" w:cstheme="minorBidi"/>
          <w:sz w:val="20"/>
          <w:szCs w:val="20"/>
          <w:bdr w:val="none" w:sz="0" w:space="0" w:color="auto"/>
          <w:lang w:val="pt-BR"/>
        </w:rPr>
        <w:t>cido”</w:t>
      </w:r>
      <w:r w:rsidR="002649F0" w:rsidRPr="006D1C74">
        <w:rPr>
          <w:rFonts w:asciiTheme="majorHAnsi" w:eastAsiaTheme="minorHAnsi" w:hAnsiTheme="majorHAnsi" w:cstheme="minorBidi"/>
          <w:sz w:val="20"/>
          <w:szCs w:val="20"/>
          <w:bdr w:val="none" w:sz="0" w:space="0" w:color="auto"/>
          <w:vertAlign w:val="superscript"/>
          <w:lang w:val="pt-BR"/>
        </w:rPr>
        <w:footnoteReference w:id="77"/>
      </w:r>
      <w:r w:rsidR="002649F0" w:rsidRPr="006D1C74">
        <w:rPr>
          <w:rFonts w:asciiTheme="majorHAnsi" w:eastAsiaTheme="minorHAnsi" w:hAnsiTheme="majorHAnsi" w:cstheme="minorBidi"/>
          <w:sz w:val="20"/>
          <w:szCs w:val="20"/>
          <w:bdr w:val="none" w:sz="0" w:space="0" w:color="auto"/>
          <w:lang w:val="pt-BR"/>
        </w:rPr>
        <w:t xml:space="preserve">. </w:t>
      </w:r>
      <w:r w:rsidR="00B42161" w:rsidRPr="006D1C74">
        <w:rPr>
          <w:rFonts w:asciiTheme="majorHAnsi" w:eastAsiaTheme="minorHAnsi" w:hAnsiTheme="majorHAnsi" w:cstheme="minorBidi"/>
          <w:sz w:val="20"/>
          <w:szCs w:val="20"/>
          <w:bdr w:val="none" w:sz="0" w:space="0" w:color="auto"/>
          <w:lang w:val="pt-BR"/>
        </w:rPr>
        <w:t>O</w:t>
      </w:r>
      <w:r w:rsidR="002649F0" w:rsidRPr="006D1C74">
        <w:rPr>
          <w:rFonts w:asciiTheme="majorHAnsi" w:eastAsiaTheme="minorHAnsi" w:hAnsiTheme="majorHAnsi" w:cstheme="minorBidi"/>
          <w:sz w:val="20"/>
          <w:szCs w:val="20"/>
          <w:bdr w:val="none" w:sz="0" w:space="0" w:color="auto"/>
          <w:lang w:val="pt-BR"/>
        </w:rPr>
        <w:t xml:space="preserve"> ex</w:t>
      </w:r>
      <w:r w:rsidRPr="006D1C74">
        <w:rPr>
          <w:rFonts w:asciiTheme="majorHAnsi" w:eastAsiaTheme="minorHAnsi" w:hAnsiTheme="majorHAnsi" w:cstheme="minorBidi"/>
          <w:sz w:val="20"/>
          <w:szCs w:val="20"/>
          <w:bdr w:val="none" w:sz="0" w:space="0" w:color="auto"/>
          <w:lang w:val="pt-BR"/>
        </w:rPr>
        <w:t>-</w:t>
      </w:r>
      <w:r w:rsidR="002649F0" w:rsidRPr="006D1C74">
        <w:rPr>
          <w:rFonts w:asciiTheme="majorHAnsi" w:eastAsiaTheme="minorHAnsi" w:hAnsiTheme="majorHAnsi" w:cstheme="minorBidi"/>
          <w:sz w:val="20"/>
          <w:szCs w:val="20"/>
          <w:bdr w:val="none" w:sz="0" w:space="0" w:color="auto"/>
          <w:lang w:val="pt-BR"/>
        </w:rPr>
        <w:t>Relator a</w:t>
      </w:r>
      <w:r w:rsidRPr="006D1C74">
        <w:rPr>
          <w:rFonts w:asciiTheme="majorHAnsi" w:eastAsiaTheme="minorHAnsi" w:hAnsiTheme="majorHAnsi" w:cstheme="minorBidi"/>
          <w:sz w:val="20"/>
          <w:szCs w:val="20"/>
          <w:bdr w:val="none" w:sz="0" w:space="0" w:color="auto"/>
          <w:lang w:val="pt-BR"/>
        </w:rPr>
        <w:t>crescentou</w:t>
      </w:r>
      <w:r w:rsidR="002649F0" w:rsidRPr="006D1C74">
        <w:rPr>
          <w:rFonts w:asciiTheme="majorHAnsi" w:eastAsiaTheme="minorHAnsi" w:hAnsiTheme="majorHAnsi" w:cstheme="minorBidi"/>
          <w:sz w:val="20"/>
          <w:szCs w:val="20"/>
          <w:bdr w:val="none" w:sz="0" w:space="0" w:color="auto"/>
          <w:lang w:val="pt-BR"/>
        </w:rPr>
        <w:t xml:space="preserve"> que, c</w:t>
      </w:r>
      <w:r w:rsidR="002649F0" w:rsidRPr="006D1C74">
        <w:rPr>
          <w:rFonts w:asciiTheme="majorHAnsi" w:hAnsiTheme="majorHAnsi"/>
          <w:color w:val="212121"/>
          <w:sz w:val="20"/>
          <w:szCs w:val="20"/>
          <w:lang w:val="pt-BR"/>
        </w:rPr>
        <w:t xml:space="preserve">omo </w:t>
      </w:r>
      <w:r w:rsidRPr="006D1C74">
        <w:rPr>
          <w:rFonts w:asciiTheme="majorHAnsi" w:hAnsiTheme="majorHAnsi"/>
          <w:color w:val="212121"/>
          <w:sz w:val="20"/>
          <w:szCs w:val="20"/>
          <w:lang w:val="pt-BR"/>
        </w:rPr>
        <w:t>ocorre</w:t>
      </w:r>
      <w:r w:rsidR="00F673C7" w:rsidRPr="006D1C74">
        <w:rPr>
          <w:rFonts w:asciiTheme="majorHAnsi" w:hAnsiTheme="majorHAnsi"/>
          <w:color w:val="212121"/>
          <w:sz w:val="20"/>
          <w:szCs w:val="20"/>
          <w:lang w:val="pt-BR"/>
        </w:rPr>
        <w:t xml:space="preserve"> com </w:t>
      </w:r>
      <w:r w:rsidR="00CF037E" w:rsidRPr="006D1C74">
        <w:rPr>
          <w:rFonts w:asciiTheme="majorHAnsi" w:hAnsiTheme="majorHAnsi"/>
          <w:color w:val="212121"/>
          <w:sz w:val="20"/>
          <w:szCs w:val="20"/>
          <w:lang w:val="pt-BR"/>
        </w:rPr>
        <w:t>outr</w:t>
      </w:r>
      <w:r w:rsidR="002649F0" w:rsidRPr="006D1C74">
        <w:rPr>
          <w:rFonts w:asciiTheme="majorHAnsi" w:hAnsiTheme="majorHAnsi"/>
          <w:color w:val="212121"/>
          <w:sz w:val="20"/>
          <w:szCs w:val="20"/>
          <w:lang w:val="pt-BR"/>
        </w:rPr>
        <w:t xml:space="preserve">os </w:t>
      </w:r>
      <w:r w:rsidR="00417BE8" w:rsidRPr="006D1C74">
        <w:rPr>
          <w:rFonts w:asciiTheme="majorHAnsi" w:hAnsiTheme="majorHAnsi"/>
          <w:color w:val="212121"/>
          <w:sz w:val="20"/>
          <w:szCs w:val="20"/>
          <w:lang w:val="pt-BR"/>
        </w:rPr>
        <w:t>direito</w:t>
      </w:r>
      <w:r w:rsidR="002649F0" w:rsidRPr="006D1C74">
        <w:rPr>
          <w:rFonts w:asciiTheme="majorHAnsi" w:hAnsiTheme="majorHAnsi"/>
          <w:color w:val="212121"/>
          <w:sz w:val="20"/>
          <w:szCs w:val="20"/>
          <w:lang w:val="pt-BR"/>
        </w:rPr>
        <w:t>s</w:t>
      </w:r>
      <w:r w:rsidR="00F673C7" w:rsidRPr="006D1C74">
        <w:rPr>
          <w:rFonts w:asciiTheme="majorHAnsi" w:hAnsiTheme="majorHAnsi"/>
          <w:color w:val="212121"/>
          <w:sz w:val="20"/>
          <w:szCs w:val="20"/>
          <w:lang w:val="pt-BR"/>
        </w:rPr>
        <w:t xml:space="preserve"> </w:t>
      </w:r>
      <w:r w:rsidR="001032A6">
        <w:rPr>
          <w:rFonts w:asciiTheme="majorHAnsi" w:hAnsiTheme="majorHAnsi"/>
          <w:color w:val="212121"/>
          <w:sz w:val="20"/>
          <w:szCs w:val="20"/>
          <w:lang w:val="pt-BR"/>
        </w:rPr>
        <w:t>que têm</w:t>
      </w:r>
      <w:r w:rsidR="00030019" w:rsidRPr="006D1C74">
        <w:rPr>
          <w:rFonts w:asciiTheme="majorHAnsi" w:hAnsiTheme="majorHAnsi"/>
          <w:color w:val="212121"/>
          <w:sz w:val="20"/>
          <w:szCs w:val="20"/>
          <w:lang w:val="pt-BR"/>
        </w:rPr>
        <w:t xml:space="preserve"> </w:t>
      </w:r>
      <w:r w:rsidR="002649F0" w:rsidRPr="006D1C74">
        <w:rPr>
          <w:rFonts w:asciiTheme="majorHAnsi" w:hAnsiTheme="majorHAnsi"/>
          <w:color w:val="212121"/>
          <w:sz w:val="20"/>
          <w:szCs w:val="20"/>
          <w:lang w:val="pt-BR"/>
        </w:rPr>
        <w:t>dimen</w:t>
      </w:r>
      <w:r w:rsidR="0094446B" w:rsidRPr="006D1C74">
        <w:rPr>
          <w:rFonts w:asciiTheme="majorHAnsi" w:hAnsiTheme="majorHAnsi"/>
          <w:color w:val="212121"/>
          <w:sz w:val="20"/>
          <w:szCs w:val="20"/>
          <w:lang w:val="pt-BR"/>
        </w:rPr>
        <w:t>são</w:t>
      </w:r>
      <w:r w:rsidR="002649F0" w:rsidRPr="006D1C74">
        <w:rPr>
          <w:rFonts w:asciiTheme="majorHAnsi" w:hAnsiTheme="majorHAnsi"/>
          <w:color w:val="212121"/>
          <w:sz w:val="20"/>
          <w:szCs w:val="20"/>
          <w:lang w:val="pt-BR"/>
        </w:rPr>
        <w:t xml:space="preserve"> social,</w:t>
      </w:r>
      <w:r w:rsidR="00700267" w:rsidRPr="006D1C74">
        <w:rPr>
          <w:rFonts w:asciiTheme="majorHAnsi" w:hAnsiTheme="majorHAnsi"/>
          <w:color w:val="212121"/>
          <w:sz w:val="20"/>
          <w:szCs w:val="20"/>
          <w:lang w:val="pt-BR"/>
        </w:rPr>
        <w:t xml:space="preserve"> as </w:t>
      </w:r>
      <w:r w:rsidR="002649F0" w:rsidRPr="006D1C74">
        <w:rPr>
          <w:rFonts w:asciiTheme="majorHAnsi" w:hAnsiTheme="majorHAnsi"/>
          <w:color w:val="212121"/>
          <w:sz w:val="20"/>
          <w:szCs w:val="20"/>
          <w:lang w:val="pt-BR"/>
        </w:rPr>
        <w:t>viola</w:t>
      </w:r>
      <w:r w:rsidR="00CF037E" w:rsidRPr="006D1C74">
        <w:rPr>
          <w:rFonts w:asciiTheme="majorHAnsi" w:hAnsiTheme="majorHAnsi"/>
          <w:color w:val="212121"/>
          <w:sz w:val="20"/>
          <w:szCs w:val="20"/>
          <w:lang w:val="pt-BR"/>
        </w:rPr>
        <w:t>ções</w:t>
      </w:r>
      <w:r w:rsidR="00700267" w:rsidRPr="006D1C74">
        <w:rPr>
          <w:rFonts w:asciiTheme="majorHAnsi" w:hAnsiTheme="majorHAnsi"/>
          <w:color w:val="212121"/>
          <w:sz w:val="20"/>
          <w:szCs w:val="20"/>
          <w:lang w:val="pt-BR"/>
        </w:rPr>
        <w:t xml:space="preserve"> dos </w:t>
      </w:r>
      <w:r w:rsidR="00417BE8" w:rsidRPr="006D1C74">
        <w:rPr>
          <w:rFonts w:asciiTheme="majorHAnsi" w:hAnsiTheme="majorHAnsi"/>
          <w:color w:val="212121"/>
          <w:sz w:val="20"/>
          <w:szCs w:val="20"/>
          <w:lang w:val="pt-BR"/>
        </w:rPr>
        <w:t>direito</w:t>
      </w:r>
      <w:r w:rsidR="002649F0" w:rsidRPr="006D1C74">
        <w:rPr>
          <w:rFonts w:asciiTheme="majorHAnsi" w:hAnsiTheme="majorHAnsi"/>
          <w:color w:val="212121"/>
          <w:sz w:val="20"/>
          <w:szCs w:val="20"/>
          <w:lang w:val="pt-BR"/>
        </w:rPr>
        <w:t>s</w:t>
      </w:r>
      <w:r w:rsidR="00700267" w:rsidRPr="006D1C74">
        <w:rPr>
          <w:rFonts w:asciiTheme="majorHAnsi" w:hAnsiTheme="majorHAnsi"/>
          <w:color w:val="212121"/>
          <w:sz w:val="20"/>
          <w:szCs w:val="20"/>
          <w:lang w:val="pt-BR"/>
        </w:rPr>
        <w:t xml:space="preserve"> dos </w:t>
      </w:r>
      <w:r w:rsidR="002649F0" w:rsidRPr="006D1C74">
        <w:rPr>
          <w:rFonts w:asciiTheme="majorHAnsi" w:hAnsiTheme="majorHAnsi"/>
          <w:color w:val="212121"/>
          <w:sz w:val="20"/>
          <w:szCs w:val="20"/>
          <w:lang w:val="pt-BR"/>
        </w:rPr>
        <w:t>participantes</w:t>
      </w:r>
      <w:r w:rsidR="00F673C7" w:rsidRPr="006D1C74">
        <w:rPr>
          <w:rFonts w:asciiTheme="majorHAnsi" w:hAnsiTheme="majorHAnsi"/>
          <w:color w:val="212121"/>
          <w:sz w:val="20"/>
          <w:szCs w:val="20"/>
          <w:lang w:val="pt-BR"/>
        </w:rPr>
        <w:t xml:space="preserve"> </w:t>
      </w:r>
      <w:r w:rsidRPr="006D1C74">
        <w:rPr>
          <w:rFonts w:asciiTheme="majorHAnsi" w:hAnsiTheme="majorHAnsi"/>
          <w:color w:val="212121"/>
          <w:sz w:val="20"/>
          <w:szCs w:val="20"/>
          <w:lang w:val="pt-BR"/>
        </w:rPr>
        <w:t>n</w:t>
      </w:r>
      <w:r w:rsidR="00030019" w:rsidRPr="006D1C74">
        <w:rPr>
          <w:rFonts w:asciiTheme="majorHAnsi" w:hAnsiTheme="majorHAnsi"/>
          <w:color w:val="212121"/>
          <w:sz w:val="20"/>
          <w:szCs w:val="20"/>
          <w:lang w:val="pt-BR"/>
        </w:rPr>
        <w:t xml:space="preserve">uma </w:t>
      </w:r>
      <w:r w:rsidR="00E327B7" w:rsidRPr="006D1C74">
        <w:rPr>
          <w:rFonts w:asciiTheme="majorHAnsi" w:hAnsiTheme="majorHAnsi"/>
          <w:color w:val="212121"/>
          <w:sz w:val="20"/>
          <w:szCs w:val="20"/>
          <w:lang w:val="pt-BR"/>
        </w:rPr>
        <w:t>reunião</w:t>
      </w:r>
      <w:r w:rsidR="002649F0" w:rsidRPr="006D1C74">
        <w:rPr>
          <w:rFonts w:asciiTheme="majorHAnsi" w:hAnsiTheme="majorHAnsi"/>
          <w:color w:val="212121"/>
          <w:sz w:val="20"/>
          <w:szCs w:val="20"/>
          <w:lang w:val="pt-BR"/>
        </w:rPr>
        <w:t xml:space="preserve"> o</w:t>
      </w:r>
      <w:r w:rsidRPr="006D1C74">
        <w:rPr>
          <w:rFonts w:asciiTheme="majorHAnsi" w:hAnsiTheme="majorHAnsi"/>
          <w:color w:val="212121"/>
          <w:sz w:val="20"/>
          <w:szCs w:val="20"/>
          <w:lang w:val="pt-BR"/>
        </w:rPr>
        <w:t>u</w:t>
      </w:r>
      <w:r w:rsidR="002649F0" w:rsidRPr="006D1C74">
        <w:rPr>
          <w:rFonts w:asciiTheme="majorHAnsi" w:hAnsiTheme="majorHAnsi"/>
          <w:color w:val="212121"/>
          <w:sz w:val="20"/>
          <w:szCs w:val="20"/>
          <w:lang w:val="pt-BR"/>
        </w:rPr>
        <w:t xml:space="preserve"> </w:t>
      </w:r>
      <w:r w:rsidR="005D3ACD" w:rsidRPr="006D1C74">
        <w:rPr>
          <w:rFonts w:asciiTheme="majorHAnsi" w:hAnsiTheme="majorHAnsi"/>
          <w:color w:val="212121"/>
          <w:sz w:val="20"/>
          <w:szCs w:val="20"/>
          <w:lang w:val="pt-BR"/>
        </w:rPr>
        <w:t>assembleia</w:t>
      </w:r>
      <w:r w:rsidR="002649F0" w:rsidRPr="006D1C74">
        <w:rPr>
          <w:rFonts w:asciiTheme="majorHAnsi" w:hAnsiTheme="majorHAnsi"/>
          <w:color w:val="212121"/>
          <w:sz w:val="20"/>
          <w:szCs w:val="20"/>
          <w:lang w:val="pt-BR"/>
        </w:rPr>
        <w:t xml:space="preserve"> por parte</w:t>
      </w:r>
      <w:r w:rsidR="00D74A93" w:rsidRPr="006D1C74">
        <w:rPr>
          <w:rFonts w:asciiTheme="majorHAnsi" w:hAnsiTheme="majorHAnsi"/>
          <w:color w:val="212121"/>
          <w:sz w:val="20"/>
          <w:szCs w:val="20"/>
          <w:lang w:val="pt-BR"/>
        </w:rPr>
        <w:t xml:space="preserve"> das </w:t>
      </w:r>
      <w:r w:rsidR="002649F0" w:rsidRPr="006D1C74">
        <w:rPr>
          <w:rFonts w:asciiTheme="majorHAnsi" w:hAnsiTheme="majorHAnsi"/>
          <w:color w:val="212121"/>
          <w:sz w:val="20"/>
          <w:szCs w:val="20"/>
          <w:lang w:val="pt-BR"/>
        </w:rPr>
        <w:t>autoridades “t</w:t>
      </w:r>
      <w:r w:rsidRPr="006D1C74">
        <w:rPr>
          <w:rFonts w:asciiTheme="majorHAnsi" w:hAnsiTheme="majorHAnsi"/>
          <w:color w:val="212121"/>
          <w:sz w:val="20"/>
          <w:szCs w:val="20"/>
          <w:lang w:val="pt-BR"/>
        </w:rPr>
        <w:t>êm</w:t>
      </w:r>
      <w:r w:rsidR="002649F0" w:rsidRPr="006D1C74">
        <w:rPr>
          <w:rFonts w:asciiTheme="majorHAnsi" w:hAnsiTheme="majorHAnsi"/>
          <w:color w:val="212121"/>
          <w:sz w:val="20"/>
          <w:szCs w:val="20"/>
          <w:lang w:val="pt-BR"/>
        </w:rPr>
        <w:t xml:space="preserve"> graves </w:t>
      </w:r>
      <w:r w:rsidR="005D3ACD" w:rsidRPr="006D1C74">
        <w:rPr>
          <w:rFonts w:asciiTheme="majorHAnsi" w:hAnsiTheme="majorHAnsi"/>
          <w:color w:val="212121"/>
          <w:sz w:val="20"/>
          <w:szCs w:val="20"/>
          <w:lang w:val="pt-BR"/>
        </w:rPr>
        <w:t>efeitos</w:t>
      </w:r>
      <w:r w:rsidR="002649F0" w:rsidRPr="006D1C74">
        <w:rPr>
          <w:rFonts w:asciiTheme="majorHAnsi" w:hAnsiTheme="majorHAnsi"/>
          <w:color w:val="212121"/>
          <w:sz w:val="20"/>
          <w:szCs w:val="20"/>
          <w:lang w:val="pt-BR"/>
        </w:rPr>
        <w:t xml:space="preserve"> </w:t>
      </w:r>
      <w:r w:rsidR="00517ACA" w:rsidRPr="006D1C74">
        <w:rPr>
          <w:rFonts w:asciiTheme="majorHAnsi" w:hAnsiTheme="majorHAnsi"/>
          <w:color w:val="212121"/>
          <w:sz w:val="20"/>
          <w:szCs w:val="20"/>
          <w:lang w:val="pt-BR"/>
        </w:rPr>
        <w:t>inibitórios</w:t>
      </w:r>
      <w:r w:rsidR="002649F0" w:rsidRPr="006D1C74">
        <w:rPr>
          <w:rFonts w:asciiTheme="majorHAnsi" w:hAnsiTheme="majorHAnsi"/>
          <w:color w:val="212121"/>
          <w:sz w:val="20"/>
          <w:szCs w:val="20"/>
          <w:lang w:val="pt-BR"/>
        </w:rPr>
        <w:t xml:space="preserve"> </w:t>
      </w:r>
      <w:r w:rsidR="002649F0" w:rsidRPr="006D1C74">
        <w:rPr>
          <w:rFonts w:asciiTheme="majorHAnsi" w:hAnsiTheme="majorHAnsi"/>
          <w:i/>
          <w:color w:val="212121"/>
          <w:sz w:val="20"/>
          <w:szCs w:val="20"/>
          <w:lang w:val="pt-BR"/>
        </w:rPr>
        <w:t>[chilling effect]</w:t>
      </w:r>
      <w:r w:rsidR="002649F0" w:rsidRPr="006D1C74">
        <w:rPr>
          <w:rFonts w:asciiTheme="majorHAnsi" w:hAnsiTheme="majorHAnsi"/>
          <w:color w:val="212121"/>
          <w:sz w:val="20"/>
          <w:szCs w:val="20"/>
          <w:lang w:val="pt-BR"/>
        </w:rPr>
        <w:t xml:space="preserve"> sobre futuras </w:t>
      </w:r>
      <w:r w:rsidR="005D3ACD" w:rsidRPr="006D1C74">
        <w:rPr>
          <w:rFonts w:asciiTheme="majorHAnsi" w:hAnsiTheme="majorHAnsi"/>
          <w:color w:val="212121"/>
          <w:sz w:val="20"/>
          <w:szCs w:val="20"/>
          <w:lang w:val="pt-BR"/>
        </w:rPr>
        <w:t>reuniões</w:t>
      </w:r>
      <w:r w:rsidR="002649F0" w:rsidRPr="006D1C74">
        <w:rPr>
          <w:rFonts w:asciiTheme="majorHAnsi" w:hAnsiTheme="majorHAnsi"/>
          <w:color w:val="212121"/>
          <w:sz w:val="20"/>
          <w:szCs w:val="20"/>
          <w:lang w:val="pt-BR"/>
        </w:rPr>
        <w:t xml:space="preserve"> o</w:t>
      </w:r>
      <w:r w:rsidRPr="006D1C74">
        <w:rPr>
          <w:rFonts w:asciiTheme="majorHAnsi" w:hAnsiTheme="majorHAnsi"/>
          <w:color w:val="212121"/>
          <w:sz w:val="20"/>
          <w:szCs w:val="20"/>
          <w:lang w:val="pt-BR"/>
        </w:rPr>
        <w:t>u</w:t>
      </w:r>
      <w:r w:rsidR="002649F0" w:rsidRPr="006D1C74">
        <w:rPr>
          <w:rFonts w:asciiTheme="majorHAnsi" w:hAnsiTheme="majorHAnsi"/>
          <w:color w:val="212121"/>
          <w:sz w:val="20"/>
          <w:szCs w:val="20"/>
          <w:lang w:val="pt-BR"/>
        </w:rPr>
        <w:t xml:space="preserve"> </w:t>
      </w:r>
      <w:r w:rsidR="00517ACA" w:rsidRPr="006D1C74">
        <w:rPr>
          <w:rFonts w:asciiTheme="majorHAnsi" w:hAnsiTheme="majorHAnsi"/>
          <w:color w:val="212121"/>
          <w:sz w:val="20"/>
          <w:szCs w:val="20"/>
          <w:lang w:val="pt-BR"/>
        </w:rPr>
        <w:t>assembleias</w:t>
      </w:r>
      <w:r w:rsidR="002649F0" w:rsidRPr="006D1C74">
        <w:rPr>
          <w:rFonts w:asciiTheme="majorHAnsi" w:hAnsiTheme="majorHAnsi"/>
          <w:color w:val="212121"/>
          <w:sz w:val="20"/>
          <w:szCs w:val="20"/>
          <w:lang w:val="pt-BR"/>
        </w:rPr>
        <w:t xml:space="preserve">”, </w:t>
      </w:r>
      <w:r w:rsidRPr="006D1C74">
        <w:rPr>
          <w:rFonts w:asciiTheme="majorHAnsi" w:hAnsiTheme="majorHAnsi"/>
          <w:color w:val="212121"/>
          <w:sz w:val="20"/>
          <w:szCs w:val="20"/>
          <w:lang w:val="pt-BR"/>
        </w:rPr>
        <w:t>já</w:t>
      </w:r>
      <w:r w:rsidR="002649F0" w:rsidRPr="006D1C74">
        <w:rPr>
          <w:rFonts w:asciiTheme="majorHAnsi" w:hAnsiTheme="majorHAnsi"/>
          <w:color w:val="212121"/>
          <w:sz w:val="20"/>
          <w:szCs w:val="20"/>
          <w:lang w:val="pt-BR"/>
        </w:rPr>
        <w:t xml:space="preserve"> que</w:t>
      </w:r>
      <w:r w:rsidR="00F37852" w:rsidRPr="006D1C74">
        <w:rPr>
          <w:rFonts w:asciiTheme="majorHAnsi" w:hAnsiTheme="majorHAnsi"/>
          <w:color w:val="212121"/>
          <w:sz w:val="20"/>
          <w:szCs w:val="20"/>
          <w:lang w:val="pt-BR"/>
        </w:rPr>
        <w:t xml:space="preserve"> é </w:t>
      </w:r>
      <w:r w:rsidR="002649F0" w:rsidRPr="006D1C74">
        <w:rPr>
          <w:rFonts w:asciiTheme="majorHAnsi" w:hAnsiTheme="majorHAnsi"/>
          <w:color w:val="212121"/>
          <w:sz w:val="20"/>
          <w:szCs w:val="20"/>
          <w:lang w:val="pt-BR"/>
        </w:rPr>
        <w:t>pos</w:t>
      </w:r>
      <w:r w:rsidRPr="006D1C74">
        <w:rPr>
          <w:rFonts w:asciiTheme="majorHAnsi" w:hAnsiTheme="majorHAnsi"/>
          <w:color w:val="212121"/>
          <w:sz w:val="20"/>
          <w:szCs w:val="20"/>
          <w:lang w:val="pt-BR"/>
        </w:rPr>
        <w:t>sível</w:t>
      </w:r>
      <w:r w:rsidR="002649F0" w:rsidRPr="006D1C74">
        <w:rPr>
          <w:rFonts w:asciiTheme="majorHAnsi" w:hAnsiTheme="majorHAnsi"/>
          <w:color w:val="212121"/>
          <w:sz w:val="20"/>
          <w:szCs w:val="20"/>
          <w:lang w:val="pt-BR"/>
        </w:rPr>
        <w:t xml:space="preserve"> que</w:t>
      </w:r>
      <w:r w:rsidR="00700267" w:rsidRPr="006D1C74">
        <w:rPr>
          <w:rFonts w:asciiTheme="majorHAnsi" w:eastAsia="Times New Roman" w:hAnsiTheme="majorHAnsi" w:cs="Courier New"/>
          <w:color w:val="212121"/>
          <w:sz w:val="20"/>
          <w:szCs w:val="20"/>
          <w:lang w:val="pt-BR"/>
        </w:rPr>
        <w:t xml:space="preserve"> as </w:t>
      </w:r>
      <w:r w:rsidR="00CA7940" w:rsidRPr="006D1C74">
        <w:rPr>
          <w:rFonts w:asciiTheme="majorHAnsi" w:eastAsia="Times New Roman" w:hAnsiTheme="majorHAnsi" w:cs="Courier New"/>
          <w:color w:val="212121"/>
          <w:sz w:val="20"/>
          <w:szCs w:val="20"/>
          <w:lang w:val="pt-BR"/>
        </w:rPr>
        <w:t>pessoa</w:t>
      </w:r>
      <w:r w:rsidR="002649F0" w:rsidRPr="006D1C74">
        <w:rPr>
          <w:rFonts w:asciiTheme="majorHAnsi" w:eastAsia="Times New Roman" w:hAnsiTheme="majorHAnsi" w:cs="Courier New"/>
          <w:color w:val="212121"/>
          <w:sz w:val="20"/>
          <w:szCs w:val="20"/>
          <w:lang w:val="pt-BR"/>
        </w:rPr>
        <w:t xml:space="preserve">s </w:t>
      </w:r>
      <w:r w:rsidR="005D3ACD" w:rsidRPr="006D1C74">
        <w:rPr>
          <w:rFonts w:asciiTheme="majorHAnsi" w:eastAsia="Times New Roman" w:hAnsiTheme="majorHAnsi" w:cs="Courier New"/>
          <w:color w:val="212121"/>
          <w:sz w:val="20"/>
          <w:szCs w:val="20"/>
          <w:lang w:val="pt-BR"/>
        </w:rPr>
        <w:t>optem</w:t>
      </w:r>
      <w:r w:rsidR="002649F0" w:rsidRPr="006D1C74">
        <w:rPr>
          <w:rFonts w:asciiTheme="majorHAnsi" w:eastAsia="Times New Roman" w:hAnsiTheme="majorHAnsi" w:cs="Courier New"/>
          <w:color w:val="212121"/>
          <w:sz w:val="20"/>
          <w:szCs w:val="20"/>
          <w:lang w:val="pt-BR"/>
        </w:rPr>
        <w:t xml:space="preserve"> por abster</w:t>
      </w:r>
      <w:r w:rsidRPr="006D1C74">
        <w:rPr>
          <w:rFonts w:asciiTheme="majorHAnsi" w:eastAsia="Times New Roman" w:hAnsiTheme="majorHAnsi" w:cs="Courier New"/>
          <w:color w:val="212121"/>
          <w:sz w:val="20"/>
          <w:szCs w:val="20"/>
          <w:lang w:val="pt-BR"/>
        </w:rPr>
        <w:t>-</w:t>
      </w:r>
      <w:r w:rsidR="002649F0" w:rsidRPr="006D1C74">
        <w:rPr>
          <w:rFonts w:asciiTheme="majorHAnsi" w:eastAsia="Times New Roman" w:hAnsiTheme="majorHAnsi" w:cs="Courier New"/>
          <w:color w:val="212121"/>
          <w:sz w:val="20"/>
          <w:szCs w:val="20"/>
          <w:lang w:val="pt-BR"/>
        </w:rPr>
        <w:t>se de participar para proteger</w:t>
      </w:r>
      <w:r w:rsidRPr="006D1C74">
        <w:rPr>
          <w:rFonts w:asciiTheme="majorHAnsi" w:eastAsia="Times New Roman" w:hAnsiTheme="majorHAnsi" w:cs="Courier New"/>
          <w:color w:val="212121"/>
          <w:sz w:val="20"/>
          <w:szCs w:val="20"/>
          <w:lang w:val="pt-BR"/>
        </w:rPr>
        <w:t>-</w:t>
      </w:r>
      <w:r w:rsidR="002649F0" w:rsidRPr="006D1C74">
        <w:rPr>
          <w:rFonts w:asciiTheme="majorHAnsi" w:eastAsia="Times New Roman" w:hAnsiTheme="majorHAnsi" w:cs="Courier New"/>
          <w:color w:val="212121"/>
          <w:sz w:val="20"/>
          <w:szCs w:val="20"/>
          <w:lang w:val="pt-BR"/>
        </w:rPr>
        <w:t>se de</w:t>
      </w:r>
      <w:r w:rsidRPr="006D1C74">
        <w:rPr>
          <w:rFonts w:asciiTheme="majorHAnsi" w:eastAsia="Times New Roman" w:hAnsiTheme="majorHAnsi" w:cs="Courier New"/>
          <w:color w:val="212121"/>
          <w:sz w:val="20"/>
          <w:szCs w:val="20"/>
          <w:lang w:val="pt-BR"/>
        </w:rPr>
        <w:t>sses</w:t>
      </w:r>
      <w:r w:rsidR="002649F0" w:rsidRPr="006D1C74">
        <w:rPr>
          <w:rFonts w:asciiTheme="majorHAnsi" w:eastAsia="Times New Roman" w:hAnsiTheme="majorHAnsi" w:cs="Courier New"/>
          <w:color w:val="212121"/>
          <w:sz w:val="20"/>
          <w:szCs w:val="20"/>
          <w:lang w:val="pt-BR"/>
        </w:rPr>
        <w:t xml:space="preserve"> abusos,</w:t>
      </w:r>
      <w:r w:rsidR="002649F0" w:rsidRPr="006D1C74">
        <w:rPr>
          <w:rFonts w:asciiTheme="majorHAnsi" w:hAnsiTheme="majorHAnsi"/>
          <w:color w:val="212121"/>
          <w:sz w:val="20"/>
          <w:szCs w:val="20"/>
          <w:lang w:val="pt-BR"/>
        </w:rPr>
        <w:t xml:space="preserve"> a</w:t>
      </w:r>
      <w:r w:rsidRPr="006D1C74">
        <w:rPr>
          <w:rFonts w:asciiTheme="majorHAnsi" w:hAnsiTheme="majorHAnsi"/>
          <w:color w:val="212121"/>
          <w:sz w:val="20"/>
          <w:szCs w:val="20"/>
          <w:lang w:val="pt-BR"/>
        </w:rPr>
        <w:t>lém</w:t>
      </w:r>
      <w:r w:rsidR="002649F0" w:rsidRPr="006D1C74">
        <w:rPr>
          <w:rFonts w:asciiTheme="majorHAnsi" w:hAnsiTheme="majorHAnsi"/>
          <w:color w:val="212121"/>
          <w:sz w:val="20"/>
          <w:szCs w:val="20"/>
          <w:lang w:val="pt-BR"/>
        </w:rPr>
        <w:t xml:space="preserve"> de ser contr</w:t>
      </w:r>
      <w:r w:rsidR="001032A6">
        <w:rPr>
          <w:rFonts w:asciiTheme="majorHAnsi" w:hAnsiTheme="majorHAnsi"/>
          <w:color w:val="212121"/>
          <w:sz w:val="20"/>
          <w:szCs w:val="20"/>
          <w:lang w:val="pt-BR"/>
        </w:rPr>
        <w:t>á</w:t>
      </w:r>
      <w:r w:rsidR="002649F0" w:rsidRPr="006D1C74">
        <w:rPr>
          <w:rFonts w:asciiTheme="majorHAnsi" w:hAnsiTheme="majorHAnsi"/>
          <w:color w:val="212121"/>
          <w:sz w:val="20"/>
          <w:szCs w:val="20"/>
          <w:lang w:val="pt-BR"/>
        </w:rPr>
        <w:t>rias</w:t>
      </w:r>
      <w:r w:rsidR="00030019" w:rsidRPr="006D1C74">
        <w:rPr>
          <w:rFonts w:asciiTheme="majorHAnsi" w:hAnsiTheme="majorHAnsi"/>
          <w:color w:val="212121"/>
          <w:sz w:val="20"/>
          <w:szCs w:val="20"/>
          <w:lang w:val="pt-BR"/>
        </w:rPr>
        <w:t xml:space="preserve"> à </w:t>
      </w:r>
      <w:r w:rsidR="005D3ACD" w:rsidRPr="006D1C74">
        <w:rPr>
          <w:rFonts w:asciiTheme="majorHAnsi" w:hAnsiTheme="majorHAnsi"/>
          <w:color w:val="212121"/>
          <w:sz w:val="20"/>
          <w:szCs w:val="20"/>
          <w:lang w:val="pt-BR"/>
        </w:rPr>
        <w:t>obrigação</w:t>
      </w:r>
      <w:r w:rsidR="00030019" w:rsidRPr="006D1C74">
        <w:rPr>
          <w:rFonts w:asciiTheme="majorHAnsi" w:hAnsiTheme="majorHAnsi"/>
          <w:color w:val="212121"/>
          <w:sz w:val="20"/>
          <w:szCs w:val="20"/>
          <w:lang w:val="pt-BR"/>
        </w:rPr>
        <w:t xml:space="preserve"> do </w:t>
      </w:r>
      <w:r w:rsidR="002649F0" w:rsidRPr="006D1C74">
        <w:rPr>
          <w:rFonts w:asciiTheme="majorHAnsi" w:hAnsiTheme="majorHAnsi"/>
          <w:color w:val="212121"/>
          <w:sz w:val="20"/>
          <w:szCs w:val="20"/>
          <w:lang w:val="pt-BR"/>
        </w:rPr>
        <w:t>Estado de facilitar</w:t>
      </w:r>
      <w:r w:rsidR="00CF037E" w:rsidRPr="006D1C74">
        <w:rPr>
          <w:rFonts w:asciiTheme="majorHAnsi" w:hAnsiTheme="majorHAnsi"/>
          <w:color w:val="212121"/>
          <w:sz w:val="20"/>
          <w:szCs w:val="20"/>
          <w:lang w:val="pt-BR"/>
        </w:rPr>
        <w:t xml:space="preserve"> e </w:t>
      </w:r>
      <w:r w:rsidR="005D3ACD" w:rsidRPr="006D1C74">
        <w:rPr>
          <w:rFonts w:asciiTheme="majorHAnsi" w:hAnsiTheme="majorHAnsi"/>
          <w:color w:val="212121"/>
          <w:sz w:val="20"/>
          <w:szCs w:val="20"/>
          <w:lang w:val="pt-BR"/>
        </w:rPr>
        <w:t>criar</w:t>
      </w:r>
      <w:r w:rsidR="002649F0" w:rsidRPr="006D1C74">
        <w:rPr>
          <w:rFonts w:asciiTheme="majorHAnsi" w:hAnsiTheme="majorHAnsi"/>
          <w:color w:val="212121"/>
          <w:sz w:val="20"/>
          <w:szCs w:val="20"/>
          <w:lang w:val="pt-BR"/>
        </w:rPr>
        <w:t xml:space="preserve"> </w:t>
      </w:r>
      <w:r w:rsidRPr="006D1C74">
        <w:rPr>
          <w:rFonts w:asciiTheme="majorHAnsi" w:hAnsiTheme="majorHAnsi"/>
          <w:color w:val="212121"/>
          <w:sz w:val="20"/>
          <w:szCs w:val="20"/>
          <w:lang w:val="pt-BR"/>
        </w:rPr>
        <w:t>ambientes</w:t>
      </w:r>
      <w:r w:rsidR="002649F0" w:rsidRPr="006D1C74">
        <w:rPr>
          <w:rFonts w:asciiTheme="majorHAnsi" w:hAnsiTheme="majorHAnsi"/>
          <w:color w:val="212121"/>
          <w:sz w:val="20"/>
          <w:szCs w:val="20"/>
          <w:lang w:val="pt-BR"/>
        </w:rPr>
        <w:t xml:space="preserve"> </w:t>
      </w:r>
      <w:r w:rsidR="00517ACA" w:rsidRPr="006D1C74">
        <w:rPr>
          <w:rFonts w:asciiTheme="majorHAnsi" w:hAnsiTheme="majorHAnsi"/>
          <w:color w:val="212121"/>
          <w:sz w:val="20"/>
          <w:szCs w:val="20"/>
          <w:lang w:val="pt-BR"/>
        </w:rPr>
        <w:t>propícios</w:t>
      </w:r>
      <w:r w:rsidR="002649F0" w:rsidRPr="006D1C74">
        <w:rPr>
          <w:rFonts w:asciiTheme="majorHAnsi" w:hAnsiTheme="majorHAnsi"/>
          <w:color w:val="212121"/>
          <w:sz w:val="20"/>
          <w:szCs w:val="20"/>
          <w:lang w:val="pt-BR"/>
        </w:rPr>
        <w:t xml:space="preserve"> para que</w:t>
      </w:r>
      <w:r w:rsidR="00700267" w:rsidRPr="006D1C74">
        <w:rPr>
          <w:rFonts w:asciiTheme="majorHAnsi" w:hAnsiTheme="majorHAnsi"/>
          <w:color w:val="212121"/>
          <w:sz w:val="20"/>
          <w:szCs w:val="20"/>
          <w:lang w:val="pt-BR"/>
        </w:rPr>
        <w:t xml:space="preserve"> as </w:t>
      </w:r>
      <w:r w:rsidR="00CA7940" w:rsidRPr="006D1C74">
        <w:rPr>
          <w:rFonts w:asciiTheme="majorHAnsi" w:hAnsiTheme="majorHAnsi"/>
          <w:color w:val="212121"/>
          <w:sz w:val="20"/>
          <w:szCs w:val="20"/>
          <w:lang w:val="pt-BR"/>
        </w:rPr>
        <w:t>pessoa</w:t>
      </w:r>
      <w:r w:rsidR="002649F0" w:rsidRPr="006D1C74">
        <w:rPr>
          <w:rFonts w:asciiTheme="majorHAnsi" w:hAnsiTheme="majorHAnsi"/>
          <w:color w:val="212121"/>
          <w:sz w:val="20"/>
          <w:szCs w:val="20"/>
          <w:lang w:val="pt-BR"/>
        </w:rPr>
        <w:t>s p</w:t>
      </w:r>
      <w:r w:rsidRPr="006D1C74">
        <w:rPr>
          <w:rFonts w:asciiTheme="majorHAnsi" w:hAnsiTheme="majorHAnsi"/>
          <w:color w:val="212121"/>
          <w:sz w:val="20"/>
          <w:szCs w:val="20"/>
          <w:lang w:val="pt-BR"/>
        </w:rPr>
        <w:t>ossam</w:t>
      </w:r>
      <w:r w:rsidR="002649F0" w:rsidRPr="006D1C74">
        <w:rPr>
          <w:rFonts w:asciiTheme="majorHAnsi" w:hAnsiTheme="majorHAnsi"/>
          <w:color w:val="212121"/>
          <w:sz w:val="20"/>
          <w:szCs w:val="20"/>
          <w:lang w:val="pt-BR"/>
        </w:rPr>
        <w:t xml:space="preserve"> d</w:t>
      </w:r>
      <w:r w:rsidR="001032A6">
        <w:rPr>
          <w:rFonts w:asciiTheme="majorHAnsi" w:hAnsiTheme="majorHAnsi"/>
          <w:color w:val="212121"/>
          <w:sz w:val="20"/>
          <w:szCs w:val="20"/>
          <w:lang w:val="pt-BR"/>
        </w:rPr>
        <w:t>e</w:t>
      </w:r>
      <w:r w:rsidR="002649F0" w:rsidRPr="006D1C74">
        <w:rPr>
          <w:rFonts w:asciiTheme="majorHAnsi" w:hAnsiTheme="majorHAnsi"/>
          <w:color w:val="212121"/>
          <w:sz w:val="20"/>
          <w:szCs w:val="20"/>
          <w:lang w:val="pt-BR"/>
        </w:rPr>
        <w:t xml:space="preserve">sfrutar </w:t>
      </w:r>
      <w:r w:rsidR="005D3ACD" w:rsidRPr="006D1C74">
        <w:rPr>
          <w:rFonts w:asciiTheme="majorHAnsi" w:hAnsiTheme="majorHAnsi"/>
          <w:color w:val="212121"/>
          <w:sz w:val="20"/>
          <w:szCs w:val="20"/>
          <w:lang w:val="pt-BR"/>
        </w:rPr>
        <w:t>efetivamente</w:t>
      </w:r>
      <w:r w:rsidR="002649F0" w:rsidRPr="006D1C74">
        <w:rPr>
          <w:rFonts w:asciiTheme="majorHAnsi" w:hAnsiTheme="majorHAnsi"/>
          <w:color w:val="212121"/>
          <w:sz w:val="20"/>
          <w:szCs w:val="20"/>
          <w:lang w:val="pt-BR"/>
        </w:rPr>
        <w:t xml:space="preserve"> de </w:t>
      </w:r>
      <w:r w:rsidR="00517ACA" w:rsidRPr="006D1C74">
        <w:rPr>
          <w:rFonts w:asciiTheme="majorHAnsi" w:hAnsiTheme="majorHAnsi"/>
          <w:color w:val="212121"/>
          <w:sz w:val="20"/>
          <w:szCs w:val="20"/>
          <w:lang w:val="pt-BR"/>
        </w:rPr>
        <w:t>seu</w:t>
      </w:r>
      <w:r w:rsidR="002649F0" w:rsidRPr="006D1C74">
        <w:rPr>
          <w:rFonts w:asciiTheme="majorHAnsi" w:hAnsiTheme="majorHAnsi"/>
          <w:color w:val="212121"/>
          <w:sz w:val="20"/>
          <w:szCs w:val="20"/>
          <w:lang w:val="pt-BR"/>
        </w:rPr>
        <w:t xml:space="preserve"> </w:t>
      </w:r>
      <w:r w:rsidR="00417BE8" w:rsidRPr="006D1C74">
        <w:rPr>
          <w:rFonts w:asciiTheme="majorHAnsi" w:hAnsiTheme="majorHAnsi"/>
          <w:color w:val="212121"/>
          <w:sz w:val="20"/>
          <w:szCs w:val="20"/>
          <w:lang w:val="pt-BR"/>
        </w:rPr>
        <w:t>direito</w:t>
      </w:r>
      <w:r w:rsidR="002649F0" w:rsidRPr="006D1C74">
        <w:rPr>
          <w:rFonts w:asciiTheme="majorHAnsi" w:hAnsiTheme="majorHAnsi"/>
          <w:color w:val="212121"/>
          <w:sz w:val="20"/>
          <w:szCs w:val="20"/>
          <w:lang w:val="pt-BR"/>
        </w:rPr>
        <w:t xml:space="preserve"> de </w:t>
      </w:r>
      <w:r w:rsidR="00E327B7" w:rsidRPr="006D1C74">
        <w:rPr>
          <w:rFonts w:asciiTheme="majorHAnsi" w:hAnsiTheme="majorHAnsi"/>
          <w:color w:val="212121"/>
          <w:sz w:val="20"/>
          <w:szCs w:val="20"/>
          <w:lang w:val="pt-BR"/>
        </w:rPr>
        <w:t>reunião</w:t>
      </w:r>
      <w:r w:rsidR="002649F0" w:rsidRPr="006D1C74">
        <w:rPr>
          <w:rFonts w:asciiTheme="majorHAnsi" w:hAnsiTheme="majorHAnsi"/>
          <w:sz w:val="20"/>
          <w:szCs w:val="20"/>
          <w:vertAlign w:val="superscript"/>
          <w:lang w:val="pt-BR"/>
        </w:rPr>
        <w:footnoteReference w:id="78"/>
      </w:r>
      <w:r w:rsidR="002649F0" w:rsidRPr="006D1C74">
        <w:rPr>
          <w:rFonts w:asciiTheme="majorHAnsi" w:eastAsia="Times New Roman" w:hAnsiTheme="majorHAnsi" w:cs="Courier New"/>
          <w:color w:val="212121"/>
          <w:sz w:val="20"/>
          <w:szCs w:val="20"/>
          <w:lang w:val="pt-BR"/>
        </w:rPr>
        <w:t>.</w:t>
      </w:r>
    </w:p>
    <w:p w14:paraId="500C2337" w14:textId="77777777" w:rsidR="002649F0" w:rsidRPr="006D1C74" w:rsidRDefault="002649F0" w:rsidP="002649F0">
      <w:pPr>
        <w:ind w:left="720"/>
        <w:rPr>
          <w:rFonts w:ascii="Cambria" w:eastAsia="Times New Roman" w:hAnsi="Cambria" w:cs="Cambria"/>
          <w:color w:val="000000"/>
          <w:sz w:val="20"/>
          <w:szCs w:val="20"/>
          <w:u w:color="000000"/>
          <w:lang w:val="pt-BR" w:eastAsia="es-ES"/>
        </w:rPr>
      </w:pPr>
    </w:p>
    <w:p w14:paraId="7CAFC8E6"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pt-BR" w:eastAsia="es-ES"/>
        </w:rPr>
      </w:pPr>
      <w:r w:rsidRPr="006D1C74">
        <w:rPr>
          <w:rFonts w:ascii="Cambria" w:eastAsia="Times New Roman" w:hAnsi="Cambria" w:cs="Cambria"/>
          <w:color w:val="000000"/>
          <w:sz w:val="20"/>
          <w:szCs w:val="20"/>
          <w:u w:color="000000"/>
          <w:lang w:val="pt-BR" w:eastAsia="es-ES"/>
        </w:rPr>
        <w:t>A</w:t>
      </w:r>
      <w:r w:rsidR="0094285F" w:rsidRPr="006D1C74">
        <w:rPr>
          <w:rFonts w:ascii="Cambria" w:eastAsia="Times New Roman" w:hAnsi="Cambria" w:cs="Cambria"/>
          <w:color w:val="000000"/>
          <w:sz w:val="20"/>
          <w:szCs w:val="20"/>
          <w:u w:color="000000"/>
          <w:lang w:val="pt-BR" w:eastAsia="es-ES"/>
        </w:rPr>
        <w:t>lém disso</w:t>
      </w:r>
      <w:r w:rsidRPr="006D1C74">
        <w:rPr>
          <w:rFonts w:ascii="Cambria" w:eastAsia="Times New Roman" w:hAnsi="Cambria" w:cs="Cambria"/>
          <w:color w:val="000000"/>
          <w:sz w:val="20"/>
          <w:szCs w:val="20"/>
          <w:u w:color="000000"/>
          <w:lang w:val="pt-BR" w:eastAsia="es-ES"/>
        </w:rPr>
        <w:t>,</w:t>
      </w:r>
      <w:r w:rsidR="00700267" w:rsidRPr="006D1C74">
        <w:rPr>
          <w:rFonts w:ascii="Cambria" w:eastAsia="Times New Roman" w:hAnsi="Cambria" w:cs="Cambria"/>
          <w:color w:val="000000"/>
          <w:sz w:val="20"/>
          <w:szCs w:val="20"/>
          <w:u w:color="000000"/>
          <w:lang w:val="pt-BR" w:eastAsia="es-ES"/>
        </w:rPr>
        <w:t xml:space="preserve"> a </w:t>
      </w:r>
      <w:r w:rsidRPr="006D1C74">
        <w:rPr>
          <w:rFonts w:ascii="Cambria" w:eastAsia="Times New Roman" w:hAnsi="Cambria" w:cs="Cambria"/>
          <w:color w:val="000000"/>
          <w:sz w:val="20"/>
          <w:szCs w:val="20"/>
          <w:u w:color="000000"/>
          <w:lang w:val="pt-BR" w:eastAsia="es-ES"/>
        </w:rPr>
        <w:t xml:space="preserve">CIDH </w:t>
      </w:r>
      <w:r w:rsidR="0094285F" w:rsidRPr="006D1C74">
        <w:rPr>
          <w:rFonts w:ascii="Cambria" w:eastAsia="Times New Roman" w:hAnsi="Cambria" w:cs="Cambria"/>
          <w:color w:val="000000"/>
          <w:sz w:val="20"/>
          <w:szCs w:val="20"/>
          <w:u w:color="000000"/>
          <w:lang w:val="pt-BR" w:eastAsia="es-ES"/>
        </w:rPr>
        <w:t>assinalou:</w:t>
      </w:r>
      <w:r w:rsidRPr="006D1C74">
        <w:rPr>
          <w:rFonts w:ascii="Cambria" w:eastAsia="Times New Roman" w:hAnsi="Cambria" w:cs="Cambria"/>
          <w:color w:val="000000"/>
          <w:sz w:val="20"/>
          <w:szCs w:val="20"/>
          <w:u w:color="000000"/>
          <w:lang w:val="pt-BR" w:eastAsia="es-ES"/>
        </w:rPr>
        <w:t xml:space="preserve"> “a participa</w:t>
      </w:r>
      <w:r w:rsidR="00CF037E" w:rsidRPr="006D1C74">
        <w:rPr>
          <w:rFonts w:ascii="Cambria" w:eastAsia="Times New Roman" w:hAnsi="Cambria" w:cs="Cambria"/>
          <w:color w:val="000000"/>
          <w:sz w:val="20"/>
          <w:szCs w:val="20"/>
          <w:u w:color="000000"/>
          <w:lang w:val="pt-BR" w:eastAsia="es-ES"/>
        </w:rPr>
        <w:t>ção</w:t>
      </w:r>
      <w:r w:rsidR="00D74A93" w:rsidRPr="006D1C74">
        <w:rPr>
          <w:rFonts w:ascii="Cambria" w:eastAsia="Times New Roman" w:hAnsi="Cambria" w:cs="Cambria"/>
          <w:color w:val="000000"/>
          <w:sz w:val="20"/>
          <w:szCs w:val="20"/>
          <w:u w:color="000000"/>
          <w:lang w:val="pt-BR" w:eastAsia="es-ES"/>
        </w:rPr>
        <w:t xml:space="preserve"> das </w:t>
      </w:r>
      <w:r w:rsidRPr="006D1C74">
        <w:rPr>
          <w:rFonts w:ascii="Cambria" w:eastAsia="Times New Roman" w:hAnsi="Cambria" w:cs="Cambria"/>
          <w:color w:val="000000"/>
          <w:sz w:val="20"/>
          <w:szCs w:val="20"/>
          <w:u w:color="000000"/>
          <w:lang w:val="pt-BR" w:eastAsia="es-ES"/>
        </w:rPr>
        <w:t>sociedades através</w:t>
      </w:r>
      <w:r w:rsidR="00795010" w:rsidRPr="006D1C74">
        <w:rPr>
          <w:rFonts w:ascii="Cambria" w:eastAsia="Times New Roman" w:hAnsi="Cambria" w:cs="Cambria"/>
          <w:color w:val="000000"/>
          <w:sz w:val="20"/>
          <w:szCs w:val="20"/>
          <w:u w:color="000000"/>
          <w:lang w:val="pt-BR" w:eastAsia="es-ES"/>
        </w:rPr>
        <w:t xml:space="preserve"> da </w:t>
      </w:r>
      <w:r w:rsidRPr="006D1C74">
        <w:rPr>
          <w:rFonts w:ascii="Cambria" w:eastAsia="Times New Roman" w:hAnsi="Cambria" w:cs="Cambria"/>
          <w:color w:val="000000"/>
          <w:sz w:val="20"/>
          <w:szCs w:val="20"/>
          <w:u w:color="000000"/>
          <w:lang w:val="pt-BR" w:eastAsia="es-ES"/>
        </w:rPr>
        <w:t>manifesta</w:t>
      </w:r>
      <w:r w:rsidR="00CF037E" w:rsidRPr="006D1C74">
        <w:rPr>
          <w:rFonts w:ascii="Cambria" w:eastAsia="Times New Roman" w:hAnsi="Cambria" w:cs="Cambria"/>
          <w:color w:val="000000"/>
          <w:sz w:val="20"/>
          <w:szCs w:val="20"/>
          <w:u w:color="000000"/>
          <w:lang w:val="pt-BR" w:eastAsia="es-ES"/>
        </w:rPr>
        <w:t>ção</w:t>
      </w:r>
      <w:r w:rsidRPr="006D1C74">
        <w:rPr>
          <w:rFonts w:ascii="Cambria" w:eastAsia="Times New Roman" w:hAnsi="Cambria" w:cs="Cambria"/>
          <w:color w:val="000000"/>
          <w:sz w:val="20"/>
          <w:szCs w:val="20"/>
          <w:u w:color="000000"/>
          <w:lang w:val="pt-BR" w:eastAsia="es-ES"/>
        </w:rPr>
        <w:t xml:space="preserve"> pública</w:t>
      </w:r>
      <w:r w:rsidR="00F37852" w:rsidRPr="006D1C74">
        <w:rPr>
          <w:rFonts w:ascii="Cambria" w:eastAsia="Times New Roman" w:hAnsi="Cambria" w:cs="Cambria"/>
          <w:color w:val="000000"/>
          <w:sz w:val="20"/>
          <w:szCs w:val="20"/>
          <w:u w:color="000000"/>
          <w:lang w:val="pt-BR" w:eastAsia="es-ES"/>
        </w:rPr>
        <w:t xml:space="preserve"> é </w:t>
      </w:r>
      <w:r w:rsidRPr="006D1C74">
        <w:rPr>
          <w:rFonts w:ascii="Cambria" w:eastAsia="Times New Roman" w:hAnsi="Cambria" w:cs="Cambria"/>
          <w:color w:val="000000"/>
          <w:sz w:val="20"/>
          <w:szCs w:val="20"/>
          <w:u w:color="000000"/>
          <w:lang w:val="pt-BR" w:eastAsia="es-ES"/>
        </w:rPr>
        <w:t>importante para</w:t>
      </w:r>
      <w:r w:rsidR="00700267" w:rsidRPr="006D1C74">
        <w:rPr>
          <w:rFonts w:ascii="Cambria" w:eastAsia="Times New Roman" w:hAnsi="Cambria" w:cs="Cambria"/>
          <w:color w:val="000000"/>
          <w:sz w:val="20"/>
          <w:szCs w:val="20"/>
          <w:u w:color="000000"/>
          <w:lang w:val="pt-BR" w:eastAsia="es-ES"/>
        </w:rPr>
        <w:t xml:space="preserve"> a </w:t>
      </w:r>
      <w:r w:rsidRPr="006D1C74">
        <w:rPr>
          <w:rFonts w:ascii="Cambria" w:eastAsia="Times New Roman" w:hAnsi="Cambria" w:cs="Cambria"/>
          <w:color w:val="000000"/>
          <w:sz w:val="20"/>
          <w:szCs w:val="20"/>
          <w:u w:color="000000"/>
          <w:lang w:val="pt-BR" w:eastAsia="es-ES"/>
        </w:rPr>
        <w:t>consolida</w:t>
      </w:r>
      <w:r w:rsidR="00CF037E" w:rsidRPr="006D1C74">
        <w:rPr>
          <w:rFonts w:ascii="Cambria" w:eastAsia="Times New Roman" w:hAnsi="Cambria" w:cs="Cambria"/>
          <w:color w:val="000000"/>
          <w:sz w:val="20"/>
          <w:szCs w:val="20"/>
          <w:u w:color="000000"/>
          <w:lang w:val="pt-BR" w:eastAsia="es-ES"/>
        </w:rPr>
        <w:t>ção</w:t>
      </w:r>
      <w:r w:rsidR="00795010" w:rsidRPr="006D1C74">
        <w:rPr>
          <w:rFonts w:ascii="Cambria" w:eastAsia="Times New Roman" w:hAnsi="Cambria" w:cs="Cambria"/>
          <w:color w:val="000000"/>
          <w:sz w:val="20"/>
          <w:szCs w:val="20"/>
          <w:u w:color="000000"/>
          <w:lang w:val="pt-BR" w:eastAsia="es-ES"/>
        </w:rPr>
        <w:t xml:space="preserve"> da </w:t>
      </w:r>
      <w:r w:rsidRPr="006D1C74">
        <w:rPr>
          <w:rFonts w:ascii="Cambria" w:eastAsia="Times New Roman" w:hAnsi="Cambria" w:cs="Cambria"/>
          <w:color w:val="000000"/>
          <w:sz w:val="20"/>
          <w:szCs w:val="20"/>
          <w:u w:color="000000"/>
          <w:lang w:val="pt-BR" w:eastAsia="es-ES"/>
        </w:rPr>
        <w:t>vida democrática</w:t>
      </w:r>
      <w:r w:rsidR="00D74A93" w:rsidRPr="006D1C74">
        <w:rPr>
          <w:rFonts w:ascii="Cambria" w:eastAsia="Times New Roman" w:hAnsi="Cambria" w:cs="Cambria"/>
          <w:color w:val="000000"/>
          <w:sz w:val="20"/>
          <w:szCs w:val="20"/>
          <w:u w:color="000000"/>
          <w:lang w:val="pt-BR" w:eastAsia="es-ES"/>
        </w:rPr>
        <w:t xml:space="preserve"> das </w:t>
      </w:r>
      <w:r w:rsidRPr="006D1C74">
        <w:rPr>
          <w:rFonts w:ascii="Cambria" w:eastAsia="Times New Roman" w:hAnsi="Cambria" w:cs="Cambria"/>
          <w:color w:val="000000"/>
          <w:sz w:val="20"/>
          <w:szCs w:val="20"/>
          <w:u w:color="000000"/>
          <w:lang w:val="pt-BR" w:eastAsia="es-ES"/>
        </w:rPr>
        <w:t>sociedades.</w:t>
      </w:r>
      <w:r w:rsidR="00F673C7" w:rsidRPr="006D1C74">
        <w:rPr>
          <w:rFonts w:ascii="Cambria" w:eastAsia="Times New Roman" w:hAnsi="Cambria" w:cs="Cambria"/>
          <w:color w:val="000000"/>
          <w:sz w:val="20"/>
          <w:szCs w:val="20"/>
          <w:u w:color="000000"/>
          <w:lang w:val="pt-BR" w:eastAsia="es-ES"/>
        </w:rPr>
        <w:t xml:space="preserve"> </w:t>
      </w:r>
      <w:r w:rsidR="0094285F" w:rsidRPr="006D1C74">
        <w:rPr>
          <w:rFonts w:ascii="Cambria" w:eastAsia="Times New Roman" w:hAnsi="Cambria" w:cs="Cambria"/>
          <w:color w:val="000000"/>
          <w:sz w:val="20"/>
          <w:szCs w:val="20"/>
          <w:u w:color="000000"/>
          <w:lang w:val="pt-BR" w:eastAsia="es-ES"/>
        </w:rPr>
        <w:t>E</w:t>
      </w:r>
      <w:r w:rsidR="00F673C7" w:rsidRPr="006D1C74">
        <w:rPr>
          <w:rFonts w:ascii="Cambria" w:eastAsia="Times New Roman" w:hAnsi="Cambria" w:cs="Cambria"/>
          <w:color w:val="000000"/>
          <w:sz w:val="20"/>
          <w:szCs w:val="20"/>
          <w:u w:color="000000"/>
          <w:lang w:val="pt-BR" w:eastAsia="es-ES"/>
        </w:rPr>
        <w:t xml:space="preserve">m </w:t>
      </w:r>
      <w:r w:rsidRPr="006D1C74">
        <w:rPr>
          <w:rFonts w:ascii="Cambria" w:eastAsia="Times New Roman" w:hAnsi="Cambria" w:cs="Cambria"/>
          <w:color w:val="000000"/>
          <w:sz w:val="20"/>
          <w:szCs w:val="20"/>
          <w:u w:color="000000"/>
          <w:lang w:val="pt-BR" w:eastAsia="es-ES"/>
        </w:rPr>
        <w:t xml:space="preserve">geral, </w:t>
      </w:r>
      <w:r w:rsidR="005D3ACD" w:rsidRPr="006D1C74">
        <w:rPr>
          <w:rFonts w:ascii="Cambria" w:eastAsia="Times New Roman" w:hAnsi="Cambria" w:cs="Cambria"/>
          <w:color w:val="000000"/>
          <w:sz w:val="20"/>
          <w:szCs w:val="20"/>
          <w:u w:color="000000"/>
          <w:lang w:val="pt-BR" w:eastAsia="es-ES"/>
        </w:rPr>
        <w:t>esta</w:t>
      </w:r>
      <w:r w:rsidRPr="006D1C74">
        <w:rPr>
          <w:rFonts w:ascii="Cambria" w:eastAsia="Times New Roman" w:hAnsi="Cambria" w:cs="Cambria"/>
          <w:color w:val="000000"/>
          <w:sz w:val="20"/>
          <w:szCs w:val="20"/>
          <w:u w:color="000000"/>
          <w:lang w:val="pt-BR" w:eastAsia="es-ES"/>
        </w:rPr>
        <w:t xml:space="preserve">, como </w:t>
      </w:r>
      <w:r w:rsidR="00517ACA">
        <w:rPr>
          <w:rFonts w:ascii="Cambria" w:eastAsia="Times New Roman" w:hAnsi="Cambria" w:cs="Cambria"/>
          <w:color w:val="000000"/>
          <w:sz w:val="20"/>
          <w:szCs w:val="20"/>
          <w:u w:color="000000"/>
          <w:lang w:val="pt-BR" w:eastAsia="es-ES"/>
        </w:rPr>
        <w:t>exerc</w:t>
      </w:r>
      <w:r w:rsidR="00517ACA" w:rsidRPr="006D1C74">
        <w:rPr>
          <w:rFonts w:ascii="Cambria" w:eastAsia="Times New Roman" w:hAnsi="Cambria" w:cs="Cambria"/>
          <w:color w:val="000000"/>
          <w:sz w:val="20"/>
          <w:szCs w:val="20"/>
          <w:u w:color="000000"/>
          <w:lang w:val="pt-BR" w:eastAsia="es-ES"/>
        </w:rPr>
        <w:t>ício</w:t>
      </w:r>
      <w:r w:rsidR="00795010" w:rsidRPr="006D1C74">
        <w:rPr>
          <w:rFonts w:ascii="Cambria" w:eastAsia="Times New Roman" w:hAnsi="Cambria" w:cs="Cambria"/>
          <w:color w:val="000000"/>
          <w:sz w:val="20"/>
          <w:szCs w:val="20"/>
          <w:u w:color="000000"/>
          <w:lang w:val="pt-BR" w:eastAsia="es-ES"/>
        </w:rPr>
        <w:t xml:space="preserve"> da </w:t>
      </w:r>
      <w:r w:rsidR="00623C35" w:rsidRPr="006D1C74">
        <w:rPr>
          <w:rFonts w:ascii="Cambria" w:eastAsia="Times New Roman" w:hAnsi="Cambria" w:cs="Cambria"/>
          <w:color w:val="000000"/>
          <w:sz w:val="20"/>
          <w:szCs w:val="20"/>
          <w:u w:color="000000"/>
          <w:lang w:val="pt-BR" w:eastAsia="es-ES"/>
        </w:rPr>
        <w:t>liberdade</w:t>
      </w:r>
      <w:r w:rsidRPr="006D1C74">
        <w:rPr>
          <w:rFonts w:ascii="Cambria" w:eastAsia="Times New Roman" w:hAnsi="Cambria" w:cs="Cambria"/>
          <w:color w:val="000000"/>
          <w:sz w:val="20"/>
          <w:szCs w:val="20"/>
          <w:u w:color="000000"/>
          <w:lang w:val="pt-BR" w:eastAsia="es-ES"/>
        </w:rPr>
        <w:t xml:space="preserve"> de </w:t>
      </w:r>
      <w:r w:rsidR="005D3ACD" w:rsidRPr="006D1C74">
        <w:rPr>
          <w:rFonts w:ascii="Cambria" w:eastAsia="Times New Roman" w:hAnsi="Cambria" w:cs="Cambria"/>
          <w:color w:val="000000"/>
          <w:sz w:val="20"/>
          <w:szCs w:val="20"/>
          <w:u w:color="000000"/>
          <w:lang w:val="pt-BR" w:eastAsia="es-ES"/>
        </w:rPr>
        <w:t>expressão</w:t>
      </w:r>
      <w:r w:rsidR="00CF037E" w:rsidRPr="006D1C74">
        <w:rPr>
          <w:rFonts w:ascii="Cambria" w:eastAsia="Times New Roman" w:hAnsi="Cambria" w:cs="Cambria"/>
          <w:color w:val="000000"/>
          <w:sz w:val="20"/>
          <w:szCs w:val="20"/>
          <w:u w:color="000000"/>
          <w:lang w:val="pt-BR" w:eastAsia="es-ES"/>
        </w:rPr>
        <w:t xml:space="preserve"> e</w:t>
      </w:r>
      <w:r w:rsidR="00795010" w:rsidRPr="006D1C74">
        <w:rPr>
          <w:rFonts w:ascii="Cambria" w:eastAsia="Times New Roman" w:hAnsi="Cambria" w:cs="Cambria"/>
          <w:color w:val="000000"/>
          <w:sz w:val="20"/>
          <w:szCs w:val="20"/>
          <w:u w:color="000000"/>
          <w:lang w:val="pt-BR" w:eastAsia="es-ES"/>
        </w:rPr>
        <w:t xml:space="preserve"> da </w:t>
      </w:r>
      <w:r w:rsidR="00623C35" w:rsidRPr="006D1C74">
        <w:rPr>
          <w:rFonts w:ascii="Cambria" w:eastAsia="Times New Roman" w:hAnsi="Cambria" w:cs="Cambria"/>
          <w:color w:val="000000"/>
          <w:sz w:val="20"/>
          <w:szCs w:val="20"/>
          <w:u w:color="000000"/>
          <w:lang w:val="pt-BR" w:eastAsia="es-ES"/>
        </w:rPr>
        <w:t>liberdade</w:t>
      </w:r>
      <w:r w:rsidRPr="006D1C74">
        <w:rPr>
          <w:rFonts w:ascii="Cambria" w:eastAsia="Times New Roman" w:hAnsi="Cambria" w:cs="Cambria"/>
          <w:color w:val="000000"/>
          <w:sz w:val="20"/>
          <w:szCs w:val="20"/>
          <w:u w:color="000000"/>
          <w:lang w:val="pt-BR" w:eastAsia="es-ES"/>
        </w:rPr>
        <w:t xml:space="preserve"> de </w:t>
      </w:r>
      <w:r w:rsidR="00E327B7" w:rsidRPr="006D1C74">
        <w:rPr>
          <w:rFonts w:ascii="Cambria" w:eastAsia="Times New Roman" w:hAnsi="Cambria" w:cs="Cambria"/>
          <w:color w:val="000000"/>
          <w:sz w:val="20"/>
          <w:szCs w:val="20"/>
          <w:u w:color="000000"/>
          <w:lang w:val="pt-BR" w:eastAsia="es-ES"/>
        </w:rPr>
        <w:t>reunião</w:t>
      </w:r>
      <w:r w:rsidRPr="006D1C74">
        <w:rPr>
          <w:rFonts w:ascii="Cambria" w:eastAsia="Times New Roman" w:hAnsi="Cambria" w:cs="Cambria"/>
          <w:color w:val="000000"/>
          <w:sz w:val="20"/>
          <w:szCs w:val="20"/>
          <w:u w:color="000000"/>
          <w:lang w:val="pt-BR" w:eastAsia="es-ES"/>
        </w:rPr>
        <w:t>, rev</w:t>
      </w:r>
      <w:r w:rsidR="001032A6">
        <w:rPr>
          <w:rFonts w:ascii="Cambria" w:eastAsia="Times New Roman" w:hAnsi="Cambria" w:cs="Cambria"/>
          <w:color w:val="000000"/>
          <w:sz w:val="20"/>
          <w:szCs w:val="20"/>
          <w:u w:color="000000"/>
          <w:lang w:val="pt-BR" w:eastAsia="es-ES"/>
        </w:rPr>
        <w:t>e</w:t>
      </w:r>
      <w:r w:rsidRPr="006D1C74">
        <w:rPr>
          <w:rFonts w:ascii="Cambria" w:eastAsia="Times New Roman" w:hAnsi="Cambria" w:cs="Cambria"/>
          <w:color w:val="000000"/>
          <w:sz w:val="20"/>
          <w:szCs w:val="20"/>
          <w:u w:color="000000"/>
          <w:lang w:val="pt-BR" w:eastAsia="es-ES"/>
        </w:rPr>
        <w:t>ste</w:t>
      </w:r>
      <w:r w:rsidR="00030019" w:rsidRPr="006D1C74">
        <w:rPr>
          <w:rFonts w:ascii="Cambria" w:eastAsia="Times New Roman" w:hAnsi="Cambria" w:cs="Cambria"/>
          <w:color w:val="000000"/>
          <w:sz w:val="20"/>
          <w:szCs w:val="20"/>
          <w:u w:color="000000"/>
          <w:lang w:val="pt-BR" w:eastAsia="es-ES"/>
        </w:rPr>
        <w:t xml:space="preserve"> um </w:t>
      </w:r>
      <w:r w:rsidR="005D3ACD" w:rsidRPr="006D1C74">
        <w:rPr>
          <w:rFonts w:ascii="Cambria" w:eastAsia="Times New Roman" w:hAnsi="Cambria" w:cs="Cambria"/>
          <w:color w:val="000000"/>
          <w:sz w:val="20"/>
          <w:szCs w:val="20"/>
          <w:u w:color="000000"/>
          <w:lang w:val="pt-BR" w:eastAsia="es-ES"/>
        </w:rPr>
        <w:t>interesse</w:t>
      </w:r>
      <w:r w:rsidRPr="006D1C74">
        <w:rPr>
          <w:rFonts w:ascii="Cambria" w:eastAsia="Times New Roman" w:hAnsi="Cambria" w:cs="Cambria"/>
          <w:color w:val="000000"/>
          <w:sz w:val="20"/>
          <w:szCs w:val="20"/>
          <w:u w:color="000000"/>
          <w:lang w:val="pt-BR" w:eastAsia="es-ES"/>
        </w:rPr>
        <w:t xml:space="preserve"> social imperativo,</w:t>
      </w:r>
      <w:r w:rsidR="00B146A8" w:rsidRPr="006D1C74">
        <w:rPr>
          <w:rFonts w:ascii="Cambria" w:eastAsia="Times New Roman" w:hAnsi="Cambria" w:cs="Cambria"/>
          <w:color w:val="000000"/>
          <w:sz w:val="20"/>
          <w:szCs w:val="20"/>
          <w:u w:color="000000"/>
          <w:lang w:val="pt-BR" w:eastAsia="es-ES"/>
        </w:rPr>
        <w:t xml:space="preserve"> o </w:t>
      </w:r>
      <w:r w:rsidRPr="006D1C74">
        <w:rPr>
          <w:rFonts w:ascii="Cambria" w:eastAsia="Times New Roman" w:hAnsi="Cambria" w:cs="Cambria"/>
          <w:color w:val="000000"/>
          <w:sz w:val="20"/>
          <w:szCs w:val="20"/>
          <w:u w:color="000000"/>
          <w:lang w:val="pt-BR" w:eastAsia="es-ES"/>
        </w:rPr>
        <w:t>que de</w:t>
      </w:r>
      <w:r w:rsidR="0094285F" w:rsidRPr="006D1C74">
        <w:rPr>
          <w:rFonts w:ascii="Cambria" w:eastAsia="Times New Roman" w:hAnsi="Cambria" w:cs="Cambria"/>
          <w:color w:val="000000"/>
          <w:sz w:val="20"/>
          <w:szCs w:val="20"/>
          <w:u w:color="000000"/>
          <w:lang w:val="pt-BR" w:eastAsia="es-ES"/>
        </w:rPr>
        <w:t>ix</w:t>
      </w:r>
      <w:r w:rsidRPr="006D1C74">
        <w:rPr>
          <w:rFonts w:ascii="Cambria" w:eastAsia="Times New Roman" w:hAnsi="Cambria" w:cs="Cambria"/>
          <w:color w:val="000000"/>
          <w:sz w:val="20"/>
          <w:szCs w:val="20"/>
          <w:u w:color="000000"/>
          <w:lang w:val="pt-BR" w:eastAsia="es-ES"/>
        </w:rPr>
        <w:t>a</w:t>
      </w:r>
      <w:r w:rsidR="00217759" w:rsidRPr="006D1C74">
        <w:rPr>
          <w:rFonts w:ascii="Cambria" w:eastAsia="Times New Roman" w:hAnsi="Cambria" w:cs="Cambria"/>
          <w:color w:val="000000"/>
          <w:sz w:val="20"/>
          <w:szCs w:val="20"/>
          <w:u w:color="000000"/>
          <w:lang w:val="pt-BR" w:eastAsia="es-ES"/>
        </w:rPr>
        <w:t xml:space="preserve"> ao </w:t>
      </w:r>
      <w:r w:rsidRPr="006D1C74">
        <w:rPr>
          <w:rFonts w:ascii="Cambria" w:eastAsia="Times New Roman" w:hAnsi="Cambria" w:cs="Cambria"/>
          <w:color w:val="000000"/>
          <w:sz w:val="20"/>
          <w:szCs w:val="20"/>
          <w:u w:color="000000"/>
          <w:lang w:val="pt-BR" w:eastAsia="es-ES"/>
        </w:rPr>
        <w:t>Estado</w:t>
      </w:r>
      <w:r w:rsidR="00030019" w:rsidRPr="006D1C74">
        <w:rPr>
          <w:rFonts w:ascii="Cambria" w:eastAsia="Times New Roman" w:hAnsi="Cambria" w:cs="Cambria"/>
          <w:color w:val="000000"/>
          <w:sz w:val="20"/>
          <w:szCs w:val="20"/>
          <w:u w:color="000000"/>
          <w:lang w:val="pt-BR" w:eastAsia="es-ES"/>
        </w:rPr>
        <w:t xml:space="preserve"> um </w:t>
      </w:r>
      <w:r w:rsidRPr="006D1C74">
        <w:rPr>
          <w:rFonts w:ascii="Cambria" w:eastAsia="Times New Roman" w:hAnsi="Cambria" w:cs="Cambria"/>
          <w:color w:val="000000"/>
          <w:sz w:val="20"/>
          <w:szCs w:val="20"/>
          <w:u w:color="000000"/>
          <w:lang w:val="pt-BR" w:eastAsia="es-ES"/>
        </w:rPr>
        <w:t xml:space="preserve">marco </w:t>
      </w:r>
      <w:r w:rsidR="0094285F" w:rsidRPr="006D1C74">
        <w:rPr>
          <w:rFonts w:ascii="Cambria" w:eastAsia="Times New Roman" w:hAnsi="Cambria" w:cs="Cambria"/>
          <w:color w:val="000000"/>
          <w:sz w:val="20"/>
          <w:szCs w:val="20"/>
          <w:u w:color="000000"/>
          <w:lang w:val="pt-BR" w:eastAsia="es-ES"/>
        </w:rPr>
        <w:t xml:space="preserve">ainda </w:t>
      </w:r>
      <w:r w:rsidR="00D74A93" w:rsidRPr="006D1C74">
        <w:rPr>
          <w:rFonts w:ascii="Cambria" w:eastAsia="Times New Roman" w:hAnsi="Cambria" w:cs="Cambria"/>
          <w:color w:val="000000"/>
          <w:sz w:val="20"/>
          <w:szCs w:val="20"/>
          <w:u w:color="000000"/>
          <w:lang w:val="pt-BR" w:eastAsia="es-ES"/>
        </w:rPr>
        <w:t>mais</w:t>
      </w:r>
      <w:r w:rsidRPr="006D1C74">
        <w:rPr>
          <w:rFonts w:ascii="Cambria" w:eastAsia="Times New Roman" w:hAnsi="Cambria" w:cs="Cambria"/>
          <w:color w:val="000000"/>
          <w:sz w:val="20"/>
          <w:szCs w:val="20"/>
          <w:u w:color="000000"/>
          <w:lang w:val="pt-BR" w:eastAsia="es-ES"/>
        </w:rPr>
        <w:t xml:space="preserve"> </w:t>
      </w:r>
      <w:r w:rsidR="0094285F" w:rsidRPr="006D1C74">
        <w:rPr>
          <w:rFonts w:ascii="Cambria" w:eastAsia="Times New Roman" w:hAnsi="Cambria" w:cs="Cambria"/>
          <w:color w:val="000000"/>
          <w:sz w:val="20"/>
          <w:szCs w:val="20"/>
          <w:u w:color="000000"/>
          <w:lang w:val="pt-BR" w:eastAsia="es-ES"/>
        </w:rPr>
        <w:t>estreito</w:t>
      </w:r>
      <w:r w:rsidRPr="006D1C74">
        <w:rPr>
          <w:rFonts w:ascii="Cambria" w:eastAsia="Times New Roman" w:hAnsi="Cambria" w:cs="Cambria"/>
          <w:color w:val="000000"/>
          <w:sz w:val="20"/>
          <w:szCs w:val="20"/>
          <w:u w:color="000000"/>
          <w:lang w:val="pt-BR" w:eastAsia="es-ES"/>
        </w:rPr>
        <w:t xml:space="preserve"> para justificar</w:t>
      </w:r>
      <w:r w:rsidR="00030019" w:rsidRPr="006D1C74">
        <w:rPr>
          <w:rFonts w:ascii="Cambria" w:eastAsia="Times New Roman" w:hAnsi="Cambria" w:cs="Cambria"/>
          <w:color w:val="000000"/>
          <w:sz w:val="20"/>
          <w:szCs w:val="20"/>
          <w:u w:color="000000"/>
          <w:lang w:val="pt-BR" w:eastAsia="es-ES"/>
        </w:rPr>
        <w:t xml:space="preserve"> uma </w:t>
      </w:r>
      <w:r w:rsidRPr="006D1C74">
        <w:rPr>
          <w:rFonts w:ascii="Cambria" w:eastAsia="Times New Roman" w:hAnsi="Cambria" w:cs="Cambria"/>
          <w:color w:val="000000"/>
          <w:sz w:val="20"/>
          <w:szCs w:val="20"/>
          <w:u w:color="000000"/>
          <w:lang w:val="pt-BR" w:eastAsia="es-ES"/>
        </w:rPr>
        <w:t>limita</w:t>
      </w:r>
      <w:r w:rsidR="00CF037E" w:rsidRPr="006D1C74">
        <w:rPr>
          <w:rFonts w:ascii="Cambria" w:eastAsia="Times New Roman" w:hAnsi="Cambria" w:cs="Cambria"/>
          <w:color w:val="000000"/>
          <w:sz w:val="20"/>
          <w:szCs w:val="20"/>
          <w:u w:color="000000"/>
          <w:lang w:val="pt-BR" w:eastAsia="es-ES"/>
        </w:rPr>
        <w:t>ção</w:t>
      </w:r>
      <w:r w:rsidRPr="006D1C74">
        <w:rPr>
          <w:rFonts w:ascii="Cambria" w:eastAsia="Times New Roman" w:hAnsi="Cambria" w:cs="Cambria"/>
          <w:color w:val="000000"/>
          <w:sz w:val="20"/>
          <w:szCs w:val="20"/>
          <w:u w:color="000000"/>
          <w:lang w:val="pt-BR" w:eastAsia="es-ES"/>
        </w:rPr>
        <w:t xml:space="preserve"> deste </w:t>
      </w:r>
      <w:r w:rsidR="00417BE8" w:rsidRPr="006D1C74">
        <w:rPr>
          <w:rFonts w:ascii="Cambria" w:eastAsia="Times New Roman" w:hAnsi="Cambria" w:cs="Cambria"/>
          <w:color w:val="000000"/>
          <w:sz w:val="20"/>
          <w:szCs w:val="20"/>
          <w:u w:color="000000"/>
          <w:lang w:val="pt-BR" w:eastAsia="es-ES"/>
        </w:rPr>
        <w:t>direito</w:t>
      </w:r>
      <w:r w:rsidRPr="006D1C74">
        <w:rPr>
          <w:rFonts w:ascii="Cambria" w:eastAsia="Times New Roman" w:hAnsi="Cambria" w:cs="Cambria"/>
          <w:color w:val="000000"/>
          <w:sz w:val="20"/>
          <w:szCs w:val="20"/>
          <w:u w:color="000000"/>
          <w:lang w:val="pt-BR" w:eastAsia="es-ES"/>
        </w:rPr>
        <w:t>”</w:t>
      </w:r>
      <w:r w:rsidRPr="006D1C74">
        <w:rPr>
          <w:rFonts w:ascii="Cambria" w:eastAsia="Times New Roman" w:hAnsi="Cambria"/>
          <w:color w:val="000000"/>
          <w:sz w:val="20"/>
          <w:szCs w:val="20"/>
          <w:u w:color="000000"/>
          <w:vertAlign w:val="superscript"/>
          <w:lang w:val="pt-BR" w:eastAsia="es-ES"/>
        </w:rPr>
        <w:footnoteReference w:id="79"/>
      </w:r>
      <w:r w:rsidRPr="006D1C74">
        <w:rPr>
          <w:rFonts w:ascii="Cambria" w:eastAsia="Times New Roman" w:hAnsi="Cambria" w:cs="Cambria"/>
          <w:color w:val="000000"/>
          <w:sz w:val="20"/>
          <w:szCs w:val="20"/>
          <w:u w:color="000000"/>
          <w:lang w:val="pt-BR" w:eastAsia="es-ES"/>
        </w:rPr>
        <w:t>. </w:t>
      </w:r>
    </w:p>
    <w:p w14:paraId="7EBB0A2D" w14:textId="77777777" w:rsidR="002649F0" w:rsidRPr="006D1C74" w:rsidRDefault="002649F0" w:rsidP="002649F0">
      <w:pPr>
        <w:ind w:left="720"/>
        <w:rPr>
          <w:rFonts w:asciiTheme="majorHAnsi" w:eastAsia="Cambria" w:hAnsiTheme="majorHAnsi" w:cs="Cambria"/>
          <w:color w:val="000000"/>
          <w:sz w:val="20"/>
          <w:szCs w:val="20"/>
          <w:u w:color="000000"/>
          <w:lang w:val="pt-BR" w:eastAsia="es-ES"/>
        </w:rPr>
      </w:pPr>
    </w:p>
    <w:p w14:paraId="68824C78"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 xml:space="preserve"> </w:t>
      </w:r>
      <w:r w:rsidR="00B42161" w:rsidRPr="006D1C74">
        <w:rPr>
          <w:rFonts w:asciiTheme="majorHAnsi" w:hAnsiTheme="majorHAnsi"/>
          <w:sz w:val="20"/>
          <w:szCs w:val="20"/>
          <w:lang w:val="pt-BR"/>
        </w:rPr>
        <w:t>O</w:t>
      </w:r>
      <w:r w:rsidRPr="006D1C74">
        <w:rPr>
          <w:rFonts w:asciiTheme="majorHAnsi" w:hAnsiTheme="majorHAnsi"/>
          <w:sz w:val="20"/>
          <w:szCs w:val="20"/>
          <w:lang w:val="pt-BR"/>
        </w:rPr>
        <w:t xml:space="preserve"> </w:t>
      </w:r>
      <w:r w:rsidR="00417BE8" w:rsidRPr="006D1C74">
        <w:rPr>
          <w:rFonts w:asciiTheme="majorHAnsi" w:hAnsiTheme="majorHAnsi"/>
          <w:sz w:val="20"/>
          <w:szCs w:val="20"/>
          <w:lang w:val="pt-BR"/>
        </w:rPr>
        <w:t>direito</w:t>
      </w:r>
      <w:r w:rsidRPr="006D1C74">
        <w:rPr>
          <w:rFonts w:asciiTheme="majorHAnsi" w:hAnsiTheme="majorHAnsi"/>
          <w:sz w:val="20"/>
          <w:szCs w:val="20"/>
          <w:lang w:val="pt-BR"/>
        </w:rPr>
        <w:t xml:space="preserve"> de </w:t>
      </w:r>
      <w:r w:rsidR="00E327B7" w:rsidRPr="006D1C74">
        <w:rPr>
          <w:rFonts w:asciiTheme="majorHAnsi" w:hAnsiTheme="majorHAnsi"/>
          <w:sz w:val="20"/>
          <w:szCs w:val="20"/>
          <w:lang w:val="pt-BR"/>
        </w:rPr>
        <w:t>reunião</w:t>
      </w:r>
      <w:r w:rsidR="00CF037E" w:rsidRPr="006D1C74">
        <w:rPr>
          <w:rFonts w:asciiTheme="majorHAnsi" w:hAnsiTheme="majorHAnsi"/>
          <w:sz w:val="20"/>
          <w:szCs w:val="20"/>
          <w:lang w:val="pt-BR"/>
        </w:rPr>
        <w:t xml:space="preserve"> e</w:t>
      </w:r>
      <w:r w:rsidR="00700267" w:rsidRPr="006D1C74">
        <w:rPr>
          <w:rFonts w:asciiTheme="majorHAnsi" w:hAnsiTheme="majorHAnsi"/>
          <w:sz w:val="20"/>
          <w:szCs w:val="20"/>
          <w:lang w:val="pt-BR"/>
        </w:rPr>
        <w:t xml:space="preserve"> a </w:t>
      </w:r>
      <w:r w:rsidR="00623C35" w:rsidRPr="006D1C74">
        <w:rPr>
          <w:rFonts w:asciiTheme="majorHAnsi" w:hAnsiTheme="majorHAnsi"/>
          <w:sz w:val="20"/>
          <w:szCs w:val="20"/>
          <w:lang w:val="pt-BR"/>
        </w:rPr>
        <w:t>liberdade</w:t>
      </w:r>
      <w:r w:rsidRPr="006D1C74">
        <w:rPr>
          <w:rFonts w:asciiTheme="majorHAnsi" w:hAnsiTheme="majorHAnsi"/>
          <w:sz w:val="20"/>
          <w:szCs w:val="20"/>
          <w:lang w:val="pt-BR"/>
        </w:rPr>
        <w:t xml:space="preserve"> de </w:t>
      </w:r>
      <w:r w:rsidR="005D3ACD" w:rsidRPr="006D1C74">
        <w:rPr>
          <w:rFonts w:asciiTheme="majorHAnsi" w:hAnsiTheme="majorHAnsi"/>
          <w:sz w:val="20"/>
          <w:szCs w:val="20"/>
          <w:lang w:val="pt-BR"/>
        </w:rPr>
        <w:t>expressão</w:t>
      </w:r>
      <w:r w:rsidRPr="006D1C74">
        <w:rPr>
          <w:rFonts w:asciiTheme="majorHAnsi" w:hAnsiTheme="majorHAnsi"/>
          <w:sz w:val="20"/>
          <w:szCs w:val="20"/>
          <w:lang w:val="pt-BR"/>
        </w:rPr>
        <w:t xml:space="preserve"> </w:t>
      </w:r>
      <w:r w:rsidR="00501D1D" w:rsidRPr="006D1C74">
        <w:rPr>
          <w:rFonts w:asciiTheme="majorHAnsi" w:hAnsiTheme="majorHAnsi"/>
          <w:sz w:val="20"/>
          <w:szCs w:val="20"/>
          <w:lang w:val="pt-BR"/>
        </w:rPr>
        <w:t>também</w:t>
      </w:r>
      <w:r w:rsidR="00F37852" w:rsidRPr="006D1C74">
        <w:rPr>
          <w:rFonts w:asciiTheme="majorHAnsi" w:hAnsiTheme="majorHAnsi"/>
          <w:sz w:val="20"/>
          <w:szCs w:val="20"/>
          <w:lang w:val="pt-BR"/>
        </w:rPr>
        <w:t xml:space="preserve"> são </w:t>
      </w:r>
      <w:r w:rsidR="00517ACA" w:rsidRPr="006D1C74">
        <w:rPr>
          <w:rFonts w:asciiTheme="majorHAnsi" w:hAnsiTheme="majorHAnsi"/>
          <w:sz w:val="20"/>
          <w:szCs w:val="20"/>
          <w:lang w:val="pt-BR"/>
        </w:rPr>
        <w:t>essenciais</w:t>
      </w:r>
      <w:r w:rsidRPr="006D1C74">
        <w:rPr>
          <w:rFonts w:asciiTheme="majorHAnsi" w:hAnsiTheme="majorHAnsi"/>
          <w:sz w:val="20"/>
          <w:szCs w:val="20"/>
          <w:lang w:val="pt-BR"/>
        </w:rPr>
        <w:t xml:space="preserve"> para</w:t>
      </w:r>
      <w:r w:rsidR="00700267" w:rsidRPr="006D1C74">
        <w:rPr>
          <w:rFonts w:asciiTheme="majorHAnsi" w:hAnsiTheme="majorHAnsi"/>
          <w:sz w:val="20"/>
          <w:szCs w:val="20"/>
          <w:lang w:val="pt-BR"/>
        </w:rPr>
        <w:t xml:space="preserve"> a </w:t>
      </w:r>
      <w:r w:rsidR="005D3ACD" w:rsidRPr="006D1C74">
        <w:rPr>
          <w:rFonts w:asciiTheme="majorHAnsi" w:hAnsiTheme="majorHAnsi"/>
          <w:sz w:val="20"/>
          <w:szCs w:val="20"/>
          <w:lang w:val="pt-BR"/>
        </w:rPr>
        <w:t>expressão</w:t>
      </w:r>
      <w:r w:rsidR="00795010" w:rsidRPr="006D1C74">
        <w:rPr>
          <w:rFonts w:asciiTheme="majorHAnsi" w:hAnsiTheme="majorHAnsi"/>
          <w:sz w:val="20"/>
          <w:szCs w:val="20"/>
          <w:lang w:val="pt-BR"/>
        </w:rPr>
        <w:t xml:space="preserve"> da </w:t>
      </w:r>
      <w:r w:rsidRPr="006D1C74">
        <w:rPr>
          <w:rFonts w:asciiTheme="majorHAnsi" w:hAnsiTheme="majorHAnsi"/>
          <w:sz w:val="20"/>
          <w:szCs w:val="20"/>
          <w:lang w:val="pt-BR"/>
        </w:rPr>
        <w:t>crítica política</w:t>
      </w:r>
      <w:r w:rsidR="00CF037E" w:rsidRPr="006D1C74">
        <w:rPr>
          <w:rFonts w:asciiTheme="majorHAnsi" w:hAnsiTheme="majorHAnsi"/>
          <w:sz w:val="20"/>
          <w:szCs w:val="20"/>
          <w:lang w:val="pt-BR"/>
        </w:rPr>
        <w:t xml:space="preserve"> e </w:t>
      </w:r>
      <w:r w:rsidRPr="006D1C74">
        <w:rPr>
          <w:rFonts w:asciiTheme="majorHAnsi" w:hAnsiTheme="majorHAnsi"/>
          <w:sz w:val="20"/>
          <w:szCs w:val="20"/>
          <w:lang w:val="pt-BR"/>
        </w:rPr>
        <w:t>social</w:t>
      </w:r>
      <w:r w:rsidR="00D74A93" w:rsidRPr="006D1C74">
        <w:rPr>
          <w:rFonts w:asciiTheme="majorHAnsi" w:hAnsiTheme="majorHAnsi"/>
          <w:sz w:val="20"/>
          <w:szCs w:val="20"/>
          <w:lang w:val="pt-BR"/>
        </w:rPr>
        <w:t xml:space="preserve"> das </w:t>
      </w:r>
      <w:r w:rsidR="005D3ACD" w:rsidRPr="006D1C74">
        <w:rPr>
          <w:rFonts w:asciiTheme="majorHAnsi" w:hAnsiTheme="majorHAnsi"/>
          <w:sz w:val="20"/>
          <w:szCs w:val="20"/>
          <w:lang w:val="pt-BR"/>
        </w:rPr>
        <w:t>atividades</w:t>
      </w:r>
      <w:r w:rsidR="00D74A93" w:rsidRPr="006D1C74">
        <w:rPr>
          <w:rFonts w:asciiTheme="majorHAnsi" w:hAnsiTheme="majorHAnsi"/>
          <w:sz w:val="20"/>
          <w:szCs w:val="20"/>
          <w:lang w:val="pt-BR"/>
        </w:rPr>
        <w:t xml:space="preserve"> das </w:t>
      </w:r>
      <w:r w:rsidRPr="006D1C74">
        <w:rPr>
          <w:rFonts w:asciiTheme="majorHAnsi" w:hAnsiTheme="majorHAnsi"/>
          <w:sz w:val="20"/>
          <w:szCs w:val="20"/>
          <w:lang w:val="pt-BR"/>
        </w:rPr>
        <w:t xml:space="preserve">autoridades. Por </w:t>
      </w:r>
      <w:r w:rsidR="005D3ACD" w:rsidRPr="006D1C74">
        <w:rPr>
          <w:rFonts w:asciiTheme="majorHAnsi" w:hAnsiTheme="majorHAnsi"/>
          <w:sz w:val="20"/>
          <w:szCs w:val="20"/>
          <w:lang w:val="pt-BR"/>
        </w:rPr>
        <w:t>essa</w:t>
      </w:r>
      <w:r w:rsidRPr="006D1C74">
        <w:rPr>
          <w:rFonts w:asciiTheme="majorHAnsi" w:hAnsiTheme="majorHAnsi"/>
          <w:sz w:val="20"/>
          <w:szCs w:val="20"/>
          <w:lang w:val="pt-BR"/>
        </w:rPr>
        <w:t xml:space="preserve"> </w:t>
      </w:r>
      <w:r w:rsidR="00517ACA" w:rsidRPr="006D1C74">
        <w:rPr>
          <w:rFonts w:asciiTheme="majorHAnsi" w:hAnsiTheme="majorHAnsi"/>
          <w:sz w:val="20"/>
          <w:szCs w:val="20"/>
          <w:lang w:val="pt-BR"/>
        </w:rPr>
        <w:t>razão</w:t>
      </w:r>
      <w:r w:rsidRPr="006D1C74">
        <w:rPr>
          <w:rFonts w:asciiTheme="majorHAnsi" w:hAnsiTheme="majorHAnsi"/>
          <w:sz w:val="20"/>
          <w:szCs w:val="20"/>
          <w:lang w:val="pt-BR"/>
        </w:rPr>
        <w:t xml:space="preserve">, </w:t>
      </w:r>
      <w:r w:rsidR="00517ACA" w:rsidRPr="006D1C74">
        <w:rPr>
          <w:rFonts w:asciiTheme="majorHAnsi" w:hAnsiTheme="majorHAnsi"/>
          <w:sz w:val="20"/>
          <w:szCs w:val="20"/>
          <w:lang w:val="pt-BR"/>
        </w:rPr>
        <w:t>dificilmente</w:t>
      </w:r>
      <w:r w:rsidRPr="006D1C74">
        <w:rPr>
          <w:rFonts w:asciiTheme="majorHAnsi" w:hAnsiTheme="majorHAnsi"/>
          <w:sz w:val="20"/>
          <w:szCs w:val="20"/>
          <w:lang w:val="pt-BR"/>
        </w:rPr>
        <w:t xml:space="preserve"> </w:t>
      </w:r>
      <w:r w:rsidR="00A5274C" w:rsidRPr="006D1C74">
        <w:rPr>
          <w:rFonts w:asciiTheme="majorHAnsi" w:hAnsiTheme="majorHAnsi"/>
          <w:sz w:val="20"/>
          <w:szCs w:val="20"/>
          <w:lang w:val="pt-BR"/>
        </w:rPr>
        <w:t xml:space="preserve">é possível </w:t>
      </w:r>
      <w:r w:rsidRPr="006D1C74">
        <w:rPr>
          <w:rFonts w:asciiTheme="majorHAnsi" w:hAnsiTheme="majorHAnsi"/>
          <w:sz w:val="20"/>
          <w:szCs w:val="20"/>
          <w:lang w:val="pt-BR"/>
        </w:rPr>
        <w:t>defender</w:t>
      </w:r>
      <w:r w:rsidR="00700267" w:rsidRPr="006D1C74">
        <w:rPr>
          <w:rFonts w:asciiTheme="majorHAnsi" w:hAnsiTheme="majorHAnsi"/>
          <w:sz w:val="20"/>
          <w:szCs w:val="20"/>
          <w:lang w:val="pt-BR"/>
        </w:rPr>
        <w:t xml:space="preserve"> os </w:t>
      </w:r>
      <w:r w:rsidR="00417BE8" w:rsidRPr="006D1C74">
        <w:rPr>
          <w:rFonts w:asciiTheme="majorHAnsi" w:hAnsiTheme="majorHAnsi"/>
          <w:sz w:val="20"/>
          <w:szCs w:val="20"/>
          <w:lang w:val="pt-BR"/>
        </w:rPr>
        <w:t>direito</w:t>
      </w:r>
      <w:r w:rsidRPr="006D1C74">
        <w:rPr>
          <w:rFonts w:asciiTheme="majorHAnsi" w:hAnsiTheme="majorHAnsi"/>
          <w:sz w:val="20"/>
          <w:szCs w:val="20"/>
          <w:lang w:val="pt-BR"/>
        </w:rPr>
        <w:t>s humanos</w:t>
      </w:r>
      <w:r w:rsidR="00F673C7" w:rsidRPr="006D1C74">
        <w:rPr>
          <w:rFonts w:asciiTheme="majorHAnsi" w:hAnsiTheme="majorHAnsi"/>
          <w:sz w:val="20"/>
          <w:szCs w:val="20"/>
          <w:lang w:val="pt-BR"/>
        </w:rPr>
        <w:t xml:space="preserve"> em </w:t>
      </w:r>
      <w:r w:rsidRPr="006D1C74">
        <w:rPr>
          <w:rFonts w:asciiTheme="majorHAnsi" w:hAnsiTheme="majorHAnsi"/>
          <w:sz w:val="20"/>
          <w:szCs w:val="20"/>
          <w:lang w:val="pt-BR"/>
        </w:rPr>
        <w:t>contextos</w:t>
      </w:r>
      <w:r w:rsidR="00217759" w:rsidRPr="006D1C74">
        <w:rPr>
          <w:rFonts w:asciiTheme="majorHAnsi" w:hAnsiTheme="majorHAnsi"/>
          <w:sz w:val="20"/>
          <w:szCs w:val="20"/>
          <w:lang w:val="pt-BR"/>
        </w:rPr>
        <w:t xml:space="preserve"> nos </w:t>
      </w:r>
      <w:r w:rsidR="005D3ACD" w:rsidRPr="006D1C74">
        <w:rPr>
          <w:rFonts w:asciiTheme="majorHAnsi" w:hAnsiTheme="majorHAnsi"/>
          <w:sz w:val="20"/>
          <w:szCs w:val="20"/>
          <w:lang w:val="pt-BR"/>
        </w:rPr>
        <w:t>quais</w:t>
      </w:r>
      <w:r w:rsidRPr="006D1C74">
        <w:rPr>
          <w:rFonts w:asciiTheme="majorHAnsi" w:hAnsiTheme="majorHAnsi"/>
          <w:sz w:val="20"/>
          <w:szCs w:val="20"/>
          <w:lang w:val="pt-BR"/>
        </w:rPr>
        <w:t xml:space="preserve"> se restringe</w:t>
      </w:r>
      <w:r w:rsidR="00700267" w:rsidRPr="006D1C74">
        <w:rPr>
          <w:rFonts w:asciiTheme="majorHAnsi" w:hAnsiTheme="majorHAnsi"/>
          <w:sz w:val="20"/>
          <w:szCs w:val="20"/>
          <w:lang w:val="pt-BR"/>
        </w:rPr>
        <w:t xml:space="preserve"> o </w:t>
      </w:r>
      <w:r w:rsidR="00417BE8" w:rsidRPr="006D1C74">
        <w:rPr>
          <w:rFonts w:asciiTheme="majorHAnsi" w:hAnsiTheme="majorHAnsi"/>
          <w:sz w:val="20"/>
          <w:szCs w:val="20"/>
          <w:lang w:val="pt-BR"/>
        </w:rPr>
        <w:t>direito</w:t>
      </w:r>
      <w:r w:rsidRPr="006D1C74">
        <w:rPr>
          <w:rFonts w:asciiTheme="majorHAnsi" w:hAnsiTheme="majorHAnsi"/>
          <w:sz w:val="20"/>
          <w:szCs w:val="20"/>
          <w:lang w:val="pt-BR"/>
        </w:rPr>
        <w:t xml:space="preserve"> de </w:t>
      </w:r>
      <w:r w:rsidR="00E327B7" w:rsidRPr="006D1C74">
        <w:rPr>
          <w:rFonts w:asciiTheme="majorHAnsi" w:hAnsiTheme="majorHAnsi"/>
          <w:sz w:val="20"/>
          <w:szCs w:val="20"/>
          <w:lang w:val="pt-BR"/>
        </w:rPr>
        <w:t>reunião</w:t>
      </w:r>
      <w:r w:rsidRPr="006D1C74">
        <w:rPr>
          <w:rFonts w:asciiTheme="majorHAnsi" w:hAnsiTheme="majorHAnsi"/>
          <w:sz w:val="20"/>
          <w:szCs w:val="20"/>
          <w:lang w:val="pt-BR"/>
        </w:rPr>
        <w:t xml:space="preserve"> pacífica. A</w:t>
      </w:r>
      <w:r w:rsidR="00A5274C" w:rsidRPr="006D1C74">
        <w:rPr>
          <w:rFonts w:asciiTheme="majorHAnsi" w:hAnsiTheme="majorHAnsi"/>
          <w:sz w:val="20"/>
          <w:szCs w:val="20"/>
          <w:lang w:val="pt-BR"/>
        </w:rPr>
        <w:t>lém disso</w:t>
      </w:r>
      <w:r w:rsidRPr="006D1C74">
        <w:rPr>
          <w:rFonts w:asciiTheme="majorHAnsi" w:hAnsiTheme="majorHAnsi"/>
          <w:sz w:val="20"/>
          <w:szCs w:val="20"/>
          <w:lang w:val="pt-BR"/>
        </w:rPr>
        <w:t>, co</w:t>
      </w:r>
      <w:r w:rsidR="00A5274C" w:rsidRPr="006D1C74">
        <w:rPr>
          <w:rFonts w:asciiTheme="majorHAnsi" w:hAnsiTheme="majorHAnsi"/>
          <w:sz w:val="20"/>
          <w:szCs w:val="20"/>
          <w:lang w:val="pt-BR"/>
        </w:rPr>
        <w:t xml:space="preserve">nforme já </w:t>
      </w:r>
      <w:r w:rsidR="005D3ACD" w:rsidRPr="006D1C74">
        <w:rPr>
          <w:rFonts w:asciiTheme="majorHAnsi" w:hAnsiTheme="majorHAnsi"/>
          <w:sz w:val="20"/>
          <w:szCs w:val="20"/>
          <w:lang w:val="pt-BR"/>
        </w:rPr>
        <w:t>assinalado</w:t>
      </w:r>
      <w:r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o </w:t>
      </w:r>
      <w:r w:rsidR="00517ACA">
        <w:rPr>
          <w:rFonts w:asciiTheme="majorHAnsi" w:hAnsiTheme="majorHAnsi"/>
          <w:sz w:val="20"/>
          <w:szCs w:val="20"/>
          <w:lang w:val="pt-BR"/>
        </w:rPr>
        <w:t>exerc</w:t>
      </w:r>
      <w:r w:rsidR="00517ACA" w:rsidRPr="006D1C74">
        <w:rPr>
          <w:rFonts w:asciiTheme="majorHAnsi" w:hAnsiTheme="majorHAnsi"/>
          <w:sz w:val="20"/>
          <w:szCs w:val="20"/>
          <w:lang w:val="pt-BR"/>
        </w:rPr>
        <w:t>ício</w:t>
      </w:r>
      <w:r w:rsidR="00030019" w:rsidRPr="006D1C74">
        <w:rPr>
          <w:rFonts w:asciiTheme="majorHAnsi" w:hAnsiTheme="majorHAnsi"/>
          <w:sz w:val="20"/>
          <w:szCs w:val="20"/>
          <w:lang w:val="pt-BR"/>
        </w:rPr>
        <w:t xml:space="preserve"> do </w:t>
      </w:r>
      <w:r w:rsidR="00417BE8" w:rsidRPr="006D1C74">
        <w:rPr>
          <w:rFonts w:asciiTheme="majorHAnsi" w:hAnsiTheme="majorHAnsi"/>
          <w:sz w:val="20"/>
          <w:szCs w:val="20"/>
          <w:lang w:val="pt-BR"/>
        </w:rPr>
        <w:t>direito</w:t>
      </w:r>
      <w:r w:rsidRPr="006D1C74">
        <w:rPr>
          <w:rFonts w:asciiTheme="majorHAnsi" w:hAnsiTheme="majorHAnsi"/>
          <w:sz w:val="20"/>
          <w:szCs w:val="20"/>
          <w:lang w:val="pt-BR"/>
        </w:rPr>
        <w:t xml:space="preserve"> de </w:t>
      </w:r>
      <w:r w:rsidR="00E327B7" w:rsidRPr="006D1C74">
        <w:rPr>
          <w:rFonts w:asciiTheme="majorHAnsi" w:hAnsiTheme="majorHAnsi"/>
          <w:sz w:val="20"/>
          <w:szCs w:val="20"/>
          <w:lang w:val="pt-BR"/>
        </w:rPr>
        <w:t>reunião</w:t>
      </w:r>
      <w:r w:rsidR="00F37852" w:rsidRPr="006D1C74">
        <w:rPr>
          <w:rFonts w:asciiTheme="majorHAnsi" w:hAnsiTheme="majorHAnsi"/>
          <w:sz w:val="20"/>
          <w:szCs w:val="20"/>
          <w:lang w:val="pt-BR"/>
        </w:rPr>
        <w:t xml:space="preserve"> é </w:t>
      </w:r>
      <w:r w:rsidRPr="006D1C74">
        <w:rPr>
          <w:rFonts w:asciiTheme="majorHAnsi" w:hAnsiTheme="majorHAnsi"/>
          <w:sz w:val="20"/>
          <w:szCs w:val="20"/>
          <w:lang w:val="pt-BR"/>
        </w:rPr>
        <w:t>básico para</w:t>
      </w:r>
      <w:r w:rsidR="00700267" w:rsidRPr="006D1C74">
        <w:rPr>
          <w:rFonts w:asciiTheme="majorHAnsi" w:hAnsiTheme="majorHAnsi"/>
          <w:sz w:val="20"/>
          <w:szCs w:val="20"/>
          <w:lang w:val="pt-BR"/>
        </w:rPr>
        <w:t xml:space="preserve"> o </w:t>
      </w:r>
      <w:r w:rsidR="005D3ACD" w:rsidRPr="006D1C74">
        <w:rPr>
          <w:rFonts w:asciiTheme="majorHAnsi" w:hAnsiTheme="majorHAnsi"/>
          <w:sz w:val="20"/>
          <w:szCs w:val="20"/>
          <w:lang w:val="pt-BR"/>
        </w:rPr>
        <w:t>exercício</w:t>
      </w:r>
      <w:r w:rsidRPr="006D1C74">
        <w:rPr>
          <w:rFonts w:asciiTheme="majorHAnsi" w:hAnsiTheme="majorHAnsi"/>
          <w:sz w:val="20"/>
          <w:szCs w:val="20"/>
          <w:lang w:val="pt-BR"/>
        </w:rPr>
        <w:t xml:space="preserve"> de </w:t>
      </w:r>
      <w:r w:rsidR="00CF037E" w:rsidRPr="006D1C74">
        <w:rPr>
          <w:rFonts w:asciiTheme="majorHAnsi" w:hAnsiTheme="majorHAnsi"/>
          <w:sz w:val="20"/>
          <w:szCs w:val="20"/>
          <w:lang w:val="pt-BR"/>
        </w:rPr>
        <w:t>outr</w:t>
      </w:r>
      <w:r w:rsidRPr="006D1C74">
        <w:rPr>
          <w:rFonts w:asciiTheme="majorHAnsi" w:hAnsiTheme="majorHAnsi"/>
          <w:sz w:val="20"/>
          <w:szCs w:val="20"/>
          <w:lang w:val="pt-BR"/>
        </w:rPr>
        <w:t xml:space="preserve">os </w:t>
      </w:r>
      <w:r w:rsidR="00417BE8" w:rsidRPr="006D1C74">
        <w:rPr>
          <w:rFonts w:asciiTheme="majorHAnsi" w:hAnsiTheme="majorHAnsi"/>
          <w:sz w:val="20"/>
          <w:szCs w:val="20"/>
          <w:lang w:val="pt-BR"/>
        </w:rPr>
        <w:t>direito</w:t>
      </w:r>
      <w:r w:rsidRPr="006D1C74">
        <w:rPr>
          <w:rFonts w:asciiTheme="majorHAnsi" w:hAnsiTheme="majorHAnsi"/>
          <w:sz w:val="20"/>
          <w:szCs w:val="20"/>
          <w:lang w:val="pt-BR"/>
        </w:rPr>
        <w:t>s, como</w:t>
      </w:r>
      <w:r w:rsidR="00700267" w:rsidRPr="006D1C74">
        <w:rPr>
          <w:rFonts w:asciiTheme="majorHAnsi" w:hAnsiTheme="majorHAnsi"/>
          <w:sz w:val="20"/>
          <w:szCs w:val="20"/>
          <w:lang w:val="pt-BR"/>
        </w:rPr>
        <w:t xml:space="preserve"> a </w:t>
      </w:r>
      <w:r w:rsidR="00623C35" w:rsidRPr="006D1C74">
        <w:rPr>
          <w:rFonts w:asciiTheme="majorHAnsi" w:hAnsiTheme="majorHAnsi"/>
          <w:sz w:val="20"/>
          <w:szCs w:val="20"/>
          <w:lang w:val="pt-BR"/>
        </w:rPr>
        <w:t>liberdade</w:t>
      </w:r>
      <w:r w:rsidRPr="006D1C74">
        <w:rPr>
          <w:rFonts w:asciiTheme="majorHAnsi" w:hAnsiTheme="majorHAnsi"/>
          <w:sz w:val="20"/>
          <w:szCs w:val="20"/>
          <w:lang w:val="pt-BR"/>
        </w:rPr>
        <w:t xml:space="preserve"> de </w:t>
      </w:r>
      <w:r w:rsidR="005D3ACD" w:rsidRPr="006D1C74">
        <w:rPr>
          <w:rFonts w:asciiTheme="majorHAnsi" w:hAnsiTheme="majorHAnsi"/>
          <w:sz w:val="20"/>
          <w:szCs w:val="20"/>
          <w:lang w:val="pt-BR"/>
        </w:rPr>
        <w:t>expressão</w:t>
      </w:r>
      <w:r w:rsidRPr="006D1C74">
        <w:rPr>
          <w:rFonts w:asciiTheme="majorHAnsi" w:hAnsiTheme="majorHAnsi"/>
          <w:sz w:val="20"/>
          <w:szCs w:val="20"/>
          <w:lang w:val="pt-BR"/>
        </w:rPr>
        <w:t>.</w:t>
      </w:r>
      <w:r w:rsidRPr="006D1C74">
        <w:rPr>
          <w:rFonts w:asciiTheme="majorHAnsi" w:hAnsiTheme="majorHAnsi"/>
          <w:sz w:val="20"/>
          <w:szCs w:val="20"/>
          <w:lang w:val="pt-BR" w:eastAsia="es-ES"/>
        </w:rPr>
        <w:t xml:space="preserve"> Por con</w:t>
      </w:r>
      <w:r w:rsidR="00154D0D" w:rsidRPr="006D1C74">
        <w:rPr>
          <w:rFonts w:asciiTheme="majorHAnsi" w:hAnsiTheme="majorHAnsi"/>
          <w:sz w:val="20"/>
          <w:szCs w:val="20"/>
          <w:lang w:val="pt-BR" w:eastAsia="es-ES"/>
        </w:rPr>
        <w:t>seguinte</w:t>
      </w:r>
      <w:r w:rsidRPr="006D1C74">
        <w:rPr>
          <w:rFonts w:asciiTheme="majorHAnsi" w:hAnsiTheme="majorHAnsi"/>
          <w:sz w:val="20"/>
          <w:szCs w:val="20"/>
          <w:lang w:val="pt-BR" w:eastAsia="es-ES"/>
        </w:rPr>
        <w:t>,</w:t>
      </w:r>
      <w:r w:rsidR="00700267" w:rsidRPr="006D1C74">
        <w:rPr>
          <w:rFonts w:asciiTheme="majorHAnsi" w:hAnsiTheme="majorHAnsi"/>
          <w:sz w:val="20"/>
          <w:szCs w:val="20"/>
          <w:lang w:val="pt-BR" w:eastAsia="es-ES"/>
        </w:rPr>
        <w:t xml:space="preserve"> as </w:t>
      </w:r>
      <w:r w:rsidRPr="006D1C74">
        <w:rPr>
          <w:rFonts w:asciiTheme="majorHAnsi" w:hAnsiTheme="majorHAnsi"/>
          <w:sz w:val="20"/>
          <w:szCs w:val="20"/>
          <w:lang w:val="pt-BR" w:eastAsia="es-ES"/>
        </w:rPr>
        <w:t>restri</w:t>
      </w:r>
      <w:r w:rsidR="006E610A" w:rsidRPr="006D1C74">
        <w:rPr>
          <w:rFonts w:asciiTheme="majorHAnsi" w:hAnsiTheme="majorHAnsi"/>
          <w:sz w:val="20"/>
          <w:szCs w:val="20"/>
          <w:lang w:val="pt-BR" w:eastAsia="es-ES"/>
        </w:rPr>
        <w:t>ç</w:t>
      </w:r>
      <w:r w:rsidR="00CF037E" w:rsidRPr="006D1C74">
        <w:rPr>
          <w:rFonts w:asciiTheme="majorHAnsi" w:hAnsiTheme="majorHAnsi"/>
          <w:sz w:val="20"/>
          <w:szCs w:val="20"/>
          <w:lang w:val="pt-BR" w:eastAsia="es-ES"/>
        </w:rPr>
        <w:t>ões</w:t>
      </w:r>
      <w:r w:rsidR="00030019" w:rsidRPr="006D1C74">
        <w:rPr>
          <w:rFonts w:asciiTheme="majorHAnsi" w:hAnsiTheme="majorHAnsi"/>
          <w:sz w:val="20"/>
          <w:szCs w:val="20"/>
          <w:lang w:val="pt-BR" w:eastAsia="es-ES"/>
        </w:rPr>
        <w:t xml:space="preserve"> </w:t>
      </w:r>
      <w:r w:rsidR="001032A6">
        <w:rPr>
          <w:rFonts w:asciiTheme="majorHAnsi" w:hAnsiTheme="majorHAnsi"/>
          <w:sz w:val="20"/>
          <w:szCs w:val="20"/>
          <w:lang w:val="pt-BR" w:eastAsia="es-ES"/>
        </w:rPr>
        <w:t>a</w:t>
      </w:r>
      <w:r w:rsidR="00030019" w:rsidRPr="006D1C74">
        <w:rPr>
          <w:rFonts w:asciiTheme="majorHAnsi" w:hAnsiTheme="majorHAnsi"/>
          <w:sz w:val="20"/>
          <w:szCs w:val="20"/>
          <w:lang w:val="pt-BR" w:eastAsia="es-ES"/>
        </w:rPr>
        <w:t xml:space="preserve">o </w:t>
      </w:r>
      <w:r w:rsidR="005D3ACD" w:rsidRPr="006D1C74">
        <w:rPr>
          <w:rFonts w:asciiTheme="majorHAnsi" w:hAnsiTheme="majorHAnsi"/>
          <w:sz w:val="20"/>
          <w:szCs w:val="20"/>
          <w:lang w:val="pt-BR" w:eastAsia="es-ES"/>
        </w:rPr>
        <w:t>exercício</w:t>
      </w:r>
      <w:r w:rsidRPr="006D1C74">
        <w:rPr>
          <w:rFonts w:asciiTheme="majorHAnsi" w:hAnsiTheme="majorHAnsi"/>
          <w:sz w:val="20"/>
          <w:szCs w:val="20"/>
          <w:lang w:val="pt-BR" w:eastAsia="es-ES"/>
        </w:rPr>
        <w:t xml:space="preserve"> </w:t>
      </w:r>
      <w:r w:rsidR="00DE7DC1" w:rsidRPr="006D1C74">
        <w:rPr>
          <w:rFonts w:asciiTheme="majorHAnsi" w:hAnsiTheme="majorHAnsi"/>
          <w:sz w:val="20"/>
          <w:szCs w:val="20"/>
          <w:lang w:val="pt-BR" w:eastAsia="es-ES"/>
        </w:rPr>
        <w:t>desses</w:t>
      </w:r>
      <w:r w:rsidRPr="006D1C74">
        <w:rPr>
          <w:rFonts w:asciiTheme="majorHAnsi" w:hAnsiTheme="majorHAnsi"/>
          <w:sz w:val="20"/>
          <w:szCs w:val="20"/>
          <w:lang w:val="pt-BR" w:eastAsia="es-ES"/>
        </w:rPr>
        <w:t xml:space="preserve"> </w:t>
      </w:r>
      <w:r w:rsidR="00417BE8" w:rsidRPr="006D1C74">
        <w:rPr>
          <w:rFonts w:asciiTheme="majorHAnsi" w:hAnsiTheme="majorHAnsi"/>
          <w:sz w:val="20"/>
          <w:szCs w:val="20"/>
          <w:lang w:val="pt-BR" w:eastAsia="es-ES"/>
        </w:rPr>
        <w:t>direito</w:t>
      </w:r>
      <w:r w:rsidRPr="006D1C74">
        <w:rPr>
          <w:rFonts w:asciiTheme="majorHAnsi" w:hAnsiTheme="majorHAnsi"/>
          <w:sz w:val="20"/>
          <w:szCs w:val="20"/>
          <w:lang w:val="pt-BR" w:eastAsia="es-ES"/>
        </w:rPr>
        <w:t xml:space="preserve">s </w:t>
      </w:r>
      <w:r w:rsidR="00193AAA" w:rsidRPr="006D1C74">
        <w:rPr>
          <w:rFonts w:asciiTheme="majorHAnsi" w:hAnsiTheme="majorHAnsi"/>
          <w:sz w:val="20"/>
          <w:szCs w:val="20"/>
          <w:lang w:val="pt-BR" w:eastAsia="es-ES"/>
        </w:rPr>
        <w:t>constituem</w:t>
      </w:r>
      <w:r w:rsidRPr="006D1C74">
        <w:rPr>
          <w:rFonts w:asciiTheme="majorHAnsi" w:hAnsiTheme="majorHAnsi"/>
          <w:sz w:val="20"/>
          <w:szCs w:val="20"/>
          <w:lang w:val="pt-BR" w:eastAsia="es-ES"/>
        </w:rPr>
        <w:t xml:space="preserve"> graves obstáculos para</w:t>
      </w:r>
      <w:r w:rsidR="00700267" w:rsidRPr="006D1C74">
        <w:rPr>
          <w:rFonts w:asciiTheme="majorHAnsi" w:hAnsiTheme="majorHAnsi"/>
          <w:sz w:val="20"/>
          <w:szCs w:val="20"/>
          <w:lang w:val="pt-BR" w:eastAsia="es-ES"/>
        </w:rPr>
        <w:t xml:space="preserve"> a </w:t>
      </w:r>
      <w:r w:rsidR="00193AAA" w:rsidRPr="006D1C74">
        <w:rPr>
          <w:rFonts w:asciiTheme="majorHAnsi" w:hAnsiTheme="majorHAnsi"/>
          <w:sz w:val="20"/>
          <w:szCs w:val="20"/>
          <w:lang w:val="pt-BR" w:eastAsia="es-ES"/>
        </w:rPr>
        <w:t>possibilidade</w:t>
      </w:r>
      <w:r w:rsidR="00F673C7" w:rsidRPr="006D1C74">
        <w:rPr>
          <w:rFonts w:asciiTheme="majorHAnsi" w:hAnsiTheme="majorHAnsi"/>
          <w:sz w:val="20"/>
          <w:szCs w:val="20"/>
          <w:lang w:val="pt-BR" w:eastAsia="es-ES"/>
        </w:rPr>
        <w:t xml:space="preserve"> </w:t>
      </w:r>
      <w:r w:rsidRPr="006D1C74">
        <w:rPr>
          <w:rFonts w:asciiTheme="majorHAnsi" w:hAnsiTheme="majorHAnsi"/>
          <w:sz w:val="20"/>
          <w:szCs w:val="20"/>
          <w:lang w:val="pt-BR" w:eastAsia="es-ES"/>
        </w:rPr>
        <w:t>de que</w:t>
      </w:r>
      <w:r w:rsidR="00700267" w:rsidRPr="006D1C74">
        <w:rPr>
          <w:rFonts w:asciiTheme="majorHAnsi" w:hAnsiTheme="majorHAnsi"/>
          <w:sz w:val="20"/>
          <w:szCs w:val="20"/>
          <w:lang w:val="pt-BR" w:eastAsia="es-ES"/>
        </w:rPr>
        <w:t xml:space="preserve"> as </w:t>
      </w:r>
      <w:r w:rsidR="00CA7940" w:rsidRPr="006D1C74">
        <w:rPr>
          <w:rFonts w:asciiTheme="majorHAnsi" w:hAnsiTheme="majorHAnsi"/>
          <w:sz w:val="20"/>
          <w:szCs w:val="20"/>
          <w:lang w:val="pt-BR" w:eastAsia="es-ES"/>
        </w:rPr>
        <w:t>pessoa</w:t>
      </w:r>
      <w:r w:rsidRPr="006D1C74">
        <w:rPr>
          <w:rFonts w:asciiTheme="majorHAnsi" w:hAnsiTheme="majorHAnsi"/>
          <w:sz w:val="20"/>
          <w:szCs w:val="20"/>
          <w:lang w:val="pt-BR" w:eastAsia="es-ES"/>
        </w:rPr>
        <w:t xml:space="preserve">s </w:t>
      </w:r>
      <w:r w:rsidR="00193AAA" w:rsidRPr="006D1C74">
        <w:rPr>
          <w:rFonts w:asciiTheme="majorHAnsi" w:hAnsiTheme="majorHAnsi"/>
          <w:sz w:val="20"/>
          <w:szCs w:val="20"/>
          <w:lang w:val="pt-BR" w:eastAsia="es-ES"/>
        </w:rPr>
        <w:t>reivindiquem</w:t>
      </w:r>
      <w:r w:rsidRPr="006D1C74">
        <w:rPr>
          <w:rFonts w:asciiTheme="majorHAnsi" w:hAnsiTheme="majorHAnsi"/>
          <w:sz w:val="20"/>
          <w:szCs w:val="20"/>
          <w:lang w:val="pt-BR" w:eastAsia="es-ES"/>
        </w:rPr>
        <w:t xml:space="preserve"> s</w:t>
      </w:r>
      <w:r w:rsidR="001032A6">
        <w:rPr>
          <w:rFonts w:asciiTheme="majorHAnsi" w:hAnsiTheme="majorHAnsi"/>
          <w:sz w:val="20"/>
          <w:szCs w:val="20"/>
          <w:lang w:val="pt-BR" w:eastAsia="es-ES"/>
        </w:rPr>
        <w:t>e</w:t>
      </w:r>
      <w:r w:rsidRPr="006D1C74">
        <w:rPr>
          <w:rFonts w:asciiTheme="majorHAnsi" w:hAnsiTheme="majorHAnsi"/>
          <w:sz w:val="20"/>
          <w:szCs w:val="20"/>
          <w:lang w:val="pt-BR" w:eastAsia="es-ES"/>
        </w:rPr>
        <w:t xml:space="preserve">us </w:t>
      </w:r>
      <w:r w:rsidR="00417BE8" w:rsidRPr="006D1C74">
        <w:rPr>
          <w:rFonts w:asciiTheme="majorHAnsi" w:hAnsiTheme="majorHAnsi"/>
          <w:sz w:val="20"/>
          <w:szCs w:val="20"/>
          <w:lang w:val="pt-BR" w:eastAsia="es-ES"/>
        </w:rPr>
        <w:t>direito</w:t>
      </w:r>
      <w:r w:rsidRPr="006D1C74">
        <w:rPr>
          <w:rFonts w:asciiTheme="majorHAnsi" w:hAnsiTheme="majorHAnsi"/>
          <w:sz w:val="20"/>
          <w:szCs w:val="20"/>
          <w:lang w:val="pt-BR" w:eastAsia="es-ES"/>
        </w:rPr>
        <w:t xml:space="preserve">s, </w:t>
      </w:r>
      <w:r w:rsidR="00193AAA" w:rsidRPr="006D1C74">
        <w:rPr>
          <w:rFonts w:asciiTheme="majorHAnsi" w:hAnsiTheme="majorHAnsi"/>
          <w:sz w:val="20"/>
          <w:szCs w:val="20"/>
          <w:lang w:val="pt-BR" w:eastAsia="es-ES"/>
        </w:rPr>
        <w:t>peticionem</w:t>
      </w:r>
      <w:r w:rsidR="00CF037E" w:rsidRPr="006D1C74">
        <w:rPr>
          <w:rFonts w:asciiTheme="majorHAnsi" w:hAnsiTheme="majorHAnsi"/>
          <w:sz w:val="20"/>
          <w:szCs w:val="20"/>
          <w:lang w:val="pt-BR" w:eastAsia="es-ES"/>
        </w:rPr>
        <w:t xml:space="preserve"> e </w:t>
      </w:r>
      <w:r w:rsidR="00193AAA" w:rsidRPr="006D1C74">
        <w:rPr>
          <w:rFonts w:asciiTheme="majorHAnsi" w:hAnsiTheme="majorHAnsi"/>
          <w:sz w:val="20"/>
          <w:szCs w:val="20"/>
          <w:lang w:val="pt-BR" w:eastAsia="es-ES"/>
        </w:rPr>
        <w:t>promovam</w:t>
      </w:r>
      <w:r w:rsidR="00700267" w:rsidRPr="006D1C74">
        <w:rPr>
          <w:rFonts w:asciiTheme="majorHAnsi" w:hAnsiTheme="majorHAnsi"/>
          <w:sz w:val="20"/>
          <w:szCs w:val="20"/>
          <w:lang w:val="pt-BR" w:eastAsia="es-ES"/>
        </w:rPr>
        <w:t xml:space="preserve"> a </w:t>
      </w:r>
      <w:r w:rsidR="00193AAA" w:rsidRPr="006D1C74">
        <w:rPr>
          <w:rFonts w:asciiTheme="majorHAnsi" w:hAnsiTheme="majorHAnsi"/>
          <w:sz w:val="20"/>
          <w:szCs w:val="20"/>
          <w:lang w:val="pt-BR" w:eastAsia="es-ES"/>
        </w:rPr>
        <w:t>busca</w:t>
      </w:r>
      <w:r w:rsidRPr="006D1C74">
        <w:rPr>
          <w:rFonts w:asciiTheme="majorHAnsi" w:hAnsiTheme="majorHAnsi"/>
          <w:sz w:val="20"/>
          <w:szCs w:val="20"/>
          <w:lang w:val="pt-BR" w:eastAsia="es-ES"/>
        </w:rPr>
        <w:t xml:space="preserve"> de </w:t>
      </w:r>
      <w:r w:rsidR="00A5274C" w:rsidRPr="006D1C74">
        <w:rPr>
          <w:rFonts w:asciiTheme="majorHAnsi" w:hAnsiTheme="majorHAnsi"/>
          <w:sz w:val="20"/>
          <w:szCs w:val="20"/>
          <w:lang w:val="pt-BR" w:eastAsia="es-ES"/>
        </w:rPr>
        <w:t>mudanças</w:t>
      </w:r>
      <w:r w:rsidRPr="006D1C74">
        <w:rPr>
          <w:rFonts w:asciiTheme="majorHAnsi" w:hAnsiTheme="majorHAnsi"/>
          <w:sz w:val="20"/>
          <w:szCs w:val="20"/>
          <w:lang w:val="pt-BR" w:eastAsia="es-ES"/>
        </w:rPr>
        <w:t xml:space="preserve"> o</w:t>
      </w:r>
      <w:r w:rsidR="00A5274C" w:rsidRPr="006D1C74">
        <w:rPr>
          <w:rFonts w:asciiTheme="majorHAnsi" w:hAnsiTheme="majorHAnsi"/>
          <w:sz w:val="20"/>
          <w:szCs w:val="20"/>
          <w:lang w:val="pt-BR" w:eastAsia="es-ES"/>
        </w:rPr>
        <w:t>u</w:t>
      </w:r>
      <w:r w:rsidRPr="006D1C74">
        <w:rPr>
          <w:rFonts w:asciiTheme="majorHAnsi" w:hAnsiTheme="majorHAnsi"/>
          <w:sz w:val="20"/>
          <w:szCs w:val="20"/>
          <w:lang w:val="pt-BR" w:eastAsia="es-ES"/>
        </w:rPr>
        <w:t xml:space="preserve"> solu</w:t>
      </w:r>
      <w:r w:rsidR="00CF037E" w:rsidRPr="006D1C74">
        <w:rPr>
          <w:rFonts w:asciiTheme="majorHAnsi" w:hAnsiTheme="majorHAnsi"/>
          <w:sz w:val="20"/>
          <w:szCs w:val="20"/>
          <w:lang w:val="pt-BR" w:eastAsia="es-ES"/>
        </w:rPr>
        <w:t>ções</w:t>
      </w:r>
      <w:r w:rsidRPr="006D1C74">
        <w:rPr>
          <w:rFonts w:asciiTheme="majorHAnsi" w:hAnsiTheme="majorHAnsi"/>
          <w:sz w:val="20"/>
          <w:szCs w:val="20"/>
          <w:lang w:val="pt-BR" w:eastAsia="es-ES"/>
        </w:rPr>
        <w:t xml:space="preserve"> para</w:t>
      </w:r>
      <w:r w:rsidR="00700267" w:rsidRPr="006D1C74">
        <w:rPr>
          <w:rFonts w:asciiTheme="majorHAnsi" w:hAnsiTheme="majorHAnsi"/>
          <w:sz w:val="20"/>
          <w:szCs w:val="20"/>
          <w:lang w:val="pt-BR" w:eastAsia="es-ES"/>
        </w:rPr>
        <w:t xml:space="preserve"> os </w:t>
      </w:r>
      <w:r w:rsidRPr="006D1C74">
        <w:rPr>
          <w:rFonts w:asciiTheme="majorHAnsi" w:hAnsiTheme="majorHAnsi"/>
          <w:sz w:val="20"/>
          <w:szCs w:val="20"/>
          <w:lang w:val="pt-BR" w:eastAsia="es-ES"/>
        </w:rPr>
        <w:t xml:space="preserve">problemas que </w:t>
      </w:r>
      <w:r w:rsidR="00A5274C" w:rsidRPr="006D1C74">
        <w:rPr>
          <w:rFonts w:asciiTheme="majorHAnsi" w:hAnsiTheme="majorHAnsi"/>
          <w:sz w:val="20"/>
          <w:szCs w:val="20"/>
          <w:lang w:val="pt-BR" w:eastAsia="es-ES"/>
        </w:rPr>
        <w:t>a</w:t>
      </w:r>
      <w:r w:rsidRPr="006D1C74">
        <w:rPr>
          <w:rFonts w:asciiTheme="majorHAnsi" w:hAnsiTheme="majorHAnsi"/>
          <w:sz w:val="20"/>
          <w:szCs w:val="20"/>
          <w:lang w:val="pt-BR" w:eastAsia="es-ES"/>
        </w:rPr>
        <w:t xml:space="preserve">s </w:t>
      </w:r>
      <w:r w:rsidR="00193AAA" w:rsidRPr="006D1C74">
        <w:rPr>
          <w:rFonts w:asciiTheme="majorHAnsi" w:hAnsiTheme="majorHAnsi"/>
          <w:sz w:val="20"/>
          <w:szCs w:val="20"/>
          <w:lang w:val="pt-BR" w:eastAsia="es-ES"/>
        </w:rPr>
        <w:t>afetam</w:t>
      </w:r>
      <w:r w:rsidRPr="006D1C74">
        <w:rPr>
          <w:rFonts w:asciiTheme="majorHAnsi" w:hAnsiTheme="majorHAnsi"/>
          <w:sz w:val="20"/>
          <w:szCs w:val="20"/>
          <w:lang w:val="pt-BR" w:eastAsia="es-ES"/>
        </w:rPr>
        <w:t>.</w:t>
      </w:r>
    </w:p>
    <w:p w14:paraId="69BC75A0"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pt-BR"/>
        </w:rPr>
      </w:pPr>
    </w:p>
    <w:p w14:paraId="7DF979C0" w14:textId="77777777" w:rsidR="00AD6004" w:rsidRPr="006D1C74" w:rsidRDefault="00B42161" w:rsidP="00565F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Cambria" w:hAnsi="Cambria"/>
          <w:sz w:val="20"/>
          <w:szCs w:val="20"/>
          <w:lang w:val="pt-BR"/>
        </w:rPr>
      </w:pPr>
      <w:r w:rsidRPr="006D1C74">
        <w:rPr>
          <w:rFonts w:ascii="Cambria" w:hAnsi="Cambria"/>
          <w:sz w:val="20"/>
          <w:szCs w:val="20"/>
          <w:lang w:val="pt-BR"/>
        </w:rPr>
        <w:t>A</w:t>
      </w:r>
      <w:r w:rsidR="002649F0" w:rsidRPr="006D1C74">
        <w:rPr>
          <w:rFonts w:ascii="Cambria" w:hAnsi="Cambria"/>
          <w:sz w:val="20"/>
          <w:szCs w:val="20"/>
          <w:lang w:val="pt-BR"/>
        </w:rPr>
        <w:t xml:space="preserve"> CIDH constat</w:t>
      </w:r>
      <w:r w:rsidR="00F115D8" w:rsidRPr="006D1C74">
        <w:rPr>
          <w:rFonts w:ascii="Cambria" w:hAnsi="Cambria"/>
          <w:sz w:val="20"/>
          <w:szCs w:val="20"/>
          <w:lang w:val="pt-BR"/>
        </w:rPr>
        <w:t>ou</w:t>
      </w:r>
      <w:r w:rsidR="002649F0" w:rsidRPr="006D1C74">
        <w:rPr>
          <w:rFonts w:ascii="Cambria" w:hAnsi="Cambria"/>
          <w:sz w:val="20"/>
          <w:szCs w:val="20"/>
          <w:lang w:val="pt-BR"/>
        </w:rPr>
        <w:t xml:space="preserve"> que</w:t>
      </w:r>
      <w:r w:rsidR="00700267" w:rsidRPr="006D1C74">
        <w:rPr>
          <w:rFonts w:ascii="Cambria" w:hAnsi="Cambria"/>
          <w:sz w:val="20"/>
          <w:szCs w:val="20"/>
          <w:lang w:val="pt-BR"/>
        </w:rPr>
        <w:t xml:space="preserve"> as </w:t>
      </w:r>
      <w:r w:rsidR="002649F0" w:rsidRPr="006D1C74">
        <w:rPr>
          <w:rFonts w:ascii="Cambria" w:hAnsi="Cambria"/>
          <w:sz w:val="20"/>
          <w:szCs w:val="20"/>
          <w:lang w:val="pt-BR"/>
        </w:rPr>
        <w:t>autoridades f</w:t>
      </w:r>
      <w:r w:rsidR="00F115D8" w:rsidRPr="006D1C74">
        <w:rPr>
          <w:rFonts w:ascii="Cambria" w:hAnsi="Cambria"/>
          <w:sz w:val="20"/>
          <w:szCs w:val="20"/>
          <w:lang w:val="pt-BR"/>
        </w:rPr>
        <w:t>oram</w:t>
      </w:r>
      <w:r w:rsidR="002649F0" w:rsidRPr="006D1C74">
        <w:rPr>
          <w:rFonts w:ascii="Cambria" w:hAnsi="Cambria"/>
          <w:sz w:val="20"/>
          <w:szCs w:val="20"/>
          <w:lang w:val="pt-BR"/>
        </w:rPr>
        <w:t xml:space="preserve"> informadas</w:t>
      </w:r>
      <w:r w:rsidR="00AD6004" w:rsidRPr="006D1C74">
        <w:rPr>
          <w:rFonts w:ascii="Cambria" w:hAnsi="Cambria"/>
          <w:sz w:val="20"/>
          <w:szCs w:val="20"/>
          <w:lang w:val="pt-BR"/>
        </w:rPr>
        <w:t>,</w:t>
      </w:r>
      <w:r w:rsidR="002649F0" w:rsidRPr="006D1C74">
        <w:rPr>
          <w:rFonts w:ascii="Cambria" w:hAnsi="Cambria"/>
          <w:sz w:val="20"/>
          <w:szCs w:val="20"/>
          <w:lang w:val="pt-BR"/>
        </w:rPr>
        <w:t xml:space="preserve"> por diferentes meios</w:t>
      </w:r>
      <w:r w:rsidR="00AD6004" w:rsidRPr="006D1C74">
        <w:rPr>
          <w:rFonts w:ascii="Cambria" w:hAnsi="Cambria"/>
          <w:sz w:val="20"/>
          <w:szCs w:val="20"/>
          <w:lang w:val="pt-BR"/>
        </w:rPr>
        <w:t>,</w:t>
      </w:r>
      <w:r w:rsidR="00700267" w:rsidRPr="006D1C74">
        <w:rPr>
          <w:rFonts w:ascii="Cambria" w:hAnsi="Cambria"/>
          <w:sz w:val="20"/>
          <w:szCs w:val="20"/>
          <w:lang w:val="pt-BR"/>
        </w:rPr>
        <w:t xml:space="preserve"> dos </w:t>
      </w:r>
      <w:r w:rsidR="00193AAA" w:rsidRPr="006D1C74">
        <w:rPr>
          <w:rFonts w:ascii="Cambria" w:hAnsi="Cambria"/>
          <w:sz w:val="20"/>
          <w:szCs w:val="20"/>
          <w:lang w:val="pt-BR"/>
        </w:rPr>
        <w:t>atos</w:t>
      </w:r>
      <w:r w:rsidR="002649F0" w:rsidRPr="006D1C74">
        <w:rPr>
          <w:rFonts w:ascii="Cambria" w:hAnsi="Cambria"/>
          <w:sz w:val="20"/>
          <w:szCs w:val="20"/>
          <w:lang w:val="pt-BR"/>
        </w:rPr>
        <w:t xml:space="preserve"> </w:t>
      </w:r>
      <w:r w:rsidR="00F115D8" w:rsidRPr="006D1C74">
        <w:rPr>
          <w:rFonts w:ascii="Cambria" w:hAnsi="Cambria"/>
          <w:sz w:val="20"/>
          <w:szCs w:val="20"/>
          <w:lang w:val="pt-BR"/>
        </w:rPr>
        <w:t xml:space="preserve">a serem </w:t>
      </w:r>
      <w:r w:rsidR="00193AAA" w:rsidRPr="006D1C74">
        <w:rPr>
          <w:rFonts w:ascii="Cambria" w:hAnsi="Cambria"/>
          <w:sz w:val="20"/>
          <w:szCs w:val="20"/>
          <w:lang w:val="pt-BR"/>
        </w:rPr>
        <w:t>realizados</w:t>
      </w:r>
      <w:r w:rsidR="00700267" w:rsidRPr="006D1C74">
        <w:rPr>
          <w:rFonts w:ascii="Cambria" w:hAnsi="Cambria"/>
          <w:sz w:val="20"/>
          <w:szCs w:val="20"/>
          <w:lang w:val="pt-BR"/>
        </w:rPr>
        <w:t xml:space="preserve"> </w:t>
      </w:r>
      <w:r w:rsidR="00F115D8" w:rsidRPr="006D1C74">
        <w:rPr>
          <w:rFonts w:ascii="Cambria" w:hAnsi="Cambria"/>
          <w:sz w:val="20"/>
          <w:szCs w:val="20"/>
          <w:lang w:val="pt-BR"/>
        </w:rPr>
        <w:t>pel</w:t>
      </w:r>
      <w:r w:rsidR="00700267" w:rsidRPr="006D1C74">
        <w:rPr>
          <w:rFonts w:ascii="Cambria" w:hAnsi="Cambria"/>
          <w:sz w:val="20"/>
          <w:szCs w:val="20"/>
          <w:lang w:val="pt-BR"/>
        </w:rPr>
        <w:t>os trabalh</w:t>
      </w:r>
      <w:r w:rsidR="002649F0" w:rsidRPr="006D1C74">
        <w:rPr>
          <w:rFonts w:ascii="Cambria" w:hAnsi="Cambria"/>
          <w:sz w:val="20"/>
          <w:szCs w:val="20"/>
          <w:lang w:val="pt-BR"/>
        </w:rPr>
        <w:t>adores rur</w:t>
      </w:r>
      <w:r w:rsidR="00700267" w:rsidRPr="006D1C74">
        <w:rPr>
          <w:rFonts w:ascii="Cambria" w:hAnsi="Cambria"/>
          <w:sz w:val="20"/>
          <w:szCs w:val="20"/>
          <w:lang w:val="pt-BR"/>
        </w:rPr>
        <w:t>ais</w:t>
      </w:r>
      <w:r w:rsidR="00030019" w:rsidRPr="006D1C74">
        <w:rPr>
          <w:rFonts w:ascii="Cambria" w:hAnsi="Cambria"/>
          <w:sz w:val="20"/>
          <w:szCs w:val="20"/>
          <w:lang w:val="pt-BR"/>
        </w:rPr>
        <w:t xml:space="preserve"> do </w:t>
      </w:r>
      <w:r w:rsidR="002649F0" w:rsidRPr="006D1C74">
        <w:rPr>
          <w:rFonts w:ascii="Cambria" w:hAnsi="Cambria"/>
          <w:sz w:val="20"/>
          <w:szCs w:val="20"/>
          <w:lang w:val="pt-BR"/>
        </w:rPr>
        <w:t xml:space="preserve">MST. </w:t>
      </w:r>
      <w:r w:rsidR="00193AAA" w:rsidRPr="006D1C74">
        <w:rPr>
          <w:rFonts w:ascii="Cambria" w:hAnsi="Cambria"/>
          <w:sz w:val="20"/>
          <w:szCs w:val="20"/>
          <w:lang w:val="pt-BR"/>
        </w:rPr>
        <w:t>Especificamente</w:t>
      </w:r>
      <w:r w:rsidR="002649F0" w:rsidRPr="006D1C74">
        <w:rPr>
          <w:rFonts w:ascii="Cambria" w:hAnsi="Cambria"/>
          <w:sz w:val="20"/>
          <w:szCs w:val="20"/>
          <w:lang w:val="pt-BR"/>
        </w:rPr>
        <w:t>,</w:t>
      </w:r>
      <w:r w:rsidR="00700267" w:rsidRPr="006D1C74">
        <w:rPr>
          <w:rFonts w:ascii="Cambria" w:hAnsi="Cambria"/>
          <w:sz w:val="20"/>
          <w:szCs w:val="20"/>
          <w:lang w:val="pt-BR"/>
        </w:rPr>
        <w:t xml:space="preserve"> as </w:t>
      </w:r>
      <w:r w:rsidR="002649F0" w:rsidRPr="006D1C74">
        <w:rPr>
          <w:rFonts w:ascii="Cambria" w:hAnsi="Cambria"/>
          <w:sz w:val="20"/>
          <w:szCs w:val="20"/>
          <w:lang w:val="pt-BR"/>
        </w:rPr>
        <w:t xml:space="preserve">autoridades </w:t>
      </w:r>
      <w:r w:rsidR="00193AAA" w:rsidRPr="006D1C74">
        <w:rPr>
          <w:rFonts w:ascii="Cambria" w:hAnsi="Cambria"/>
          <w:sz w:val="20"/>
          <w:szCs w:val="20"/>
          <w:lang w:val="pt-BR"/>
        </w:rPr>
        <w:t>sabiam</w:t>
      </w:r>
      <w:r w:rsidR="00795010" w:rsidRPr="006D1C74">
        <w:rPr>
          <w:rFonts w:ascii="Cambria" w:hAnsi="Cambria"/>
          <w:sz w:val="20"/>
          <w:szCs w:val="20"/>
          <w:lang w:val="pt-BR"/>
        </w:rPr>
        <w:t xml:space="preserve"> da </w:t>
      </w:r>
      <w:r w:rsidR="00193AAA" w:rsidRPr="006D1C74">
        <w:rPr>
          <w:rFonts w:ascii="Cambria" w:hAnsi="Cambria"/>
          <w:sz w:val="20"/>
          <w:szCs w:val="20"/>
          <w:lang w:val="pt-BR"/>
        </w:rPr>
        <w:t>iminência</w:t>
      </w:r>
      <w:r w:rsidR="00795010" w:rsidRPr="006D1C74">
        <w:rPr>
          <w:rFonts w:ascii="Cambria" w:hAnsi="Cambria"/>
          <w:sz w:val="20"/>
          <w:szCs w:val="20"/>
          <w:lang w:val="pt-BR"/>
        </w:rPr>
        <w:t xml:space="preserve"> da </w:t>
      </w:r>
      <w:r w:rsidR="002649F0" w:rsidRPr="006D1C74">
        <w:rPr>
          <w:rFonts w:ascii="Cambria" w:hAnsi="Cambria"/>
          <w:sz w:val="20"/>
          <w:szCs w:val="20"/>
          <w:lang w:val="pt-BR"/>
        </w:rPr>
        <w:t>realiza</w:t>
      </w:r>
      <w:r w:rsidR="00CF037E" w:rsidRPr="006D1C74">
        <w:rPr>
          <w:rFonts w:ascii="Cambria" w:hAnsi="Cambria"/>
          <w:sz w:val="20"/>
          <w:szCs w:val="20"/>
          <w:lang w:val="pt-BR"/>
        </w:rPr>
        <w:t>ção</w:t>
      </w:r>
      <w:r w:rsidR="002649F0" w:rsidRPr="006D1C74">
        <w:rPr>
          <w:rFonts w:ascii="Cambria" w:hAnsi="Cambria"/>
          <w:sz w:val="20"/>
          <w:szCs w:val="20"/>
          <w:lang w:val="pt-BR"/>
        </w:rPr>
        <w:t xml:space="preserve"> de</w:t>
      </w:r>
      <w:r w:rsidR="00030019" w:rsidRPr="006D1C74">
        <w:rPr>
          <w:rFonts w:ascii="Cambria" w:hAnsi="Cambria"/>
          <w:sz w:val="20"/>
          <w:szCs w:val="20"/>
          <w:lang w:val="pt-BR"/>
        </w:rPr>
        <w:t xml:space="preserve"> uma </w:t>
      </w:r>
      <w:r w:rsidR="002649F0" w:rsidRPr="006D1C74">
        <w:rPr>
          <w:rFonts w:ascii="Cambria" w:hAnsi="Cambria"/>
          <w:sz w:val="20"/>
          <w:szCs w:val="20"/>
          <w:lang w:val="pt-BR"/>
        </w:rPr>
        <w:t>marcha</w:t>
      </w:r>
      <w:r w:rsidR="00CF037E" w:rsidRPr="006D1C74">
        <w:rPr>
          <w:rFonts w:ascii="Cambria" w:hAnsi="Cambria"/>
          <w:sz w:val="20"/>
          <w:szCs w:val="20"/>
          <w:lang w:val="pt-BR"/>
        </w:rPr>
        <w:t xml:space="preserve"> e </w:t>
      </w:r>
      <w:r w:rsidR="002649F0" w:rsidRPr="006D1C74">
        <w:rPr>
          <w:rFonts w:ascii="Cambria" w:hAnsi="Cambria"/>
          <w:sz w:val="20"/>
          <w:szCs w:val="20"/>
          <w:lang w:val="pt-BR"/>
        </w:rPr>
        <w:t>manifesta</w:t>
      </w:r>
      <w:r w:rsidR="00CF037E" w:rsidRPr="006D1C74">
        <w:rPr>
          <w:rFonts w:ascii="Cambria" w:hAnsi="Cambria"/>
          <w:sz w:val="20"/>
          <w:szCs w:val="20"/>
          <w:lang w:val="pt-BR"/>
        </w:rPr>
        <w:t>ção</w:t>
      </w:r>
      <w:r w:rsidR="002649F0" w:rsidRPr="006D1C74">
        <w:rPr>
          <w:rFonts w:ascii="Cambria" w:hAnsi="Cambria"/>
          <w:sz w:val="20"/>
          <w:szCs w:val="20"/>
          <w:lang w:val="pt-BR"/>
        </w:rPr>
        <w:t xml:space="preserve"> popular</w:t>
      </w:r>
      <w:r w:rsidR="00700267" w:rsidRPr="006D1C74">
        <w:rPr>
          <w:rFonts w:ascii="Cambria" w:hAnsi="Cambria"/>
          <w:sz w:val="20"/>
          <w:szCs w:val="20"/>
          <w:lang w:val="pt-BR"/>
        </w:rPr>
        <w:t xml:space="preserve"> </w:t>
      </w:r>
      <w:r w:rsidR="00F115D8" w:rsidRPr="006D1C74">
        <w:rPr>
          <w:rFonts w:ascii="Cambria" w:hAnsi="Cambria"/>
          <w:sz w:val="20"/>
          <w:szCs w:val="20"/>
          <w:lang w:val="pt-BR"/>
        </w:rPr>
        <w:t>n</w:t>
      </w:r>
      <w:r w:rsidR="00700267" w:rsidRPr="006D1C74">
        <w:rPr>
          <w:rFonts w:ascii="Cambria" w:hAnsi="Cambria"/>
          <w:sz w:val="20"/>
          <w:szCs w:val="20"/>
          <w:lang w:val="pt-BR"/>
        </w:rPr>
        <w:t xml:space="preserve">o </w:t>
      </w:r>
      <w:r w:rsidR="002649F0" w:rsidRPr="006D1C74">
        <w:rPr>
          <w:rFonts w:ascii="Cambria" w:hAnsi="Cambria"/>
          <w:sz w:val="20"/>
          <w:szCs w:val="20"/>
          <w:lang w:val="pt-BR"/>
        </w:rPr>
        <w:t>d</w:t>
      </w:r>
      <w:r w:rsidR="00055622" w:rsidRPr="006D1C74">
        <w:rPr>
          <w:rFonts w:ascii="Cambria" w:hAnsi="Cambria"/>
          <w:sz w:val="20"/>
          <w:szCs w:val="20"/>
          <w:lang w:val="pt-BR"/>
        </w:rPr>
        <w:t>ia</w:t>
      </w:r>
      <w:r w:rsidR="00700267" w:rsidRPr="006D1C74">
        <w:rPr>
          <w:rFonts w:ascii="Cambria" w:hAnsi="Cambria"/>
          <w:sz w:val="20"/>
          <w:szCs w:val="20"/>
          <w:lang w:val="pt-BR"/>
        </w:rPr>
        <w:t xml:space="preserve"> dos </w:t>
      </w:r>
      <w:r w:rsidR="00F37852" w:rsidRPr="006D1C74">
        <w:rPr>
          <w:rFonts w:ascii="Cambria" w:hAnsi="Cambria"/>
          <w:sz w:val="20"/>
          <w:szCs w:val="20"/>
          <w:lang w:val="pt-BR"/>
        </w:rPr>
        <w:t>fato</w:t>
      </w:r>
      <w:r w:rsidR="002649F0" w:rsidRPr="006D1C74">
        <w:rPr>
          <w:rFonts w:ascii="Cambria" w:hAnsi="Cambria"/>
          <w:sz w:val="20"/>
          <w:szCs w:val="20"/>
          <w:lang w:val="pt-BR"/>
        </w:rPr>
        <w:t xml:space="preserve">s </w:t>
      </w:r>
      <w:r w:rsidR="00F115D8" w:rsidRPr="006D1C74">
        <w:rPr>
          <w:rFonts w:ascii="Cambria" w:hAnsi="Cambria"/>
          <w:sz w:val="20"/>
          <w:szCs w:val="20"/>
          <w:lang w:val="pt-BR"/>
        </w:rPr>
        <w:t>e</w:t>
      </w:r>
      <w:r w:rsidR="002649F0" w:rsidRPr="006D1C74">
        <w:rPr>
          <w:rFonts w:ascii="Cambria" w:hAnsi="Cambria"/>
          <w:sz w:val="20"/>
          <w:szCs w:val="20"/>
          <w:lang w:val="pt-BR"/>
        </w:rPr>
        <w:t>,</w:t>
      </w:r>
      <w:r w:rsidR="00F673C7" w:rsidRPr="006D1C74">
        <w:rPr>
          <w:rFonts w:ascii="Cambria" w:hAnsi="Cambria"/>
          <w:sz w:val="20"/>
          <w:szCs w:val="20"/>
          <w:lang w:val="pt-BR"/>
        </w:rPr>
        <w:t xml:space="preserve"> em </w:t>
      </w:r>
      <w:r w:rsidR="002649F0" w:rsidRPr="006D1C74">
        <w:rPr>
          <w:rFonts w:ascii="Cambria" w:hAnsi="Cambria"/>
          <w:sz w:val="20"/>
          <w:szCs w:val="20"/>
          <w:lang w:val="pt-BR"/>
        </w:rPr>
        <w:t xml:space="preserve">vez de tomar medidas para proteger </w:t>
      </w:r>
      <w:r w:rsidR="00193AAA" w:rsidRPr="006D1C74">
        <w:rPr>
          <w:rFonts w:ascii="Cambria" w:hAnsi="Cambria"/>
          <w:sz w:val="20"/>
          <w:szCs w:val="20"/>
          <w:lang w:val="pt-BR"/>
        </w:rPr>
        <w:lastRenderedPageBreak/>
        <w:t>essas</w:t>
      </w:r>
      <w:r w:rsidR="002649F0" w:rsidRPr="006D1C74">
        <w:rPr>
          <w:rFonts w:ascii="Cambria" w:hAnsi="Cambria"/>
          <w:sz w:val="20"/>
          <w:szCs w:val="20"/>
          <w:lang w:val="pt-BR"/>
        </w:rPr>
        <w:t xml:space="preserve"> </w:t>
      </w:r>
      <w:r w:rsidR="00CA7940" w:rsidRPr="006D1C74">
        <w:rPr>
          <w:rFonts w:ascii="Cambria" w:hAnsi="Cambria"/>
          <w:sz w:val="20"/>
          <w:szCs w:val="20"/>
          <w:lang w:val="pt-BR"/>
        </w:rPr>
        <w:t>pessoa</w:t>
      </w:r>
      <w:r w:rsidR="002649F0" w:rsidRPr="006D1C74">
        <w:rPr>
          <w:rFonts w:ascii="Cambria" w:hAnsi="Cambria"/>
          <w:sz w:val="20"/>
          <w:szCs w:val="20"/>
          <w:lang w:val="pt-BR"/>
        </w:rPr>
        <w:t xml:space="preserve">s, </w:t>
      </w:r>
      <w:r w:rsidR="00193AAA" w:rsidRPr="006D1C74">
        <w:rPr>
          <w:rFonts w:ascii="Cambria" w:hAnsi="Cambria"/>
          <w:sz w:val="20"/>
          <w:szCs w:val="20"/>
          <w:lang w:val="pt-BR"/>
        </w:rPr>
        <w:t>alertaram</w:t>
      </w:r>
      <w:r w:rsidR="00030019" w:rsidRPr="006D1C74">
        <w:rPr>
          <w:rFonts w:ascii="Cambria" w:hAnsi="Cambria"/>
          <w:sz w:val="20"/>
          <w:szCs w:val="20"/>
          <w:lang w:val="pt-BR"/>
        </w:rPr>
        <w:t xml:space="preserve"> </w:t>
      </w:r>
      <w:r w:rsidR="00F115D8" w:rsidRPr="006D1C74">
        <w:rPr>
          <w:rFonts w:ascii="Cambria" w:hAnsi="Cambria"/>
          <w:sz w:val="20"/>
          <w:szCs w:val="20"/>
          <w:lang w:val="pt-BR"/>
        </w:rPr>
        <w:t>a</w:t>
      </w:r>
      <w:r w:rsidR="00030019" w:rsidRPr="006D1C74">
        <w:rPr>
          <w:rFonts w:ascii="Cambria" w:hAnsi="Cambria"/>
          <w:sz w:val="20"/>
          <w:szCs w:val="20"/>
          <w:lang w:val="pt-BR"/>
        </w:rPr>
        <w:t xml:space="preserve"> </w:t>
      </w:r>
      <w:r w:rsidR="00F37852" w:rsidRPr="006D1C74">
        <w:rPr>
          <w:rFonts w:ascii="Cambria" w:hAnsi="Cambria"/>
          <w:sz w:val="20"/>
          <w:szCs w:val="20"/>
          <w:lang w:val="pt-BR"/>
        </w:rPr>
        <w:t>polícia</w:t>
      </w:r>
      <w:r w:rsidR="006234CC" w:rsidRPr="006D1C74">
        <w:rPr>
          <w:rFonts w:ascii="Cambria" w:hAnsi="Cambria"/>
          <w:sz w:val="20"/>
          <w:szCs w:val="20"/>
          <w:lang w:val="pt-BR"/>
        </w:rPr>
        <w:t xml:space="preserve"> militar</w:t>
      </w:r>
      <w:r w:rsidR="002649F0" w:rsidRPr="006D1C74">
        <w:rPr>
          <w:rFonts w:ascii="Cambria" w:hAnsi="Cambria"/>
          <w:sz w:val="20"/>
          <w:szCs w:val="20"/>
          <w:lang w:val="pt-BR"/>
        </w:rPr>
        <w:t xml:space="preserve"> justamente para impedir</w:t>
      </w:r>
      <w:r w:rsidR="00700267" w:rsidRPr="006D1C74">
        <w:rPr>
          <w:rFonts w:ascii="Cambria" w:hAnsi="Cambria"/>
          <w:sz w:val="20"/>
          <w:szCs w:val="20"/>
          <w:lang w:val="pt-BR"/>
        </w:rPr>
        <w:t xml:space="preserve"> o </w:t>
      </w:r>
      <w:r w:rsidR="00193AAA">
        <w:rPr>
          <w:rFonts w:ascii="Cambria" w:hAnsi="Cambria"/>
          <w:sz w:val="20"/>
          <w:szCs w:val="20"/>
          <w:lang w:val="pt-BR"/>
        </w:rPr>
        <w:t>exerc</w:t>
      </w:r>
      <w:r w:rsidR="00193AAA" w:rsidRPr="006D1C74">
        <w:rPr>
          <w:rFonts w:ascii="Cambria" w:hAnsi="Cambria"/>
          <w:sz w:val="20"/>
          <w:szCs w:val="20"/>
          <w:lang w:val="pt-BR"/>
        </w:rPr>
        <w:t>ício</w:t>
      </w:r>
      <w:r w:rsidR="002649F0" w:rsidRPr="006D1C74">
        <w:rPr>
          <w:rFonts w:ascii="Cambria" w:hAnsi="Cambria"/>
          <w:sz w:val="20"/>
          <w:szCs w:val="20"/>
          <w:lang w:val="pt-BR"/>
        </w:rPr>
        <w:t xml:space="preserve"> de </w:t>
      </w:r>
      <w:r w:rsidR="00417BE8" w:rsidRPr="006D1C74">
        <w:rPr>
          <w:rFonts w:ascii="Cambria" w:hAnsi="Cambria"/>
          <w:sz w:val="20"/>
          <w:szCs w:val="20"/>
          <w:lang w:val="pt-BR"/>
        </w:rPr>
        <w:t>direito</w:t>
      </w:r>
      <w:r w:rsidR="002649F0" w:rsidRPr="006D1C74">
        <w:rPr>
          <w:rFonts w:ascii="Cambria" w:hAnsi="Cambria"/>
          <w:sz w:val="20"/>
          <w:szCs w:val="20"/>
          <w:lang w:val="pt-BR"/>
        </w:rPr>
        <w:t xml:space="preserve">s legítimos, </w:t>
      </w:r>
      <w:r w:rsidR="00193AAA" w:rsidRPr="006D1C74">
        <w:rPr>
          <w:rFonts w:ascii="Cambria" w:hAnsi="Cambria"/>
          <w:sz w:val="20"/>
          <w:szCs w:val="20"/>
          <w:lang w:val="pt-BR"/>
        </w:rPr>
        <w:t>baseando-se</w:t>
      </w:r>
      <w:r w:rsidR="00F673C7" w:rsidRPr="006D1C74">
        <w:rPr>
          <w:rFonts w:ascii="Cambria" w:hAnsi="Cambria"/>
          <w:sz w:val="20"/>
          <w:szCs w:val="20"/>
          <w:lang w:val="pt-BR"/>
        </w:rPr>
        <w:t xml:space="preserve"> em </w:t>
      </w:r>
      <w:r w:rsidR="00030019" w:rsidRPr="006D1C74">
        <w:rPr>
          <w:rFonts w:ascii="Cambria" w:hAnsi="Cambria"/>
          <w:sz w:val="20"/>
          <w:szCs w:val="20"/>
          <w:lang w:val="pt-BR"/>
        </w:rPr>
        <w:t xml:space="preserve">uma </w:t>
      </w:r>
      <w:r w:rsidR="002649F0" w:rsidRPr="006D1C74">
        <w:rPr>
          <w:rFonts w:ascii="Cambria" w:hAnsi="Cambria"/>
          <w:sz w:val="20"/>
          <w:szCs w:val="20"/>
          <w:lang w:val="pt-BR"/>
        </w:rPr>
        <w:t>deci</w:t>
      </w:r>
      <w:r w:rsidR="0094446B" w:rsidRPr="006D1C74">
        <w:rPr>
          <w:rFonts w:ascii="Cambria" w:hAnsi="Cambria"/>
          <w:sz w:val="20"/>
          <w:szCs w:val="20"/>
          <w:lang w:val="pt-BR"/>
        </w:rPr>
        <w:t>são</w:t>
      </w:r>
      <w:r w:rsidR="002649F0" w:rsidRPr="006D1C74">
        <w:rPr>
          <w:rFonts w:ascii="Cambria" w:hAnsi="Cambria"/>
          <w:sz w:val="20"/>
          <w:szCs w:val="20"/>
          <w:lang w:val="pt-BR"/>
        </w:rPr>
        <w:t xml:space="preserve"> judicial</w:t>
      </w:r>
      <w:r w:rsidR="00F673C7" w:rsidRPr="006D1C74">
        <w:rPr>
          <w:rFonts w:ascii="Cambria" w:hAnsi="Cambria"/>
          <w:sz w:val="20"/>
          <w:szCs w:val="20"/>
          <w:lang w:val="pt-BR"/>
        </w:rPr>
        <w:t xml:space="preserve"> na </w:t>
      </w:r>
      <w:r w:rsidR="002649F0" w:rsidRPr="006D1C74">
        <w:rPr>
          <w:rFonts w:ascii="Cambria" w:hAnsi="Cambria"/>
          <w:sz w:val="20"/>
          <w:szCs w:val="20"/>
          <w:lang w:val="pt-BR"/>
        </w:rPr>
        <w:t>qu</w:t>
      </w:r>
      <w:r w:rsidR="00F115D8" w:rsidRPr="006D1C74">
        <w:rPr>
          <w:rFonts w:ascii="Cambria" w:hAnsi="Cambria"/>
          <w:sz w:val="20"/>
          <w:szCs w:val="20"/>
          <w:lang w:val="pt-BR"/>
        </w:rPr>
        <w:t>al</w:t>
      </w:r>
      <w:r w:rsidR="002649F0" w:rsidRPr="006D1C74">
        <w:rPr>
          <w:rFonts w:ascii="Cambria" w:hAnsi="Cambria"/>
          <w:sz w:val="20"/>
          <w:szCs w:val="20"/>
          <w:lang w:val="pt-BR"/>
        </w:rPr>
        <w:t xml:space="preserve"> inclus</w:t>
      </w:r>
      <w:r w:rsidR="00F115D8" w:rsidRPr="006D1C74">
        <w:rPr>
          <w:rFonts w:ascii="Cambria" w:hAnsi="Cambria"/>
          <w:sz w:val="20"/>
          <w:szCs w:val="20"/>
          <w:lang w:val="pt-BR"/>
        </w:rPr>
        <w:t>ive</w:t>
      </w:r>
      <w:r w:rsidR="002649F0" w:rsidRPr="006D1C74">
        <w:rPr>
          <w:rFonts w:ascii="Cambria" w:hAnsi="Cambria"/>
          <w:sz w:val="20"/>
          <w:szCs w:val="20"/>
          <w:lang w:val="pt-BR"/>
        </w:rPr>
        <w:t xml:space="preserve"> se re</w:t>
      </w:r>
      <w:r w:rsidR="00F115D8" w:rsidRPr="006D1C74">
        <w:rPr>
          <w:rFonts w:ascii="Cambria" w:hAnsi="Cambria"/>
          <w:sz w:val="20"/>
          <w:szCs w:val="20"/>
          <w:lang w:val="pt-BR"/>
        </w:rPr>
        <w:t>ssaltava</w:t>
      </w:r>
      <w:r w:rsidR="002649F0" w:rsidRPr="006D1C74">
        <w:rPr>
          <w:rFonts w:ascii="Cambria" w:hAnsi="Cambria"/>
          <w:sz w:val="20"/>
          <w:szCs w:val="20"/>
          <w:lang w:val="pt-BR"/>
        </w:rPr>
        <w:t xml:space="preserve"> que</w:t>
      </w:r>
      <w:r w:rsidR="00F673C7" w:rsidRPr="006D1C74">
        <w:rPr>
          <w:rFonts w:ascii="Cambria" w:hAnsi="Cambria"/>
          <w:sz w:val="20"/>
          <w:szCs w:val="20"/>
          <w:lang w:val="pt-BR"/>
        </w:rPr>
        <w:t xml:space="preserve"> não </w:t>
      </w:r>
      <w:r w:rsidR="002649F0" w:rsidRPr="006D1C74">
        <w:rPr>
          <w:rFonts w:ascii="Cambria" w:hAnsi="Cambria"/>
          <w:sz w:val="20"/>
          <w:szCs w:val="20"/>
          <w:lang w:val="pt-BR"/>
        </w:rPr>
        <w:t>pod</w:t>
      </w:r>
      <w:r w:rsidR="00055622" w:rsidRPr="006D1C74">
        <w:rPr>
          <w:rFonts w:ascii="Cambria" w:hAnsi="Cambria"/>
          <w:sz w:val="20"/>
          <w:szCs w:val="20"/>
          <w:lang w:val="pt-BR"/>
        </w:rPr>
        <w:t>ia</w:t>
      </w:r>
      <w:r w:rsidR="00F115D8" w:rsidRPr="006D1C74">
        <w:rPr>
          <w:rFonts w:ascii="Cambria" w:hAnsi="Cambria"/>
          <w:sz w:val="20"/>
          <w:szCs w:val="20"/>
          <w:lang w:val="pt-BR"/>
        </w:rPr>
        <w:t>m ser</w:t>
      </w:r>
      <w:r w:rsidR="002649F0" w:rsidRPr="006D1C74">
        <w:rPr>
          <w:rFonts w:ascii="Cambria" w:hAnsi="Cambria"/>
          <w:sz w:val="20"/>
          <w:szCs w:val="20"/>
          <w:lang w:val="pt-BR"/>
        </w:rPr>
        <w:t xml:space="preserve"> restringi</w:t>
      </w:r>
      <w:r w:rsidR="00F115D8" w:rsidRPr="006D1C74">
        <w:rPr>
          <w:rFonts w:ascii="Cambria" w:hAnsi="Cambria"/>
          <w:sz w:val="20"/>
          <w:szCs w:val="20"/>
          <w:lang w:val="pt-BR"/>
        </w:rPr>
        <w:t>dos</w:t>
      </w:r>
      <w:r w:rsidR="002649F0" w:rsidRPr="006D1C74">
        <w:rPr>
          <w:rFonts w:ascii="Cambria" w:hAnsi="Cambria"/>
          <w:sz w:val="20"/>
          <w:szCs w:val="20"/>
          <w:lang w:val="pt-BR"/>
        </w:rPr>
        <w:t>.</w:t>
      </w:r>
      <w:r w:rsidR="00217759" w:rsidRPr="006D1C74">
        <w:rPr>
          <w:rFonts w:ascii="Cambria" w:hAnsi="Cambria"/>
          <w:sz w:val="20"/>
          <w:szCs w:val="20"/>
          <w:lang w:val="pt-BR"/>
        </w:rPr>
        <w:t xml:space="preserve"> </w:t>
      </w:r>
      <w:r w:rsidR="00F115D8" w:rsidRPr="006D1C74">
        <w:rPr>
          <w:rFonts w:ascii="Cambria" w:hAnsi="Cambria"/>
          <w:sz w:val="20"/>
          <w:szCs w:val="20"/>
          <w:lang w:val="pt-BR"/>
        </w:rPr>
        <w:t>A esse</w:t>
      </w:r>
      <w:r w:rsidR="00217759" w:rsidRPr="006D1C74">
        <w:rPr>
          <w:rFonts w:ascii="Cambria" w:hAnsi="Cambria"/>
          <w:sz w:val="20"/>
          <w:szCs w:val="20"/>
          <w:lang w:val="pt-BR"/>
        </w:rPr>
        <w:t xml:space="preserve"> </w:t>
      </w:r>
      <w:r w:rsidR="00156036" w:rsidRPr="006D1C74">
        <w:rPr>
          <w:rFonts w:ascii="Cambria" w:hAnsi="Cambria"/>
          <w:sz w:val="20"/>
          <w:szCs w:val="20"/>
          <w:lang w:val="pt-BR"/>
        </w:rPr>
        <w:t>respeito</w:t>
      </w:r>
      <w:r w:rsidR="00565F62" w:rsidRPr="006D1C74">
        <w:rPr>
          <w:rFonts w:ascii="Cambria" w:hAnsi="Cambria"/>
          <w:sz w:val="20"/>
          <w:szCs w:val="20"/>
          <w:lang w:val="pt-BR"/>
        </w:rPr>
        <w:t>,</w:t>
      </w:r>
      <w:r w:rsidR="00700267" w:rsidRPr="006D1C74">
        <w:rPr>
          <w:rFonts w:ascii="Cambria" w:hAnsi="Cambria"/>
          <w:sz w:val="20"/>
          <w:szCs w:val="20"/>
          <w:lang w:val="pt-BR"/>
        </w:rPr>
        <w:t xml:space="preserve"> a </w:t>
      </w:r>
      <w:r w:rsidR="00417BE8" w:rsidRPr="006D1C74">
        <w:rPr>
          <w:rFonts w:ascii="Cambria" w:hAnsi="Cambria"/>
          <w:sz w:val="20"/>
          <w:szCs w:val="20"/>
          <w:lang w:val="pt-BR"/>
        </w:rPr>
        <w:t>Comissão</w:t>
      </w:r>
      <w:r w:rsidR="00565F62" w:rsidRPr="006D1C74">
        <w:rPr>
          <w:rFonts w:ascii="Cambria" w:hAnsi="Cambria"/>
          <w:sz w:val="20"/>
          <w:szCs w:val="20"/>
          <w:lang w:val="pt-BR"/>
        </w:rPr>
        <w:t xml:space="preserve"> </w:t>
      </w:r>
      <w:r w:rsidR="00193AAA" w:rsidRPr="006D1C74">
        <w:rPr>
          <w:rFonts w:ascii="Cambria" w:hAnsi="Cambria"/>
          <w:sz w:val="20"/>
          <w:szCs w:val="20"/>
          <w:lang w:val="pt-BR"/>
        </w:rPr>
        <w:t>estabeleceu</w:t>
      </w:r>
      <w:r w:rsidR="00565F62" w:rsidRPr="006D1C74">
        <w:rPr>
          <w:rFonts w:ascii="Cambria" w:hAnsi="Cambria"/>
          <w:sz w:val="20"/>
          <w:szCs w:val="20"/>
          <w:lang w:val="pt-BR"/>
        </w:rPr>
        <w:t xml:space="preserve"> que</w:t>
      </w:r>
      <w:r w:rsidR="00700267" w:rsidRPr="006D1C74">
        <w:rPr>
          <w:rFonts w:ascii="Cambria" w:hAnsi="Cambria"/>
          <w:sz w:val="20"/>
          <w:szCs w:val="20"/>
          <w:lang w:val="pt-BR"/>
        </w:rPr>
        <w:t xml:space="preserve"> as </w:t>
      </w:r>
      <w:r w:rsidR="00193AAA" w:rsidRPr="006D1C74">
        <w:rPr>
          <w:rFonts w:ascii="Cambria" w:hAnsi="Cambria"/>
          <w:sz w:val="20"/>
          <w:szCs w:val="20"/>
          <w:lang w:val="pt-BR"/>
        </w:rPr>
        <w:t>instituições</w:t>
      </w:r>
      <w:r w:rsidR="00565F62" w:rsidRPr="006D1C74">
        <w:rPr>
          <w:rFonts w:ascii="Cambria" w:hAnsi="Cambria"/>
          <w:sz w:val="20"/>
          <w:szCs w:val="20"/>
          <w:lang w:val="pt-BR"/>
        </w:rPr>
        <w:t xml:space="preserve"> competentes</w:t>
      </w:r>
      <w:r w:rsidR="00030019" w:rsidRPr="006D1C74">
        <w:rPr>
          <w:rFonts w:ascii="Cambria" w:hAnsi="Cambria"/>
          <w:sz w:val="20"/>
          <w:szCs w:val="20"/>
          <w:lang w:val="pt-BR"/>
        </w:rPr>
        <w:t xml:space="preserve"> do </w:t>
      </w:r>
      <w:r w:rsidR="00565F62" w:rsidRPr="006D1C74">
        <w:rPr>
          <w:rFonts w:ascii="Cambria" w:hAnsi="Cambria"/>
          <w:sz w:val="20"/>
          <w:szCs w:val="20"/>
          <w:lang w:val="pt-BR"/>
        </w:rPr>
        <w:t>Estado t</w:t>
      </w:r>
      <w:r w:rsidR="00DD6DB2" w:rsidRPr="006D1C74">
        <w:rPr>
          <w:rFonts w:ascii="Cambria" w:hAnsi="Cambria"/>
          <w:sz w:val="20"/>
          <w:szCs w:val="20"/>
          <w:lang w:val="pt-BR"/>
        </w:rPr>
        <w:t>êm</w:t>
      </w:r>
      <w:r w:rsidR="00700267" w:rsidRPr="006D1C74">
        <w:rPr>
          <w:rFonts w:ascii="Cambria" w:hAnsi="Cambria"/>
          <w:sz w:val="20"/>
          <w:szCs w:val="20"/>
          <w:lang w:val="pt-BR"/>
        </w:rPr>
        <w:t xml:space="preserve"> o </w:t>
      </w:r>
      <w:r w:rsidR="00585D35" w:rsidRPr="006D1C74">
        <w:rPr>
          <w:rFonts w:ascii="Cambria" w:hAnsi="Cambria"/>
          <w:sz w:val="20"/>
          <w:szCs w:val="20"/>
          <w:lang w:val="pt-BR"/>
        </w:rPr>
        <w:t>dev</w:t>
      </w:r>
      <w:r w:rsidR="00565F62" w:rsidRPr="006D1C74">
        <w:rPr>
          <w:rFonts w:ascii="Cambria" w:hAnsi="Cambria"/>
          <w:sz w:val="20"/>
          <w:szCs w:val="20"/>
          <w:lang w:val="pt-BR"/>
        </w:rPr>
        <w:t xml:space="preserve">er de </w:t>
      </w:r>
      <w:r w:rsidR="00DD6DB2" w:rsidRPr="006D1C74">
        <w:rPr>
          <w:rFonts w:ascii="Cambria" w:hAnsi="Cambria"/>
          <w:sz w:val="20"/>
          <w:szCs w:val="20"/>
          <w:lang w:val="pt-BR"/>
        </w:rPr>
        <w:t>formular</w:t>
      </w:r>
      <w:r w:rsidR="00565F62" w:rsidRPr="006D1C74">
        <w:rPr>
          <w:rFonts w:ascii="Cambria" w:hAnsi="Cambria"/>
          <w:sz w:val="20"/>
          <w:szCs w:val="20"/>
          <w:lang w:val="pt-BR"/>
        </w:rPr>
        <w:t xml:space="preserve"> plan</w:t>
      </w:r>
      <w:r w:rsidR="003207BF">
        <w:rPr>
          <w:rFonts w:ascii="Cambria" w:hAnsi="Cambria"/>
          <w:sz w:val="20"/>
          <w:szCs w:val="20"/>
          <w:lang w:val="pt-BR"/>
        </w:rPr>
        <w:t>o</w:t>
      </w:r>
      <w:r w:rsidR="00565F62" w:rsidRPr="006D1C74">
        <w:rPr>
          <w:rFonts w:ascii="Cambria" w:hAnsi="Cambria"/>
          <w:sz w:val="20"/>
          <w:szCs w:val="20"/>
          <w:lang w:val="pt-BR"/>
        </w:rPr>
        <w:t>s</w:t>
      </w:r>
      <w:r w:rsidR="00CF037E" w:rsidRPr="006D1C74">
        <w:rPr>
          <w:rFonts w:ascii="Cambria" w:hAnsi="Cambria"/>
          <w:sz w:val="20"/>
          <w:szCs w:val="20"/>
          <w:lang w:val="pt-BR"/>
        </w:rPr>
        <w:t xml:space="preserve"> e </w:t>
      </w:r>
      <w:r w:rsidR="00565F62" w:rsidRPr="006D1C74">
        <w:rPr>
          <w:rFonts w:ascii="Cambria" w:hAnsi="Cambria"/>
          <w:sz w:val="20"/>
          <w:szCs w:val="20"/>
          <w:lang w:val="pt-BR"/>
        </w:rPr>
        <w:t>procedi</w:t>
      </w:r>
      <w:r w:rsidR="00700267" w:rsidRPr="006D1C74">
        <w:rPr>
          <w:rFonts w:ascii="Cambria" w:hAnsi="Cambria"/>
          <w:sz w:val="20"/>
          <w:szCs w:val="20"/>
          <w:lang w:val="pt-BR"/>
        </w:rPr>
        <w:t>mento</w:t>
      </w:r>
      <w:r w:rsidR="00565F62" w:rsidRPr="006D1C74">
        <w:rPr>
          <w:rFonts w:ascii="Cambria" w:hAnsi="Cambria"/>
          <w:sz w:val="20"/>
          <w:szCs w:val="20"/>
          <w:lang w:val="pt-BR"/>
        </w:rPr>
        <w:t>s opera</w:t>
      </w:r>
      <w:r w:rsidR="00DD6DB2" w:rsidRPr="006D1C74">
        <w:rPr>
          <w:rFonts w:ascii="Cambria" w:hAnsi="Cambria"/>
          <w:sz w:val="20"/>
          <w:szCs w:val="20"/>
          <w:lang w:val="pt-BR"/>
        </w:rPr>
        <w:t>cionais</w:t>
      </w:r>
      <w:r w:rsidR="00565F62" w:rsidRPr="006D1C74">
        <w:rPr>
          <w:rFonts w:ascii="Cambria" w:hAnsi="Cambria"/>
          <w:sz w:val="20"/>
          <w:szCs w:val="20"/>
          <w:lang w:val="pt-BR"/>
        </w:rPr>
        <w:t xml:space="preserve"> ade</w:t>
      </w:r>
      <w:r w:rsidR="003705A2">
        <w:rPr>
          <w:rFonts w:ascii="Cambria" w:hAnsi="Cambria"/>
          <w:sz w:val="20"/>
          <w:szCs w:val="20"/>
          <w:lang w:val="pt-BR"/>
        </w:rPr>
        <w:t>qua</w:t>
      </w:r>
      <w:r w:rsidR="00565F62" w:rsidRPr="006D1C74">
        <w:rPr>
          <w:rFonts w:ascii="Cambria" w:hAnsi="Cambria"/>
          <w:sz w:val="20"/>
          <w:szCs w:val="20"/>
          <w:lang w:val="pt-BR"/>
        </w:rPr>
        <w:t>dos, tendo como objetivo principal</w:t>
      </w:r>
      <w:r w:rsidR="00700267" w:rsidRPr="006D1C74">
        <w:rPr>
          <w:rFonts w:ascii="Cambria" w:hAnsi="Cambria"/>
          <w:sz w:val="20"/>
          <w:szCs w:val="20"/>
          <w:lang w:val="pt-BR"/>
        </w:rPr>
        <w:t xml:space="preserve"> a </w:t>
      </w:r>
      <w:r w:rsidR="00565F62" w:rsidRPr="006D1C74">
        <w:rPr>
          <w:rFonts w:ascii="Cambria" w:hAnsi="Cambria"/>
          <w:sz w:val="20"/>
          <w:szCs w:val="20"/>
          <w:lang w:val="pt-BR"/>
        </w:rPr>
        <w:t>facilita</w:t>
      </w:r>
      <w:r w:rsidR="00CF037E" w:rsidRPr="006D1C74">
        <w:rPr>
          <w:rFonts w:ascii="Cambria" w:hAnsi="Cambria"/>
          <w:sz w:val="20"/>
          <w:szCs w:val="20"/>
          <w:lang w:val="pt-BR"/>
        </w:rPr>
        <w:t>ção</w:t>
      </w:r>
      <w:r w:rsidR="00795010" w:rsidRPr="006D1C74">
        <w:rPr>
          <w:rFonts w:ascii="Cambria" w:hAnsi="Cambria"/>
          <w:sz w:val="20"/>
          <w:szCs w:val="20"/>
          <w:lang w:val="pt-BR"/>
        </w:rPr>
        <w:t xml:space="preserve"> d</w:t>
      </w:r>
      <w:r w:rsidR="00DD6DB2" w:rsidRPr="006D1C74">
        <w:rPr>
          <w:rFonts w:ascii="Cambria" w:hAnsi="Cambria"/>
          <w:sz w:val="20"/>
          <w:szCs w:val="20"/>
          <w:lang w:val="pt-BR"/>
        </w:rPr>
        <w:t>o</w:t>
      </w:r>
      <w:r w:rsidR="00795010" w:rsidRPr="006D1C74">
        <w:rPr>
          <w:rFonts w:ascii="Cambria" w:hAnsi="Cambria"/>
          <w:sz w:val="20"/>
          <w:szCs w:val="20"/>
          <w:lang w:val="pt-BR"/>
        </w:rPr>
        <w:t xml:space="preserve"> </w:t>
      </w:r>
      <w:r w:rsidR="00565F62" w:rsidRPr="006D1C74">
        <w:rPr>
          <w:rFonts w:ascii="Cambria" w:hAnsi="Cambria"/>
          <w:sz w:val="20"/>
          <w:szCs w:val="20"/>
          <w:lang w:val="pt-BR"/>
        </w:rPr>
        <w:t>protest</w:t>
      </w:r>
      <w:r w:rsidR="00DD6DB2" w:rsidRPr="006D1C74">
        <w:rPr>
          <w:rFonts w:ascii="Cambria" w:hAnsi="Cambria"/>
          <w:sz w:val="20"/>
          <w:szCs w:val="20"/>
          <w:lang w:val="pt-BR"/>
        </w:rPr>
        <w:t>o</w:t>
      </w:r>
      <w:r w:rsidR="00565F62" w:rsidRPr="006D1C74">
        <w:rPr>
          <w:rFonts w:ascii="Cambria" w:hAnsi="Cambria"/>
          <w:sz w:val="20"/>
          <w:szCs w:val="20"/>
          <w:lang w:val="pt-BR"/>
        </w:rPr>
        <w:t>,</w:t>
      </w:r>
      <w:r w:rsidR="00CF037E" w:rsidRPr="006D1C74">
        <w:rPr>
          <w:rFonts w:ascii="Cambria" w:hAnsi="Cambria"/>
          <w:sz w:val="20"/>
          <w:szCs w:val="20"/>
          <w:lang w:val="pt-BR"/>
        </w:rPr>
        <w:t xml:space="preserve"> e</w:t>
      </w:r>
      <w:r w:rsidR="00F673C7" w:rsidRPr="006D1C74">
        <w:rPr>
          <w:rFonts w:ascii="Cambria" w:hAnsi="Cambria"/>
          <w:sz w:val="20"/>
          <w:szCs w:val="20"/>
          <w:lang w:val="pt-BR"/>
        </w:rPr>
        <w:t xml:space="preserve"> não </w:t>
      </w:r>
      <w:r w:rsidR="00700267" w:rsidRPr="006D1C74">
        <w:rPr>
          <w:rFonts w:ascii="Cambria" w:hAnsi="Cambria"/>
          <w:sz w:val="20"/>
          <w:szCs w:val="20"/>
          <w:lang w:val="pt-BR"/>
        </w:rPr>
        <w:t xml:space="preserve">a </w:t>
      </w:r>
      <w:r w:rsidR="00565F62" w:rsidRPr="006D1C74">
        <w:rPr>
          <w:rFonts w:ascii="Cambria" w:hAnsi="Cambria"/>
          <w:sz w:val="20"/>
          <w:szCs w:val="20"/>
          <w:lang w:val="pt-BR"/>
        </w:rPr>
        <w:t>conten</w:t>
      </w:r>
      <w:r w:rsidR="00CF037E" w:rsidRPr="006D1C74">
        <w:rPr>
          <w:rFonts w:ascii="Cambria" w:hAnsi="Cambria"/>
          <w:sz w:val="20"/>
          <w:szCs w:val="20"/>
          <w:lang w:val="pt-BR"/>
        </w:rPr>
        <w:t>ção</w:t>
      </w:r>
      <w:r w:rsidR="00565F62" w:rsidRPr="006D1C74">
        <w:rPr>
          <w:rFonts w:ascii="Cambria" w:hAnsi="Cambria"/>
          <w:sz w:val="20"/>
          <w:szCs w:val="20"/>
          <w:lang w:val="pt-BR"/>
        </w:rPr>
        <w:t xml:space="preserve"> o</w:t>
      </w:r>
      <w:r w:rsidR="00DD6DB2" w:rsidRPr="006D1C74">
        <w:rPr>
          <w:rFonts w:ascii="Cambria" w:hAnsi="Cambria"/>
          <w:sz w:val="20"/>
          <w:szCs w:val="20"/>
          <w:lang w:val="pt-BR"/>
        </w:rPr>
        <w:t>u</w:t>
      </w:r>
      <w:r w:rsidR="00700267" w:rsidRPr="006D1C74">
        <w:rPr>
          <w:rFonts w:ascii="Cambria" w:hAnsi="Cambria"/>
          <w:sz w:val="20"/>
          <w:szCs w:val="20"/>
          <w:lang w:val="pt-BR"/>
        </w:rPr>
        <w:t xml:space="preserve"> a </w:t>
      </w:r>
      <w:r w:rsidR="00565F62" w:rsidRPr="006D1C74">
        <w:rPr>
          <w:rFonts w:ascii="Cambria" w:hAnsi="Cambria"/>
          <w:sz w:val="20"/>
          <w:szCs w:val="20"/>
          <w:lang w:val="pt-BR"/>
        </w:rPr>
        <w:t>confronta</w:t>
      </w:r>
      <w:r w:rsidR="00CF037E" w:rsidRPr="006D1C74">
        <w:rPr>
          <w:rFonts w:ascii="Cambria" w:hAnsi="Cambria"/>
          <w:sz w:val="20"/>
          <w:szCs w:val="20"/>
          <w:lang w:val="pt-BR"/>
        </w:rPr>
        <w:t>ção</w:t>
      </w:r>
      <w:r w:rsidR="00F673C7" w:rsidRPr="006D1C74">
        <w:rPr>
          <w:rFonts w:ascii="Cambria" w:hAnsi="Cambria"/>
          <w:sz w:val="20"/>
          <w:szCs w:val="20"/>
          <w:lang w:val="pt-BR"/>
        </w:rPr>
        <w:t xml:space="preserve"> com </w:t>
      </w:r>
      <w:r w:rsidR="00700267" w:rsidRPr="006D1C74">
        <w:rPr>
          <w:rFonts w:ascii="Cambria" w:hAnsi="Cambria"/>
          <w:sz w:val="20"/>
          <w:szCs w:val="20"/>
          <w:lang w:val="pt-BR"/>
        </w:rPr>
        <w:t xml:space="preserve">os </w:t>
      </w:r>
      <w:r w:rsidR="00565F62" w:rsidRPr="006D1C74">
        <w:rPr>
          <w:rFonts w:ascii="Cambria" w:hAnsi="Cambria"/>
          <w:sz w:val="20"/>
          <w:szCs w:val="20"/>
          <w:lang w:val="pt-BR"/>
        </w:rPr>
        <w:t>manifestantes</w:t>
      </w:r>
      <w:r w:rsidR="00565F62" w:rsidRPr="006D1C74">
        <w:rPr>
          <w:rStyle w:val="FootnoteReference"/>
          <w:rFonts w:ascii="Cambria" w:hAnsi="Cambria"/>
          <w:sz w:val="20"/>
          <w:szCs w:val="20"/>
          <w:lang w:val="pt-BR"/>
        </w:rPr>
        <w:footnoteReference w:id="80"/>
      </w:r>
      <w:r w:rsidR="00565F62" w:rsidRPr="006D1C74">
        <w:rPr>
          <w:rFonts w:ascii="Cambria" w:hAnsi="Cambria"/>
          <w:sz w:val="20"/>
          <w:szCs w:val="20"/>
          <w:lang w:val="pt-BR"/>
        </w:rPr>
        <w:t>. Portanto,</w:t>
      </w:r>
      <w:r w:rsidR="00030019" w:rsidRPr="006D1C74">
        <w:rPr>
          <w:rFonts w:ascii="Cambria" w:hAnsi="Cambria"/>
          <w:sz w:val="20"/>
          <w:szCs w:val="20"/>
          <w:lang w:val="pt-BR"/>
        </w:rPr>
        <w:t xml:space="preserve"> um </w:t>
      </w:r>
      <w:r w:rsidR="00565F62" w:rsidRPr="006D1C74">
        <w:rPr>
          <w:rFonts w:ascii="Cambria" w:hAnsi="Cambria"/>
          <w:sz w:val="20"/>
          <w:szCs w:val="20"/>
          <w:lang w:val="pt-BR"/>
        </w:rPr>
        <w:t>ade</w:t>
      </w:r>
      <w:r w:rsidR="003705A2">
        <w:rPr>
          <w:rFonts w:ascii="Cambria" w:hAnsi="Cambria"/>
          <w:sz w:val="20"/>
          <w:szCs w:val="20"/>
          <w:lang w:val="pt-BR"/>
        </w:rPr>
        <w:t>qua</w:t>
      </w:r>
      <w:r w:rsidR="00565F62" w:rsidRPr="006D1C74">
        <w:rPr>
          <w:rFonts w:ascii="Cambria" w:hAnsi="Cambria"/>
          <w:sz w:val="20"/>
          <w:szCs w:val="20"/>
          <w:lang w:val="pt-BR"/>
        </w:rPr>
        <w:t>do uso</w:t>
      </w:r>
      <w:r w:rsidR="00795010" w:rsidRPr="006D1C74">
        <w:rPr>
          <w:rFonts w:ascii="Cambria" w:hAnsi="Cambria"/>
          <w:sz w:val="20"/>
          <w:szCs w:val="20"/>
          <w:lang w:val="pt-BR"/>
        </w:rPr>
        <w:t xml:space="preserve"> da </w:t>
      </w:r>
      <w:r w:rsidR="00B146A8" w:rsidRPr="006D1C74">
        <w:rPr>
          <w:rFonts w:ascii="Cambria" w:hAnsi="Cambria"/>
          <w:sz w:val="20"/>
          <w:szCs w:val="20"/>
          <w:lang w:val="pt-BR"/>
        </w:rPr>
        <w:t>força</w:t>
      </w:r>
      <w:r w:rsidR="00565F62" w:rsidRPr="006D1C74">
        <w:rPr>
          <w:rFonts w:ascii="Cambria" w:hAnsi="Cambria"/>
          <w:sz w:val="20"/>
          <w:szCs w:val="20"/>
          <w:lang w:val="pt-BR"/>
        </w:rPr>
        <w:t xml:space="preserve"> </w:t>
      </w:r>
      <w:r w:rsidR="00193AAA" w:rsidRPr="006D1C74">
        <w:rPr>
          <w:rFonts w:ascii="Cambria" w:hAnsi="Cambria"/>
          <w:sz w:val="20"/>
          <w:szCs w:val="20"/>
          <w:lang w:val="pt-BR"/>
        </w:rPr>
        <w:t>necessário</w:t>
      </w:r>
      <w:r w:rsidR="00565F62" w:rsidRPr="006D1C74">
        <w:rPr>
          <w:rFonts w:ascii="Cambria" w:hAnsi="Cambria"/>
          <w:sz w:val="20"/>
          <w:szCs w:val="20"/>
          <w:lang w:val="pt-BR"/>
        </w:rPr>
        <w:t xml:space="preserve"> para </w:t>
      </w:r>
      <w:r w:rsidR="00193AAA" w:rsidRPr="006D1C74">
        <w:rPr>
          <w:rFonts w:ascii="Cambria" w:hAnsi="Cambria"/>
          <w:sz w:val="20"/>
          <w:szCs w:val="20"/>
          <w:lang w:val="pt-BR"/>
        </w:rPr>
        <w:t>respeitar</w:t>
      </w:r>
      <w:r w:rsidR="00565F62" w:rsidRPr="006D1C74">
        <w:rPr>
          <w:rFonts w:ascii="Cambria" w:hAnsi="Cambria"/>
          <w:sz w:val="20"/>
          <w:szCs w:val="20"/>
          <w:lang w:val="pt-BR"/>
        </w:rPr>
        <w:t>, proteger, facilitar</w:t>
      </w:r>
      <w:r w:rsidR="00CF037E" w:rsidRPr="006D1C74">
        <w:rPr>
          <w:rFonts w:ascii="Cambria" w:hAnsi="Cambria"/>
          <w:sz w:val="20"/>
          <w:szCs w:val="20"/>
          <w:lang w:val="pt-BR"/>
        </w:rPr>
        <w:t xml:space="preserve"> e </w:t>
      </w:r>
      <w:r w:rsidR="00565F62" w:rsidRPr="006D1C74">
        <w:rPr>
          <w:rFonts w:ascii="Cambria" w:hAnsi="Cambria"/>
          <w:sz w:val="20"/>
          <w:szCs w:val="20"/>
          <w:lang w:val="pt-BR"/>
        </w:rPr>
        <w:t>promover</w:t>
      </w:r>
      <w:r w:rsidR="00700267" w:rsidRPr="006D1C74">
        <w:rPr>
          <w:rFonts w:ascii="Cambria" w:hAnsi="Cambria"/>
          <w:sz w:val="20"/>
          <w:szCs w:val="20"/>
          <w:lang w:val="pt-BR"/>
        </w:rPr>
        <w:t xml:space="preserve"> o </w:t>
      </w:r>
      <w:r w:rsidR="00417BE8" w:rsidRPr="006D1C74">
        <w:rPr>
          <w:rFonts w:ascii="Cambria" w:hAnsi="Cambria"/>
          <w:sz w:val="20"/>
          <w:szCs w:val="20"/>
          <w:lang w:val="pt-BR"/>
        </w:rPr>
        <w:t>direito</w:t>
      </w:r>
      <w:r w:rsidR="00030019" w:rsidRPr="006D1C74">
        <w:rPr>
          <w:rFonts w:ascii="Cambria" w:hAnsi="Cambria"/>
          <w:sz w:val="20"/>
          <w:szCs w:val="20"/>
          <w:lang w:val="pt-BR"/>
        </w:rPr>
        <w:t xml:space="preserve"> </w:t>
      </w:r>
      <w:r w:rsidR="00DD6DB2" w:rsidRPr="006D1C74">
        <w:rPr>
          <w:rFonts w:ascii="Cambria" w:hAnsi="Cambria"/>
          <w:sz w:val="20"/>
          <w:szCs w:val="20"/>
          <w:lang w:val="pt-BR"/>
        </w:rPr>
        <w:t>ao</w:t>
      </w:r>
      <w:r w:rsidR="00030019" w:rsidRPr="006D1C74">
        <w:rPr>
          <w:rFonts w:ascii="Cambria" w:hAnsi="Cambria"/>
          <w:sz w:val="20"/>
          <w:szCs w:val="20"/>
          <w:lang w:val="pt-BR"/>
        </w:rPr>
        <w:t xml:space="preserve"> </w:t>
      </w:r>
      <w:r w:rsidR="00565F62" w:rsidRPr="006D1C74">
        <w:rPr>
          <w:rFonts w:ascii="Cambria" w:hAnsi="Cambria"/>
          <w:sz w:val="20"/>
          <w:szCs w:val="20"/>
          <w:lang w:val="pt-BR"/>
        </w:rPr>
        <w:t>protest</w:t>
      </w:r>
      <w:r w:rsidR="00DD6DB2" w:rsidRPr="006D1C74">
        <w:rPr>
          <w:rFonts w:ascii="Cambria" w:hAnsi="Cambria"/>
          <w:sz w:val="20"/>
          <w:szCs w:val="20"/>
          <w:lang w:val="pt-BR"/>
        </w:rPr>
        <w:t>o</w:t>
      </w:r>
      <w:r w:rsidR="00565F62" w:rsidRPr="006D1C74">
        <w:rPr>
          <w:rFonts w:ascii="Cambria" w:hAnsi="Cambria"/>
          <w:sz w:val="20"/>
          <w:szCs w:val="20"/>
          <w:lang w:val="pt-BR"/>
        </w:rPr>
        <w:t xml:space="preserve"> social requ</w:t>
      </w:r>
      <w:r w:rsidR="00DD6DB2" w:rsidRPr="006D1C74">
        <w:rPr>
          <w:rFonts w:ascii="Cambria" w:hAnsi="Cambria"/>
          <w:sz w:val="20"/>
          <w:szCs w:val="20"/>
          <w:lang w:val="pt-BR"/>
        </w:rPr>
        <w:t>er</w:t>
      </w:r>
      <w:r w:rsidR="00565F62" w:rsidRPr="006D1C74">
        <w:rPr>
          <w:rFonts w:ascii="Cambria" w:hAnsi="Cambria"/>
          <w:sz w:val="20"/>
          <w:szCs w:val="20"/>
          <w:lang w:val="pt-BR"/>
        </w:rPr>
        <w:t xml:space="preserve"> </w:t>
      </w:r>
      <w:r w:rsidR="00DD6DB2" w:rsidRPr="006D1C74">
        <w:rPr>
          <w:rFonts w:ascii="Cambria" w:hAnsi="Cambria"/>
          <w:sz w:val="20"/>
          <w:szCs w:val="20"/>
          <w:lang w:val="pt-BR"/>
        </w:rPr>
        <w:t xml:space="preserve">a </w:t>
      </w:r>
      <w:r w:rsidR="00565F62" w:rsidRPr="006D1C74">
        <w:rPr>
          <w:rFonts w:ascii="Cambria" w:hAnsi="Cambria"/>
          <w:sz w:val="20"/>
          <w:szCs w:val="20"/>
          <w:lang w:val="pt-BR"/>
        </w:rPr>
        <w:t>organiza</w:t>
      </w:r>
      <w:r w:rsidR="00DD6DB2" w:rsidRPr="006D1C74">
        <w:rPr>
          <w:rFonts w:ascii="Cambria" w:hAnsi="Cambria"/>
          <w:sz w:val="20"/>
          <w:szCs w:val="20"/>
          <w:lang w:val="pt-BR"/>
        </w:rPr>
        <w:t>ção</w:t>
      </w:r>
      <w:r w:rsidR="00700267" w:rsidRPr="006D1C74">
        <w:rPr>
          <w:rFonts w:ascii="Cambria" w:hAnsi="Cambria"/>
          <w:sz w:val="20"/>
          <w:szCs w:val="20"/>
          <w:lang w:val="pt-BR"/>
        </w:rPr>
        <w:t xml:space="preserve"> </w:t>
      </w:r>
      <w:r w:rsidR="00DD6DB2" w:rsidRPr="006D1C74">
        <w:rPr>
          <w:rFonts w:ascii="Cambria" w:hAnsi="Cambria"/>
          <w:sz w:val="20"/>
          <w:szCs w:val="20"/>
          <w:lang w:val="pt-BR"/>
        </w:rPr>
        <w:t>d</w:t>
      </w:r>
      <w:r w:rsidR="00700267" w:rsidRPr="006D1C74">
        <w:rPr>
          <w:rFonts w:ascii="Cambria" w:hAnsi="Cambria"/>
          <w:sz w:val="20"/>
          <w:szCs w:val="20"/>
          <w:lang w:val="pt-BR"/>
        </w:rPr>
        <w:t xml:space="preserve">as </w:t>
      </w:r>
      <w:r w:rsidR="00193AAA" w:rsidRPr="006D1C74">
        <w:rPr>
          <w:rFonts w:ascii="Cambria" w:hAnsi="Cambria"/>
          <w:sz w:val="20"/>
          <w:szCs w:val="20"/>
          <w:lang w:val="pt-BR"/>
        </w:rPr>
        <w:t>estruturas</w:t>
      </w:r>
      <w:r w:rsidR="00565F62" w:rsidRPr="006D1C74">
        <w:rPr>
          <w:rFonts w:ascii="Cambria" w:hAnsi="Cambria"/>
          <w:sz w:val="20"/>
          <w:szCs w:val="20"/>
          <w:lang w:val="pt-BR"/>
        </w:rPr>
        <w:t xml:space="preserve"> através</w:t>
      </w:r>
      <w:r w:rsidR="00D74A93" w:rsidRPr="006D1C74">
        <w:rPr>
          <w:rFonts w:ascii="Cambria" w:hAnsi="Cambria"/>
          <w:sz w:val="20"/>
          <w:szCs w:val="20"/>
          <w:lang w:val="pt-BR"/>
        </w:rPr>
        <w:t xml:space="preserve"> das </w:t>
      </w:r>
      <w:r w:rsidR="003705A2">
        <w:rPr>
          <w:rFonts w:ascii="Cambria" w:hAnsi="Cambria"/>
          <w:sz w:val="20"/>
          <w:szCs w:val="20"/>
          <w:lang w:val="pt-BR"/>
        </w:rPr>
        <w:t>qua</w:t>
      </w:r>
      <w:r w:rsidR="00700267" w:rsidRPr="006D1C74">
        <w:rPr>
          <w:rFonts w:ascii="Cambria" w:hAnsi="Cambria"/>
          <w:sz w:val="20"/>
          <w:szCs w:val="20"/>
          <w:lang w:val="pt-BR"/>
        </w:rPr>
        <w:t>is</w:t>
      </w:r>
      <w:r w:rsidR="00565F62" w:rsidRPr="006D1C74">
        <w:rPr>
          <w:rFonts w:ascii="Cambria" w:hAnsi="Cambria"/>
          <w:sz w:val="20"/>
          <w:szCs w:val="20"/>
          <w:lang w:val="pt-BR"/>
        </w:rPr>
        <w:t xml:space="preserve"> se </w:t>
      </w:r>
      <w:r w:rsidR="00193AAA" w:rsidRPr="006D1C74">
        <w:rPr>
          <w:rFonts w:ascii="Cambria" w:hAnsi="Cambria"/>
          <w:sz w:val="20"/>
          <w:szCs w:val="20"/>
          <w:lang w:val="pt-BR"/>
        </w:rPr>
        <w:t>manifesta</w:t>
      </w:r>
      <w:r w:rsidR="00700267" w:rsidRPr="006D1C74">
        <w:rPr>
          <w:rFonts w:ascii="Cambria" w:hAnsi="Cambria"/>
          <w:sz w:val="20"/>
          <w:szCs w:val="20"/>
          <w:lang w:val="pt-BR"/>
        </w:rPr>
        <w:t xml:space="preserve"> o </w:t>
      </w:r>
      <w:r w:rsidR="00193AAA">
        <w:rPr>
          <w:rFonts w:ascii="Cambria" w:hAnsi="Cambria"/>
          <w:sz w:val="20"/>
          <w:szCs w:val="20"/>
          <w:lang w:val="pt-BR"/>
        </w:rPr>
        <w:t>exerc</w:t>
      </w:r>
      <w:r w:rsidR="00193AAA" w:rsidRPr="006D1C74">
        <w:rPr>
          <w:rFonts w:ascii="Cambria" w:hAnsi="Cambria"/>
          <w:sz w:val="20"/>
          <w:szCs w:val="20"/>
          <w:lang w:val="pt-BR"/>
        </w:rPr>
        <w:t>ício</w:t>
      </w:r>
      <w:r w:rsidR="00030019" w:rsidRPr="006D1C74">
        <w:rPr>
          <w:rFonts w:ascii="Cambria" w:hAnsi="Cambria"/>
          <w:sz w:val="20"/>
          <w:szCs w:val="20"/>
          <w:lang w:val="pt-BR"/>
        </w:rPr>
        <w:t xml:space="preserve"> do </w:t>
      </w:r>
      <w:r w:rsidR="00565F62" w:rsidRPr="006D1C74">
        <w:rPr>
          <w:rFonts w:ascii="Cambria" w:hAnsi="Cambria"/>
          <w:sz w:val="20"/>
          <w:szCs w:val="20"/>
          <w:lang w:val="pt-BR"/>
        </w:rPr>
        <w:t xml:space="preserve">poder público de </w:t>
      </w:r>
      <w:r w:rsidR="00193AAA" w:rsidRPr="006D1C74">
        <w:rPr>
          <w:rFonts w:ascii="Cambria" w:hAnsi="Cambria"/>
          <w:sz w:val="20"/>
          <w:szCs w:val="20"/>
          <w:lang w:val="pt-BR"/>
        </w:rPr>
        <w:t>maneira</w:t>
      </w:r>
      <w:r w:rsidR="00565F62" w:rsidRPr="006D1C74">
        <w:rPr>
          <w:rFonts w:ascii="Cambria" w:hAnsi="Cambria"/>
          <w:sz w:val="20"/>
          <w:szCs w:val="20"/>
          <w:lang w:val="pt-BR"/>
        </w:rPr>
        <w:t xml:space="preserve"> que </w:t>
      </w:r>
      <w:r w:rsidR="00193AAA" w:rsidRPr="006D1C74">
        <w:rPr>
          <w:rFonts w:ascii="Cambria" w:hAnsi="Cambria"/>
          <w:sz w:val="20"/>
          <w:szCs w:val="20"/>
          <w:lang w:val="pt-BR"/>
        </w:rPr>
        <w:t>sejam</w:t>
      </w:r>
      <w:r w:rsidR="00565F62" w:rsidRPr="006D1C74">
        <w:rPr>
          <w:rFonts w:ascii="Cambria" w:hAnsi="Cambria"/>
          <w:sz w:val="20"/>
          <w:szCs w:val="20"/>
          <w:lang w:val="pt-BR"/>
        </w:rPr>
        <w:t xml:space="preserve"> </w:t>
      </w:r>
      <w:r w:rsidR="00193AAA" w:rsidRPr="006D1C74">
        <w:rPr>
          <w:rFonts w:ascii="Cambria" w:hAnsi="Cambria"/>
          <w:sz w:val="20"/>
          <w:szCs w:val="20"/>
          <w:lang w:val="pt-BR"/>
        </w:rPr>
        <w:t>capazes</w:t>
      </w:r>
      <w:r w:rsidR="00565F62" w:rsidRPr="006D1C74">
        <w:rPr>
          <w:rFonts w:ascii="Cambria" w:hAnsi="Cambria"/>
          <w:sz w:val="20"/>
          <w:szCs w:val="20"/>
          <w:lang w:val="pt-BR"/>
        </w:rPr>
        <w:t xml:space="preserve"> de </w:t>
      </w:r>
      <w:r w:rsidR="00193AAA" w:rsidRPr="006D1C74">
        <w:rPr>
          <w:rFonts w:ascii="Cambria" w:hAnsi="Cambria"/>
          <w:sz w:val="20"/>
          <w:szCs w:val="20"/>
          <w:lang w:val="pt-BR"/>
        </w:rPr>
        <w:t>assegurar</w:t>
      </w:r>
      <w:r w:rsidR="00565F62" w:rsidRPr="006D1C74">
        <w:rPr>
          <w:rFonts w:ascii="Cambria" w:hAnsi="Cambria"/>
          <w:sz w:val="20"/>
          <w:szCs w:val="20"/>
          <w:lang w:val="pt-BR"/>
        </w:rPr>
        <w:t xml:space="preserve"> </w:t>
      </w:r>
      <w:r w:rsidR="00193AAA" w:rsidRPr="006D1C74">
        <w:rPr>
          <w:rFonts w:ascii="Cambria" w:hAnsi="Cambria"/>
          <w:sz w:val="20"/>
          <w:szCs w:val="20"/>
          <w:lang w:val="pt-BR"/>
        </w:rPr>
        <w:t>juridicamente</w:t>
      </w:r>
      <w:r w:rsidR="00700267" w:rsidRPr="006D1C74">
        <w:rPr>
          <w:rFonts w:ascii="Cambria" w:hAnsi="Cambria"/>
          <w:sz w:val="20"/>
          <w:szCs w:val="20"/>
          <w:lang w:val="pt-BR"/>
        </w:rPr>
        <w:t xml:space="preserve"> o </w:t>
      </w:r>
      <w:r w:rsidR="00DD6DB2" w:rsidRPr="006D1C74">
        <w:rPr>
          <w:rFonts w:ascii="Cambria" w:hAnsi="Cambria"/>
          <w:sz w:val="20"/>
          <w:szCs w:val="20"/>
          <w:lang w:val="pt-BR"/>
        </w:rPr>
        <w:t>livre</w:t>
      </w:r>
      <w:r w:rsidR="00CF037E" w:rsidRPr="006D1C74">
        <w:rPr>
          <w:rFonts w:ascii="Cambria" w:hAnsi="Cambria"/>
          <w:sz w:val="20"/>
          <w:szCs w:val="20"/>
          <w:lang w:val="pt-BR"/>
        </w:rPr>
        <w:t xml:space="preserve"> e </w:t>
      </w:r>
      <w:r w:rsidR="00565F62" w:rsidRPr="006D1C74">
        <w:rPr>
          <w:rFonts w:ascii="Cambria" w:hAnsi="Cambria"/>
          <w:sz w:val="20"/>
          <w:szCs w:val="20"/>
          <w:lang w:val="pt-BR"/>
        </w:rPr>
        <w:t xml:space="preserve">pleno </w:t>
      </w:r>
      <w:r w:rsidR="00193AAA">
        <w:rPr>
          <w:rFonts w:ascii="Cambria" w:hAnsi="Cambria"/>
          <w:sz w:val="20"/>
          <w:szCs w:val="20"/>
          <w:lang w:val="pt-BR"/>
        </w:rPr>
        <w:t>exerc</w:t>
      </w:r>
      <w:r w:rsidR="00193AAA" w:rsidRPr="006D1C74">
        <w:rPr>
          <w:rFonts w:ascii="Cambria" w:hAnsi="Cambria"/>
          <w:sz w:val="20"/>
          <w:szCs w:val="20"/>
          <w:lang w:val="pt-BR"/>
        </w:rPr>
        <w:t>ício</w:t>
      </w:r>
      <w:r w:rsidR="00700267" w:rsidRPr="006D1C74">
        <w:rPr>
          <w:rFonts w:ascii="Cambria" w:hAnsi="Cambria"/>
          <w:sz w:val="20"/>
          <w:szCs w:val="20"/>
          <w:lang w:val="pt-BR"/>
        </w:rPr>
        <w:t xml:space="preserve"> dos </w:t>
      </w:r>
      <w:r w:rsidR="00417BE8" w:rsidRPr="006D1C74">
        <w:rPr>
          <w:rFonts w:ascii="Cambria" w:hAnsi="Cambria"/>
          <w:sz w:val="20"/>
          <w:szCs w:val="20"/>
          <w:lang w:val="pt-BR"/>
        </w:rPr>
        <w:t>direito</w:t>
      </w:r>
      <w:r w:rsidR="00565F62" w:rsidRPr="006D1C74">
        <w:rPr>
          <w:rFonts w:ascii="Cambria" w:hAnsi="Cambria"/>
          <w:sz w:val="20"/>
          <w:szCs w:val="20"/>
          <w:lang w:val="pt-BR"/>
        </w:rPr>
        <w:t>s humanos</w:t>
      </w:r>
      <w:r w:rsidR="00565F62" w:rsidRPr="006D1C74">
        <w:rPr>
          <w:rStyle w:val="FootnoteReference"/>
          <w:rFonts w:ascii="Cambria" w:hAnsi="Cambria"/>
          <w:sz w:val="20"/>
          <w:szCs w:val="20"/>
          <w:lang w:val="pt-BR"/>
        </w:rPr>
        <w:footnoteReference w:id="81"/>
      </w:r>
      <w:r w:rsidR="00565F62" w:rsidRPr="006D1C74">
        <w:rPr>
          <w:rFonts w:ascii="Cambria" w:hAnsi="Cambria"/>
          <w:sz w:val="20"/>
          <w:szCs w:val="20"/>
          <w:lang w:val="pt-BR"/>
        </w:rPr>
        <w:t>.</w:t>
      </w:r>
    </w:p>
    <w:p w14:paraId="66C0B9E7" w14:textId="77777777" w:rsidR="00AD6004" w:rsidRPr="006D1C74" w:rsidRDefault="00AD6004" w:rsidP="00AD600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pt-BR"/>
        </w:rPr>
      </w:pPr>
    </w:p>
    <w:p w14:paraId="0AA8B634" w14:textId="77777777" w:rsidR="00565F62" w:rsidRPr="006D1C74" w:rsidRDefault="00DD6DB2" w:rsidP="00565F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O</w:t>
      </w:r>
      <w:r w:rsidR="002649F0" w:rsidRPr="006D1C74">
        <w:rPr>
          <w:rFonts w:asciiTheme="majorHAnsi" w:hAnsiTheme="majorHAnsi"/>
          <w:sz w:val="20"/>
          <w:szCs w:val="20"/>
          <w:lang w:val="pt-BR"/>
        </w:rPr>
        <w:t xml:space="preserve">s </w:t>
      </w:r>
      <w:r w:rsidR="00700267" w:rsidRPr="006D1C74">
        <w:rPr>
          <w:rFonts w:asciiTheme="majorHAnsi" w:hAnsiTheme="majorHAnsi"/>
          <w:sz w:val="20"/>
          <w:szCs w:val="20"/>
          <w:lang w:val="pt-BR"/>
        </w:rPr>
        <w:t>trabalh</w:t>
      </w:r>
      <w:r w:rsidR="002649F0" w:rsidRPr="006D1C74">
        <w:rPr>
          <w:rFonts w:asciiTheme="majorHAnsi" w:hAnsiTheme="majorHAnsi"/>
          <w:sz w:val="20"/>
          <w:szCs w:val="20"/>
          <w:lang w:val="pt-BR"/>
        </w:rPr>
        <w:t>adores rur</w:t>
      </w:r>
      <w:r w:rsidR="00700267" w:rsidRPr="006D1C74">
        <w:rPr>
          <w:rFonts w:asciiTheme="majorHAnsi" w:hAnsiTheme="majorHAnsi"/>
          <w:sz w:val="20"/>
          <w:szCs w:val="20"/>
          <w:lang w:val="pt-BR"/>
        </w:rPr>
        <w:t>ais</w:t>
      </w:r>
      <w:r w:rsidR="002649F0" w:rsidRPr="006D1C74">
        <w:rPr>
          <w:rFonts w:asciiTheme="majorHAnsi" w:hAnsiTheme="majorHAnsi"/>
          <w:sz w:val="20"/>
          <w:szCs w:val="20"/>
          <w:lang w:val="pt-BR"/>
        </w:rPr>
        <w:t xml:space="preserve"> t</w:t>
      </w:r>
      <w:r w:rsidRPr="006D1C74">
        <w:rPr>
          <w:rFonts w:asciiTheme="majorHAnsi" w:hAnsiTheme="majorHAnsi"/>
          <w:sz w:val="20"/>
          <w:szCs w:val="20"/>
          <w:lang w:val="pt-BR"/>
        </w:rPr>
        <w:t>inham</w:t>
      </w:r>
      <w:r w:rsidR="002649F0" w:rsidRPr="006D1C74">
        <w:rPr>
          <w:rFonts w:asciiTheme="majorHAnsi" w:hAnsiTheme="majorHAnsi"/>
          <w:sz w:val="20"/>
          <w:szCs w:val="20"/>
          <w:lang w:val="pt-BR"/>
        </w:rPr>
        <w:t xml:space="preserve"> pleno </w:t>
      </w:r>
      <w:r w:rsidR="00417BE8" w:rsidRPr="006D1C74">
        <w:rPr>
          <w:rFonts w:asciiTheme="majorHAnsi" w:hAnsiTheme="majorHAnsi"/>
          <w:sz w:val="20"/>
          <w:szCs w:val="20"/>
          <w:lang w:val="pt-BR"/>
        </w:rPr>
        <w:t>direito</w:t>
      </w:r>
      <w:r w:rsidR="002649F0" w:rsidRPr="006D1C74">
        <w:rPr>
          <w:rFonts w:asciiTheme="majorHAnsi" w:hAnsiTheme="majorHAnsi"/>
          <w:sz w:val="20"/>
          <w:szCs w:val="20"/>
          <w:lang w:val="pt-BR"/>
        </w:rPr>
        <w:t xml:space="preserve"> a manifestar</w:t>
      </w:r>
      <w:r w:rsidRPr="006D1C74">
        <w:rPr>
          <w:rFonts w:asciiTheme="majorHAnsi" w:hAnsiTheme="majorHAnsi"/>
          <w:sz w:val="20"/>
          <w:szCs w:val="20"/>
          <w:lang w:val="pt-BR"/>
        </w:rPr>
        <w:t>-</w:t>
      </w:r>
      <w:r w:rsidR="002649F0" w:rsidRPr="006D1C74">
        <w:rPr>
          <w:rFonts w:asciiTheme="majorHAnsi" w:hAnsiTheme="majorHAnsi"/>
          <w:sz w:val="20"/>
          <w:szCs w:val="20"/>
          <w:lang w:val="pt-BR"/>
        </w:rPr>
        <w:t>se</w:t>
      </w:r>
      <w:r w:rsidR="00486544"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w:t>
      </w:r>
      <w:r w:rsidRPr="006D1C74">
        <w:rPr>
          <w:rFonts w:asciiTheme="majorHAnsi" w:hAnsiTheme="majorHAnsi"/>
          <w:sz w:val="20"/>
          <w:szCs w:val="20"/>
          <w:lang w:val="pt-BR"/>
        </w:rPr>
        <w:t>contudo</w:t>
      </w:r>
      <w:r w:rsidR="00FB1092" w:rsidRPr="006D1C74">
        <w:rPr>
          <w:rFonts w:asciiTheme="majorHAnsi" w:hAnsiTheme="majorHAnsi"/>
          <w:sz w:val="20"/>
          <w:szCs w:val="20"/>
          <w:lang w:val="pt-BR"/>
        </w:rPr>
        <w:t xml:space="preserve">, </w:t>
      </w:r>
      <w:r w:rsidRPr="006D1C74">
        <w:rPr>
          <w:rFonts w:asciiTheme="majorHAnsi" w:hAnsiTheme="majorHAnsi"/>
          <w:sz w:val="20"/>
          <w:szCs w:val="20"/>
          <w:lang w:val="pt-BR"/>
        </w:rPr>
        <w:t>em</w:t>
      </w:r>
      <w:r w:rsidR="00FB1092" w:rsidRPr="006D1C74">
        <w:rPr>
          <w:rFonts w:asciiTheme="majorHAnsi" w:hAnsiTheme="majorHAnsi"/>
          <w:sz w:val="20"/>
          <w:szCs w:val="20"/>
          <w:lang w:val="pt-BR"/>
        </w:rPr>
        <w:t xml:space="preserve"> conformi</w:t>
      </w:r>
      <w:r w:rsidR="00F673C7" w:rsidRPr="006D1C74">
        <w:rPr>
          <w:rFonts w:asciiTheme="majorHAnsi" w:hAnsiTheme="majorHAnsi"/>
          <w:sz w:val="20"/>
          <w:szCs w:val="20"/>
          <w:lang w:val="pt-BR"/>
        </w:rPr>
        <w:t xml:space="preserve">dade com </w:t>
      </w:r>
      <w:r w:rsidR="00700267" w:rsidRPr="006D1C74">
        <w:rPr>
          <w:rFonts w:asciiTheme="majorHAnsi" w:hAnsiTheme="majorHAnsi"/>
          <w:sz w:val="20"/>
          <w:szCs w:val="20"/>
          <w:lang w:val="pt-BR"/>
        </w:rPr>
        <w:t xml:space="preserve">a </w:t>
      </w:r>
      <w:r w:rsidR="00FB1092" w:rsidRPr="006D1C74">
        <w:rPr>
          <w:rFonts w:asciiTheme="majorHAnsi" w:hAnsiTheme="majorHAnsi"/>
          <w:sz w:val="20"/>
          <w:szCs w:val="20"/>
          <w:lang w:val="pt-BR"/>
        </w:rPr>
        <w:t>informa</w:t>
      </w:r>
      <w:r w:rsidR="00CF037E" w:rsidRPr="006D1C74">
        <w:rPr>
          <w:rFonts w:asciiTheme="majorHAnsi" w:hAnsiTheme="majorHAnsi"/>
          <w:sz w:val="20"/>
          <w:szCs w:val="20"/>
          <w:lang w:val="pt-BR"/>
        </w:rPr>
        <w:t>ção</w:t>
      </w:r>
      <w:r w:rsidR="00FB1092" w:rsidRPr="006D1C74">
        <w:rPr>
          <w:rFonts w:asciiTheme="majorHAnsi" w:hAnsiTheme="majorHAnsi"/>
          <w:sz w:val="20"/>
          <w:szCs w:val="20"/>
          <w:lang w:val="pt-BR"/>
        </w:rPr>
        <w:t xml:space="preserve"> dispon</w:t>
      </w:r>
      <w:r w:rsidRPr="006D1C74">
        <w:rPr>
          <w:rFonts w:asciiTheme="majorHAnsi" w:hAnsiTheme="majorHAnsi"/>
          <w:sz w:val="20"/>
          <w:szCs w:val="20"/>
          <w:lang w:val="pt-BR"/>
        </w:rPr>
        <w:t>ível</w:t>
      </w:r>
      <w:r w:rsidR="00FB1092" w:rsidRPr="006D1C74">
        <w:rPr>
          <w:rFonts w:asciiTheme="majorHAnsi" w:hAnsiTheme="majorHAnsi"/>
          <w:sz w:val="20"/>
          <w:szCs w:val="20"/>
          <w:lang w:val="pt-BR"/>
        </w:rPr>
        <w:t xml:space="preserve">, </w:t>
      </w:r>
      <w:r w:rsidR="002649F0" w:rsidRPr="006D1C74">
        <w:rPr>
          <w:rFonts w:asciiTheme="majorHAnsi" w:hAnsiTheme="majorHAnsi"/>
          <w:sz w:val="20"/>
          <w:szCs w:val="20"/>
          <w:lang w:val="pt-BR"/>
        </w:rPr>
        <w:t>n</w:t>
      </w:r>
      <w:r w:rsidRPr="006D1C74">
        <w:rPr>
          <w:rFonts w:asciiTheme="majorHAnsi" w:hAnsiTheme="majorHAnsi"/>
          <w:sz w:val="20"/>
          <w:szCs w:val="20"/>
          <w:lang w:val="pt-BR"/>
        </w:rPr>
        <w:t>em</w:t>
      </w:r>
      <w:r w:rsidR="002649F0" w:rsidRPr="006D1C74">
        <w:rPr>
          <w:rFonts w:asciiTheme="majorHAnsi" w:hAnsiTheme="majorHAnsi"/>
          <w:sz w:val="20"/>
          <w:szCs w:val="20"/>
          <w:lang w:val="pt-BR"/>
        </w:rPr>
        <w:t xml:space="preserve"> </w:t>
      </w:r>
      <w:r w:rsidR="00193AAA" w:rsidRPr="006D1C74">
        <w:rPr>
          <w:rFonts w:asciiTheme="majorHAnsi" w:hAnsiTheme="majorHAnsi"/>
          <w:sz w:val="20"/>
          <w:szCs w:val="20"/>
          <w:lang w:val="pt-BR"/>
        </w:rPr>
        <w:t>sequer</w:t>
      </w:r>
      <w:r w:rsidR="002649F0" w:rsidRPr="006D1C74">
        <w:rPr>
          <w:rFonts w:asciiTheme="majorHAnsi" w:hAnsiTheme="majorHAnsi"/>
          <w:sz w:val="20"/>
          <w:szCs w:val="20"/>
          <w:lang w:val="pt-BR"/>
        </w:rPr>
        <w:t xml:space="preserve"> </w:t>
      </w:r>
      <w:r w:rsidRPr="006D1C74">
        <w:rPr>
          <w:rFonts w:asciiTheme="majorHAnsi" w:hAnsiTheme="majorHAnsi"/>
          <w:sz w:val="20"/>
          <w:szCs w:val="20"/>
          <w:lang w:val="pt-BR"/>
        </w:rPr>
        <w:t xml:space="preserve">lhes foi </w:t>
      </w:r>
      <w:r w:rsidR="00903B1A" w:rsidRPr="006D1C74">
        <w:rPr>
          <w:rFonts w:asciiTheme="majorHAnsi" w:hAnsiTheme="majorHAnsi"/>
          <w:sz w:val="20"/>
          <w:szCs w:val="20"/>
          <w:lang w:val="pt-BR"/>
        </w:rPr>
        <w:t>permitido</w:t>
      </w:r>
      <w:r w:rsidR="002649F0" w:rsidRPr="006D1C74">
        <w:rPr>
          <w:rFonts w:asciiTheme="majorHAnsi" w:hAnsiTheme="majorHAnsi"/>
          <w:sz w:val="20"/>
          <w:szCs w:val="20"/>
          <w:lang w:val="pt-BR"/>
        </w:rPr>
        <w:t xml:space="preserve"> </w:t>
      </w:r>
      <w:r w:rsidRPr="006D1C74">
        <w:rPr>
          <w:rFonts w:asciiTheme="majorHAnsi" w:hAnsiTheme="majorHAnsi"/>
          <w:sz w:val="20"/>
          <w:szCs w:val="20"/>
          <w:lang w:val="pt-BR"/>
        </w:rPr>
        <w:t>ch</w:t>
      </w:r>
      <w:r w:rsidR="002649F0" w:rsidRPr="006D1C74">
        <w:rPr>
          <w:rFonts w:asciiTheme="majorHAnsi" w:hAnsiTheme="majorHAnsi"/>
          <w:sz w:val="20"/>
          <w:szCs w:val="20"/>
          <w:lang w:val="pt-BR"/>
        </w:rPr>
        <w:t>egar</w:t>
      </w:r>
      <w:r w:rsidR="00217759" w:rsidRPr="006D1C74">
        <w:rPr>
          <w:rFonts w:asciiTheme="majorHAnsi" w:hAnsiTheme="majorHAnsi"/>
          <w:sz w:val="20"/>
          <w:szCs w:val="20"/>
          <w:lang w:val="pt-BR"/>
        </w:rPr>
        <w:t xml:space="preserve"> ao </w:t>
      </w:r>
      <w:r w:rsidR="002649F0" w:rsidRPr="006D1C74">
        <w:rPr>
          <w:rFonts w:asciiTheme="majorHAnsi" w:hAnsiTheme="majorHAnsi"/>
          <w:sz w:val="20"/>
          <w:szCs w:val="20"/>
          <w:lang w:val="pt-BR"/>
        </w:rPr>
        <w:t xml:space="preserve">lugar onde </w:t>
      </w:r>
      <w:r w:rsidRPr="006D1C74">
        <w:rPr>
          <w:rFonts w:asciiTheme="majorHAnsi" w:hAnsiTheme="majorHAnsi"/>
          <w:sz w:val="20"/>
          <w:szCs w:val="20"/>
          <w:lang w:val="pt-BR"/>
        </w:rPr>
        <w:t>pretendiam fazê-lo</w:t>
      </w:r>
      <w:r w:rsidR="00AD6004"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não </w:t>
      </w:r>
      <w:r w:rsidR="006175F2" w:rsidRPr="006D1C74">
        <w:rPr>
          <w:rFonts w:asciiTheme="majorHAnsi" w:hAnsiTheme="majorHAnsi"/>
          <w:sz w:val="20"/>
          <w:szCs w:val="20"/>
          <w:lang w:val="pt-BR"/>
        </w:rPr>
        <w:t>pud</w:t>
      </w:r>
      <w:r w:rsidRPr="006D1C74">
        <w:rPr>
          <w:rFonts w:asciiTheme="majorHAnsi" w:hAnsiTheme="majorHAnsi"/>
          <w:sz w:val="20"/>
          <w:szCs w:val="20"/>
          <w:lang w:val="pt-BR"/>
        </w:rPr>
        <w:t>eram</w:t>
      </w:r>
      <w:r w:rsidR="006175F2" w:rsidRPr="006D1C74">
        <w:rPr>
          <w:rFonts w:asciiTheme="majorHAnsi" w:hAnsiTheme="majorHAnsi"/>
          <w:sz w:val="20"/>
          <w:szCs w:val="20"/>
          <w:lang w:val="pt-BR"/>
        </w:rPr>
        <w:t xml:space="preserve"> realizar</w:t>
      </w:r>
      <w:r w:rsidR="00700267" w:rsidRPr="006D1C74">
        <w:rPr>
          <w:rFonts w:asciiTheme="majorHAnsi" w:hAnsiTheme="majorHAnsi"/>
          <w:sz w:val="20"/>
          <w:szCs w:val="20"/>
          <w:lang w:val="pt-BR"/>
        </w:rPr>
        <w:t xml:space="preserve"> a </w:t>
      </w:r>
      <w:r w:rsidR="006175F2" w:rsidRPr="006D1C74">
        <w:rPr>
          <w:rFonts w:asciiTheme="majorHAnsi" w:hAnsiTheme="majorHAnsi"/>
          <w:sz w:val="20"/>
          <w:szCs w:val="20"/>
          <w:lang w:val="pt-BR"/>
        </w:rPr>
        <w:t>marcha</w:t>
      </w:r>
      <w:r w:rsidR="00CF037E" w:rsidRPr="006D1C74">
        <w:rPr>
          <w:rFonts w:asciiTheme="majorHAnsi" w:hAnsiTheme="majorHAnsi"/>
          <w:sz w:val="20"/>
          <w:szCs w:val="20"/>
          <w:lang w:val="pt-BR"/>
        </w:rPr>
        <w:t xml:space="preserve"> e </w:t>
      </w:r>
      <w:r w:rsidR="006175F2" w:rsidRPr="006D1C74">
        <w:rPr>
          <w:rFonts w:asciiTheme="majorHAnsi" w:hAnsiTheme="majorHAnsi"/>
          <w:sz w:val="20"/>
          <w:szCs w:val="20"/>
          <w:lang w:val="pt-BR"/>
        </w:rPr>
        <w:t>se vi</w:t>
      </w:r>
      <w:r w:rsidRPr="006D1C74">
        <w:rPr>
          <w:rFonts w:asciiTheme="majorHAnsi" w:hAnsiTheme="majorHAnsi"/>
          <w:sz w:val="20"/>
          <w:szCs w:val="20"/>
          <w:lang w:val="pt-BR"/>
        </w:rPr>
        <w:t>ram</w:t>
      </w:r>
      <w:r w:rsidR="006175F2" w:rsidRPr="006D1C74">
        <w:rPr>
          <w:rFonts w:asciiTheme="majorHAnsi" w:hAnsiTheme="majorHAnsi"/>
          <w:sz w:val="20"/>
          <w:szCs w:val="20"/>
          <w:lang w:val="pt-BR"/>
        </w:rPr>
        <w:t xml:space="preserve"> </w:t>
      </w:r>
      <w:r w:rsidR="00903B1A" w:rsidRPr="006D1C74">
        <w:rPr>
          <w:rFonts w:asciiTheme="majorHAnsi" w:hAnsiTheme="majorHAnsi"/>
          <w:sz w:val="20"/>
          <w:szCs w:val="20"/>
          <w:lang w:val="pt-BR"/>
        </w:rPr>
        <w:t>obrigados</w:t>
      </w:r>
      <w:r w:rsidR="006175F2" w:rsidRPr="006D1C74">
        <w:rPr>
          <w:rFonts w:asciiTheme="majorHAnsi" w:hAnsiTheme="majorHAnsi"/>
          <w:sz w:val="20"/>
          <w:szCs w:val="20"/>
          <w:lang w:val="pt-BR"/>
        </w:rPr>
        <w:t xml:space="preserve"> a desistir</w:t>
      </w:r>
      <w:r w:rsidR="00030019" w:rsidRPr="006D1C74">
        <w:rPr>
          <w:rFonts w:asciiTheme="majorHAnsi" w:hAnsiTheme="majorHAnsi"/>
          <w:sz w:val="20"/>
          <w:szCs w:val="20"/>
          <w:lang w:val="pt-BR"/>
        </w:rPr>
        <w:t xml:space="preserve"> d</w:t>
      </w:r>
      <w:r w:rsidRPr="006D1C74">
        <w:rPr>
          <w:rFonts w:asciiTheme="majorHAnsi" w:hAnsiTheme="majorHAnsi"/>
          <w:sz w:val="20"/>
          <w:szCs w:val="20"/>
          <w:lang w:val="pt-BR"/>
        </w:rPr>
        <w:t>a</w:t>
      </w:r>
      <w:r w:rsidR="00030019" w:rsidRPr="006D1C74">
        <w:rPr>
          <w:rFonts w:asciiTheme="majorHAnsi" w:hAnsiTheme="majorHAnsi"/>
          <w:sz w:val="20"/>
          <w:szCs w:val="20"/>
          <w:lang w:val="pt-BR"/>
        </w:rPr>
        <w:t xml:space="preserve"> </w:t>
      </w:r>
      <w:r w:rsidR="000D088B" w:rsidRPr="006D1C74">
        <w:rPr>
          <w:rFonts w:asciiTheme="majorHAnsi" w:hAnsiTheme="majorHAnsi"/>
          <w:sz w:val="20"/>
          <w:szCs w:val="20"/>
          <w:lang w:val="pt-BR"/>
        </w:rPr>
        <w:t>ideia</w:t>
      </w:r>
      <w:r w:rsidR="006175F2" w:rsidRPr="006D1C74">
        <w:rPr>
          <w:rFonts w:asciiTheme="majorHAnsi" w:hAnsiTheme="majorHAnsi"/>
          <w:sz w:val="20"/>
          <w:szCs w:val="20"/>
          <w:lang w:val="pt-BR"/>
        </w:rPr>
        <w:t xml:space="preserve"> para evitar graves </w:t>
      </w:r>
      <w:r w:rsidRPr="006D1C74">
        <w:rPr>
          <w:rFonts w:asciiTheme="majorHAnsi" w:hAnsiTheme="majorHAnsi"/>
          <w:sz w:val="20"/>
          <w:szCs w:val="20"/>
          <w:lang w:val="pt-BR"/>
        </w:rPr>
        <w:t>riscos</w:t>
      </w:r>
      <w:r w:rsidR="006175F2" w:rsidRPr="006D1C74">
        <w:rPr>
          <w:rFonts w:asciiTheme="majorHAnsi" w:hAnsiTheme="majorHAnsi"/>
          <w:sz w:val="20"/>
          <w:szCs w:val="20"/>
          <w:lang w:val="pt-BR"/>
        </w:rPr>
        <w:t xml:space="preserve"> para </w:t>
      </w:r>
      <w:r w:rsidR="00903B1A" w:rsidRPr="006D1C74">
        <w:rPr>
          <w:rFonts w:asciiTheme="majorHAnsi" w:hAnsiTheme="majorHAnsi"/>
          <w:sz w:val="20"/>
          <w:szCs w:val="20"/>
          <w:lang w:val="pt-BR"/>
        </w:rPr>
        <w:t>sua</w:t>
      </w:r>
      <w:r w:rsidR="006175F2" w:rsidRPr="006D1C74">
        <w:rPr>
          <w:rFonts w:asciiTheme="majorHAnsi" w:hAnsiTheme="majorHAnsi"/>
          <w:sz w:val="20"/>
          <w:szCs w:val="20"/>
          <w:lang w:val="pt-BR"/>
        </w:rPr>
        <w:t xml:space="preserve"> vida</w:t>
      </w:r>
      <w:r w:rsidR="00CF037E" w:rsidRPr="006D1C74">
        <w:rPr>
          <w:rFonts w:asciiTheme="majorHAnsi" w:hAnsiTheme="majorHAnsi"/>
          <w:sz w:val="20"/>
          <w:szCs w:val="20"/>
          <w:lang w:val="pt-BR"/>
        </w:rPr>
        <w:t xml:space="preserve"> e </w:t>
      </w:r>
      <w:r w:rsidR="00903B1A" w:rsidRPr="006D1C74">
        <w:rPr>
          <w:rFonts w:asciiTheme="majorHAnsi" w:hAnsiTheme="majorHAnsi"/>
          <w:sz w:val="20"/>
          <w:szCs w:val="20"/>
          <w:lang w:val="pt-BR"/>
        </w:rPr>
        <w:t>sua</w:t>
      </w:r>
      <w:r w:rsidR="006175F2" w:rsidRPr="006D1C74">
        <w:rPr>
          <w:rFonts w:asciiTheme="majorHAnsi" w:hAnsiTheme="majorHAnsi"/>
          <w:sz w:val="20"/>
          <w:szCs w:val="20"/>
          <w:lang w:val="pt-BR"/>
        </w:rPr>
        <w:t xml:space="preserve"> integri</w:t>
      </w:r>
      <w:r w:rsidR="00F673C7" w:rsidRPr="006D1C74">
        <w:rPr>
          <w:rFonts w:asciiTheme="majorHAnsi" w:hAnsiTheme="majorHAnsi"/>
          <w:sz w:val="20"/>
          <w:szCs w:val="20"/>
          <w:lang w:val="pt-BR"/>
        </w:rPr>
        <w:t xml:space="preserve">dade </w:t>
      </w:r>
      <w:r w:rsidR="006175F2" w:rsidRPr="006D1C74">
        <w:rPr>
          <w:rFonts w:asciiTheme="majorHAnsi" w:hAnsiTheme="majorHAnsi"/>
          <w:sz w:val="20"/>
          <w:szCs w:val="20"/>
          <w:lang w:val="pt-BR"/>
        </w:rPr>
        <w:t>física</w:t>
      </w:r>
      <w:r w:rsidR="00CF037E" w:rsidRPr="006D1C74">
        <w:rPr>
          <w:rFonts w:asciiTheme="majorHAnsi" w:hAnsiTheme="majorHAnsi"/>
          <w:sz w:val="20"/>
          <w:szCs w:val="20"/>
          <w:lang w:val="pt-BR"/>
        </w:rPr>
        <w:t xml:space="preserve"> e </w:t>
      </w:r>
      <w:r w:rsidR="006175F2" w:rsidRPr="006D1C74">
        <w:rPr>
          <w:rFonts w:asciiTheme="majorHAnsi" w:hAnsiTheme="majorHAnsi"/>
          <w:sz w:val="20"/>
          <w:szCs w:val="20"/>
          <w:lang w:val="pt-BR"/>
        </w:rPr>
        <w:t xml:space="preserve">moral. </w:t>
      </w:r>
      <w:r w:rsidR="00565F62" w:rsidRPr="006D1C74">
        <w:rPr>
          <w:rFonts w:asciiTheme="majorHAnsi" w:hAnsiTheme="majorHAnsi"/>
          <w:sz w:val="20"/>
          <w:szCs w:val="20"/>
          <w:lang w:val="pt-BR"/>
        </w:rPr>
        <w:t>Sobre</w:t>
      </w:r>
      <w:r w:rsidR="00700267" w:rsidRPr="006D1C74">
        <w:rPr>
          <w:rFonts w:asciiTheme="majorHAnsi" w:hAnsiTheme="majorHAnsi"/>
          <w:sz w:val="20"/>
          <w:szCs w:val="20"/>
          <w:lang w:val="pt-BR"/>
        </w:rPr>
        <w:t xml:space="preserve"> </w:t>
      </w:r>
      <w:r w:rsidR="000D088B" w:rsidRPr="006D1C74">
        <w:rPr>
          <w:rFonts w:asciiTheme="majorHAnsi" w:hAnsiTheme="majorHAnsi"/>
          <w:sz w:val="20"/>
          <w:szCs w:val="20"/>
          <w:lang w:val="pt-BR"/>
        </w:rPr>
        <w:t>essa questão</w:t>
      </w:r>
      <w:r w:rsidR="00565F62"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00565F62" w:rsidRPr="006D1C74">
        <w:rPr>
          <w:rFonts w:asciiTheme="majorHAnsi" w:hAnsiTheme="majorHAnsi"/>
          <w:sz w:val="20"/>
          <w:szCs w:val="20"/>
          <w:lang w:val="pt-BR"/>
        </w:rPr>
        <w:t xml:space="preserve"> </w:t>
      </w:r>
      <w:r w:rsidR="00903B1A" w:rsidRPr="006D1C74">
        <w:rPr>
          <w:rFonts w:asciiTheme="majorHAnsi" w:hAnsiTheme="majorHAnsi"/>
          <w:sz w:val="20"/>
          <w:szCs w:val="20"/>
          <w:lang w:val="pt-BR"/>
        </w:rPr>
        <w:t>assinalou</w:t>
      </w:r>
      <w:r w:rsidR="00565F62" w:rsidRPr="006D1C74">
        <w:rPr>
          <w:rFonts w:asciiTheme="majorHAnsi" w:hAnsiTheme="majorHAnsi"/>
          <w:sz w:val="20"/>
          <w:szCs w:val="20"/>
          <w:lang w:val="pt-BR"/>
        </w:rPr>
        <w:t xml:space="preserve"> que</w:t>
      </w:r>
      <w:r w:rsidR="00700267" w:rsidRPr="006D1C74">
        <w:rPr>
          <w:rFonts w:asciiTheme="majorHAnsi" w:hAnsiTheme="majorHAnsi"/>
          <w:sz w:val="20"/>
          <w:szCs w:val="20"/>
          <w:lang w:val="pt-BR"/>
        </w:rPr>
        <w:t xml:space="preserve"> as </w:t>
      </w:r>
      <w:r w:rsidR="00565F62" w:rsidRPr="006D1C74">
        <w:rPr>
          <w:rFonts w:asciiTheme="majorHAnsi" w:hAnsiTheme="majorHAnsi"/>
          <w:sz w:val="20"/>
          <w:szCs w:val="20"/>
          <w:lang w:val="pt-BR"/>
        </w:rPr>
        <w:t xml:space="preserve">autoridades </w:t>
      </w:r>
      <w:r w:rsidR="00903B1A" w:rsidRPr="006D1C74">
        <w:rPr>
          <w:rFonts w:asciiTheme="majorHAnsi" w:hAnsiTheme="majorHAnsi"/>
          <w:sz w:val="20"/>
          <w:szCs w:val="20"/>
          <w:lang w:val="pt-BR"/>
        </w:rPr>
        <w:t>devem</w:t>
      </w:r>
      <w:r w:rsidR="00565F62" w:rsidRPr="006D1C74">
        <w:rPr>
          <w:rFonts w:asciiTheme="majorHAnsi" w:hAnsiTheme="majorHAnsi"/>
          <w:sz w:val="20"/>
          <w:szCs w:val="20"/>
          <w:lang w:val="pt-BR"/>
        </w:rPr>
        <w:t xml:space="preserve"> facilitar</w:t>
      </w:r>
      <w:r w:rsidR="00700267" w:rsidRPr="006D1C74">
        <w:rPr>
          <w:rFonts w:asciiTheme="majorHAnsi" w:hAnsiTheme="majorHAnsi"/>
          <w:sz w:val="20"/>
          <w:szCs w:val="20"/>
          <w:lang w:val="pt-BR"/>
        </w:rPr>
        <w:t xml:space="preserve"> a </w:t>
      </w:r>
      <w:r w:rsidR="000D088B" w:rsidRPr="006D1C74">
        <w:rPr>
          <w:rFonts w:asciiTheme="majorHAnsi" w:hAnsiTheme="majorHAnsi"/>
          <w:sz w:val="20"/>
          <w:szCs w:val="20"/>
          <w:lang w:val="pt-BR"/>
        </w:rPr>
        <w:t>realiz</w:t>
      </w:r>
      <w:r w:rsidR="00565F62" w:rsidRPr="006D1C74">
        <w:rPr>
          <w:rFonts w:asciiTheme="majorHAnsi" w:hAnsiTheme="majorHAnsi"/>
          <w:sz w:val="20"/>
          <w:szCs w:val="20"/>
          <w:lang w:val="pt-BR"/>
        </w:rPr>
        <w:t>a</w:t>
      </w:r>
      <w:r w:rsidR="00CF037E" w:rsidRPr="006D1C74">
        <w:rPr>
          <w:rFonts w:asciiTheme="majorHAnsi" w:hAnsiTheme="majorHAnsi"/>
          <w:sz w:val="20"/>
          <w:szCs w:val="20"/>
          <w:lang w:val="pt-BR"/>
        </w:rPr>
        <w:t>ção</w:t>
      </w:r>
      <w:r w:rsidR="00565F62" w:rsidRPr="006D1C74">
        <w:rPr>
          <w:rFonts w:asciiTheme="majorHAnsi" w:hAnsiTheme="majorHAnsi"/>
          <w:sz w:val="20"/>
          <w:szCs w:val="20"/>
          <w:lang w:val="pt-BR"/>
        </w:rPr>
        <w:t xml:space="preserve"> de </w:t>
      </w:r>
      <w:r w:rsidR="00903B1A" w:rsidRPr="006D1C74">
        <w:rPr>
          <w:rFonts w:asciiTheme="majorHAnsi" w:hAnsiTheme="majorHAnsi"/>
          <w:sz w:val="20"/>
          <w:szCs w:val="20"/>
          <w:lang w:val="pt-BR"/>
        </w:rPr>
        <w:t>reuniões</w:t>
      </w:r>
      <w:r w:rsidR="00565F62" w:rsidRPr="006D1C74">
        <w:rPr>
          <w:rFonts w:asciiTheme="majorHAnsi" w:hAnsiTheme="majorHAnsi"/>
          <w:sz w:val="20"/>
          <w:szCs w:val="20"/>
          <w:lang w:val="pt-BR"/>
        </w:rPr>
        <w:t>, protest</w:t>
      </w:r>
      <w:r w:rsidR="000D088B" w:rsidRPr="006D1C74">
        <w:rPr>
          <w:rFonts w:asciiTheme="majorHAnsi" w:hAnsiTheme="majorHAnsi"/>
          <w:sz w:val="20"/>
          <w:szCs w:val="20"/>
          <w:lang w:val="pt-BR"/>
        </w:rPr>
        <w:t>o</w:t>
      </w:r>
      <w:r w:rsidR="00565F62" w:rsidRPr="006D1C74">
        <w:rPr>
          <w:rFonts w:asciiTheme="majorHAnsi" w:hAnsiTheme="majorHAnsi"/>
          <w:sz w:val="20"/>
          <w:szCs w:val="20"/>
          <w:lang w:val="pt-BR"/>
        </w:rPr>
        <w:t>s soci</w:t>
      </w:r>
      <w:r w:rsidR="00700267" w:rsidRPr="006D1C74">
        <w:rPr>
          <w:rFonts w:asciiTheme="majorHAnsi" w:hAnsiTheme="majorHAnsi"/>
          <w:sz w:val="20"/>
          <w:szCs w:val="20"/>
          <w:lang w:val="pt-BR"/>
        </w:rPr>
        <w:t>ais</w:t>
      </w:r>
      <w:r w:rsidR="00565F62" w:rsidRPr="006D1C74">
        <w:rPr>
          <w:rFonts w:asciiTheme="majorHAnsi" w:hAnsiTheme="majorHAnsi"/>
          <w:sz w:val="20"/>
          <w:szCs w:val="20"/>
          <w:lang w:val="pt-BR"/>
        </w:rPr>
        <w:t xml:space="preserve"> o</w:t>
      </w:r>
      <w:r w:rsidR="000D088B" w:rsidRPr="006D1C74">
        <w:rPr>
          <w:rFonts w:asciiTheme="majorHAnsi" w:hAnsiTheme="majorHAnsi"/>
          <w:sz w:val="20"/>
          <w:szCs w:val="20"/>
          <w:lang w:val="pt-BR"/>
        </w:rPr>
        <w:t>u</w:t>
      </w:r>
      <w:r w:rsidR="00565F62" w:rsidRPr="006D1C74">
        <w:rPr>
          <w:rFonts w:asciiTheme="majorHAnsi" w:hAnsiTheme="majorHAnsi"/>
          <w:sz w:val="20"/>
          <w:szCs w:val="20"/>
          <w:lang w:val="pt-BR"/>
        </w:rPr>
        <w:t xml:space="preserve"> manifesta</w:t>
      </w:r>
      <w:r w:rsidR="00CF037E" w:rsidRPr="006D1C74">
        <w:rPr>
          <w:rFonts w:asciiTheme="majorHAnsi" w:hAnsiTheme="majorHAnsi"/>
          <w:sz w:val="20"/>
          <w:szCs w:val="20"/>
          <w:lang w:val="pt-BR"/>
        </w:rPr>
        <w:t>ções</w:t>
      </w:r>
      <w:r w:rsidR="00565F62" w:rsidRPr="006D1C74">
        <w:rPr>
          <w:rFonts w:asciiTheme="majorHAnsi" w:hAnsiTheme="majorHAnsi"/>
          <w:sz w:val="20"/>
          <w:szCs w:val="20"/>
          <w:lang w:val="pt-BR"/>
        </w:rPr>
        <w:t xml:space="preserve"> públicas, garanti</w:t>
      </w:r>
      <w:r w:rsidR="000D088B" w:rsidRPr="006D1C74">
        <w:rPr>
          <w:rFonts w:asciiTheme="majorHAnsi" w:hAnsiTheme="majorHAnsi"/>
          <w:sz w:val="20"/>
          <w:szCs w:val="20"/>
          <w:lang w:val="pt-BR"/>
        </w:rPr>
        <w:t>ndo</w:t>
      </w:r>
      <w:r w:rsidR="00565F62" w:rsidRPr="006D1C74">
        <w:rPr>
          <w:rFonts w:asciiTheme="majorHAnsi" w:hAnsiTheme="majorHAnsi"/>
          <w:sz w:val="20"/>
          <w:szCs w:val="20"/>
          <w:lang w:val="pt-BR"/>
        </w:rPr>
        <w:t xml:space="preserve"> que p</w:t>
      </w:r>
      <w:r w:rsidR="000D088B" w:rsidRPr="006D1C74">
        <w:rPr>
          <w:rFonts w:asciiTheme="majorHAnsi" w:hAnsiTheme="majorHAnsi"/>
          <w:sz w:val="20"/>
          <w:szCs w:val="20"/>
          <w:lang w:val="pt-BR"/>
        </w:rPr>
        <w:t>ossam</w:t>
      </w:r>
      <w:r w:rsidR="00565F62" w:rsidRPr="006D1C74">
        <w:rPr>
          <w:rFonts w:asciiTheme="majorHAnsi" w:hAnsiTheme="majorHAnsi"/>
          <w:sz w:val="20"/>
          <w:szCs w:val="20"/>
          <w:lang w:val="pt-BR"/>
        </w:rPr>
        <w:t xml:space="preserve"> ser </w:t>
      </w:r>
      <w:r w:rsidR="000D088B" w:rsidRPr="006D1C74">
        <w:rPr>
          <w:rFonts w:asciiTheme="majorHAnsi" w:hAnsiTheme="majorHAnsi"/>
          <w:sz w:val="20"/>
          <w:szCs w:val="20"/>
          <w:lang w:val="pt-BR"/>
        </w:rPr>
        <w:t>realiz</w:t>
      </w:r>
      <w:r w:rsidR="00565F62" w:rsidRPr="006D1C74">
        <w:rPr>
          <w:rFonts w:asciiTheme="majorHAnsi" w:hAnsiTheme="majorHAnsi"/>
          <w:sz w:val="20"/>
          <w:szCs w:val="20"/>
          <w:lang w:val="pt-BR"/>
        </w:rPr>
        <w:t>adas, vistas</w:t>
      </w:r>
      <w:r w:rsidR="00CF037E" w:rsidRPr="006D1C74">
        <w:rPr>
          <w:rFonts w:asciiTheme="majorHAnsi" w:hAnsiTheme="majorHAnsi"/>
          <w:sz w:val="20"/>
          <w:szCs w:val="20"/>
          <w:lang w:val="pt-BR"/>
        </w:rPr>
        <w:t xml:space="preserve"> e </w:t>
      </w:r>
      <w:r w:rsidR="00565F62" w:rsidRPr="006D1C74">
        <w:rPr>
          <w:rFonts w:asciiTheme="majorHAnsi" w:hAnsiTheme="majorHAnsi"/>
          <w:sz w:val="20"/>
          <w:szCs w:val="20"/>
          <w:lang w:val="pt-BR"/>
        </w:rPr>
        <w:t>o</w:t>
      </w:r>
      <w:r w:rsidR="000D088B" w:rsidRPr="006D1C74">
        <w:rPr>
          <w:rFonts w:asciiTheme="majorHAnsi" w:hAnsiTheme="majorHAnsi"/>
          <w:sz w:val="20"/>
          <w:szCs w:val="20"/>
          <w:lang w:val="pt-BR"/>
        </w:rPr>
        <w:t>uvi</w:t>
      </w:r>
      <w:r w:rsidR="00565F62" w:rsidRPr="006D1C74">
        <w:rPr>
          <w:rFonts w:asciiTheme="majorHAnsi" w:hAnsiTheme="majorHAnsi"/>
          <w:sz w:val="20"/>
          <w:szCs w:val="20"/>
          <w:lang w:val="pt-BR"/>
        </w:rPr>
        <w:t>das</w:t>
      </w:r>
      <w:r w:rsidR="00700267" w:rsidRPr="006D1C74">
        <w:rPr>
          <w:rFonts w:asciiTheme="majorHAnsi" w:hAnsiTheme="majorHAnsi"/>
          <w:sz w:val="20"/>
          <w:szCs w:val="20"/>
          <w:lang w:val="pt-BR"/>
        </w:rPr>
        <w:t xml:space="preserve"> pelo </w:t>
      </w:r>
      <w:r w:rsidR="00565F62" w:rsidRPr="006D1C74">
        <w:rPr>
          <w:rFonts w:asciiTheme="majorHAnsi" w:hAnsiTheme="majorHAnsi"/>
          <w:sz w:val="20"/>
          <w:szCs w:val="20"/>
          <w:lang w:val="pt-BR"/>
        </w:rPr>
        <w:t xml:space="preserve">público </w:t>
      </w:r>
      <w:r w:rsidR="00903B1A" w:rsidRPr="006D1C74">
        <w:rPr>
          <w:rFonts w:asciiTheme="majorHAnsi" w:hAnsiTheme="majorHAnsi"/>
          <w:sz w:val="20"/>
          <w:szCs w:val="20"/>
          <w:lang w:val="pt-BR"/>
        </w:rPr>
        <w:t>destinatário</w:t>
      </w:r>
      <w:r w:rsidR="00FC2F62" w:rsidRPr="006D1C74">
        <w:rPr>
          <w:rFonts w:asciiTheme="majorHAnsi" w:hAnsiTheme="majorHAnsi"/>
          <w:sz w:val="20"/>
          <w:szCs w:val="20"/>
          <w:lang w:val="pt-BR"/>
        </w:rPr>
        <w:t xml:space="preserve"> no </w:t>
      </w:r>
      <w:r w:rsidR="00565F62" w:rsidRPr="006D1C74">
        <w:rPr>
          <w:rFonts w:asciiTheme="majorHAnsi" w:hAnsiTheme="majorHAnsi"/>
          <w:sz w:val="20"/>
          <w:szCs w:val="20"/>
          <w:lang w:val="pt-BR"/>
        </w:rPr>
        <w:t>espa</w:t>
      </w:r>
      <w:r w:rsidR="000D088B" w:rsidRPr="006D1C74">
        <w:rPr>
          <w:rFonts w:asciiTheme="majorHAnsi" w:hAnsiTheme="majorHAnsi"/>
          <w:sz w:val="20"/>
          <w:szCs w:val="20"/>
          <w:lang w:val="pt-BR"/>
        </w:rPr>
        <w:t>ç</w:t>
      </w:r>
      <w:r w:rsidR="00565F62" w:rsidRPr="006D1C74">
        <w:rPr>
          <w:rFonts w:asciiTheme="majorHAnsi" w:hAnsiTheme="majorHAnsi"/>
          <w:sz w:val="20"/>
          <w:szCs w:val="20"/>
          <w:lang w:val="pt-BR"/>
        </w:rPr>
        <w:t>o e</w:t>
      </w:r>
      <w:r w:rsidR="000D088B" w:rsidRPr="006D1C74">
        <w:rPr>
          <w:rFonts w:asciiTheme="majorHAnsi" w:hAnsiTheme="majorHAnsi"/>
          <w:sz w:val="20"/>
          <w:szCs w:val="20"/>
          <w:lang w:val="pt-BR"/>
        </w:rPr>
        <w:t>scolh</w:t>
      </w:r>
      <w:r w:rsidR="00565F62" w:rsidRPr="006D1C74">
        <w:rPr>
          <w:rFonts w:asciiTheme="majorHAnsi" w:hAnsiTheme="majorHAnsi"/>
          <w:sz w:val="20"/>
          <w:szCs w:val="20"/>
          <w:lang w:val="pt-BR"/>
        </w:rPr>
        <w:t>ido</w:t>
      </w:r>
      <w:r w:rsidR="00BD3AB3" w:rsidRPr="006D1C74">
        <w:rPr>
          <w:rFonts w:asciiTheme="majorHAnsi" w:hAnsiTheme="majorHAnsi"/>
          <w:sz w:val="20"/>
          <w:szCs w:val="20"/>
          <w:lang w:val="pt-BR"/>
        </w:rPr>
        <w:t xml:space="preserve"> pelos </w:t>
      </w:r>
      <w:r w:rsidR="00565F62" w:rsidRPr="006D1C74">
        <w:rPr>
          <w:rFonts w:asciiTheme="majorHAnsi" w:hAnsiTheme="majorHAnsi"/>
          <w:sz w:val="20"/>
          <w:szCs w:val="20"/>
          <w:lang w:val="pt-BR"/>
        </w:rPr>
        <w:t>convoca</w:t>
      </w:r>
      <w:r w:rsidR="007458E3" w:rsidRPr="006D1C74">
        <w:rPr>
          <w:rFonts w:asciiTheme="majorHAnsi" w:hAnsiTheme="majorHAnsi"/>
          <w:sz w:val="20"/>
          <w:szCs w:val="20"/>
          <w:lang w:val="pt-BR"/>
        </w:rPr>
        <w:t>dor</w:t>
      </w:r>
      <w:r w:rsidR="00565F62" w:rsidRPr="006D1C74">
        <w:rPr>
          <w:rFonts w:asciiTheme="majorHAnsi" w:hAnsiTheme="majorHAnsi"/>
          <w:sz w:val="20"/>
          <w:szCs w:val="20"/>
          <w:lang w:val="pt-BR"/>
        </w:rPr>
        <w:t xml:space="preserve">es, para que </w:t>
      </w:r>
      <w:r w:rsidR="007458E3" w:rsidRPr="006D1C74">
        <w:rPr>
          <w:rFonts w:asciiTheme="majorHAnsi" w:hAnsiTheme="majorHAnsi"/>
          <w:sz w:val="20"/>
          <w:szCs w:val="20"/>
          <w:lang w:val="pt-BR"/>
        </w:rPr>
        <w:t>se envie</w:t>
      </w:r>
      <w:r w:rsidR="00700267" w:rsidRPr="006D1C74">
        <w:rPr>
          <w:rFonts w:asciiTheme="majorHAnsi" w:hAnsiTheme="majorHAnsi"/>
          <w:sz w:val="20"/>
          <w:szCs w:val="20"/>
          <w:lang w:val="pt-BR"/>
        </w:rPr>
        <w:t xml:space="preserve"> </w:t>
      </w:r>
      <w:r w:rsidR="000D088B" w:rsidRPr="006D1C74">
        <w:rPr>
          <w:rFonts w:asciiTheme="majorHAnsi" w:hAnsiTheme="majorHAnsi"/>
          <w:sz w:val="20"/>
          <w:szCs w:val="20"/>
          <w:lang w:val="pt-BR"/>
        </w:rPr>
        <w:t>a</w:t>
      </w:r>
      <w:r w:rsidR="00700267" w:rsidRPr="006D1C74">
        <w:rPr>
          <w:rFonts w:asciiTheme="majorHAnsi" w:hAnsiTheme="majorHAnsi"/>
          <w:sz w:val="20"/>
          <w:szCs w:val="20"/>
          <w:lang w:val="pt-BR"/>
        </w:rPr>
        <w:t xml:space="preserve"> </w:t>
      </w:r>
      <w:r w:rsidR="00565F62" w:rsidRPr="006D1C74">
        <w:rPr>
          <w:rFonts w:asciiTheme="majorHAnsi" w:hAnsiTheme="majorHAnsi"/>
          <w:sz w:val="20"/>
          <w:szCs w:val="20"/>
          <w:lang w:val="pt-BR"/>
        </w:rPr>
        <w:t>mensa</w:t>
      </w:r>
      <w:r w:rsidR="000D088B" w:rsidRPr="006D1C74">
        <w:rPr>
          <w:rFonts w:asciiTheme="majorHAnsi" w:hAnsiTheme="majorHAnsi"/>
          <w:sz w:val="20"/>
          <w:szCs w:val="20"/>
          <w:lang w:val="pt-BR"/>
        </w:rPr>
        <w:t>gem</w:t>
      </w:r>
      <w:r w:rsidR="00565F62" w:rsidRPr="006D1C74">
        <w:rPr>
          <w:rFonts w:asciiTheme="majorHAnsi" w:hAnsiTheme="majorHAnsi"/>
          <w:sz w:val="20"/>
          <w:szCs w:val="20"/>
          <w:lang w:val="pt-BR"/>
        </w:rPr>
        <w:t xml:space="preserve"> que</w:t>
      </w:r>
      <w:r w:rsidR="00700267" w:rsidRPr="006D1C74">
        <w:rPr>
          <w:rFonts w:asciiTheme="majorHAnsi" w:hAnsiTheme="majorHAnsi"/>
          <w:sz w:val="20"/>
          <w:szCs w:val="20"/>
          <w:lang w:val="pt-BR"/>
        </w:rPr>
        <w:t xml:space="preserve"> os </w:t>
      </w:r>
      <w:r w:rsidR="00565F62" w:rsidRPr="006D1C74">
        <w:rPr>
          <w:rFonts w:asciiTheme="majorHAnsi" w:hAnsiTheme="majorHAnsi"/>
          <w:sz w:val="20"/>
          <w:szCs w:val="20"/>
          <w:lang w:val="pt-BR"/>
        </w:rPr>
        <w:t>organizadores</w:t>
      </w:r>
      <w:r w:rsidR="00CF037E" w:rsidRPr="006D1C74">
        <w:rPr>
          <w:rFonts w:asciiTheme="majorHAnsi" w:hAnsiTheme="majorHAnsi"/>
          <w:sz w:val="20"/>
          <w:szCs w:val="20"/>
          <w:lang w:val="pt-BR"/>
        </w:rPr>
        <w:t xml:space="preserve"> e</w:t>
      </w:r>
      <w:r w:rsidR="00700267" w:rsidRPr="006D1C74">
        <w:rPr>
          <w:rFonts w:asciiTheme="majorHAnsi" w:hAnsiTheme="majorHAnsi"/>
          <w:sz w:val="20"/>
          <w:szCs w:val="20"/>
          <w:lang w:val="pt-BR"/>
        </w:rPr>
        <w:t xml:space="preserve"> os </w:t>
      </w:r>
      <w:r w:rsidR="00565F62" w:rsidRPr="006D1C74">
        <w:rPr>
          <w:rFonts w:asciiTheme="majorHAnsi" w:hAnsiTheme="majorHAnsi"/>
          <w:sz w:val="20"/>
          <w:szCs w:val="20"/>
          <w:lang w:val="pt-BR"/>
        </w:rPr>
        <w:t xml:space="preserve">participantes </w:t>
      </w:r>
      <w:r w:rsidR="00903B1A" w:rsidRPr="006D1C74">
        <w:rPr>
          <w:rFonts w:asciiTheme="majorHAnsi" w:hAnsiTheme="majorHAnsi"/>
          <w:sz w:val="20"/>
          <w:szCs w:val="20"/>
          <w:lang w:val="pt-BR"/>
        </w:rPr>
        <w:t>desejam</w:t>
      </w:r>
      <w:r w:rsidR="00565F62" w:rsidRPr="006D1C74">
        <w:rPr>
          <w:rFonts w:asciiTheme="majorHAnsi" w:hAnsiTheme="majorHAnsi"/>
          <w:sz w:val="20"/>
          <w:szCs w:val="20"/>
          <w:lang w:val="pt-BR"/>
        </w:rPr>
        <w:t xml:space="preserve"> difundir. Por </w:t>
      </w:r>
      <w:r w:rsidR="007458E3" w:rsidRPr="006D1C74">
        <w:rPr>
          <w:rFonts w:asciiTheme="majorHAnsi" w:hAnsiTheme="majorHAnsi"/>
          <w:sz w:val="20"/>
          <w:szCs w:val="20"/>
          <w:lang w:val="pt-BR"/>
        </w:rPr>
        <w:t>iss</w:t>
      </w:r>
      <w:r w:rsidR="00565F62" w:rsidRPr="006D1C74">
        <w:rPr>
          <w:rFonts w:asciiTheme="majorHAnsi" w:hAnsiTheme="majorHAnsi"/>
          <w:sz w:val="20"/>
          <w:szCs w:val="20"/>
          <w:lang w:val="pt-BR"/>
        </w:rPr>
        <w:t xml:space="preserve">o, como </w:t>
      </w:r>
      <w:r w:rsidR="00903B1A" w:rsidRPr="006D1C74">
        <w:rPr>
          <w:rFonts w:asciiTheme="majorHAnsi" w:hAnsiTheme="majorHAnsi"/>
          <w:sz w:val="20"/>
          <w:szCs w:val="20"/>
          <w:lang w:val="pt-BR"/>
        </w:rPr>
        <w:t>regra</w:t>
      </w:r>
      <w:r w:rsidR="00565F62" w:rsidRPr="006D1C74">
        <w:rPr>
          <w:rFonts w:asciiTheme="majorHAnsi" w:hAnsiTheme="majorHAnsi"/>
          <w:sz w:val="20"/>
          <w:szCs w:val="20"/>
          <w:lang w:val="pt-BR"/>
        </w:rPr>
        <w:t xml:space="preserve"> geral</w:t>
      </w:r>
      <w:r w:rsidR="00DF5906">
        <w:rPr>
          <w:rFonts w:asciiTheme="majorHAnsi" w:hAnsiTheme="majorHAnsi"/>
          <w:sz w:val="20"/>
          <w:szCs w:val="20"/>
          <w:lang w:val="pt-BR"/>
        </w:rPr>
        <w:t>,</w:t>
      </w:r>
      <w:r w:rsidR="00700267" w:rsidRPr="006D1C74">
        <w:rPr>
          <w:rFonts w:asciiTheme="majorHAnsi" w:hAnsiTheme="majorHAnsi"/>
          <w:sz w:val="20"/>
          <w:szCs w:val="20"/>
          <w:lang w:val="pt-BR"/>
        </w:rPr>
        <w:t xml:space="preserve"> o </w:t>
      </w:r>
      <w:r w:rsidR="00417BE8" w:rsidRPr="006D1C74">
        <w:rPr>
          <w:rFonts w:asciiTheme="majorHAnsi" w:hAnsiTheme="majorHAnsi"/>
          <w:sz w:val="20"/>
          <w:szCs w:val="20"/>
          <w:lang w:val="pt-BR"/>
        </w:rPr>
        <w:t>direito</w:t>
      </w:r>
      <w:r w:rsidR="00565F62" w:rsidRPr="006D1C74">
        <w:rPr>
          <w:rFonts w:asciiTheme="majorHAnsi" w:hAnsiTheme="majorHAnsi"/>
          <w:sz w:val="20"/>
          <w:szCs w:val="20"/>
          <w:lang w:val="pt-BR"/>
        </w:rPr>
        <w:t xml:space="preserve"> de manifestar</w:t>
      </w:r>
      <w:r w:rsidR="007458E3" w:rsidRPr="006D1C74">
        <w:rPr>
          <w:rFonts w:asciiTheme="majorHAnsi" w:hAnsiTheme="majorHAnsi"/>
          <w:sz w:val="20"/>
          <w:szCs w:val="20"/>
          <w:lang w:val="pt-BR"/>
        </w:rPr>
        <w:t>-</w:t>
      </w:r>
      <w:r w:rsidR="00565F62" w:rsidRPr="006D1C74">
        <w:rPr>
          <w:rFonts w:asciiTheme="majorHAnsi" w:hAnsiTheme="majorHAnsi"/>
          <w:sz w:val="20"/>
          <w:szCs w:val="20"/>
          <w:lang w:val="pt-BR"/>
        </w:rPr>
        <w:t>se</w:t>
      </w:r>
      <w:r w:rsidR="00CF037E" w:rsidRPr="006D1C74">
        <w:rPr>
          <w:rFonts w:asciiTheme="majorHAnsi" w:hAnsiTheme="majorHAnsi"/>
          <w:sz w:val="20"/>
          <w:szCs w:val="20"/>
          <w:lang w:val="pt-BR"/>
        </w:rPr>
        <w:t xml:space="preserve"> e </w:t>
      </w:r>
      <w:r w:rsidR="00565F62" w:rsidRPr="006D1C74">
        <w:rPr>
          <w:rFonts w:asciiTheme="majorHAnsi" w:hAnsiTheme="majorHAnsi"/>
          <w:sz w:val="20"/>
          <w:szCs w:val="20"/>
          <w:lang w:val="pt-BR"/>
        </w:rPr>
        <w:t>protestar inclu</w:t>
      </w:r>
      <w:r w:rsidR="00903B1A">
        <w:rPr>
          <w:rFonts w:asciiTheme="majorHAnsi" w:hAnsiTheme="majorHAnsi"/>
          <w:sz w:val="20"/>
          <w:szCs w:val="20"/>
          <w:lang w:val="pt-BR"/>
        </w:rPr>
        <w:t>i</w:t>
      </w:r>
      <w:r w:rsidR="00700267" w:rsidRPr="006D1C74">
        <w:rPr>
          <w:rFonts w:asciiTheme="majorHAnsi" w:hAnsiTheme="majorHAnsi"/>
          <w:sz w:val="20"/>
          <w:szCs w:val="20"/>
          <w:lang w:val="pt-BR"/>
        </w:rPr>
        <w:t xml:space="preserve"> o </w:t>
      </w:r>
      <w:r w:rsidR="00417BE8" w:rsidRPr="006D1C74">
        <w:rPr>
          <w:rFonts w:asciiTheme="majorHAnsi" w:hAnsiTheme="majorHAnsi"/>
          <w:sz w:val="20"/>
          <w:szCs w:val="20"/>
          <w:lang w:val="pt-BR"/>
        </w:rPr>
        <w:t>direito</w:t>
      </w:r>
      <w:r w:rsidR="00565F62" w:rsidRPr="006D1C74">
        <w:rPr>
          <w:rFonts w:asciiTheme="majorHAnsi" w:hAnsiTheme="majorHAnsi"/>
          <w:sz w:val="20"/>
          <w:szCs w:val="20"/>
          <w:lang w:val="pt-BR"/>
        </w:rPr>
        <w:t xml:space="preserve"> de e</w:t>
      </w:r>
      <w:r w:rsidR="007458E3" w:rsidRPr="006D1C74">
        <w:rPr>
          <w:rFonts w:asciiTheme="majorHAnsi" w:hAnsiTheme="majorHAnsi"/>
          <w:sz w:val="20"/>
          <w:szCs w:val="20"/>
          <w:lang w:val="pt-BR"/>
        </w:rPr>
        <w:t>scolher</w:t>
      </w:r>
      <w:r w:rsidR="00700267" w:rsidRPr="006D1C74">
        <w:rPr>
          <w:rFonts w:asciiTheme="majorHAnsi" w:hAnsiTheme="majorHAnsi"/>
          <w:sz w:val="20"/>
          <w:szCs w:val="20"/>
          <w:lang w:val="pt-BR"/>
        </w:rPr>
        <w:t xml:space="preserve"> o </w:t>
      </w:r>
      <w:r w:rsidR="00903B1A" w:rsidRPr="006D1C74">
        <w:rPr>
          <w:rFonts w:asciiTheme="majorHAnsi" w:hAnsiTheme="majorHAnsi"/>
          <w:sz w:val="20"/>
          <w:szCs w:val="20"/>
          <w:lang w:val="pt-BR"/>
        </w:rPr>
        <w:t>tempo</w:t>
      </w:r>
      <w:r w:rsidR="00565F62" w:rsidRPr="006D1C74">
        <w:rPr>
          <w:rFonts w:asciiTheme="majorHAnsi" w:hAnsiTheme="majorHAnsi"/>
          <w:sz w:val="20"/>
          <w:szCs w:val="20"/>
          <w:lang w:val="pt-BR"/>
        </w:rPr>
        <w:t>, lugar</w:t>
      </w:r>
      <w:r w:rsidR="00CF037E" w:rsidRPr="006D1C74">
        <w:rPr>
          <w:rFonts w:asciiTheme="majorHAnsi" w:hAnsiTheme="majorHAnsi"/>
          <w:sz w:val="20"/>
          <w:szCs w:val="20"/>
          <w:lang w:val="pt-BR"/>
        </w:rPr>
        <w:t xml:space="preserve"> e </w:t>
      </w:r>
      <w:r w:rsidR="00565F62" w:rsidRPr="006D1C74">
        <w:rPr>
          <w:rFonts w:asciiTheme="majorHAnsi" w:hAnsiTheme="majorHAnsi"/>
          <w:sz w:val="20"/>
          <w:szCs w:val="20"/>
          <w:lang w:val="pt-BR"/>
        </w:rPr>
        <w:t xml:space="preserve">modo de </w:t>
      </w:r>
      <w:r w:rsidR="007458E3" w:rsidRPr="006D1C74">
        <w:rPr>
          <w:rFonts w:asciiTheme="majorHAnsi" w:hAnsiTheme="majorHAnsi"/>
          <w:sz w:val="20"/>
          <w:szCs w:val="20"/>
          <w:lang w:val="pt-BR"/>
        </w:rPr>
        <w:t>fazê-</w:t>
      </w:r>
      <w:r w:rsidR="00565F62" w:rsidRPr="006D1C74">
        <w:rPr>
          <w:rFonts w:asciiTheme="majorHAnsi" w:hAnsiTheme="majorHAnsi"/>
          <w:sz w:val="20"/>
          <w:szCs w:val="20"/>
          <w:lang w:val="pt-BR"/>
        </w:rPr>
        <w:t>lo</w:t>
      </w:r>
      <w:r w:rsidR="00565F62" w:rsidRPr="006D1C74">
        <w:rPr>
          <w:rStyle w:val="FootnoteReference"/>
          <w:rFonts w:asciiTheme="majorHAnsi" w:hAnsiTheme="majorHAnsi"/>
          <w:sz w:val="20"/>
          <w:szCs w:val="20"/>
          <w:lang w:val="pt-BR"/>
        </w:rPr>
        <w:footnoteReference w:id="82"/>
      </w:r>
      <w:r w:rsidR="00565F62" w:rsidRPr="006D1C74">
        <w:rPr>
          <w:rFonts w:asciiTheme="majorHAnsi" w:hAnsiTheme="majorHAnsi"/>
          <w:sz w:val="20"/>
          <w:szCs w:val="20"/>
          <w:lang w:val="pt-BR"/>
        </w:rPr>
        <w:t>.</w:t>
      </w:r>
    </w:p>
    <w:p w14:paraId="05628FDB" w14:textId="77777777" w:rsidR="00565F62" w:rsidRPr="006D1C74" w:rsidRDefault="00565F62" w:rsidP="00565F62">
      <w:pPr>
        <w:pStyle w:val="ListParagraph"/>
        <w:rPr>
          <w:rFonts w:asciiTheme="majorHAnsi" w:hAnsiTheme="majorHAnsi"/>
          <w:sz w:val="20"/>
          <w:szCs w:val="20"/>
          <w:lang w:val="pt-BR"/>
        </w:rPr>
      </w:pPr>
    </w:p>
    <w:p w14:paraId="3135896B" w14:textId="77777777" w:rsidR="00AD6004" w:rsidRPr="006D1C74" w:rsidRDefault="007458E3" w:rsidP="00AD600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Lev</w:t>
      </w:r>
      <w:r w:rsidR="006175F2" w:rsidRPr="006D1C74">
        <w:rPr>
          <w:rFonts w:asciiTheme="majorHAnsi" w:hAnsiTheme="majorHAnsi"/>
          <w:sz w:val="20"/>
          <w:szCs w:val="20"/>
          <w:lang w:val="pt-BR"/>
        </w:rPr>
        <w:t>ando</w:t>
      </w:r>
      <w:r w:rsidR="00F673C7" w:rsidRPr="006D1C74">
        <w:rPr>
          <w:rFonts w:asciiTheme="majorHAnsi" w:hAnsiTheme="majorHAnsi"/>
          <w:sz w:val="20"/>
          <w:szCs w:val="20"/>
          <w:lang w:val="pt-BR"/>
        </w:rPr>
        <w:t xml:space="preserve"> em </w:t>
      </w:r>
      <w:r w:rsidR="00903B1A" w:rsidRPr="006D1C74">
        <w:rPr>
          <w:rFonts w:asciiTheme="majorHAnsi" w:hAnsiTheme="majorHAnsi"/>
          <w:sz w:val="20"/>
          <w:szCs w:val="20"/>
          <w:lang w:val="pt-BR"/>
        </w:rPr>
        <w:t>conta</w:t>
      </w:r>
      <w:r w:rsidR="00700267" w:rsidRPr="006D1C74">
        <w:rPr>
          <w:rFonts w:asciiTheme="majorHAnsi" w:hAnsiTheme="majorHAnsi"/>
          <w:sz w:val="20"/>
          <w:szCs w:val="20"/>
          <w:lang w:val="pt-BR"/>
        </w:rPr>
        <w:t xml:space="preserve"> o</w:t>
      </w:r>
      <w:r w:rsidRPr="006D1C74">
        <w:rPr>
          <w:rFonts w:asciiTheme="majorHAnsi" w:hAnsiTheme="majorHAnsi"/>
          <w:sz w:val="20"/>
          <w:szCs w:val="20"/>
          <w:lang w:val="pt-BR"/>
        </w:rPr>
        <w:t xml:space="preserve"> </w:t>
      </w:r>
      <w:r w:rsidR="006175F2" w:rsidRPr="006D1C74">
        <w:rPr>
          <w:rFonts w:asciiTheme="majorHAnsi" w:hAnsiTheme="majorHAnsi"/>
          <w:sz w:val="20"/>
          <w:szCs w:val="20"/>
          <w:lang w:val="pt-BR"/>
        </w:rPr>
        <w:t>context</w:t>
      </w:r>
      <w:r w:rsidRPr="006D1C74">
        <w:rPr>
          <w:rFonts w:asciiTheme="majorHAnsi" w:hAnsiTheme="majorHAnsi"/>
          <w:sz w:val="20"/>
          <w:szCs w:val="20"/>
          <w:lang w:val="pt-BR"/>
        </w:rPr>
        <w:t xml:space="preserve">o </w:t>
      </w:r>
      <w:r w:rsidR="006175F2" w:rsidRPr="006D1C74">
        <w:rPr>
          <w:rFonts w:asciiTheme="majorHAnsi" w:hAnsiTheme="majorHAnsi"/>
          <w:sz w:val="20"/>
          <w:szCs w:val="20"/>
          <w:lang w:val="pt-BR"/>
        </w:rPr>
        <w:t xml:space="preserve">de </w:t>
      </w:r>
      <w:r w:rsidR="00143756" w:rsidRPr="006D1C74">
        <w:rPr>
          <w:rFonts w:asciiTheme="majorHAnsi" w:hAnsiTheme="majorHAnsi"/>
          <w:sz w:val="20"/>
          <w:szCs w:val="20"/>
          <w:lang w:val="pt-BR"/>
        </w:rPr>
        <w:t>violência</w:t>
      </w:r>
      <w:r w:rsidR="00CF037E" w:rsidRPr="006D1C74">
        <w:rPr>
          <w:rFonts w:asciiTheme="majorHAnsi" w:hAnsiTheme="majorHAnsi"/>
          <w:sz w:val="20"/>
          <w:szCs w:val="20"/>
          <w:lang w:val="pt-BR"/>
        </w:rPr>
        <w:t xml:space="preserve"> e </w:t>
      </w:r>
      <w:r w:rsidR="006175F2" w:rsidRPr="006D1C74">
        <w:rPr>
          <w:rFonts w:asciiTheme="majorHAnsi" w:hAnsiTheme="majorHAnsi"/>
          <w:sz w:val="20"/>
          <w:szCs w:val="20"/>
          <w:lang w:val="pt-BR"/>
        </w:rPr>
        <w:t>perse</w:t>
      </w:r>
      <w:r w:rsidRPr="006D1C74">
        <w:rPr>
          <w:rFonts w:asciiTheme="majorHAnsi" w:hAnsiTheme="majorHAnsi"/>
          <w:sz w:val="20"/>
          <w:szCs w:val="20"/>
          <w:lang w:val="pt-BR"/>
        </w:rPr>
        <w:t>gui</w:t>
      </w:r>
      <w:r w:rsidR="00CF037E" w:rsidRPr="006D1C74">
        <w:rPr>
          <w:rFonts w:asciiTheme="majorHAnsi" w:hAnsiTheme="majorHAnsi"/>
          <w:sz w:val="20"/>
          <w:szCs w:val="20"/>
          <w:lang w:val="pt-BR"/>
        </w:rPr>
        <w:t>ção</w:t>
      </w:r>
      <w:r w:rsidR="006175F2" w:rsidRPr="006D1C74">
        <w:rPr>
          <w:rFonts w:asciiTheme="majorHAnsi" w:hAnsiTheme="majorHAnsi"/>
          <w:sz w:val="20"/>
          <w:szCs w:val="20"/>
          <w:lang w:val="pt-BR"/>
        </w:rPr>
        <w:t xml:space="preserve"> </w:t>
      </w:r>
      <w:r w:rsidRPr="006D1C74">
        <w:rPr>
          <w:rFonts w:asciiTheme="majorHAnsi" w:hAnsiTheme="majorHAnsi"/>
          <w:sz w:val="20"/>
          <w:szCs w:val="20"/>
          <w:lang w:val="pt-BR"/>
        </w:rPr>
        <w:t>já mencionado</w:t>
      </w:r>
      <w:r w:rsidR="00FC2F62" w:rsidRPr="006D1C74">
        <w:rPr>
          <w:rFonts w:asciiTheme="majorHAnsi" w:hAnsiTheme="majorHAnsi"/>
          <w:sz w:val="20"/>
          <w:szCs w:val="20"/>
          <w:lang w:val="pt-BR"/>
        </w:rPr>
        <w:t xml:space="preserve"> no </w:t>
      </w:r>
      <w:r w:rsidR="006175F2" w:rsidRPr="006D1C74">
        <w:rPr>
          <w:rFonts w:asciiTheme="majorHAnsi" w:hAnsiTheme="majorHAnsi"/>
          <w:sz w:val="20"/>
          <w:szCs w:val="20"/>
          <w:lang w:val="pt-BR"/>
        </w:rPr>
        <w:t xml:space="preserve">presente </w:t>
      </w:r>
      <w:r w:rsidR="00927E16" w:rsidRPr="006D1C74">
        <w:rPr>
          <w:rFonts w:asciiTheme="majorHAnsi" w:hAnsiTheme="majorHAnsi"/>
          <w:sz w:val="20"/>
          <w:szCs w:val="20"/>
          <w:lang w:val="pt-BR"/>
        </w:rPr>
        <w:t>relatório</w:t>
      </w:r>
      <w:r w:rsidR="00CF037E" w:rsidRPr="006D1C74">
        <w:rPr>
          <w:rFonts w:asciiTheme="majorHAnsi" w:hAnsiTheme="majorHAnsi"/>
          <w:sz w:val="20"/>
          <w:szCs w:val="20"/>
          <w:lang w:val="pt-BR"/>
        </w:rPr>
        <w:t xml:space="preserve"> e</w:t>
      </w:r>
      <w:r w:rsidR="00FC2F62" w:rsidRPr="006D1C74">
        <w:rPr>
          <w:rFonts w:asciiTheme="majorHAnsi" w:hAnsiTheme="majorHAnsi"/>
          <w:sz w:val="20"/>
          <w:szCs w:val="20"/>
          <w:lang w:val="pt-BR"/>
        </w:rPr>
        <w:t xml:space="preserve"> no </w:t>
      </w:r>
      <w:r w:rsidR="003705A2">
        <w:rPr>
          <w:rFonts w:asciiTheme="majorHAnsi" w:hAnsiTheme="majorHAnsi"/>
          <w:sz w:val="20"/>
          <w:szCs w:val="20"/>
          <w:lang w:val="pt-BR"/>
        </w:rPr>
        <w:t>qua</w:t>
      </w:r>
      <w:r w:rsidR="006175F2" w:rsidRPr="006D1C74">
        <w:rPr>
          <w:rFonts w:asciiTheme="majorHAnsi" w:hAnsiTheme="majorHAnsi"/>
          <w:sz w:val="20"/>
          <w:szCs w:val="20"/>
          <w:lang w:val="pt-BR"/>
        </w:rPr>
        <w:t xml:space="preserve">l </w:t>
      </w:r>
      <w:r w:rsidR="00903B1A" w:rsidRPr="006D1C74">
        <w:rPr>
          <w:rFonts w:asciiTheme="majorHAnsi" w:hAnsiTheme="majorHAnsi"/>
          <w:sz w:val="20"/>
          <w:szCs w:val="20"/>
          <w:lang w:val="pt-BR"/>
        </w:rPr>
        <w:t>ocorreram</w:t>
      </w:r>
      <w:r w:rsidR="00700267" w:rsidRPr="006D1C74">
        <w:rPr>
          <w:rFonts w:asciiTheme="majorHAnsi" w:hAnsiTheme="majorHAnsi"/>
          <w:sz w:val="20"/>
          <w:szCs w:val="20"/>
          <w:lang w:val="pt-BR"/>
        </w:rPr>
        <w:t xml:space="preserve"> os </w:t>
      </w:r>
      <w:r w:rsidR="00F37852" w:rsidRPr="006D1C74">
        <w:rPr>
          <w:rFonts w:asciiTheme="majorHAnsi" w:hAnsiTheme="majorHAnsi"/>
          <w:sz w:val="20"/>
          <w:szCs w:val="20"/>
          <w:lang w:val="pt-BR"/>
        </w:rPr>
        <w:t>fato</w:t>
      </w:r>
      <w:r w:rsidR="006175F2" w:rsidRPr="006D1C74">
        <w:rPr>
          <w:rFonts w:asciiTheme="majorHAnsi" w:hAnsiTheme="majorHAnsi"/>
          <w:sz w:val="20"/>
          <w:szCs w:val="20"/>
          <w:lang w:val="pt-BR"/>
        </w:rPr>
        <w:t>s,</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006175F2" w:rsidRPr="006D1C74">
        <w:rPr>
          <w:rFonts w:asciiTheme="majorHAnsi" w:hAnsiTheme="majorHAnsi"/>
          <w:sz w:val="20"/>
          <w:szCs w:val="20"/>
          <w:lang w:val="pt-BR"/>
        </w:rPr>
        <w:t xml:space="preserve"> considera </w:t>
      </w:r>
      <w:r w:rsidR="00AD6004" w:rsidRPr="006D1C74">
        <w:rPr>
          <w:rFonts w:asciiTheme="majorHAnsi" w:hAnsiTheme="majorHAnsi"/>
          <w:sz w:val="20"/>
          <w:szCs w:val="20"/>
          <w:lang w:val="pt-BR"/>
        </w:rPr>
        <w:t>que</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 xml:space="preserve">Estado </w:t>
      </w:r>
      <w:r w:rsidR="00565F62" w:rsidRPr="006D1C74">
        <w:rPr>
          <w:rFonts w:asciiTheme="majorHAnsi" w:hAnsiTheme="majorHAnsi"/>
          <w:sz w:val="20"/>
          <w:szCs w:val="20"/>
          <w:lang w:val="pt-BR"/>
        </w:rPr>
        <w:t>viol</w:t>
      </w:r>
      <w:r w:rsidRPr="006D1C74">
        <w:rPr>
          <w:rFonts w:asciiTheme="majorHAnsi" w:hAnsiTheme="majorHAnsi"/>
          <w:sz w:val="20"/>
          <w:szCs w:val="20"/>
          <w:lang w:val="pt-BR"/>
        </w:rPr>
        <w:t>ou</w:t>
      </w:r>
      <w:r w:rsidR="00700267" w:rsidRPr="006D1C74">
        <w:rPr>
          <w:rFonts w:asciiTheme="majorHAnsi" w:hAnsiTheme="majorHAnsi"/>
          <w:sz w:val="20"/>
          <w:szCs w:val="20"/>
          <w:lang w:val="pt-BR"/>
        </w:rPr>
        <w:t xml:space="preserve"> os </w:t>
      </w:r>
      <w:r w:rsidR="00417BE8" w:rsidRPr="006D1C74">
        <w:rPr>
          <w:rFonts w:asciiTheme="majorHAnsi" w:hAnsiTheme="majorHAnsi"/>
          <w:sz w:val="20"/>
          <w:szCs w:val="20"/>
          <w:lang w:val="pt-BR"/>
        </w:rPr>
        <w:t>direito</w:t>
      </w:r>
      <w:r w:rsidR="002649F0" w:rsidRPr="006D1C74">
        <w:rPr>
          <w:rFonts w:asciiTheme="majorHAnsi" w:hAnsiTheme="majorHAnsi"/>
          <w:sz w:val="20"/>
          <w:szCs w:val="20"/>
          <w:lang w:val="pt-BR"/>
        </w:rPr>
        <w:t xml:space="preserve">s de </w:t>
      </w:r>
      <w:r w:rsidR="00E327B7" w:rsidRPr="006D1C74">
        <w:rPr>
          <w:rFonts w:asciiTheme="majorHAnsi" w:hAnsiTheme="majorHAnsi"/>
          <w:sz w:val="20"/>
          <w:szCs w:val="20"/>
          <w:lang w:val="pt-BR"/>
        </w:rPr>
        <w:t>reunião</w:t>
      </w:r>
      <w:r w:rsidR="00AD6004" w:rsidRPr="006D1C74">
        <w:rPr>
          <w:rFonts w:asciiTheme="majorHAnsi" w:hAnsiTheme="majorHAnsi"/>
          <w:sz w:val="20"/>
          <w:szCs w:val="20"/>
          <w:lang w:val="pt-BR"/>
        </w:rPr>
        <w:t xml:space="preserve">, de </w:t>
      </w:r>
      <w:r w:rsidR="00DD6DB2" w:rsidRPr="006D1C74">
        <w:rPr>
          <w:rFonts w:asciiTheme="majorHAnsi" w:hAnsiTheme="majorHAnsi"/>
          <w:sz w:val="20"/>
          <w:szCs w:val="20"/>
          <w:lang w:val="pt-BR"/>
        </w:rPr>
        <w:t>livre</w:t>
      </w:r>
      <w:r w:rsidR="00AD6004" w:rsidRPr="006D1C74">
        <w:rPr>
          <w:rFonts w:asciiTheme="majorHAnsi" w:hAnsiTheme="majorHAnsi"/>
          <w:sz w:val="20"/>
          <w:szCs w:val="20"/>
          <w:lang w:val="pt-BR"/>
        </w:rPr>
        <w:t xml:space="preserve"> </w:t>
      </w:r>
      <w:r w:rsidR="003705A2">
        <w:rPr>
          <w:rFonts w:asciiTheme="majorHAnsi" w:hAnsiTheme="majorHAnsi"/>
          <w:sz w:val="20"/>
          <w:szCs w:val="20"/>
          <w:lang w:val="pt-BR"/>
        </w:rPr>
        <w:t>expressã</w:t>
      </w:r>
      <w:r w:rsidR="0094446B" w:rsidRPr="006D1C74">
        <w:rPr>
          <w:rFonts w:asciiTheme="majorHAnsi" w:hAnsiTheme="majorHAnsi"/>
          <w:sz w:val="20"/>
          <w:szCs w:val="20"/>
          <w:lang w:val="pt-BR"/>
        </w:rPr>
        <w:t>o</w:t>
      </w:r>
      <w:r w:rsidR="00CF037E" w:rsidRPr="006D1C74">
        <w:rPr>
          <w:rFonts w:asciiTheme="majorHAnsi" w:hAnsiTheme="majorHAnsi"/>
          <w:sz w:val="20"/>
          <w:szCs w:val="20"/>
          <w:lang w:val="pt-BR"/>
        </w:rPr>
        <w:t xml:space="preserve"> e </w:t>
      </w:r>
      <w:r w:rsidR="00AD6004" w:rsidRPr="006D1C74">
        <w:rPr>
          <w:rFonts w:asciiTheme="majorHAnsi" w:hAnsiTheme="majorHAnsi"/>
          <w:sz w:val="20"/>
          <w:szCs w:val="20"/>
          <w:lang w:val="pt-BR"/>
        </w:rPr>
        <w:t>de circula</w:t>
      </w:r>
      <w:r w:rsidR="00CF037E" w:rsidRPr="006D1C74">
        <w:rPr>
          <w:rFonts w:asciiTheme="majorHAnsi" w:hAnsiTheme="majorHAnsi"/>
          <w:sz w:val="20"/>
          <w:szCs w:val="20"/>
          <w:lang w:val="pt-BR"/>
        </w:rPr>
        <w:t>ção</w:t>
      </w:r>
      <w:r w:rsidR="00AD6004" w:rsidRPr="006D1C74">
        <w:rPr>
          <w:rFonts w:asciiTheme="majorHAnsi" w:hAnsiTheme="majorHAnsi"/>
          <w:sz w:val="20"/>
          <w:szCs w:val="20"/>
          <w:lang w:val="pt-BR"/>
        </w:rPr>
        <w:t xml:space="preserve">, </w:t>
      </w:r>
      <w:r w:rsidR="00AD6004" w:rsidRPr="006D1C74">
        <w:rPr>
          <w:rFonts w:asciiTheme="majorHAnsi" w:hAnsiTheme="majorHAnsi"/>
          <w:sz w:val="20"/>
          <w:szCs w:val="20"/>
          <w:lang w:val="pt-BR" w:eastAsia="es-ES"/>
        </w:rPr>
        <w:t>amparados</w:t>
      </w:r>
      <w:r w:rsidR="00217759" w:rsidRPr="006D1C74">
        <w:rPr>
          <w:rFonts w:asciiTheme="majorHAnsi" w:hAnsiTheme="majorHAnsi"/>
          <w:sz w:val="20"/>
          <w:szCs w:val="20"/>
          <w:lang w:val="pt-BR" w:eastAsia="es-ES"/>
        </w:rPr>
        <w:t xml:space="preserve"> nos </w:t>
      </w:r>
      <w:r w:rsidR="00F673C7" w:rsidRPr="006D1C74">
        <w:rPr>
          <w:rFonts w:asciiTheme="majorHAnsi" w:hAnsiTheme="majorHAnsi"/>
          <w:sz w:val="20"/>
          <w:szCs w:val="20"/>
          <w:lang w:val="pt-BR" w:eastAsia="es-ES"/>
        </w:rPr>
        <w:t>artigo</w:t>
      </w:r>
      <w:r w:rsidR="00AD6004" w:rsidRPr="006D1C74">
        <w:rPr>
          <w:rFonts w:asciiTheme="majorHAnsi" w:hAnsiTheme="majorHAnsi"/>
          <w:sz w:val="20"/>
          <w:szCs w:val="20"/>
          <w:lang w:val="pt-BR" w:eastAsia="es-ES"/>
        </w:rPr>
        <w:t>s 15, 13</w:t>
      </w:r>
      <w:r w:rsidR="00CF037E" w:rsidRPr="006D1C74">
        <w:rPr>
          <w:rFonts w:asciiTheme="majorHAnsi" w:hAnsiTheme="majorHAnsi"/>
          <w:sz w:val="20"/>
          <w:szCs w:val="20"/>
          <w:lang w:val="pt-BR" w:eastAsia="es-ES"/>
        </w:rPr>
        <w:t xml:space="preserve"> e </w:t>
      </w:r>
      <w:r w:rsidR="00AD6004" w:rsidRPr="006D1C74">
        <w:rPr>
          <w:rFonts w:asciiTheme="majorHAnsi" w:hAnsiTheme="majorHAnsi"/>
          <w:sz w:val="20"/>
          <w:szCs w:val="20"/>
          <w:lang w:val="pt-BR" w:eastAsia="es-ES"/>
        </w:rPr>
        <w:t>22</w:t>
      </w:r>
      <w:r w:rsidR="00795010" w:rsidRPr="006D1C74">
        <w:rPr>
          <w:rFonts w:asciiTheme="majorHAnsi" w:hAnsiTheme="majorHAnsi"/>
          <w:sz w:val="20"/>
          <w:szCs w:val="20"/>
          <w:lang w:val="pt-BR" w:eastAsia="es-ES"/>
        </w:rPr>
        <w:t xml:space="preserve"> da </w:t>
      </w:r>
      <w:r w:rsidR="00AD6004" w:rsidRPr="006D1C74">
        <w:rPr>
          <w:rFonts w:asciiTheme="majorHAnsi" w:hAnsiTheme="majorHAnsi"/>
          <w:sz w:val="20"/>
          <w:szCs w:val="20"/>
          <w:lang w:val="pt-BR" w:eastAsia="es-ES"/>
        </w:rPr>
        <w:t>Conven</w:t>
      </w:r>
      <w:r w:rsidR="00CF037E" w:rsidRPr="006D1C74">
        <w:rPr>
          <w:rFonts w:asciiTheme="majorHAnsi" w:hAnsiTheme="majorHAnsi"/>
          <w:sz w:val="20"/>
          <w:szCs w:val="20"/>
          <w:lang w:val="pt-BR" w:eastAsia="es-ES"/>
        </w:rPr>
        <w:t>ção</w:t>
      </w:r>
      <w:r w:rsidR="00AD6004" w:rsidRPr="006D1C74">
        <w:rPr>
          <w:rFonts w:asciiTheme="majorHAnsi" w:hAnsiTheme="majorHAnsi"/>
          <w:sz w:val="20"/>
          <w:szCs w:val="20"/>
          <w:lang w:val="pt-BR" w:eastAsia="es-ES"/>
        </w:rPr>
        <w:t xml:space="preserve"> Americana,</w:t>
      </w:r>
      <w:r w:rsidR="00F673C7" w:rsidRPr="006D1C74">
        <w:rPr>
          <w:rFonts w:asciiTheme="majorHAnsi" w:hAnsiTheme="majorHAnsi"/>
          <w:sz w:val="20"/>
          <w:szCs w:val="20"/>
          <w:lang w:val="pt-BR" w:eastAsia="es-ES"/>
        </w:rPr>
        <w:t xml:space="preserve"> em </w:t>
      </w:r>
      <w:r w:rsidR="00AD6004" w:rsidRPr="006D1C74">
        <w:rPr>
          <w:rFonts w:asciiTheme="majorHAnsi" w:hAnsiTheme="majorHAnsi"/>
          <w:sz w:val="20"/>
          <w:szCs w:val="20"/>
          <w:lang w:val="pt-BR" w:eastAsia="es-ES"/>
        </w:rPr>
        <w:t>p</w:t>
      </w:r>
      <w:r w:rsidRPr="006D1C74">
        <w:rPr>
          <w:rFonts w:asciiTheme="majorHAnsi" w:hAnsiTheme="majorHAnsi"/>
          <w:sz w:val="20"/>
          <w:szCs w:val="20"/>
          <w:lang w:val="pt-BR" w:eastAsia="es-ES"/>
        </w:rPr>
        <w:t>rejuízo</w:t>
      </w:r>
      <w:r w:rsidR="00700267" w:rsidRPr="006D1C74">
        <w:rPr>
          <w:rFonts w:asciiTheme="majorHAnsi" w:hAnsiTheme="majorHAnsi"/>
          <w:sz w:val="20"/>
          <w:szCs w:val="20"/>
          <w:lang w:val="pt-BR" w:eastAsia="es-ES"/>
        </w:rPr>
        <w:t xml:space="preserve"> dos </w:t>
      </w:r>
      <w:r w:rsidR="00AD6004" w:rsidRPr="006D1C74">
        <w:rPr>
          <w:rFonts w:asciiTheme="majorHAnsi" w:hAnsiTheme="majorHAnsi"/>
          <w:sz w:val="20"/>
          <w:szCs w:val="20"/>
          <w:lang w:val="pt-BR" w:eastAsia="es-ES"/>
        </w:rPr>
        <w:t xml:space="preserve">185 </w:t>
      </w:r>
      <w:r w:rsidR="00700267" w:rsidRPr="006D1C74">
        <w:rPr>
          <w:rFonts w:asciiTheme="majorHAnsi" w:hAnsiTheme="majorHAnsi"/>
          <w:sz w:val="20"/>
          <w:szCs w:val="20"/>
          <w:lang w:val="pt-BR" w:eastAsia="es-ES"/>
        </w:rPr>
        <w:t>trabalh</w:t>
      </w:r>
      <w:r w:rsidR="00AD6004" w:rsidRPr="006D1C74">
        <w:rPr>
          <w:rFonts w:asciiTheme="majorHAnsi" w:hAnsiTheme="majorHAnsi"/>
          <w:sz w:val="20"/>
          <w:szCs w:val="20"/>
          <w:lang w:val="pt-BR" w:eastAsia="es-ES"/>
        </w:rPr>
        <w:t>adores rur</w:t>
      </w:r>
      <w:r w:rsidR="00700267" w:rsidRPr="006D1C74">
        <w:rPr>
          <w:rFonts w:asciiTheme="majorHAnsi" w:hAnsiTheme="majorHAnsi"/>
          <w:sz w:val="20"/>
          <w:szCs w:val="20"/>
          <w:lang w:val="pt-BR" w:eastAsia="es-ES"/>
        </w:rPr>
        <w:t>ais</w:t>
      </w:r>
      <w:r w:rsidR="00AD6004" w:rsidRPr="006D1C74">
        <w:rPr>
          <w:rFonts w:asciiTheme="majorHAnsi" w:hAnsiTheme="majorHAnsi"/>
          <w:sz w:val="20"/>
          <w:szCs w:val="20"/>
          <w:lang w:val="pt-BR" w:eastAsia="es-ES"/>
        </w:rPr>
        <w:t xml:space="preserve"> indicados</w:t>
      </w:r>
      <w:r w:rsidR="00FC2F62" w:rsidRPr="006D1C74">
        <w:rPr>
          <w:rFonts w:asciiTheme="majorHAnsi" w:hAnsiTheme="majorHAnsi"/>
          <w:sz w:val="20"/>
          <w:szCs w:val="20"/>
          <w:lang w:val="pt-BR" w:eastAsia="es-ES"/>
        </w:rPr>
        <w:t xml:space="preserve"> no </w:t>
      </w:r>
      <w:r w:rsidR="00AD6004" w:rsidRPr="006D1C74">
        <w:rPr>
          <w:rFonts w:asciiTheme="majorHAnsi" w:hAnsiTheme="majorHAnsi"/>
          <w:sz w:val="20"/>
          <w:szCs w:val="20"/>
          <w:lang w:val="pt-BR" w:eastAsia="es-ES"/>
        </w:rPr>
        <w:t xml:space="preserve">presente </w:t>
      </w:r>
      <w:r w:rsidR="00927E16" w:rsidRPr="006D1C74">
        <w:rPr>
          <w:rFonts w:asciiTheme="majorHAnsi" w:hAnsiTheme="majorHAnsi"/>
          <w:sz w:val="20"/>
          <w:szCs w:val="20"/>
          <w:lang w:val="pt-BR" w:eastAsia="es-ES"/>
        </w:rPr>
        <w:t>relatório</w:t>
      </w:r>
      <w:r w:rsidR="00CF037E" w:rsidRPr="006D1C74">
        <w:rPr>
          <w:rFonts w:asciiTheme="majorHAnsi" w:hAnsiTheme="majorHAnsi"/>
          <w:sz w:val="20"/>
          <w:szCs w:val="20"/>
          <w:lang w:val="pt-BR" w:eastAsia="es-ES"/>
        </w:rPr>
        <w:t xml:space="preserve"> e</w:t>
      </w:r>
      <w:r w:rsidR="00030019" w:rsidRPr="006D1C74">
        <w:rPr>
          <w:rFonts w:asciiTheme="majorHAnsi" w:hAnsiTheme="majorHAnsi"/>
          <w:sz w:val="20"/>
          <w:szCs w:val="20"/>
          <w:lang w:val="pt-BR" w:eastAsia="es-ES"/>
        </w:rPr>
        <w:t xml:space="preserve"> do </w:t>
      </w:r>
      <w:r w:rsidR="00903B1A" w:rsidRPr="006D1C74">
        <w:rPr>
          <w:rFonts w:asciiTheme="majorHAnsi" w:hAnsiTheme="majorHAnsi"/>
          <w:sz w:val="20"/>
          <w:szCs w:val="20"/>
          <w:lang w:val="pt-BR" w:eastAsia="es-ES"/>
        </w:rPr>
        <w:t>senhor</w:t>
      </w:r>
      <w:r w:rsidR="00AD6004" w:rsidRPr="006D1C74">
        <w:rPr>
          <w:rFonts w:asciiTheme="majorHAnsi" w:hAnsiTheme="majorHAnsi"/>
          <w:sz w:val="20"/>
          <w:szCs w:val="20"/>
          <w:lang w:val="pt-BR" w:eastAsia="es-ES"/>
        </w:rPr>
        <w:t xml:space="preserve"> Antonio Tavares Pereira. </w:t>
      </w:r>
    </w:p>
    <w:p w14:paraId="1DF56794" w14:textId="122F06F9" w:rsidR="00E46227" w:rsidRPr="006D1C74" w:rsidRDefault="00E46227">
      <w:pPr>
        <w:rPr>
          <w:rFonts w:asciiTheme="majorHAnsi" w:eastAsia="Batang" w:hAnsiTheme="majorHAnsi" w:cs="Arial"/>
          <w:b/>
          <w:bCs/>
          <w:iCs/>
          <w:color w:val="000000"/>
          <w:sz w:val="20"/>
          <w:szCs w:val="20"/>
          <w:u w:color="000000"/>
          <w:bdr w:val="none" w:sz="0" w:space="0" w:color="auto"/>
          <w:lang w:val="pt-BR" w:eastAsia="es-ES"/>
        </w:rPr>
      </w:pPr>
    </w:p>
    <w:p w14:paraId="6A934AE4" w14:textId="77777777" w:rsidR="002649F0" w:rsidRPr="006D1C74" w:rsidRDefault="00417BE8" w:rsidP="00E46227">
      <w:pPr>
        <w:pStyle w:val="Heading2"/>
        <w:rPr>
          <w:lang w:val="pt-BR"/>
        </w:rPr>
      </w:pPr>
      <w:bookmarkStart w:id="32" w:name="_Toc43554278"/>
      <w:r w:rsidRPr="006D1C74">
        <w:rPr>
          <w:lang w:val="pt-BR"/>
        </w:rPr>
        <w:t>Direito</w:t>
      </w:r>
      <w:r w:rsidR="00030019" w:rsidRPr="006D1C74">
        <w:rPr>
          <w:lang w:val="pt-BR"/>
        </w:rPr>
        <w:t xml:space="preserve"> às </w:t>
      </w:r>
      <w:r w:rsidR="002649F0" w:rsidRPr="006D1C74">
        <w:rPr>
          <w:lang w:val="pt-BR"/>
        </w:rPr>
        <w:t>garant</w:t>
      </w:r>
      <w:r w:rsidR="00055622" w:rsidRPr="006D1C74">
        <w:rPr>
          <w:lang w:val="pt-BR"/>
        </w:rPr>
        <w:t>ia</w:t>
      </w:r>
      <w:r w:rsidR="002649F0" w:rsidRPr="006D1C74">
        <w:rPr>
          <w:lang w:val="pt-BR"/>
        </w:rPr>
        <w:t>s judici</w:t>
      </w:r>
      <w:r w:rsidR="00700267" w:rsidRPr="006D1C74">
        <w:rPr>
          <w:lang w:val="pt-BR"/>
        </w:rPr>
        <w:t>ais</w:t>
      </w:r>
      <w:r w:rsidR="002649F0" w:rsidRPr="006D1C74">
        <w:rPr>
          <w:vertAlign w:val="superscript"/>
          <w:lang w:val="pt-BR"/>
        </w:rPr>
        <w:footnoteReference w:id="83"/>
      </w:r>
      <w:r w:rsidR="00CF037E" w:rsidRPr="006D1C74">
        <w:rPr>
          <w:lang w:val="pt-BR"/>
        </w:rPr>
        <w:t xml:space="preserve"> e</w:t>
      </w:r>
      <w:r w:rsidR="00030019" w:rsidRPr="006D1C74">
        <w:rPr>
          <w:lang w:val="pt-BR"/>
        </w:rPr>
        <w:t xml:space="preserve"> à </w:t>
      </w:r>
      <w:r w:rsidR="002649F0" w:rsidRPr="006D1C74">
        <w:rPr>
          <w:lang w:val="pt-BR"/>
        </w:rPr>
        <w:t>prote</w:t>
      </w:r>
      <w:r w:rsidR="00CF037E" w:rsidRPr="006D1C74">
        <w:rPr>
          <w:lang w:val="pt-BR"/>
        </w:rPr>
        <w:t>ção</w:t>
      </w:r>
      <w:r w:rsidR="002649F0" w:rsidRPr="006D1C74">
        <w:rPr>
          <w:lang w:val="pt-BR"/>
        </w:rPr>
        <w:t xml:space="preserve"> judicial</w:t>
      </w:r>
      <w:r w:rsidR="002649F0" w:rsidRPr="006D1C74">
        <w:rPr>
          <w:vertAlign w:val="superscript"/>
          <w:lang w:val="pt-BR"/>
        </w:rPr>
        <w:footnoteReference w:id="84"/>
      </w:r>
      <w:bookmarkEnd w:id="32"/>
      <w:r w:rsidR="002649F0" w:rsidRPr="006D1C74">
        <w:rPr>
          <w:lang w:val="pt-BR"/>
        </w:rPr>
        <w:t xml:space="preserve"> </w:t>
      </w:r>
    </w:p>
    <w:p w14:paraId="2FACFA86"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Theme="majorHAnsi" w:eastAsia="Batang" w:hAnsiTheme="majorHAnsi" w:cs="Arial"/>
          <w:b/>
          <w:bCs/>
          <w:iCs/>
          <w:sz w:val="20"/>
          <w:szCs w:val="20"/>
          <w:bdr w:val="none" w:sz="0" w:space="0" w:color="auto"/>
          <w:lang w:val="pt-BR"/>
        </w:rPr>
      </w:pPr>
    </w:p>
    <w:p w14:paraId="1A13BD86" w14:textId="77777777" w:rsidR="002649F0" w:rsidRPr="006D1C74" w:rsidRDefault="00B4216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O</w:t>
      </w:r>
      <w:r w:rsidR="002649F0" w:rsidRPr="006D1C74">
        <w:rPr>
          <w:rFonts w:asciiTheme="majorHAnsi" w:hAnsiTheme="majorHAnsi"/>
          <w:sz w:val="20"/>
          <w:szCs w:val="20"/>
          <w:lang w:val="pt-BR"/>
        </w:rPr>
        <w:t xml:space="preserve"> </w:t>
      </w:r>
      <w:r w:rsidR="00417BE8" w:rsidRPr="006D1C74">
        <w:rPr>
          <w:rFonts w:asciiTheme="majorHAnsi" w:hAnsiTheme="majorHAnsi"/>
          <w:sz w:val="20"/>
          <w:szCs w:val="20"/>
          <w:lang w:val="pt-BR"/>
        </w:rPr>
        <w:t>direito</w:t>
      </w:r>
      <w:r w:rsidR="00030019" w:rsidRPr="006D1C74">
        <w:rPr>
          <w:rFonts w:asciiTheme="majorHAnsi" w:hAnsiTheme="majorHAnsi"/>
          <w:sz w:val="20"/>
          <w:szCs w:val="20"/>
          <w:lang w:val="pt-BR"/>
        </w:rPr>
        <w:t xml:space="preserve"> às </w:t>
      </w:r>
      <w:r w:rsidR="002649F0" w:rsidRPr="006D1C74">
        <w:rPr>
          <w:rFonts w:asciiTheme="majorHAnsi" w:hAnsiTheme="majorHAnsi"/>
          <w:sz w:val="20"/>
          <w:szCs w:val="20"/>
          <w:lang w:val="pt-BR"/>
        </w:rPr>
        <w:t>garant</w:t>
      </w:r>
      <w:r w:rsidR="00055622" w:rsidRPr="006D1C74">
        <w:rPr>
          <w:rFonts w:asciiTheme="majorHAnsi" w:hAnsiTheme="majorHAnsi"/>
          <w:sz w:val="20"/>
          <w:szCs w:val="20"/>
          <w:lang w:val="pt-BR"/>
        </w:rPr>
        <w:t>ia</w:t>
      </w:r>
      <w:r w:rsidR="002649F0" w:rsidRPr="006D1C74">
        <w:rPr>
          <w:rFonts w:asciiTheme="majorHAnsi" w:hAnsiTheme="majorHAnsi"/>
          <w:sz w:val="20"/>
          <w:szCs w:val="20"/>
          <w:lang w:val="pt-BR"/>
        </w:rPr>
        <w:t>s judici</w:t>
      </w:r>
      <w:r w:rsidR="00700267" w:rsidRPr="006D1C74">
        <w:rPr>
          <w:rFonts w:asciiTheme="majorHAnsi" w:hAnsiTheme="majorHAnsi"/>
          <w:sz w:val="20"/>
          <w:szCs w:val="20"/>
          <w:lang w:val="pt-BR"/>
        </w:rPr>
        <w:t>ais</w:t>
      </w:r>
      <w:r w:rsidR="002649F0" w:rsidRPr="006D1C74">
        <w:rPr>
          <w:rFonts w:asciiTheme="majorHAnsi" w:hAnsiTheme="majorHAnsi"/>
          <w:sz w:val="20"/>
          <w:szCs w:val="20"/>
          <w:lang w:val="pt-BR"/>
        </w:rPr>
        <w:t xml:space="preserve"> implica que toda </w:t>
      </w:r>
      <w:r w:rsidR="00CA7940" w:rsidRPr="006D1C74">
        <w:rPr>
          <w:rFonts w:asciiTheme="majorHAnsi" w:hAnsiTheme="majorHAnsi"/>
          <w:sz w:val="20"/>
          <w:szCs w:val="20"/>
          <w:lang w:val="pt-BR"/>
        </w:rPr>
        <w:t>pessoa</w:t>
      </w:r>
      <w:r w:rsidR="002649F0" w:rsidRPr="006D1C74">
        <w:rPr>
          <w:rFonts w:asciiTheme="majorHAnsi" w:hAnsiTheme="majorHAnsi"/>
          <w:sz w:val="20"/>
          <w:szCs w:val="20"/>
          <w:lang w:val="pt-BR"/>
        </w:rPr>
        <w:t xml:space="preserve"> que s</w:t>
      </w:r>
      <w:r w:rsidR="007458E3" w:rsidRPr="006D1C74">
        <w:rPr>
          <w:rFonts w:asciiTheme="majorHAnsi" w:hAnsiTheme="majorHAnsi"/>
          <w:sz w:val="20"/>
          <w:szCs w:val="20"/>
          <w:lang w:val="pt-BR"/>
        </w:rPr>
        <w:t>ofreu</w:t>
      </w:r>
      <w:r w:rsidR="00030019" w:rsidRPr="006D1C74">
        <w:rPr>
          <w:rFonts w:asciiTheme="majorHAnsi" w:hAnsiTheme="majorHAnsi"/>
          <w:sz w:val="20"/>
          <w:szCs w:val="20"/>
          <w:lang w:val="pt-BR"/>
        </w:rPr>
        <w:t xml:space="preserve"> uma </w:t>
      </w:r>
      <w:r w:rsidR="002649F0" w:rsidRPr="006D1C74">
        <w:rPr>
          <w:rFonts w:asciiTheme="majorHAnsi" w:hAnsiTheme="majorHAnsi"/>
          <w:sz w:val="20"/>
          <w:szCs w:val="20"/>
          <w:lang w:val="pt-BR"/>
        </w:rPr>
        <w:t>viola</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de s</w:t>
      </w:r>
      <w:r w:rsidR="001D5EF3">
        <w:rPr>
          <w:rFonts w:asciiTheme="majorHAnsi" w:hAnsiTheme="majorHAnsi"/>
          <w:sz w:val="20"/>
          <w:szCs w:val="20"/>
          <w:lang w:val="pt-BR"/>
        </w:rPr>
        <w:t>e</w:t>
      </w:r>
      <w:r w:rsidR="002649F0" w:rsidRPr="006D1C74">
        <w:rPr>
          <w:rFonts w:asciiTheme="majorHAnsi" w:hAnsiTheme="majorHAnsi"/>
          <w:sz w:val="20"/>
          <w:szCs w:val="20"/>
          <w:lang w:val="pt-BR"/>
        </w:rPr>
        <w:t xml:space="preserve">us </w:t>
      </w:r>
      <w:r w:rsidR="00417BE8" w:rsidRPr="006D1C74">
        <w:rPr>
          <w:rFonts w:asciiTheme="majorHAnsi" w:hAnsiTheme="majorHAnsi"/>
          <w:sz w:val="20"/>
          <w:szCs w:val="20"/>
          <w:lang w:val="pt-BR"/>
        </w:rPr>
        <w:t>direito</w:t>
      </w:r>
      <w:r w:rsidR="002649F0" w:rsidRPr="006D1C74">
        <w:rPr>
          <w:rFonts w:asciiTheme="majorHAnsi" w:hAnsiTheme="majorHAnsi"/>
          <w:sz w:val="20"/>
          <w:szCs w:val="20"/>
          <w:lang w:val="pt-BR"/>
        </w:rPr>
        <w:t>s humanos t</w:t>
      </w:r>
      <w:r w:rsidR="007458E3" w:rsidRPr="006D1C74">
        <w:rPr>
          <w:rFonts w:asciiTheme="majorHAnsi" w:hAnsiTheme="majorHAnsi"/>
          <w:sz w:val="20"/>
          <w:szCs w:val="20"/>
          <w:lang w:val="pt-BR"/>
        </w:rPr>
        <w:t>em</w:t>
      </w:r>
      <w:r w:rsidR="002649F0" w:rsidRPr="006D1C74">
        <w:rPr>
          <w:rFonts w:asciiTheme="majorHAnsi" w:hAnsiTheme="majorHAnsi"/>
          <w:sz w:val="20"/>
          <w:szCs w:val="20"/>
          <w:lang w:val="pt-BR"/>
        </w:rPr>
        <w:t xml:space="preserve"> </w:t>
      </w:r>
      <w:r w:rsidR="00417BE8" w:rsidRPr="006D1C74">
        <w:rPr>
          <w:rFonts w:asciiTheme="majorHAnsi" w:hAnsiTheme="majorHAnsi"/>
          <w:sz w:val="20"/>
          <w:szCs w:val="20"/>
          <w:lang w:val="pt-BR"/>
        </w:rPr>
        <w:t>direito</w:t>
      </w:r>
      <w:r w:rsidR="002649F0" w:rsidRPr="006D1C74">
        <w:rPr>
          <w:rFonts w:asciiTheme="majorHAnsi" w:hAnsiTheme="majorHAnsi"/>
          <w:sz w:val="20"/>
          <w:szCs w:val="20"/>
          <w:lang w:val="pt-BR"/>
        </w:rPr>
        <w:t xml:space="preserve"> “a obter</w:t>
      </w:r>
      <w:r w:rsidR="00700267" w:rsidRPr="006D1C74">
        <w:rPr>
          <w:rFonts w:asciiTheme="majorHAnsi" w:hAnsiTheme="majorHAnsi"/>
          <w:sz w:val="20"/>
          <w:szCs w:val="20"/>
          <w:lang w:val="pt-BR"/>
        </w:rPr>
        <w:t xml:space="preserve"> dos </w:t>
      </w:r>
      <w:r w:rsidR="002649F0" w:rsidRPr="006D1C74">
        <w:rPr>
          <w:rFonts w:asciiTheme="majorHAnsi" w:hAnsiTheme="majorHAnsi"/>
          <w:sz w:val="20"/>
          <w:szCs w:val="20"/>
          <w:lang w:val="pt-BR"/>
        </w:rPr>
        <w:t>órg</w:t>
      </w:r>
      <w:r w:rsidR="007458E3" w:rsidRPr="006D1C74">
        <w:rPr>
          <w:rFonts w:asciiTheme="majorHAnsi" w:hAnsiTheme="majorHAnsi"/>
          <w:sz w:val="20"/>
          <w:szCs w:val="20"/>
          <w:lang w:val="pt-BR"/>
        </w:rPr>
        <w:t>ã</w:t>
      </w:r>
      <w:r w:rsidR="002649F0" w:rsidRPr="006D1C74">
        <w:rPr>
          <w:rFonts w:asciiTheme="majorHAnsi" w:hAnsiTheme="majorHAnsi"/>
          <w:sz w:val="20"/>
          <w:szCs w:val="20"/>
          <w:lang w:val="pt-BR"/>
        </w:rPr>
        <w:t>os competentes</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Estado</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esclareci</w:t>
      </w:r>
      <w:r w:rsidR="00700267" w:rsidRPr="006D1C74">
        <w:rPr>
          <w:rFonts w:asciiTheme="majorHAnsi" w:hAnsiTheme="majorHAnsi"/>
          <w:sz w:val="20"/>
          <w:szCs w:val="20"/>
          <w:lang w:val="pt-BR"/>
        </w:rPr>
        <w:t xml:space="preserve">mento dos </w:t>
      </w:r>
      <w:r w:rsidR="00F37852" w:rsidRPr="006D1C74">
        <w:rPr>
          <w:rFonts w:asciiTheme="majorHAnsi" w:hAnsiTheme="majorHAnsi"/>
          <w:sz w:val="20"/>
          <w:szCs w:val="20"/>
          <w:lang w:val="pt-BR"/>
        </w:rPr>
        <w:t>fato</w:t>
      </w:r>
      <w:r w:rsidR="002649F0" w:rsidRPr="006D1C74">
        <w:rPr>
          <w:rFonts w:asciiTheme="majorHAnsi" w:hAnsiTheme="majorHAnsi"/>
          <w:sz w:val="20"/>
          <w:szCs w:val="20"/>
          <w:lang w:val="pt-BR"/>
        </w:rPr>
        <w:t>s violat</w:t>
      </w:r>
      <w:r w:rsidR="00A3040B">
        <w:rPr>
          <w:rFonts w:asciiTheme="majorHAnsi" w:hAnsiTheme="majorHAnsi"/>
          <w:sz w:val="20"/>
          <w:szCs w:val="20"/>
          <w:lang w:val="pt-BR"/>
        </w:rPr>
        <w:t>ó</w:t>
      </w:r>
      <w:r w:rsidR="002649F0" w:rsidRPr="006D1C74">
        <w:rPr>
          <w:rFonts w:asciiTheme="majorHAnsi" w:hAnsiTheme="majorHAnsi"/>
          <w:sz w:val="20"/>
          <w:szCs w:val="20"/>
          <w:lang w:val="pt-BR"/>
        </w:rPr>
        <w:t>rios</w:t>
      </w:r>
      <w:r w:rsidR="00CF037E" w:rsidRPr="006D1C74">
        <w:rPr>
          <w:rFonts w:asciiTheme="majorHAnsi" w:hAnsiTheme="majorHAnsi"/>
          <w:sz w:val="20"/>
          <w:szCs w:val="20"/>
          <w:lang w:val="pt-BR"/>
        </w:rPr>
        <w:t xml:space="preserve"> e</w:t>
      </w:r>
      <w:r w:rsidR="00700267" w:rsidRPr="006D1C74">
        <w:rPr>
          <w:rFonts w:asciiTheme="majorHAnsi" w:hAnsiTheme="majorHAnsi"/>
          <w:sz w:val="20"/>
          <w:szCs w:val="20"/>
          <w:lang w:val="pt-BR"/>
        </w:rPr>
        <w:t xml:space="preserve"> as </w:t>
      </w:r>
      <w:r w:rsidR="002649F0" w:rsidRPr="006D1C74">
        <w:rPr>
          <w:rFonts w:asciiTheme="majorHAnsi" w:hAnsiTheme="majorHAnsi"/>
          <w:sz w:val="20"/>
          <w:szCs w:val="20"/>
          <w:lang w:val="pt-BR"/>
        </w:rPr>
        <w:t>responsabilidades correspon</w:t>
      </w:r>
      <w:r w:rsidR="000D2A81" w:rsidRPr="006D1C74">
        <w:rPr>
          <w:rFonts w:asciiTheme="majorHAnsi" w:hAnsiTheme="majorHAnsi"/>
          <w:sz w:val="20"/>
          <w:szCs w:val="20"/>
          <w:lang w:val="pt-BR"/>
        </w:rPr>
        <w:t>dente</w:t>
      </w:r>
      <w:r w:rsidR="002649F0" w:rsidRPr="006D1C74">
        <w:rPr>
          <w:rFonts w:asciiTheme="majorHAnsi" w:hAnsiTheme="majorHAnsi"/>
          <w:sz w:val="20"/>
          <w:szCs w:val="20"/>
          <w:lang w:val="pt-BR"/>
        </w:rPr>
        <w:t>s, através</w:t>
      </w:r>
      <w:r w:rsidR="00795010" w:rsidRPr="006D1C74">
        <w:rPr>
          <w:rFonts w:asciiTheme="majorHAnsi" w:hAnsiTheme="majorHAnsi"/>
          <w:sz w:val="20"/>
          <w:szCs w:val="20"/>
          <w:lang w:val="pt-BR"/>
        </w:rPr>
        <w:t xml:space="preserve"> d</w:t>
      </w:r>
      <w:r w:rsidR="007458E3" w:rsidRPr="006D1C74">
        <w:rPr>
          <w:rFonts w:asciiTheme="majorHAnsi" w:hAnsiTheme="majorHAnsi"/>
          <w:sz w:val="20"/>
          <w:szCs w:val="20"/>
          <w:lang w:val="pt-BR"/>
        </w:rPr>
        <w:t>e</w:t>
      </w:r>
      <w:r w:rsidR="00795010" w:rsidRPr="006D1C74">
        <w:rPr>
          <w:rFonts w:asciiTheme="majorHAnsi" w:hAnsiTheme="majorHAnsi"/>
          <w:sz w:val="20"/>
          <w:szCs w:val="20"/>
          <w:lang w:val="pt-BR"/>
        </w:rPr>
        <w:t xml:space="preserve"> </w:t>
      </w:r>
      <w:r w:rsidR="002649F0" w:rsidRPr="006D1C74">
        <w:rPr>
          <w:rFonts w:asciiTheme="majorHAnsi" w:hAnsiTheme="majorHAnsi"/>
          <w:sz w:val="20"/>
          <w:szCs w:val="20"/>
          <w:lang w:val="pt-BR"/>
        </w:rPr>
        <w:t>investiga</w:t>
      </w:r>
      <w:r w:rsidR="00CF037E" w:rsidRPr="006D1C74">
        <w:rPr>
          <w:rFonts w:asciiTheme="majorHAnsi" w:hAnsiTheme="majorHAnsi"/>
          <w:sz w:val="20"/>
          <w:szCs w:val="20"/>
          <w:lang w:val="pt-BR"/>
        </w:rPr>
        <w:t>ção e</w:t>
      </w:r>
      <w:r w:rsidR="00700267" w:rsidRPr="006D1C74">
        <w:rPr>
          <w:rFonts w:asciiTheme="majorHAnsi" w:hAnsiTheme="majorHAnsi"/>
          <w:sz w:val="20"/>
          <w:szCs w:val="20"/>
          <w:lang w:val="pt-BR"/>
        </w:rPr>
        <w:t xml:space="preserve"> </w:t>
      </w:r>
      <w:r w:rsidR="00A3040B" w:rsidRPr="006D1C74">
        <w:rPr>
          <w:rFonts w:asciiTheme="majorHAnsi" w:hAnsiTheme="majorHAnsi"/>
          <w:sz w:val="20"/>
          <w:szCs w:val="20"/>
          <w:lang w:val="pt-BR"/>
        </w:rPr>
        <w:t>julgamento</w:t>
      </w:r>
      <w:r w:rsidR="002649F0" w:rsidRPr="006D1C74">
        <w:rPr>
          <w:rFonts w:asciiTheme="majorHAnsi" w:hAnsiTheme="majorHAnsi"/>
          <w:sz w:val="20"/>
          <w:szCs w:val="20"/>
          <w:lang w:val="pt-BR"/>
        </w:rPr>
        <w:t>”</w:t>
      </w:r>
      <w:r w:rsidR="002649F0" w:rsidRPr="006D1C74">
        <w:rPr>
          <w:rFonts w:asciiTheme="majorHAnsi" w:hAnsiTheme="majorHAnsi"/>
          <w:sz w:val="20"/>
          <w:szCs w:val="20"/>
          <w:vertAlign w:val="superscript"/>
          <w:lang w:val="pt-BR"/>
        </w:rPr>
        <w:footnoteReference w:id="85"/>
      </w:r>
      <w:r w:rsidR="002649F0" w:rsidRPr="006D1C74">
        <w:rPr>
          <w:rFonts w:asciiTheme="majorHAnsi" w:hAnsiTheme="majorHAnsi"/>
          <w:sz w:val="20"/>
          <w:szCs w:val="20"/>
          <w:lang w:val="pt-BR"/>
        </w:rPr>
        <w:t xml:space="preserve">. </w:t>
      </w:r>
      <w:r w:rsidR="007458E3" w:rsidRPr="006D1C74">
        <w:rPr>
          <w:rFonts w:asciiTheme="majorHAnsi" w:hAnsiTheme="majorHAnsi"/>
          <w:sz w:val="20"/>
          <w:szCs w:val="20"/>
          <w:lang w:val="pt-BR"/>
        </w:rPr>
        <w:t xml:space="preserve">Por </w:t>
      </w:r>
      <w:r w:rsidR="00A3040B" w:rsidRPr="006D1C74">
        <w:rPr>
          <w:rFonts w:asciiTheme="majorHAnsi" w:hAnsiTheme="majorHAnsi"/>
          <w:sz w:val="20"/>
          <w:szCs w:val="20"/>
          <w:lang w:val="pt-BR"/>
        </w:rPr>
        <w:t>sua</w:t>
      </w:r>
      <w:r w:rsidR="002649F0" w:rsidRPr="006D1C74">
        <w:rPr>
          <w:rFonts w:asciiTheme="majorHAnsi" w:hAnsiTheme="majorHAnsi"/>
          <w:sz w:val="20"/>
          <w:szCs w:val="20"/>
          <w:lang w:val="pt-BR"/>
        </w:rPr>
        <w:t xml:space="preserve"> vez,</w:t>
      </w:r>
      <w:r w:rsidR="00700267" w:rsidRPr="006D1C74">
        <w:rPr>
          <w:rFonts w:asciiTheme="majorHAnsi" w:hAnsiTheme="majorHAnsi"/>
          <w:sz w:val="20"/>
          <w:szCs w:val="20"/>
          <w:lang w:val="pt-BR"/>
        </w:rPr>
        <w:t xml:space="preserve"> o </w:t>
      </w:r>
      <w:r w:rsidR="00417BE8" w:rsidRPr="006D1C74">
        <w:rPr>
          <w:rFonts w:asciiTheme="majorHAnsi" w:hAnsiTheme="majorHAnsi"/>
          <w:sz w:val="20"/>
          <w:szCs w:val="20"/>
          <w:lang w:val="pt-BR"/>
        </w:rPr>
        <w:t>direito</w:t>
      </w:r>
      <w:r w:rsidR="00030019" w:rsidRPr="006D1C74">
        <w:rPr>
          <w:rFonts w:asciiTheme="majorHAnsi" w:hAnsiTheme="majorHAnsi"/>
          <w:sz w:val="20"/>
          <w:szCs w:val="20"/>
          <w:lang w:val="pt-BR"/>
        </w:rPr>
        <w:t xml:space="preserve"> à </w:t>
      </w:r>
      <w:r w:rsidR="002649F0" w:rsidRPr="006D1C74">
        <w:rPr>
          <w:rFonts w:asciiTheme="majorHAnsi" w:hAnsiTheme="majorHAnsi"/>
          <w:sz w:val="20"/>
          <w:szCs w:val="20"/>
          <w:lang w:val="pt-BR"/>
        </w:rPr>
        <w:t>prote</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judicial </w:t>
      </w:r>
      <w:r w:rsidR="00A3040B" w:rsidRPr="006D1C74">
        <w:rPr>
          <w:rFonts w:asciiTheme="majorHAnsi" w:hAnsiTheme="majorHAnsi"/>
          <w:sz w:val="20"/>
          <w:szCs w:val="20"/>
          <w:lang w:val="pt-BR"/>
        </w:rPr>
        <w:t>obriga</w:t>
      </w:r>
      <w:r w:rsidR="00217759"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 xml:space="preserve">Estado a garantir a toda </w:t>
      </w:r>
      <w:r w:rsidR="00CA7940" w:rsidRPr="006D1C74">
        <w:rPr>
          <w:rFonts w:asciiTheme="majorHAnsi" w:hAnsiTheme="majorHAnsi"/>
          <w:sz w:val="20"/>
          <w:szCs w:val="20"/>
          <w:lang w:val="pt-BR"/>
        </w:rPr>
        <w:t>pessoa</w:t>
      </w:r>
      <w:r w:rsidR="00700267" w:rsidRPr="006D1C74">
        <w:rPr>
          <w:rFonts w:asciiTheme="majorHAnsi" w:hAnsiTheme="majorHAnsi"/>
          <w:sz w:val="20"/>
          <w:szCs w:val="20"/>
          <w:lang w:val="pt-BR"/>
        </w:rPr>
        <w:t xml:space="preserve"> o </w:t>
      </w:r>
      <w:r w:rsidR="00A3040B" w:rsidRPr="006D1C74">
        <w:rPr>
          <w:rFonts w:asciiTheme="majorHAnsi" w:hAnsiTheme="majorHAnsi"/>
          <w:sz w:val="20"/>
          <w:szCs w:val="20"/>
          <w:lang w:val="pt-BR"/>
        </w:rPr>
        <w:t>acesso</w:t>
      </w:r>
      <w:r w:rsidR="00030019" w:rsidRPr="006D1C74">
        <w:rPr>
          <w:rFonts w:asciiTheme="majorHAnsi" w:hAnsiTheme="majorHAnsi"/>
          <w:sz w:val="20"/>
          <w:szCs w:val="20"/>
          <w:lang w:val="pt-BR"/>
        </w:rPr>
        <w:t xml:space="preserve"> à </w:t>
      </w:r>
      <w:r w:rsidR="002649F0" w:rsidRPr="006D1C74">
        <w:rPr>
          <w:rFonts w:asciiTheme="majorHAnsi" w:hAnsiTheme="majorHAnsi"/>
          <w:sz w:val="20"/>
          <w:szCs w:val="20"/>
          <w:lang w:val="pt-BR"/>
        </w:rPr>
        <w:t>administra</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de </w:t>
      </w:r>
      <w:r w:rsidR="00795010" w:rsidRPr="006D1C74">
        <w:rPr>
          <w:rFonts w:asciiTheme="majorHAnsi" w:hAnsiTheme="majorHAnsi"/>
          <w:sz w:val="20"/>
          <w:szCs w:val="20"/>
          <w:lang w:val="pt-BR"/>
        </w:rPr>
        <w:t>justiça</w:t>
      </w:r>
      <w:r w:rsidR="002649F0" w:rsidRPr="006D1C74">
        <w:rPr>
          <w:rFonts w:asciiTheme="majorHAnsi" w:hAnsiTheme="majorHAnsi"/>
          <w:sz w:val="20"/>
          <w:szCs w:val="20"/>
          <w:lang w:val="pt-BR"/>
        </w:rPr>
        <w:t xml:space="preserve"> </w:t>
      </w:r>
      <w:r w:rsidR="007458E3" w:rsidRPr="006D1C74">
        <w:rPr>
          <w:rFonts w:asciiTheme="majorHAnsi" w:hAnsiTheme="majorHAnsi"/>
          <w:sz w:val="20"/>
          <w:szCs w:val="20"/>
          <w:lang w:val="pt-BR"/>
        </w:rPr>
        <w:t>e</w:t>
      </w:r>
      <w:r w:rsidR="002649F0"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em </w:t>
      </w:r>
      <w:r w:rsidR="002649F0" w:rsidRPr="006D1C74">
        <w:rPr>
          <w:rFonts w:asciiTheme="majorHAnsi" w:hAnsiTheme="majorHAnsi"/>
          <w:sz w:val="20"/>
          <w:szCs w:val="20"/>
          <w:lang w:val="pt-BR"/>
        </w:rPr>
        <w:t>particular, a</w:t>
      </w:r>
      <w:r w:rsidR="00030019" w:rsidRPr="006D1C74">
        <w:rPr>
          <w:rFonts w:asciiTheme="majorHAnsi" w:hAnsiTheme="majorHAnsi"/>
          <w:sz w:val="20"/>
          <w:szCs w:val="20"/>
          <w:lang w:val="pt-BR"/>
        </w:rPr>
        <w:t xml:space="preserve"> um </w:t>
      </w:r>
      <w:r w:rsidR="002649F0" w:rsidRPr="006D1C74">
        <w:rPr>
          <w:rFonts w:asciiTheme="majorHAnsi" w:hAnsiTheme="majorHAnsi"/>
          <w:sz w:val="20"/>
          <w:szCs w:val="20"/>
          <w:lang w:val="pt-BR"/>
        </w:rPr>
        <w:t>recurso rápido</w:t>
      </w:r>
      <w:r w:rsidR="00CF037E" w:rsidRPr="006D1C74">
        <w:rPr>
          <w:rFonts w:asciiTheme="majorHAnsi" w:hAnsiTheme="majorHAnsi"/>
          <w:sz w:val="20"/>
          <w:szCs w:val="20"/>
          <w:lang w:val="pt-BR"/>
        </w:rPr>
        <w:t xml:space="preserve"> e </w:t>
      </w:r>
      <w:r w:rsidR="007458E3" w:rsidRPr="006D1C74">
        <w:rPr>
          <w:rFonts w:asciiTheme="majorHAnsi" w:hAnsiTheme="majorHAnsi"/>
          <w:sz w:val="20"/>
          <w:szCs w:val="20"/>
          <w:lang w:val="pt-BR"/>
        </w:rPr>
        <w:t>simples</w:t>
      </w:r>
      <w:r w:rsidR="002649F0" w:rsidRPr="006D1C74">
        <w:rPr>
          <w:rFonts w:asciiTheme="majorHAnsi" w:hAnsiTheme="majorHAnsi"/>
          <w:sz w:val="20"/>
          <w:szCs w:val="20"/>
          <w:lang w:val="pt-BR"/>
        </w:rPr>
        <w:t xml:space="preserve"> para conseguir, entre </w:t>
      </w:r>
      <w:r w:rsidR="00CF037E" w:rsidRPr="006D1C74">
        <w:rPr>
          <w:rFonts w:asciiTheme="majorHAnsi" w:hAnsiTheme="majorHAnsi"/>
          <w:sz w:val="20"/>
          <w:szCs w:val="20"/>
          <w:lang w:val="pt-BR"/>
        </w:rPr>
        <w:t>outr</w:t>
      </w:r>
      <w:r w:rsidR="002649F0" w:rsidRPr="006D1C74">
        <w:rPr>
          <w:rFonts w:asciiTheme="majorHAnsi" w:hAnsiTheme="majorHAnsi"/>
          <w:sz w:val="20"/>
          <w:szCs w:val="20"/>
          <w:lang w:val="pt-BR"/>
        </w:rPr>
        <w:t>os resultados, que</w:t>
      </w:r>
      <w:r w:rsidR="00700267" w:rsidRPr="006D1C74">
        <w:rPr>
          <w:rFonts w:asciiTheme="majorHAnsi" w:hAnsiTheme="majorHAnsi"/>
          <w:sz w:val="20"/>
          <w:szCs w:val="20"/>
          <w:lang w:val="pt-BR"/>
        </w:rPr>
        <w:t xml:space="preserve"> os </w:t>
      </w:r>
      <w:r w:rsidR="002649F0" w:rsidRPr="006D1C74">
        <w:rPr>
          <w:rFonts w:asciiTheme="majorHAnsi" w:hAnsiTheme="majorHAnsi"/>
          <w:sz w:val="20"/>
          <w:szCs w:val="20"/>
          <w:lang w:val="pt-BR"/>
        </w:rPr>
        <w:t>respons</w:t>
      </w:r>
      <w:r w:rsidR="007458E3" w:rsidRPr="006D1C74">
        <w:rPr>
          <w:rFonts w:asciiTheme="majorHAnsi" w:hAnsiTheme="majorHAnsi"/>
          <w:sz w:val="20"/>
          <w:szCs w:val="20"/>
          <w:lang w:val="pt-BR"/>
        </w:rPr>
        <w:t>ávei</w:t>
      </w:r>
      <w:r w:rsidR="002649F0" w:rsidRPr="006D1C74">
        <w:rPr>
          <w:rFonts w:asciiTheme="majorHAnsi" w:hAnsiTheme="majorHAnsi"/>
          <w:sz w:val="20"/>
          <w:szCs w:val="20"/>
          <w:lang w:val="pt-BR"/>
        </w:rPr>
        <w:t>s</w:t>
      </w:r>
      <w:r w:rsidR="00D74A93" w:rsidRPr="006D1C74">
        <w:rPr>
          <w:rFonts w:asciiTheme="majorHAnsi" w:hAnsiTheme="majorHAnsi"/>
          <w:sz w:val="20"/>
          <w:szCs w:val="20"/>
          <w:lang w:val="pt-BR"/>
        </w:rPr>
        <w:t xml:space="preserve"> </w:t>
      </w:r>
      <w:r w:rsidR="007458E3" w:rsidRPr="006D1C74">
        <w:rPr>
          <w:rFonts w:asciiTheme="majorHAnsi" w:hAnsiTheme="majorHAnsi"/>
          <w:sz w:val="20"/>
          <w:szCs w:val="20"/>
          <w:lang w:val="pt-BR"/>
        </w:rPr>
        <w:t>pel</w:t>
      </w:r>
      <w:r w:rsidR="00D74A93" w:rsidRPr="006D1C74">
        <w:rPr>
          <w:rFonts w:asciiTheme="majorHAnsi" w:hAnsiTheme="majorHAnsi"/>
          <w:sz w:val="20"/>
          <w:szCs w:val="20"/>
          <w:lang w:val="pt-BR"/>
        </w:rPr>
        <w:t xml:space="preserve">as </w:t>
      </w:r>
      <w:r w:rsidR="002649F0" w:rsidRPr="006D1C74">
        <w:rPr>
          <w:rFonts w:asciiTheme="majorHAnsi" w:hAnsiTheme="majorHAnsi"/>
          <w:sz w:val="20"/>
          <w:szCs w:val="20"/>
          <w:lang w:val="pt-BR"/>
        </w:rPr>
        <w:t>viola</w:t>
      </w:r>
      <w:r w:rsidR="00CF037E" w:rsidRPr="006D1C74">
        <w:rPr>
          <w:rFonts w:asciiTheme="majorHAnsi" w:hAnsiTheme="majorHAnsi"/>
          <w:sz w:val="20"/>
          <w:szCs w:val="20"/>
          <w:lang w:val="pt-BR"/>
        </w:rPr>
        <w:t>ções</w:t>
      </w:r>
      <w:r w:rsidR="00700267" w:rsidRPr="006D1C74">
        <w:rPr>
          <w:rFonts w:asciiTheme="majorHAnsi" w:hAnsiTheme="majorHAnsi"/>
          <w:sz w:val="20"/>
          <w:szCs w:val="20"/>
          <w:lang w:val="pt-BR"/>
        </w:rPr>
        <w:t xml:space="preserve"> dos </w:t>
      </w:r>
      <w:r w:rsidR="00417BE8" w:rsidRPr="006D1C74">
        <w:rPr>
          <w:rFonts w:asciiTheme="majorHAnsi" w:hAnsiTheme="majorHAnsi"/>
          <w:sz w:val="20"/>
          <w:szCs w:val="20"/>
          <w:lang w:val="pt-BR"/>
        </w:rPr>
        <w:t>direito</w:t>
      </w:r>
      <w:r w:rsidR="002649F0" w:rsidRPr="006D1C74">
        <w:rPr>
          <w:rFonts w:asciiTheme="majorHAnsi" w:hAnsiTheme="majorHAnsi"/>
          <w:sz w:val="20"/>
          <w:szCs w:val="20"/>
          <w:lang w:val="pt-BR"/>
        </w:rPr>
        <w:t xml:space="preserve">s humanos </w:t>
      </w:r>
      <w:r w:rsidR="00A3040B" w:rsidRPr="006D1C74">
        <w:rPr>
          <w:rFonts w:asciiTheme="majorHAnsi" w:hAnsiTheme="majorHAnsi"/>
          <w:sz w:val="20"/>
          <w:szCs w:val="20"/>
          <w:lang w:val="pt-BR"/>
        </w:rPr>
        <w:t>sejam</w:t>
      </w:r>
      <w:r w:rsidR="002649F0" w:rsidRPr="006D1C74">
        <w:rPr>
          <w:rFonts w:asciiTheme="majorHAnsi" w:hAnsiTheme="majorHAnsi"/>
          <w:sz w:val="20"/>
          <w:szCs w:val="20"/>
          <w:lang w:val="pt-BR"/>
        </w:rPr>
        <w:t xml:space="preserve"> ju</w:t>
      </w:r>
      <w:r w:rsidR="001D5EF3">
        <w:rPr>
          <w:rFonts w:asciiTheme="majorHAnsi" w:hAnsiTheme="majorHAnsi"/>
          <w:sz w:val="20"/>
          <w:szCs w:val="20"/>
          <w:lang w:val="pt-BR"/>
        </w:rPr>
        <w:t>l</w:t>
      </w:r>
      <w:r w:rsidR="002649F0" w:rsidRPr="006D1C74">
        <w:rPr>
          <w:rFonts w:asciiTheme="majorHAnsi" w:hAnsiTheme="majorHAnsi"/>
          <w:sz w:val="20"/>
          <w:szCs w:val="20"/>
          <w:lang w:val="pt-BR"/>
        </w:rPr>
        <w:t>gados</w:t>
      </w:r>
      <w:r w:rsidR="00CF037E" w:rsidRPr="006D1C74">
        <w:rPr>
          <w:rFonts w:asciiTheme="majorHAnsi" w:hAnsiTheme="majorHAnsi"/>
          <w:sz w:val="20"/>
          <w:szCs w:val="20"/>
          <w:lang w:val="pt-BR"/>
        </w:rPr>
        <w:t xml:space="preserve"> e </w:t>
      </w:r>
      <w:r w:rsidR="002649F0" w:rsidRPr="006D1C74">
        <w:rPr>
          <w:rFonts w:asciiTheme="majorHAnsi" w:hAnsiTheme="majorHAnsi"/>
          <w:sz w:val="20"/>
          <w:szCs w:val="20"/>
          <w:lang w:val="pt-BR"/>
        </w:rPr>
        <w:t>obter</w:t>
      </w:r>
      <w:r w:rsidR="00030019" w:rsidRPr="006D1C74">
        <w:rPr>
          <w:rFonts w:asciiTheme="majorHAnsi" w:hAnsiTheme="majorHAnsi"/>
          <w:sz w:val="20"/>
          <w:szCs w:val="20"/>
          <w:lang w:val="pt-BR"/>
        </w:rPr>
        <w:t xml:space="preserve"> uma </w:t>
      </w:r>
      <w:r w:rsidR="002649F0" w:rsidRPr="006D1C74">
        <w:rPr>
          <w:rFonts w:asciiTheme="majorHAnsi" w:hAnsiTheme="majorHAnsi"/>
          <w:sz w:val="20"/>
          <w:szCs w:val="20"/>
          <w:lang w:val="pt-BR"/>
        </w:rPr>
        <w:t>repara</w:t>
      </w:r>
      <w:r w:rsidR="00CF037E" w:rsidRPr="006D1C74">
        <w:rPr>
          <w:rFonts w:asciiTheme="majorHAnsi" w:hAnsiTheme="majorHAnsi"/>
          <w:sz w:val="20"/>
          <w:szCs w:val="20"/>
          <w:lang w:val="pt-BR"/>
        </w:rPr>
        <w:t>ção</w:t>
      </w:r>
      <w:r w:rsidR="00700267" w:rsidRPr="006D1C74">
        <w:rPr>
          <w:rFonts w:asciiTheme="majorHAnsi" w:hAnsiTheme="majorHAnsi"/>
          <w:sz w:val="20"/>
          <w:szCs w:val="20"/>
          <w:lang w:val="pt-BR"/>
        </w:rPr>
        <w:t xml:space="preserve"> pelo</w:t>
      </w:r>
      <w:r w:rsidR="007458E3" w:rsidRPr="006D1C74">
        <w:rPr>
          <w:rFonts w:asciiTheme="majorHAnsi" w:hAnsiTheme="majorHAnsi"/>
          <w:sz w:val="20"/>
          <w:szCs w:val="20"/>
          <w:lang w:val="pt-BR"/>
        </w:rPr>
        <w:t>s</w:t>
      </w:r>
      <w:r w:rsidR="00700267" w:rsidRPr="006D1C74">
        <w:rPr>
          <w:rFonts w:asciiTheme="majorHAnsi" w:hAnsiTheme="majorHAnsi"/>
          <w:sz w:val="20"/>
          <w:szCs w:val="20"/>
          <w:lang w:val="pt-BR"/>
        </w:rPr>
        <w:t xml:space="preserve"> </w:t>
      </w:r>
      <w:r w:rsidR="00A3040B" w:rsidRPr="006D1C74">
        <w:rPr>
          <w:rFonts w:asciiTheme="majorHAnsi" w:hAnsiTheme="majorHAnsi"/>
          <w:sz w:val="20"/>
          <w:szCs w:val="20"/>
          <w:lang w:val="pt-BR"/>
        </w:rPr>
        <w:t>danos</w:t>
      </w:r>
      <w:r w:rsidR="002649F0" w:rsidRPr="006D1C74">
        <w:rPr>
          <w:rFonts w:asciiTheme="majorHAnsi" w:hAnsiTheme="majorHAnsi"/>
          <w:sz w:val="20"/>
          <w:szCs w:val="20"/>
          <w:lang w:val="pt-BR"/>
        </w:rPr>
        <w:t xml:space="preserve"> </w:t>
      </w:r>
      <w:r w:rsidR="00517ACA" w:rsidRPr="006D1C74">
        <w:rPr>
          <w:rFonts w:asciiTheme="majorHAnsi" w:hAnsiTheme="majorHAnsi"/>
          <w:sz w:val="20"/>
          <w:szCs w:val="20"/>
          <w:lang w:val="pt-BR"/>
        </w:rPr>
        <w:t>sofridos</w:t>
      </w:r>
      <w:r w:rsidR="002649F0" w:rsidRPr="006D1C74">
        <w:rPr>
          <w:rFonts w:asciiTheme="majorHAnsi" w:hAnsiTheme="majorHAnsi"/>
          <w:sz w:val="20"/>
          <w:szCs w:val="20"/>
          <w:lang w:val="pt-BR"/>
        </w:rPr>
        <w:t>.</w:t>
      </w:r>
    </w:p>
    <w:p w14:paraId="025A852A" w14:textId="77777777" w:rsidR="002649F0" w:rsidRPr="006D1C74" w:rsidRDefault="002649F0" w:rsidP="002649F0">
      <w:pPr>
        <w:rPr>
          <w:rFonts w:asciiTheme="majorHAnsi" w:eastAsia="Cambria" w:hAnsiTheme="majorHAnsi" w:cs="Cambria"/>
          <w:color w:val="000000"/>
          <w:sz w:val="20"/>
          <w:szCs w:val="20"/>
          <w:u w:color="000000"/>
          <w:lang w:val="pt-BR" w:eastAsia="es-ES"/>
        </w:rPr>
      </w:pPr>
    </w:p>
    <w:p w14:paraId="65B35AAC" w14:textId="77777777" w:rsidR="002649F0" w:rsidRPr="006D1C74" w:rsidRDefault="00B42161"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O</w:t>
      </w:r>
      <w:r w:rsidR="002649F0" w:rsidRPr="006D1C74">
        <w:rPr>
          <w:rFonts w:asciiTheme="majorHAnsi" w:hAnsiTheme="majorHAnsi"/>
          <w:sz w:val="20"/>
          <w:szCs w:val="20"/>
          <w:lang w:val="pt-BR"/>
        </w:rPr>
        <w:t xml:space="preserve"> </w:t>
      </w:r>
      <w:r w:rsidR="00417BE8" w:rsidRPr="006D1C74">
        <w:rPr>
          <w:rFonts w:asciiTheme="majorHAnsi" w:hAnsiTheme="majorHAnsi"/>
          <w:bCs/>
          <w:iCs/>
          <w:sz w:val="20"/>
          <w:szCs w:val="20"/>
          <w:lang w:val="pt-BR"/>
        </w:rPr>
        <w:t>direito</w:t>
      </w:r>
      <w:r w:rsidR="00030019" w:rsidRPr="006D1C74">
        <w:rPr>
          <w:rFonts w:asciiTheme="majorHAnsi" w:hAnsiTheme="majorHAnsi"/>
          <w:bCs/>
          <w:iCs/>
          <w:sz w:val="20"/>
          <w:szCs w:val="20"/>
          <w:lang w:val="pt-BR"/>
        </w:rPr>
        <w:t xml:space="preserve"> à </w:t>
      </w:r>
      <w:r w:rsidR="002649F0" w:rsidRPr="006D1C74">
        <w:rPr>
          <w:rFonts w:asciiTheme="majorHAnsi" w:hAnsiTheme="majorHAnsi"/>
          <w:sz w:val="20"/>
          <w:szCs w:val="20"/>
          <w:lang w:val="pt-BR"/>
        </w:rPr>
        <w:t>prote</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judicial enunciado</w:t>
      </w:r>
      <w:r w:rsidR="00FC2F62" w:rsidRPr="006D1C74">
        <w:rPr>
          <w:rFonts w:asciiTheme="majorHAnsi" w:hAnsiTheme="majorHAnsi"/>
          <w:sz w:val="20"/>
          <w:szCs w:val="20"/>
          <w:lang w:val="pt-BR"/>
        </w:rPr>
        <w:t xml:space="preserve"> no </w:t>
      </w:r>
      <w:r w:rsidR="00F673C7" w:rsidRPr="006D1C74">
        <w:rPr>
          <w:rFonts w:asciiTheme="majorHAnsi" w:hAnsiTheme="majorHAnsi"/>
          <w:sz w:val="20"/>
          <w:szCs w:val="20"/>
          <w:lang w:val="pt-BR"/>
        </w:rPr>
        <w:t>artigo</w:t>
      </w:r>
      <w:r w:rsidR="002649F0" w:rsidRPr="006D1C74">
        <w:rPr>
          <w:rFonts w:asciiTheme="majorHAnsi" w:hAnsiTheme="majorHAnsi"/>
          <w:sz w:val="20"/>
          <w:szCs w:val="20"/>
          <w:lang w:val="pt-BR"/>
        </w:rPr>
        <w:t xml:space="preserve"> 25</w:t>
      </w:r>
      <w:r w:rsidR="00795010" w:rsidRPr="006D1C74">
        <w:rPr>
          <w:rFonts w:asciiTheme="majorHAnsi" w:hAnsiTheme="majorHAnsi"/>
          <w:sz w:val="20"/>
          <w:szCs w:val="20"/>
          <w:lang w:val="pt-BR"/>
        </w:rPr>
        <w:t xml:space="preserve"> da </w:t>
      </w:r>
      <w:r w:rsidR="002649F0" w:rsidRPr="006D1C74">
        <w:rPr>
          <w:rFonts w:asciiTheme="majorHAnsi" w:hAnsiTheme="majorHAnsi"/>
          <w:sz w:val="20"/>
          <w:szCs w:val="20"/>
          <w:lang w:val="pt-BR"/>
        </w:rPr>
        <w:t>Conven</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Americana </w:t>
      </w:r>
      <w:r w:rsidR="00A3040B" w:rsidRPr="006D1C74">
        <w:rPr>
          <w:rFonts w:asciiTheme="majorHAnsi" w:hAnsiTheme="majorHAnsi"/>
          <w:sz w:val="20"/>
          <w:szCs w:val="20"/>
          <w:lang w:val="pt-BR"/>
        </w:rPr>
        <w:t>compreende</w:t>
      </w:r>
      <w:r w:rsidR="00700267" w:rsidRPr="006D1C74">
        <w:rPr>
          <w:rFonts w:asciiTheme="majorHAnsi" w:hAnsiTheme="majorHAnsi"/>
          <w:sz w:val="20"/>
          <w:szCs w:val="20"/>
          <w:lang w:val="pt-BR"/>
        </w:rPr>
        <w:t xml:space="preserve"> o </w:t>
      </w:r>
      <w:r w:rsidR="00417BE8" w:rsidRPr="006D1C74">
        <w:rPr>
          <w:rFonts w:asciiTheme="majorHAnsi" w:hAnsiTheme="majorHAnsi"/>
          <w:sz w:val="20"/>
          <w:szCs w:val="20"/>
          <w:lang w:val="pt-BR"/>
        </w:rPr>
        <w:t>direito</w:t>
      </w:r>
      <w:r w:rsidR="002649F0" w:rsidRPr="006D1C74">
        <w:rPr>
          <w:rFonts w:asciiTheme="majorHAnsi" w:hAnsiTheme="majorHAnsi"/>
          <w:sz w:val="20"/>
          <w:szCs w:val="20"/>
          <w:lang w:val="pt-BR"/>
        </w:rPr>
        <w:t xml:space="preserve"> de toda </w:t>
      </w:r>
      <w:r w:rsidR="00CA7940" w:rsidRPr="006D1C74">
        <w:rPr>
          <w:rFonts w:asciiTheme="majorHAnsi" w:hAnsiTheme="majorHAnsi"/>
          <w:sz w:val="20"/>
          <w:szCs w:val="20"/>
          <w:lang w:val="pt-BR"/>
        </w:rPr>
        <w:t>pessoa</w:t>
      </w:r>
      <w:r w:rsidR="002649F0" w:rsidRPr="006D1C74">
        <w:rPr>
          <w:rFonts w:asciiTheme="majorHAnsi" w:hAnsiTheme="majorHAnsi"/>
          <w:sz w:val="20"/>
          <w:szCs w:val="20"/>
          <w:lang w:val="pt-BR"/>
        </w:rPr>
        <w:t xml:space="preserve"> a comparecer </w:t>
      </w:r>
      <w:r w:rsidR="00091061" w:rsidRPr="006D1C74">
        <w:rPr>
          <w:rFonts w:asciiTheme="majorHAnsi" w:hAnsiTheme="majorHAnsi"/>
          <w:sz w:val="20"/>
          <w:szCs w:val="20"/>
          <w:lang w:val="pt-BR"/>
        </w:rPr>
        <w:t>per</w:t>
      </w:r>
      <w:r w:rsidR="002649F0" w:rsidRPr="006D1C74">
        <w:rPr>
          <w:rFonts w:asciiTheme="majorHAnsi" w:hAnsiTheme="majorHAnsi"/>
          <w:sz w:val="20"/>
          <w:szCs w:val="20"/>
          <w:lang w:val="pt-BR"/>
        </w:rPr>
        <w:t>ante</w:t>
      </w:r>
      <w:r w:rsidR="00030019" w:rsidRPr="006D1C74">
        <w:rPr>
          <w:rFonts w:asciiTheme="majorHAnsi" w:hAnsiTheme="majorHAnsi"/>
          <w:sz w:val="20"/>
          <w:szCs w:val="20"/>
          <w:lang w:val="pt-BR"/>
        </w:rPr>
        <w:t xml:space="preserve"> um </w:t>
      </w:r>
      <w:r w:rsidR="002649F0" w:rsidRPr="006D1C74">
        <w:rPr>
          <w:rFonts w:asciiTheme="majorHAnsi" w:hAnsiTheme="majorHAnsi"/>
          <w:sz w:val="20"/>
          <w:szCs w:val="20"/>
          <w:lang w:val="pt-BR"/>
        </w:rPr>
        <w:t xml:space="preserve">tribunal </w:t>
      </w:r>
      <w:r w:rsidR="003705A2">
        <w:rPr>
          <w:rFonts w:asciiTheme="majorHAnsi" w:hAnsiTheme="majorHAnsi"/>
          <w:sz w:val="20"/>
          <w:szCs w:val="20"/>
          <w:lang w:val="pt-BR"/>
        </w:rPr>
        <w:t>qua</w:t>
      </w:r>
      <w:r w:rsidR="002649F0" w:rsidRPr="006D1C74">
        <w:rPr>
          <w:rFonts w:asciiTheme="majorHAnsi" w:hAnsiTheme="majorHAnsi"/>
          <w:sz w:val="20"/>
          <w:szCs w:val="20"/>
          <w:lang w:val="pt-BR"/>
        </w:rPr>
        <w:t xml:space="preserve">ndo </w:t>
      </w:r>
      <w:r w:rsidR="00091061" w:rsidRPr="006D1C74">
        <w:rPr>
          <w:rFonts w:asciiTheme="majorHAnsi" w:hAnsiTheme="majorHAnsi"/>
          <w:sz w:val="20"/>
          <w:szCs w:val="20"/>
          <w:lang w:val="pt-BR"/>
        </w:rPr>
        <w:t xml:space="preserve">um </w:t>
      </w:r>
      <w:r w:rsidR="002649F0" w:rsidRPr="006D1C74">
        <w:rPr>
          <w:rFonts w:asciiTheme="majorHAnsi" w:hAnsiTheme="majorHAnsi"/>
          <w:sz w:val="20"/>
          <w:szCs w:val="20"/>
          <w:lang w:val="pt-BR"/>
        </w:rPr>
        <w:t>de s</w:t>
      </w:r>
      <w:r w:rsidR="001D5EF3">
        <w:rPr>
          <w:rFonts w:asciiTheme="majorHAnsi" w:hAnsiTheme="majorHAnsi"/>
          <w:sz w:val="20"/>
          <w:szCs w:val="20"/>
          <w:lang w:val="pt-BR"/>
        </w:rPr>
        <w:t>e</w:t>
      </w:r>
      <w:r w:rsidR="002649F0" w:rsidRPr="006D1C74">
        <w:rPr>
          <w:rFonts w:asciiTheme="majorHAnsi" w:hAnsiTheme="majorHAnsi"/>
          <w:sz w:val="20"/>
          <w:szCs w:val="20"/>
          <w:lang w:val="pt-BR"/>
        </w:rPr>
        <w:t xml:space="preserve">us </w:t>
      </w:r>
      <w:r w:rsidR="00417BE8" w:rsidRPr="006D1C74">
        <w:rPr>
          <w:rFonts w:asciiTheme="majorHAnsi" w:hAnsiTheme="majorHAnsi"/>
          <w:sz w:val="20"/>
          <w:szCs w:val="20"/>
          <w:lang w:val="pt-BR"/>
        </w:rPr>
        <w:t>direito</w:t>
      </w:r>
      <w:r w:rsidR="002649F0" w:rsidRPr="006D1C74">
        <w:rPr>
          <w:rFonts w:asciiTheme="majorHAnsi" w:hAnsiTheme="majorHAnsi"/>
          <w:sz w:val="20"/>
          <w:szCs w:val="20"/>
          <w:lang w:val="pt-BR"/>
        </w:rPr>
        <w:t>s</w:t>
      </w:r>
      <w:r w:rsidR="00091061" w:rsidRPr="006D1C74">
        <w:rPr>
          <w:rFonts w:asciiTheme="majorHAnsi" w:hAnsiTheme="majorHAnsi"/>
          <w:sz w:val="20"/>
          <w:szCs w:val="20"/>
          <w:lang w:val="pt-BR"/>
        </w:rPr>
        <w:t xml:space="preserve"> tenha sido violado</w:t>
      </w:r>
      <w:r w:rsidR="002649F0" w:rsidRPr="006D1C74">
        <w:rPr>
          <w:rFonts w:asciiTheme="majorHAnsi" w:hAnsiTheme="majorHAnsi"/>
          <w:sz w:val="20"/>
          <w:szCs w:val="20"/>
          <w:lang w:val="pt-BR"/>
        </w:rPr>
        <w:t>, a</w:t>
      </w:r>
      <w:r w:rsidR="00F673C7" w:rsidRPr="006D1C74">
        <w:rPr>
          <w:rFonts w:asciiTheme="majorHAnsi" w:hAnsiTheme="majorHAnsi"/>
          <w:sz w:val="20"/>
          <w:szCs w:val="20"/>
          <w:lang w:val="pt-BR"/>
        </w:rPr>
        <w:t xml:space="preserve"> fim </w:t>
      </w:r>
      <w:r w:rsidR="002649F0" w:rsidRPr="006D1C74">
        <w:rPr>
          <w:rFonts w:asciiTheme="majorHAnsi" w:hAnsiTheme="majorHAnsi"/>
          <w:sz w:val="20"/>
          <w:szCs w:val="20"/>
          <w:lang w:val="pt-BR"/>
        </w:rPr>
        <w:t xml:space="preserve">de que se </w:t>
      </w:r>
      <w:r w:rsidR="00091061" w:rsidRPr="006D1C74">
        <w:rPr>
          <w:rFonts w:asciiTheme="majorHAnsi" w:hAnsiTheme="majorHAnsi"/>
          <w:sz w:val="20"/>
          <w:szCs w:val="20"/>
          <w:lang w:val="pt-BR"/>
        </w:rPr>
        <w:t>faç</w:t>
      </w:r>
      <w:r w:rsidR="002649F0" w:rsidRPr="006D1C74">
        <w:rPr>
          <w:rFonts w:asciiTheme="majorHAnsi" w:hAnsiTheme="majorHAnsi"/>
          <w:sz w:val="20"/>
          <w:szCs w:val="20"/>
          <w:lang w:val="pt-BR"/>
        </w:rPr>
        <w:t>a</w:t>
      </w:r>
      <w:r w:rsidR="00030019" w:rsidRPr="006D1C74">
        <w:rPr>
          <w:rFonts w:asciiTheme="majorHAnsi" w:hAnsiTheme="majorHAnsi"/>
          <w:sz w:val="20"/>
          <w:szCs w:val="20"/>
          <w:lang w:val="pt-BR"/>
        </w:rPr>
        <w:t xml:space="preserve"> uma </w:t>
      </w:r>
      <w:r w:rsidR="002649F0" w:rsidRPr="006D1C74">
        <w:rPr>
          <w:rFonts w:asciiTheme="majorHAnsi" w:hAnsiTheme="majorHAnsi"/>
          <w:sz w:val="20"/>
          <w:szCs w:val="20"/>
          <w:lang w:val="pt-BR"/>
        </w:rPr>
        <w:t>investiga</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w:t>
      </w:r>
      <w:r w:rsidR="001D5EF3">
        <w:rPr>
          <w:rFonts w:asciiTheme="majorHAnsi" w:hAnsiTheme="majorHAnsi"/>
          <w:sz w:val="20"/>
          <w:szCs w:val="20"/>
          <w:lang w:val="pt-BR"/>
        </w:rPr>
        <w:t>por</w:t>
      </w:r>
      <w:r w:rsidR="00030019" w:rsidRPr="006D1C74">
        <w:rPr>
          <w:rFonts w:asciiTheme="majorHAnsi" w:hAnsiTheme="majorHAnsi"/>
          <w:sz w:val="20"/>
          <w:szCs w:val="20"/>
          <w:lang w:val="pt-BR"/>
        </w:rPr>
        <w:t xml:space="preserve"> um </w:t>
      </w:r>
      <w:r w:rsidR="002649F0" w:rsidRPr="006D1C74">
        <w:rPr>
          <w:rFonts w:asciiTheme="majorHAnsi" w:hAnsiTheme="majorHAnsi"/>
          <w:sz w:val="20"/>
          <w:szCs w:val="20"/>
          <w:lang w:val="pt-BR"/>
        </w:rPr>
        <w:t>tribunal competente, imparcial e indepen</w:t>
      </w:r>
      <w:r w:rsidR="000D2A81" w:rsidRPr="006D1C74">
        <w:rPr>
          <w:rFonts w:asciiTheme="majorHAnsi" w:hAnsiTheme="majorHAnsi"/>
          <w:sz w:val="20"/>
          <w:szCs w:val="20"/>
          <w:lang w:val="pt-BR"/>
        </w:rPr>
        <w:t>dente</w:t>
      </w:r>
      <w:r w:rsidR="002649F0" w:rsidRPr="006D1C74">
        <w:rPr>
          <w:rFonts w:asciiTheme="majorHAnsi" w:hAnsiTheme="majorHAnsi"/>
          <w:sz w:val="20"/>
          <w:szCs w:val="20"/>
          <w:lang w:val="pt-BR"/>
        </w:rPr>
        <w:t xml:space="preserve">, </w:t>
      </w:r>
      <w:r w:rsidR="00091061" w:rsidRPr="006D1C74">
        <w:rPr>
          <w:rFonts w:asciiTheme="majorHAnsi" w:hAnsiTheme="majorHAnsi"/>
          <w:sz w:val="20"/>
          <w:szCs w:val="20"/>
          <w:lang w:val="pt-BR"/>
        </w:rPr>
        <w:t>bem</w:t>
      </w:r>
      <w:r w:rsidR="002649F0" w:rsidRPr="006D1C74">
        <w:rPr>
          <w:rFonts w:asciiTheme="majorHAnsi" w:hAnsiTheme="majorHAnsi"/>
          <w:sz w:val="20"/>
          <w:szCs w:val="20"/>
          <w:lang w:val="pt-BR"/>
        </w:rPr>
        <w:t xml:space="preserve"> como</w:t>
      </w:r>
      <w:r w:rsidR="00700267" w:rsidRPr="006D1C74">
        <w:rPr>
          <w:rFonts w:asciiTheme="majorHAnsi" w:hAnsiTheme="majorHAnsi"/>
          <w:sz w:val="20"/>
          <w:szCs w:val="20"/>
          <w:lang w:val="pt-BR"/>
        </w:rPr>
        <w:t xml:space="preserve"> o </w:t>
      </w:r>
      <w:r w:rsidR="00417BE8" w:rsidRPr="006D1C74">
        <w:rPr>
          <w:rFonts w:asciiTheme="majorHAnsi" w:hAnsiTheme="majorHAnsi"/>
          <w:sz w:val="20"/>
          <w:szCs w:val="20"/>
          <w:lang w:val="pt-BR"/>
        </w:rPr>
        <w:t>direito</w:t>
      </w:r>
      <w:r w:rsidR="002649F0" w:rsidRPr="006D1C74">
        <w:rPr>
          <w:rFonts w:asciiTheme="majorHAnsi" w:hAnsiTheme="majorHAnsi"/>
          <w:sz w:val="20"/>
          <w:szCs w:val="20"/>
          <w:lang w:val="pt-BR"/>
        </w:rPr>
        <w:t xml:space="preserve"> a obter repara</w:t>
      </w:r>
      <w:r w:rsidR="00CF037E" w:rsidRPr="006D1C74">
        <w:rPr>
          <w:rFonts w:asciiTheme="majorHAnsi" w:hAnsiTheme="majorHAnsi"/>
          <w:sz w:val="20"/>
          <w:szCs w:val="20"/>
          <w:lang w:val="pt-BR"/>
        </w:rPr>
        <w:t>ções</w:t>
      </w:r>
      <w:r w:rsidR="00700267" w:rsidRPr="006D1C74">
        <w:rPr>
          <w:rFonts w:asciiTheme="majorHAnsi" w:hAnsiTheme="majorHAnsi"/>
          <w:sz w:val="20"/>
          <w:szCs w:val="20"/>
          <w:lang w:val="pt-BR"/>
        </w:rPr>
        <w:t xml:space="preserve"> pelo</w:t>
      </w:r>
      <w:r w:rsidR="00091061" w:rsidRPr="006D1C74">
        <w:rPr>
          <w:rFonts w:asciiTheme="majorHAnsi" w:hAnsiTheme="majorHAnsi"/>
          <w:sz w:val="20"/>
          <w:szCs w:val="20"/>
          <w:lang w:val="pt-BR"/>
        </w:rPr>
        <w:t>s</w:t>
      </w:r>
      <w:r w:rsidR="00700267" w:rsidRPr="006D1C74">
        <w:rPr>
          <w:rFonts w:asciiTheme="majorHAnsi" w:hAnsiTheme="majorHAnsi"/>
          <w:sz w:val="20"/>
          <w:szCs w:val="20"/>
          <w:lang w:val="pt-BR"/>
        </w:rPr>
        <w:t xml:space="preserve"> </w:t>
      </w:r>
      <w:r w:rsidR="00A3040B" w:rsidRPr="006D1C74">
        <w:rPr>
          <w:rFonts w:asciiTheme="majorHAnsi" w:hAnsiTheme="majorHAnsi"/>
          <w:sz w:val="20"/>
          <w:szCs w:val="20"/>
          <w:lang w:val="pt-BR"/>
        </w:rPr>
        <w:t>danos</w:t>
      </w:r>
      <w:r w:rsidR="002649F0" w:rsidRPr="006D1C74">
        <w:rPr>
          <w:rFonts w:asciiTheme="majorHAnsi" w:hAnsiTheme="majorHAnsi"/>
          <w:sz w:val="20"/>
          <w:szCs w:val="20"/>
          <w:lang w:val="pt-BR"/>
        </w:rPr>
        <w:t xml:space="preserve"> </w:t>
      </w:r>
      <w:r w:rsidR="00517ACA" w:rsidRPr="006D1C74">
        <w:rPr>
          <w:rFonts w:asciiTheme="majorHAnsi" w:hAnsiTheme="majorHAnsi"/>
          <w:sz w:val="20"/>
          <w:szCs w:val="20"/>
          <w:lang w:val="pt-BR"/>
        </w:rPr>
        <w:t>sofridos</w:t>
      </w:r>
      <w:r w:rsidR="002649F0" w:rsidRPr="006D1C74">
        <w:rPr>
          <w:rFonts w:asciiTheme="majorHAnsi" w:hAnsiTheme="majorHAnsi"/>
          <w:sz w:val="20"/>
          <w:szCs w:val="20"/>
          <w:vertAlign w:val="superscript"/>
          <w:lang w:val="pt-BR"/>
        </w:rPr>
        <w:footnoteReference w:id="86"/>
      </w:r>
      <w:r w:rsidR="002649F0" w:rsidRPr="006D1C74">
        <w:rPr>
          <w:rFonts w:asciiTheme="majorHAnsi" w:hAnsiTheme="majorHAnsi"/>
          <w:sz w:val="20"/>
          <w:szCs w:val="20"/>
          <w:lang w:val="pt-BR"/>
        </w:rPr>
        <w:t>.</w:t>
      </w:r>
    </w:p>
    <w:p w14:paraId="2CAA5E17" w14:textId="77777777" w:rsidR="002649F0" w:rsidRPr="006D1C74" w:rsidRDefault="002649F0" w:rsidP="002649F0">
      <w:pPr>
        <w:rPr>
          <w:rFonts w:asciiTheme="majorHAnsi" w:eastAsia="Cambria" w:hAnsiTheme="majorHAnsi" w:cs="Cambria"/>
          <w:color w:val="000000"/>
          <w:sz w:val="20"/>
          <w:szCs w:val="20"/>
          <w:u w:color="000000"/>
          <w:lang w:val="pt-BR" w:eastAsia="es-ES"/>
        </w:rPr>
      </w:pPr>
    </w:p>
    <w:p w14:paraId="1EE86E86" w14:textId="77777777" w:rsidR="002649F0" w:rsidRPr="006D1C74" w:rsidRDefault="00A3040B" w:rsidP="00AE16D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Esse</w:t>
      </w:r>
      <w:r w:rsidR="002649F0" w:rsidRPr="006D1C74">
        <w:rPr>
          <w:rFonts w:asciiTheme="majorHAnsi" w:hAnsiTheme="majorHAnsi"/>
          <w:sz w:val="20"/>
          <w:szCs w:val="20"/>
          <w:lang w:val="pt-BR"/>
        </w:rPr>
        <w:t xml:space="preserve"> </w:t>
      </w:r>
      <w:r w:rsidR="00585D35" w:rsidRPr="006D1C74">
        <w:rPr>
          <w:rFonts w:asciiTheme="majorHAnsi" w:hAnsiTheme="majorHAnsi"/>
          <w:sz w:val="20"/>
          <w:szCs w:val="20"/>
          <w:lang w:val="pt-BR"/>
        </w:rPr>
        <w:t>dev</w:t>
      </w:r>
      <w:r w:rsidR="002649F0" w:rsidRPr="006D1C74">
        <w:rPr>
          <w:rFonts w:asciiTheme="majorHAnsi" w:hAnsiTheme="majorHAnsi"/>
          <w:sz w:val="20"/>
          <w:szCs w:val="20"/>
          <w:lang w:val="pt-BR"/>
        </w:rPr>
        <w:t>er de investigar</w:t>
      </w:r>
      <w:r w:rsidR="00F37852" w:rsidRPr="006D1C74">
        <w:rPr>
          <w:rFonts w:asciiTheme="majorHAnsi" w:hAnsiTheme="majorHAnsi"/>
          <w:sz w:val="20"/>
          <w:szCs w:val="20"/>
          <w:lang w:val="pt-BR"/>
        </w:rPr>
        <w:t xml:space="preserve"> é </w:t>
      </w:r>
      <w:r w:rsidR="00030019" w:rsidRPr="006D1C74">
        <w:rPr>
          <w:rFonts w:asciiTheme="majorHAnsi" w:hAnsiTheme="majorHAnsi"/>
          <w:sz w:val="20"/>
          <w:szCs w:val="20"/>
          <w:lang w:val="pt-BR"/>
        </w:rPr>
        <w:t xml:space="preserve">uma </w:t>
      </w:r>
      <w:r w:rsidRPr="006D1C74">
        <w:rPr>
          <w:rFonts w:asciiTheme="majorHAnsi" w:hAnsiTheme="majorHAnsi"/>
          <w:sz w:val="20"/>
          <w:szCs w:val="20"/>
          <w:lang w:val="pt-BR"/>
        </w:rPr>
        <w:t>obrigação</w:t>
      </w:r>
      <w:r w:rsidR="002649F0" w:rsidRPr="006D1C74">
        <w:rPr>
          <w:rFonts w:asciiTheme="majorHAnsi" w:hAnsiTheme="majorHAnsi"/>
          <w:sz w:val="20"/>
          <w:szCs w:val="20"/>
          <w:lang w:val="pt-BR"/>
        </w:rPr>
        <w:t xml:space="preserve"> de </w:t>
      </w:r>
      <w:r w:rsidR="00C3212C" w:rsidRPr="006D1C74">
        <w:rPr>
          <w:rFonts w:asciiTheme="majorHAnsi" w:hAnsiTheme="majorHAnsi"/>
          <w:sz w:val="20"/>
          <w:szCs w:val="20"/>
          <w:lang w:val="pt-BR"/>
        </w:rPr>
        <w:t>meio</w:t>
      </w:r>
      <w:r w:rsidR="00CF037E" w:rsidRPr="006D1C74">
        <w:rPr>
          <w:rFonts w:asciiTheme="majorHAnsi" w:hAnsiTheme="majorHAnsi"/>
          <w:sz w:val="20"/>
          <w:szCs w:val="20"/>
          <w:lang w:val="pt-BR"/>
        </w:rPr>
        <w:t xml:space="preserve"> e</w:t>
      </w:r>
      <w:r w:rsidR="00F673C7" w:rsidRPr="006D1C74">
        <w:rPr>
          <w:rFonts w:asciiTheme="majorHAnsi" w:hAnsiTheme="majorHAnsi"/>
          <w:sz w:val="20"/>
          <w:szCs w:val="20"/>
          <w:lang w:val="pt-BR"/>
        </w:rPr>
        <w:t xml:space="preserve"> não </w:t>
      </w:r>
      <w:r w:rsidR="002649F0" w:rsidRPr="006D1C74">
        <w:rPr>
          <w:rFonts w:asciiTheme="majorHAnsi" w:hAnsiTheme="majorHAnsi"/>
          <w:sz w:val="20"/>
          <w:szCs w:val="20"/>
          <w:lang w:val="pt-BR"/>
        </w:rPr>
        <w:t>de resultado, que</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 xml:space="preserve">Estado </w:t>
      </w:r>
      <w:r w:rsidR="00585D35" w:rsidRPr="006D1C74">
        <w:rPr>
          <w:rFonts w:asciiTheme="majorHAnsi" w:hAnsiTheme="majorHAnsi"/>
          <w:sz w:val="20"/>
          <w:szCs w:val="20"/>
          <w:lang w:val="pt-BR"/>
        </w:rPr>
        <w:t>dev</w:t>
      </w:r>
      <w:r w:rsidR="002649F0" w:rsidRPr="006D1C74">
        <w:rPr>
          <w:rFonts w:asciiTheme="majorHAnsi" w:hAnsiTheme="majorHAnsi"/>
          <w:sz w:val="20"/>
          <w:szCs w:val="20"/>
          <w:lang w:val="pt-BR"/>
        </w:rPr>
        <w:t xml:space="preserve">e </w:t>
      </w:r>
      <w:r w:rsidRPr="006D1C74">
        <w:rPr>
          <w:rFonts w:asciiTheme="majorHAnsi" w:hAnsiTheme="majorHAnsi"/>
          <w:sz w:val="20"/>
          <w:szCs w:val="20"/>
          <w:lang w:val="pt-BR"/>
        </w:rPr>
        <w:t>assumir</w:t>
      </w:r>
      <w:r w:rsidR="002649F0" w:rsidRPr="006D1C74">
        <w:rPr>
          <w:rFonts w:asciiTheme="majorHAnsi" w:hAnsiTheme="majorHAnsi"/>
          <w:sz w:val="20"/>
          <w:szCs w:val="20"/>
          <w:lang w:val="pt-BR"/>
        </w:rPr>
        <w:t xml:space="preserve"> como </w:t>
      </w:r>
      <w:r w:rsidR="00585D35" w:rsidRPr="006D1C74">
        <w:rPr>
          <w:rFonts w:asciiTheme="majorHAnsi" w:hAnsiTheme="majorHAnsi"/>
          <w:sz w:val="20"/>
          <w:szCs w:val="20"/>
          <w:lang w:val="pt-BR"/>
        </w:rPr>
        <w:t>dev</w:t>
      </w:r>
      <w:r w:rsidR="002649F0" w:rsidRPr="006D1C74">
        <w:rPr>
          <w:rFonts w:asciiTheme="majorHAnsi" w:hAnsiTheme="majorHAnsi"/>
          <w:sz w:val="20"/>
          <w:szCs w:val="20"/>
          <w:lang w:val="pt-BR"/>
        </w:rPr>
        <w:t xml:space="preserve">er jurídico </w:t>
      </w:r>
      <w:r w:rsidRPr="006D1C74">
        <w:rPr>
          <w:rFonts w:asciiTheme="majorHAnsi" w:hAnsiTheme="majorHAnsi"/>
          <w:sz w:val="20"/>
          <w:szCs w:val="20"/>
          <w:lang w:val="pt-BR"/>
        </w:rPr>
        <w:t>próprio</w:t>
      </w:r>
      <w:r w:rsidR="00CF037E" w:rsidRPr="006D1C74">
        <w:rPr>
          <w:rFonts w:asciiTheme="majorHAnsi" w:hAnsiTheme="majorHAnsi"/>
          <w:sz w:val="20"/>
          <w:szCs w:val="20"/>
          <w:lang w:val="pt-BR"/>
        </w:rPr>
        <w:t xml:space="preserve"> e</w:t>
      </w:r>
      <w:r w:rsidR="00F673C7" w:rsidRPr="006D1C74">
        <w:rPr>
          <w:rFonts w:asciiTheme="majorHAnsi" w:hAnsiTheme="majorHAnsi"/>
          <w:sz w:val="20"/>
          <w:szCs w:val="20"/>
          <w:lang w:val="pt-BR"/>
        </w:rPr>
        <w:t xml:space="preserve"> não </w:t>
      </w:r>
      <w:r w:rsidR="002649F0" w:rsidRPr="006D1C74">
        <w:rPr>
          <w:rFonts w:asciiTheme="majorHAnsi" w:hAnsiTheme="majorHAnsi"/>
          <w:sz w:val="20"/>
          <w:szCs w:val="20"/>
          <w:lang w:val="pt-BR"/>
        </w:rPr>
        <w:t xml:space="preserve">como </w:t>
      </w:r>
      <w:r w:rsidRPr="006D1C74">
        <w:rPr>
          <w:rFonts w:asciiTheme="majorHAnsi" w:hAnsiTheme="majorHAnsi"/>
          <w:sz w:val="20"/>
          <w:szCs w:val="20"/>
          <w:lang w:val="pt-BR"/>
        </w:rPr>
        <w:t>simples</w:t>
      </w:r>
      <w:r w:rsidR="002649F0" w:rsidRPr="006D1C74">
        <w:rPr>
          <w:rFonts w:asciiTheme="majorHAnsi" w:hAnsiTheme="majorHAnsi"/>
          <w:sz w:val="20"/>
          <w:szCs w:val="20"/>
          <w:lang w:val="pt-BR"/>
        </w:rPr>
        <w:t xml:space="preserve"> formali</w:t>
      </w:r>
      <w:r w:rsidR="00F673C7" w:rsidRPr="006D1C74">
        <w:rPr>
          <w:rFonts w:asciiTheme="majorHAnsi" w:hAnsiTheme="majorHAnsi"/>
          <w:sz w:val="20"/>
          <w:szCs w:val="20"/>
          <w:lang w:val="pt-BR"/>
        </w:rPr>
        <w:t xml:space="preserve">dade </w:t>
      </w:r>
      <w:r w:rsidR="002649F0" w:rsidRPr="006D1C74">
        <w:rPr>
          <w:rFonts w:asciiTheme="majorHAnsi" w:hAnsiTheme="majorHAnsi"/>
          <w:sz w:val="20"/>
          <w:szCs w:val="20"/>
          <w:lang w:val="pt-BR"/>
        </w:rPr>
        <w:t>condenada de antem</w:t>
      </w:r>
      <w:r w:rsidR="00091061" w:rsidRPr="006D1C74">
        <w:rPr>
          <w:rFonts w:asciiTheme="majorHAnsi" w:hAnsiTheme="majorHAnsi"/>
          <w:sz w:val="20"/>
          <w:szCs w:val="20"/>
          <w:lang w:val="pt-BR"/>
        </w:rPr>
        <w:t>ã</w:t>
      </w:r>
      <w:r w:rsidR="002649F0" w:rsidRPr="006D1C74">
        <w:rPr>
          <w:rFonts w:asciiTheme="majorHAnsi" w:hAnsiTheme="majorHAnsi"/>
          <w:sz w:val="20"/>
          <w:szCs w:val="20"/>
          <w:lang w:val="pt-BR"/>
        </w:rPr>
        <w:t>o a ser inútil</w:t>
      </w:r>
      <w:r w:rsidR="002649F0" w:rsidRPr="006D1C74">
        <w:rPr>
          <w:rFonts w:asciiTheme="majorHAnsi" w:hAnsiTheme="majorHAnsi"/>
          <w:sz w:val="20"/>
          <w:szCs w:val="20"/>
          <w:vertAlign w:val="superscript"/>
          <w:lang w:val="pt-BR"/>
        </w:rPr>
        <w:footnoteReference w:id="87"/>
      </w:r>
      <w:r w:rsidR="002649F0" w:rsidRPr="006D1C74">
        <w:rPr>
          <w:rFonts w:asciiTheme="majorHAnsi" w:hAnsiTheme="majorHAnsi"/>
          <w:sz w:val="20"/>
          <w:szCs w:val="20"/>
          <w:lang w:val="pt-BR"/>
        </w:rPr>
        <w:t xml:space="preserve"> o</w:t>
      </w:r>
      <w:r w:rsidR="00091061" w:rsidRPr="006D1C74">
        <w:rPr>
          <w:rFonts w:asciiTheme="majorHAnsi" w:hAnsiTheme="majorHAnsi"/>
          <w:sz w:val="20"/>
          <w:szCs w:val="20"/>
          <w:lang w:val="pt-BR"/>
        </w:rPr>
        <w:t>u</w:t>
      </w:r>
      <w:r w:rsidR="002649F0" w:rsidRPr="006D1C74">
        <w:rPr>
          <w:rFonts w:asciiTheme="majorHAnsi" w:hAnsiTheme="majorHAnsi"/>
          <w:sz w:val="20"/>
          <w:szCs w:val="20"/>
          <w:lang w:val="pt-BR"/>
        </w:rPr>
        <w:t xml:space="preserve"> como</w:t>
      </w:r>
      <w:r w:rsidR="00030019" w:rsidRPr="006D1C74">
        <w:rPr>
          <w:rFonts w:asciiTheme="majorHAnsi" w:hAnsiTheme="majorHAnsi"/>
          <w:sz w:val="20"/>
          <w:szCs w:val="20"/>
          <w:lang w:val="pt-BR"/>
        </w:rPr>
        <w:t xml:space="preserve"> uma </w:t>
      </w:r>
      <w:r w:rsidR="002649F0" w:rsidRPr="006D1C74">
        <w:rPr>
          <w:rFonts w:asciiTheme="majorHAnsi" w:hAnsiTheme="majorHAnsi"/>
          <w:sz w:val="20"/>
          <w:szCs w:val="20"/>
          <w:lang w:val="pt-BR"/>
        </w:rPr>
        <w:t>mera gest</w:t>
      </w:r>
      <w:r w:rsidR="00091061" w:rsidRPr="006D1C74">
        <w:rPr>
          <w:rFonts w:asciiTheme="majorHAnsi" w:hAnsiTheme="majorHAnsi"/>
          <w:sz w:val="20"/>
          <w:szCs w:val="20"/>
          <w:lang w:val="pt-BR"/>
        </w:rPr>
        <w:t>ão</w:t>
      </w:r>
      <w:r w:rsidR="002649F0" w:rsidRPr="006D1C74">
        <w:rPr>
          <w:rFonts w:asciiTheme="majorHAnsi" w:hAnsiTheme="majorHAnsi"/>
          <w:sz w:val="20"/>
          <w:szCs w:val="20"/>
          <w:lang w:val="pt-BR"/>
        </w:rPr>
        <w:t xml:space="preserve"> de </w:t>
      </w:r>
      <w:r w:rsidRPr="006D1C74">
        <w:rPr>
          <w:rFonts w:asciiTheme="majorHAnsi" w:hAnsiTheme="majorHAnsi"/>
          <w:sz w:val="20"/>
          <w:szCs w:val="20"/>
          <w:lang w:val="pt-BR"/>
        </w:rPr>
        <w:t>interesses</w:t>
      </w:r>
      <w:r w:rsidR="002649F0" w:rsidRPr="006D1C74">
        <w:rPr>
          <w:rFonts w:asciiTheme="majorHAnsi" w:hAnsiTheme="majorHAnsi"/>
          <w:sz w:val="20"/>
          <w:szCs w:val="20"/>
          <w:lang w:val="pt-BR"/>
        </w:rPr>
        <w:t xml:space="preserve"> particulares que dependa</w:t>
      </w:r>
      <w:r w:rsidR="00795010" w:rsidRPr="006D1C74">
        <w:rPr>
          <w:rFonts w:asciiTheme="majorHAnsi" w:hAnsiTheme="majorHAnsi"/>
          <w:sz w:val="20"/>
          <w:szCs w:val="20"/>
          <w:lang w:val="pt-BR"/>
        </w:rPr>
        <w:t xml:space="preserve"> da </w:t>
      </w:r>
      <w:r w:rsidR="002649F0" w:rsidRPr="006D1C74">
        <w:rPr>
          <w:rFonts w:asciiTheme="majorHAnsi" w:hAnsiTheme="majorHAnsi"/>
          <w:sz w:val="20"/>
          <w:szCs w:val="20"/>
          <w:lang w:val="pt-BR"/>
        </w:rPr>
        <w:t>iniciativa proces</w:t>
      </w:r>
      <w:r w:rsidR="00091061" w:rsidRPr="006D1C74">
        <w:rPr>
          <w:rFonts w:asciiTheme="majorHAnsi" w:hAnsiTheme="majorHAnsi"/>
          <w:sz w:val="20"/>
          <w:szCs w:val="20"/>
          <w:lang w:val="pt-BR"/>
        </w:rPr>
        <w:t>su</w:t>
      </w:r>
      <w:r w:rsidR="002649F0" w:rsidRPr="006D1C74">
        <w:rPr>
          <w:rFonts w:asciiTheme="majorHAnsi" w:hAnsiTheme="majorHAnsi"/>
          <w:sz w:val="20"/>
          <w:szCs w:val="20"/>
          <w:lang w:val="pt-BR"/>
        </w:rPr>
        <w:t>al</w:t>
      </w:r>
      <w:r w:rsidR="00D74A93" w:rsidRPr="006D1C74">
        <w:rPr>
          <w:rFonts w:asciiTheme="majorHAnsi" w:hAnsiTheme="majorHAnsi"/>
          <w:sz w:val="20"/>
          <w:szCs w:val="20"/>
          <w:lang w:val="pt-BR"/>
        </w:rPr>
        <w:t xml:space="preserve"> das </w:t>
      </w:r>
      <w:r w:rsidR="00795010" w:rsidRPr="006D1C74">
        <w:rPr>
          <w:rFonts w:asciiTheme="majorHAnsi" w:hAnsiTheme="majorHAnsi"/>
          <w:sz w:val="20"/>
          <w:szCs w:val="20"/>
          <w:lang w:val="pt-BR"/>
        </w:rPr>
        <w:t>vítima</w:t>
      </w:r>
      <w:r w:rsidR="002649F0" w:rsidRPr="006D1C74">
        <w:rPr>
          <w:rFonts w:asciiTheme="majorHAnsi" w:hAnsiTheme="majorHAnsi"/>
          <w:sz w:val="20"/>
          <w:szCs w:val="20"/>
          <w:lang w:val="pt-BR"/>
        </w:rPr>
        <w:t>s o</w:t>
      </w:r>
      <w:r w:rsidR="00091061" w:rsidRPr="006D1C74">
        <w:rPr>
          <w:rFonts w:asciiTheme="majorHAnsi" w:hAnsiTheme="majorHAnsi"/>
          <w:sz w:val="20"/>
          <w:szCs w:val="20"/>
          <w:lang w:val="pt-BR"/>
        </w:rPr>
        <w:t>u</w:t>
      </w:r>
      <w:r w:rsidR="002649F0" w:rsidRPr="006D1C74">
        <w:rPr>
          <w:rFonts w:asciiTheme="majorHAnsi" w:hAnsiTheme="majorHAnsi"/>
          <w:sz w:val="20"/>
          <w:szCs w:val="20"/>
          <w:lang w:val="pt-BR"/>
        </w:rPr>
        <w:t xml:space="preserve"> de s</w:t>
      </w:r>
      <w:r w:rsidR="001D5EF3">
        <w:rPr>
          <w:rFonts w:asciiTheme="majorHAnsi" w:hAnsiTheme="majorHAnsi"/>
          <w:sz w:val="20"/>
          <w:szCs w:val="20"/>
          <w:lang w:val="pt-BR"/>
        </w:rPr>
        <w:t>e</w:t>
      </w:r>
      <w:r w:rsidR="002649F0" w:rsidRPr="006D1C74">
        <w:rPr>
          <w:rFonts w:asciiTheme="majorHAnsi" w:hAnsiTheme="majorHAnsi"/>
          <w:sz w:val="20"/>
          <w:szCs w:val="20"/>
          <w:lang w:val="pt-BR"/>
        </w:rPr>
        <w:t xml:space="preserve">us </w:t>
      </w:r>
      <w:r w:rsidR="001E2392" w:rsidRPr="006D1C74">
        <w:rPr>
          <w:rFonts w:asciiTheme="majorHAnsi" w:hAnsiTheme="majorHAnsi"/>
          <w:sz w:val="20"/>
          <w:szCs w:val="20"/>
          <w:lang w:val="pt-BR"/>
        </w:rPr>
        <w:t>familiares</w:t>
      </w:r>
      <w:r w:rsidR="002649F0" w:rsidRPr="006D1C74">
        <w:rPr>
          <w:rFonts w:asciiTheme="majorHAnsi" w:hAnsiTheme="majorHAnsi"/>
          <w:sz w:val="20"/>
          <w:szCs w:val="20"/>
          <w:lang w:val="pt-BR"/>
        </w:rPr>
        <w:t xml:space="preserve"> o</w:t>
      </w:r>
      <w:r w:rsidR="00091061" w:rsidRPr="006D1C74">
        <w:rPr>
          <w:rFonts w:asciiTheme="majorHAnsi" w:hAnsiTheme="majorHAnsi"/>
          <w:sz w:val="20"/>
          <w:szCs w:val="20"/>
          <w:lang w:val="pt-BR"/>
        </w:rPr>
        <w:t>u</w:t>
      </w:r>
      <w:r w:rsidR="00795010" w:rsidRPr="006D1C74">
        <w:rPr>
          <w:rFonts w:asciiTheme="majorHAnsi" w:hAnsiTheme="majorHAnsi"/>
          <w:sz w:val="20"/>
          <w:szCs w:val="20"/>
          <w:lang w:val="pt-BR"/>
        </w:rPr>
        <w:t xml:space="preserve"> da </w:t>
      </w:r>
      <w:r w:rsidR="00150ED4" w:rsidRPr="006D1C74">
        <w:rPr>
          <w:rFonts w:asciiTheme="majorHAnsi" w:hAnsiTheme="majorHAnsi"/>
          <w:sz w:val="20"/>
          <w:szCs w:val="20"/>
          <w:lang w:val="pt-BR"/>
        </w:rPr>
        <w:lastRenderedPageBreak/>
        <w:t>contribui</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privada de elementos de pr</w:t>
      </w:r>
      <w:r w:rsidR="00091061" w:rsidRPr="006D1C74">
        <w:rPr>
          <w:rFonts w:asciiTheme="majorHAnsi" w:hAnsiTheme="majorHAnsi"/>
          <w:sz w:val="20"/>
          <w:szCs w:val="20"/>
          <w:lang w:val="pt-BR"/>
        </w:rPr>
        <w:t>ov</w:t>
      </w:r>
      <w:r w:rsidR="002649F0" w:rsidRPr="006D1C74">
        <w:rPr>
          <w:rFonts w:asciiTheme="majorHAnsi" w:hAnsiTheme="majorHAnsi"/>
          <w:sz w:val="20"/>
          <w:szCs w:val="20"/>
          <w:lang w:val="pt-BR"/>
        </w:rPr>
        <w:t>a</w:t>
      </w:r>
      <w:r w:rsidR="002649F0" w:rsidRPr="006D1C74">
        <w:rPr>
          <w:rFonts w:asciiTheme="majorHAnsi" w:hAnsiTheme="majorHAnsi"/>
          <w:sz w:val="20"/>
          <w:szCs w:val="20"/>
          <w:vertAlign w:val="superscript"/>
          <w:lang w:val="pt-BR"/>
        </w:rPr>
        <w:footnoteReference w:id="88"/>
      </w:r>
      <w:r w:rsidR="002649F0" w:rsidRPr="006D1C74">
        <w:rPr>
          <w:rFonts w:asciiTheme="majorHAnsi" w:hAnsiTheme="majorHAnsi"/>
          <w:sz w:val="20"/>
          <w:szCs w:val="20"/>
          <w:lang w:val="pt-BR"/>
        </w:rPr>
        <w:t>.</w:t>
      </w:r>
      <w:r w:rsidR="00217759" w:rsidRPr="006D1C74">
        <w:rPr>
          <w:rFonts w:asciiTheme="majorHAnsi" w:hAnsiTheme="majorHAnsi"/>
          <w:sz w:val="20"/>
          <w:szCs w:val="20"/>
          <w:lang w:val="pt-BR"/>
        </w:rPr>
        <w:t xml:space="preserve"> </w:t>
      </w:r>
      <w:r w:rsidR="00091061" w:rsidRPr="006D1C74">
        <w:rPr>
          <w:rFonts w:asciiTheme="majorHAnsi" w:hAnsiTheme="majorHAnsi"/>
          <w:sz w:val="20"/>
          <w:szCs w:val="20"/>
          <w:lang w:val="pt-BR"/>
        </w:rPr>
        <w:t>A esse</w:t>
      </w:r>
      <w:r w:rsidR="00217759" w:rsidRPr="006D1C74">
        <w:rPr>
          <w:rFonts w:asciiTheme="majorHAnsi" w:hAnsiTheme="majorHAnsi"/>
          <w:sz w:val="20"/>
          <w:szCs w:val="20"/>
          <w:lang w:val="pt-BR"/>
        </w:rPr>
        <w:t xml:space="preserve"> </w:t>
      </w:r>
      <w:r w:rsidR="00156036" w:rsidRPr="006D1C74">
        <w:rPr>
          <w:rFonts w:asciiTheme="majorHAnsi" w:hAnsiTheme="majorHAnsi"/>
          <w:sz w:val="20"/>
          <w:szCs w:val="20"/>
          <w:lang w:val="pt-BR"/>
        </w:rPr>
        <w:t>respeito</w:t>
      </w:r>
      <w:r w:rsidR="00AE16D9"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00AE16D9" w:rsidRPr="006D1C74">
        <w:rPr>
          <w:rFonts w:asciiTheme="majorHAnsi" w:hAnsiTheme="majorHAnsi"/>
          <w:sz w:val="20"/>
          <w:szCs w:val="20"/>
          <w:lang w:val="pt-BR"/>
        </w:rPr>
        <w:t xml:space="preserve"> </w:t>
      </w:r>
      <w:r w:rsidRPr="006D1C74">
        <w:rPr>
          <w:rFonts w:asciiTheme="majorHAnsi" w:hAnsiTheme="majorHAnsi"/>
          <w:sz w:val="20"/>
          <w:szCs w:val="20"/>
          <w:lang w:val="pt-BR"/>
        </w:rPr>
        <w:t>estabeleceu</w:t>
      </w:r>
      <w:r w:rsidR="00AE16D9" w:rsidRPr="006D1C74">
        <w:rPr>
          <w:rFonts w:asciiTheme="majorHAnsi" w:hAnsiTheme="majorHAnsi"/>
          <w:sz w:val="20"/>
          <w:szCs w:val="20"/>
          <w:lang w:val="pt-BR"/>
        </w:rPr>
        <w:t xml:space="preserve"> que h</w:t>
      </w:r>
      <w:r w:rsidR="00150ED4" w:rsidRPr="006D1C74">
        <w:rPr>
          <w:rFonts w:asciiTheme="majorHAnsi" w:hAnsiTheme="majorHAnsi"/>
          <w:sz w:val="20"/>
          <w:szCs w:val="20"/>
          <w:lang w:val="pt-BR"/>
        </w:rPr>
        <w:t>á</w:t>
      </w:r>
      <w:r w:rsidR="00030019" w:rsidRPr="006D1C74">
        <w:rPr>
          <w:rFonts w:asciiTheme="majorHAnsi" w:hAnsiTheme="majorHAnsi"/>
          <w:sz w:val="20"/>
          <w:szCs w:val="20"/>
          <w:lang w:val="pt-BR"/>
        </w:rPr>
        <w:t xml:space="preserve"> uma </w:t>
      </w:r>
      <w:r w:rsidR="00CA6F81" w:rsidRPr="006D1C74">
        <w:rPr>
          <w:rFonts w:asciiTheme="majorHAnsi" w:hAnsiTheme="majorHAnsi"/>
          <w:sz w:val="20"/>
          <w:szCs w:val="20"/>
          <w:lang w:val="pt-BR"/>
        </w:rPr>
        <w:t>necessi</w:t>
      </w:r>
      <w:r w:rsidR="00F673C7" w:rsidRPr="006D1C74">
        <w:rPr>
          <w:rFonts w:asciiTheme="majorHAnsi" w:hAnsiTheme="majorHAnsi"/>
          <w:sz w:val="20"/>
          <w:szCs w:val="20"/>
          <w:lang w:val="pt-BR"/>
        </w:rPr>
        <w:t xml:space="preserve">dade </w:t>
      </w:r>
      <w:r w:rsidR="00AE16D9" w:rsidRPr="006D1C74">
        <w:rPr>
          <w:rFonts w:asciiTheme="majorHAnsi" w:hAnsiTheme="majorHAnsi"/>
          <w:sz w:val="20"/>
          <w:szCs w:val="20"/>
          <w:lang w:val="pt-BR"/>
        </w:rPr>
        <w:t xml:space="preserve">imperiosa de que se </w:t>
      </w:r>
      <w:r w:rsidRPr="006D1C74">
        <w:rPr>
          <w:rFonts w:asciiTheme="majorHAnsi" w:hAnsiTheme="majorHAnsi"/>
          <w:sz w:val="20"/>
          <w:szCs w:val="20"/>
          <w:lang w:val="pt-BR"/>
        </w:rPr>
        <w:t>realize</w:t>
      </w:r>
      <w:r w:rsidR="00030019" w:rsidRPr="006D1C74">
        <w:rPr>
          <w:rFonts w:asciiTheme="majorHAnsi" w:hAnsiTheme="majorHAnsi"/>
          <w:sz w:val="20"/>
          <w:szCs w:val="20"/>
          <w:lang w:val="pt-BR"/>
        </w:rPr>
        <w:t xml:space="preserve"> uma </w:t>
      </w:r>
      <w:r w:rsidR="00AE16D9" w:rsidRPr="006D1C74">
        <w:rPr>
          <w:rFonts w:asciiTheme="majorHAnsi" w:hAnsiTheme="majorHAnsi"/>
          <w:sz w:val="20"/>
          <w:szCs w:val="20"/>
          <w:lang w:val="pt-BR"/>
        </w:rPr>
        <w:t>investiga</w:t>
      </w:r>
      <w:r w:rsidR="00CF037E" w:rsidRPr="006D1C74">
        <w:rPr>
          <w:rFonts w:asciiTheme="majorHAnsi" w:hAnsiTheme="majorHAnsi"/>
          <w:sz w:val="20"/>
          <w:szCs w:val="20"/>
          <w:lang w:val="pt-BR"/>
        </w:rPr>
        <w:t>ção</w:t>
      </w:r>
      <w:r w:rsidR="00F673C7" w:rsidRPr="006D1C74">
        <w:rPr>
          <w:rFonts w:asciiTheme="majorHAnsi" w:hAnsiTheme="majorHAnsi"/>
          <w:sz w:val="20"/>
          <w:szCs w:val="20"/>
          <w:lang w:val="pt-BR"/>
        </w:rPr>
        <w:t xml:space="preserve"> com </w:t>
      </w:r>
      <w:r w:rsidR="00700267" w:rsidRPr="006D1C74">
        <w:rPr>
          <w:rFonts w:asciiTheme="majorHAnsi" w:hAnsiTheme="majorHAnsi"/>
          <w:sz w:val="20"/>
          <w:szCs w:val="20"/>
          <w:lang w:val="pt-BR"/>
        </w:rPr>
        <w:t xml:space="preserve">a </w:t>
      </w:r>
      <w:r w:rsidR="00585D35" w:rsidRPr="006D1C74">
        <w:rPr>
          <w:rFonts w:asciiTheme="majorHAnsi" w:hAnsiTheme="majorHAnsi"/>
          <w:sz w:val="20"/>
          <w:szCs w:val="20"/>
          <w:lang w:val="pt-BR"/>
        </w:rPr>
        <w:t>dev</w:t>
      </w:r>
      <w:r w:rsidR="00AE16D9" w:rsidRPr="006D1C74">
        <w:rPr>
          <w:rFonts w:asciiTheme="majorHAnsi" w:hAnsiTheme="majorHAnsi"/>
          <w:sz w:val="20"/>
          <w:szCs w:val="20"/>
          <w:lang w:val="pt-BR"/>
        </w:rPr>
        <w:t>ida dilig</w:t>
      </w:r>
      <w:r w:rsidR="001D5EF3">
        <w:rPr>
          <w:rFonts w:asciiTheme="majorHAnsi" w:hAnsiTheme="majorHAnsi"/>
          <w:sz w:val="20"/>
          <w:szCs w:val="20"/>
          <w:lang w:val="pt-BR"/>
        </w:rPr>
        <w:t>ê</w:t>
      </w:r>
      <w:r w:rsidR="00AE16D9" w:rsidRPr="006D1C74">
        <w:rPr>
          <w:rFonts w:asciiTheme="majorHAnsi" w:hAnsiTheme="majorHAnsi"/>
          <w:sz w:val="20"/>
          <w:szCs w:val="20"/>
          <w:lang w:val="pt-BR"/>
        </w:rPr>
        <w:t>ncia</w:t>
      </w:r>
      <w:r w:rsidR="00CF037E" w:rsidRPr="006D1C74">
        <w:rPr>
          <w:rFonts w:asciiTheme="majorHAnsi" w:hAnsiTheme="majorHAnsi"/>
          <w:sz w:val="20"/>
          <w:szCs w:val="20"/>
          <w:lang w:val="pt-BR"/>
        </w:rPr>
        <w:t xml:space="preserve"> e </w:t>
      </w:r>
      <w:r w:rsidR="00AE16D9" w:rsidRPr="006D1C74">
        <w:rPr>
          <w:rFonts w:asciiTheme="majorHAnsi" w:hAnsiTheme="majorHAnsi"/>
          <w:sz w:val="20"/>
          <w:szCs w:val="20"/>
          <w:lang w:val="pt-BR"/>
        </w:rPr>
        <w:t>dentro de</w:t>
      </w:r>
      <w:r w:rsidR="00030019" w:rsidRPr="006D1C74">
        <w:rPr>
          <w:rFonts w:asciiTheme="majorHAnsi" w:hAnsiTheme="majorHAnsi"/>
          <w:sz w:val="20"/>
          <w:szCs w:val="20"/>
          <w:lang w:val="pt-BR"/>
        </w:rPr>
        <w:t xml:space="preserve"> um </w:t>
      </w:r>
      <w:r w:rsidR="00D74A93" w:rsidRPr="006D1C74">
        <w:rPr>
          <w:rFonts w:asciiTheme="majorHAnsi" w:hAnsiTheme="majorHAnsi"/>
          <w:sz w:val="20"/>
          <w:szCs w:val="20"/>
          <w:lang w:val="pt-BR"/>
        </w:rPr>
        <w:t>prazo</w:t>
      </w:r>
      <w:r w:rsidR="00AE16D9" w:rsidRPr="006D1C74">
        <w:rPr>
          <w:rFonts w:asciiTheme="majorHAnsi" w:hAnsiTheme="majorHAnsi"/>
          <w:sz w:val="20"/>
          <w:szCs w:val="20"/>
          <w:lang w:val="pt-BR"/>
        </w:rPr>
        <w:t xml:space="preserve"> razo</w:t>
      </w:r>
      <w:r w:rsidR="00150ED4" w:rsidRPr="006D1C74">
        <w:rPr>
          <w:rFonts w:asciiTheme="majorHAnsi" w:hAnsiTheme="majorHAnsi"/>
          <w:sz w:val="20"/>
          <w:szCs w:val="20"/>
          <w:lang w:val="pt-BR"/>
        </w:rPr>
        <w:t>ável</w:t>
      </w:r>
      <w:r w:rsidR="00AE16D9" w:rsidRPr="006D1C74">
        <w:rPr>
          <w:rFonts w:asciiTheme="majorHAnsi" w:hAnsiTheme="majorHAnsi"/>
          <w:sz w:val="20"/>
          <w:szCs w:val="20"/>
          <w:lang w:val="pt-BR"/>
        </w:rPr>
        <w:t xml:space="preserve">, </w:t>
      </w:r>
      <w:r w:rsidR="00150ED4" w:rsidRPr="006D1C74">
        <w:rPr>
          <w:rFonts w:asciiTheme="majorHAnsi" w:hAnsiTheme="majorHAnsi"/>
          <w:sz w:val="20"/>
          <w:szCs w:val="20"/>
          <w:lang w:val="pt-BR"/>
        </w:rPr>
        <w:t>já</w:t>
      </w:r>
      <w:r w:rsidR="00AE16D9" w:rsidRPr="006D1C74">
        <w:rPr>
          <w:rFonts w:asciiTheme="majorHAnsi" w:hAnsiTheme="majorHAnsi"/>
          <w:sz w:val="20"/>
          <w:szCs w:val="20"/>
          <w:lang w:val="pt-BR"/>
        </w:rPr>
        <w:t xml:space="preserve"> que</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ausência</w:t>
      </w:r>
      <w:r w:rsidR="00AE16D9" w:rsidRPr="006D1C74">
        <w:rPr>
          <w:rFonts w:asciiTheme="majorHAnsi" w:hAnsiTheme="majorHAnsi"/>
          <w:sz w:val="20"/>
          <w:szCs w:val="20"/>
          <w:lang w:val="pt-BR"/>
        </w:rPr>
        <w:t xml:space="preserve"> de</w:t>
      </w:r>
      <w:r w:rsidR="00030019" w:rsidRPr="006D1C74">
        <w:rPr>
          <w:rFonts w:asciiTheme="majorHAnsi" w:hAnsiTheme="majorHAnsi"/>
          <w:sz w:val="20"/>
          <w:szCs w:val="20"/>
          <w:lang w:val="pt-BR"/>
        </w:rPr>
        <w:t xml:space="preserve"> uma </w:t>
      </w:r>
      <w:r w:rsidR="00AE16D9" w:rsidRPr="006D1C74">
        <w:rPr>
          <w:rFonts w:asciiTheme="majorHAnsi" w:hAnsiTheme="majorHAnsi"/>
          <w:sz w:val="20"/>
          <w:szCs w:val="20"/>
          <w:lang w:val="pt-BR"/>
        </w:rPr>
        <w:t>investiga</w:t>
      </w:r>
      <w:r w:rsidR="00CF037E" w:rsidRPr="006D1C74">
        <w:rPr>
          <w:rFonts w:asciiTheme="majorHAnsi" w:hAnsiTheme="majorHAnsi"/>
          <w:sz w:val="20"/>
          <w:szCs w:val="20"/>
          <w:lang w:val="pt-BR"/>
        </w:rPr>
        <w:t>ção</w:t>
      </w:r>
      <w:r w:rsidR="00AE16D9" w:rsidRPr="006D1C74">
        <w:rPr>
          <w:rFonts w:asciiTheme="majorHAnsi" w:hAnsiTheme="majorHAnsi"/>
          <w:sz w:val="20"/>
          <w:szCs w:val="20"/>
          <w:lang w:val="pt-BR"/>
        </w:rPr>
        <w:t xml:space="preserve"> </w:t>
      </w:r>
      <w:r w:rsidR="001D5EF3" w:rsidRPr="006D1C74">
        <w:rPr>
          <w:rFonts w:asciiTheme="majorHAnsi" w:hAnsiTheme="majorHAnsi"/>
          <w:sz w:val="20"/>
          <w:szCs w:val="20"/>
          <w:lang w:val="pt-BR"/>
        </w:rPr>
        <w:t xml:space="preserve">exaustiva </w:t>
      </w:r>
      <w:r w:rsidR="003705A2">
        <w:rPr>
          <w:rFonts w:asciiTheme="majorHAnsi" w:hAnsiTheme="majorHAnsi"/>
          <w:sz w:val="20"/>
          <w:szCs w:val="20"/>
          <w:lang w:val="pt-BR"/>
        </w:rPr>
        <w:t>qua</w:t>
      </w:r>
      <w:r w:rsidR="00AE16D9" w:rsidRPr="006D1C74">
        <w:rPr>
          <w:rFonts w:asciiTheme="majorHAnsi" w:hAnsiTheme="majorHAnsi"/>
          <w:sz w:val="20"/>
          <w:szCs w:val="20"/>
          <w:lang w:val="pt-BR"/>
        </w:rPr>
        <w:t xml:space="preserve">ndo </w:t>
      </w:r>
      <w:r w:rsidR="00150ED4" w:rsidRPr="006D1C74">
        <w:rPr>
          <w:rFonts w:asciiTheme="majorHAnsi" w:hAnsiTheme="majorHAnsi"/>
          <w:sz w:val="20"/>
          <w:szCs w:val="20"/>
          <w:lang w:val="pt-BR"/>
        </w:rPr>
        <w:t>tenha sido violado</w:t>
      </w:r>
      <w:r w:rsidR="00AE16D9" w:rsidRPr="006D1C74">
        <w:rPr>
          <w:rFonts w:asciiTheme="majorHAnsi" w:hAnsiTheme="majorHAnsi"/>
          <w:sz w:val="20"/>
          <w:szCs w:val="20"/>
          <w:lang w:val="pt-BR"/>
        </w:rPr>
        <w:t xml:space="preserve"> </w:t>
      </w:r>
      <w:r w:rsidR="00150ED4" w:rsidRPr="006D1C74">
        <w:rPr>
          <w:rFonts w:asciiTheme="majorHAnsi" w:hAnsiTheme="majorHAnsi"/>
          <w:sz w:val="20"/>
          <w:szCs w:val="20"/>
          <w:lang w:val="pt-BR"/>
        </w:rPr>
        <w:t xml:space="preserve">o </w:t>
      </w:r>
      <w:r w:rsidR="00417BE8" w:rsidRPr="006D1C74">
        <w:rPr>
          <w:rFonts w:asciiTheme="majorHAnsi" w:hAnsiTheme="majorHAnsi"/>
          <w:sz w:val="20"/>
          <w:szCs w:val="20"/>
          <w:lang w:val="pt-BR"/>
        </w:rPr>
        <w:t>direito</w:t>
      </w:r>
      <w:r w:rsidR="00AE16D9" w:rsidRPr="006D1C74">
        <w:rPr>
          <w:rFonts w:asciiTheme="majorHAnsi" w:hAnsiTheme="majorHAnsi"/>
          <w:sz w:val="20"/>
          <w:szCs w:val="20"/>
          <w:lang w:val="pt-BR"/>
        </w:rPr>
        <w:t xml:space="preserve"> </w:t>
      </w:r>
      <w:r w:rsidR="00150ED4" w:rsidRPr="006D1C74">
        <w:rPr>
          <w:rFonts w:asciiTheme="majorHAnsi" w:hAnsiTheme="majorHAnsi"/>
          <w:sz w:val="20"/>
          <w:szCs w:val="20"/>
          <w:lang w:val="pt-BR"/>
        </w:rPr>
        <w:t>à</w:t>
      </w:r>
      <w:r w:rsidR="00700267" w:rsidRPr="006D1C74">
        <w:rPr>
          <w:rFonts w:asciiTheme="majorHAnsi" w:hAnsiTheme="majorHAnsi"/>
          <w:sz w:val="20"/>
          <w:szCs w:val="20"/>
          <w:lang w:val="pt-BR"/>
        </w:rPr>
        <w:t xml:space="preserve"> </w:t>
      </w:r>
      <w:r w:rsidR="00AE16D9" w:rsidRPr="006D1C74">
        <w:rPr>
          <w:rFonts w:asciiTheme="majorHAnsi" w:hAnsiTheme="majorHAnsi"/>
          <w:sz w:val="20"/>
          <w:szCs w:val="20"/>
          <w:lang w:val="pt-BR"/>
        </w:rPr>
        <w:t>vida</w:t>
      </w:r>
      <w:r w:rsidR="00CF037E" w:rsidRPr="006D1C74">
        <w:rPr>
          <w:rFonts w:asciiTheme="majorHAnsi" w:hAnsiTheme="majorHAnsi"/>
          <w:sz w:val="20"/>
          <w:szCs w:val="20"/>
          <w:lang w:val="pt-BR"/>
        </w:rPr>
        <w:t xml:space="preserve"> e</w:t>
      </w:r>
      <w:r w:rsidR="00700267" w:rsidRPr="006D1C74">
        <w:rPr>
          <w:rFonts w:asciiTheme="majorHAnsi" w:hAnsiTheme="majorHAnsi"/>
          <w:sz w:val="20"/>
          <w:szCs w:val="20"/>
          <w:lang w:val="pt-BR"/>
        </w:rPr>
        <w:t xml:space="preserve"> </w:t>
      </w:r>
      <w:r w:rsidR="00150ED4" w:rsidRPr="006D1C74">
        <w:rPr>
          <w:rFonts w:asciiTheme="majorHAnsi" w:hAnsiTheme="majorHAnsi"/>
          <w:sz w:val="20"/>
          <w:szCs w:val="20"/>
          <w:lang w:val="pt-BR"/>
        </w:rPr>
        <w:t>à</w:t>
      </w:r>
      <w:r w:rsidR="00700267" w:rsidRPr="006D1C74">
        <w:rPr>
          <w:rFonts w:asciiTheme="majorHAnsi" w:hAnsiTheme="majorHAnsi"/>
          <w:sz w:val="20"/>
          <w:szCs w:val="20"/>
          <w:lang w:val="pt-BR"/>
        </w:rPr>
        <w:t xml:space="preserve"> </w:t>
      </w:r>
      <w:r w:rsidR="00AE16D9" w:rsidRPr="006D1C74">
        <w:rPr>
          <w:rFonts w:asciiTheme="majorHAnsi" w:hAnsiTheme="majorHAnsi"/>
          <w:sz w:val="20"/>
          <w:szCs w:val="20"/>
          <w:lang w:val="pt-BR"/>
        </w:rPr>
        <w:t>integri</w:t>
      </w:r>
      <w:r w:rsidR="00F673C7" w:rsidRPr="006D1C74">
        <w:rPr>
          <w:rFonts w:asciiTheme="majorHAnsi" w:hAnsiTheme="majorHAnsi"/>
          <w:sz w:val="20"/>
          <w:szCs w:val="20"/>
          <w:lang w:val="pt-BR"/>
        </w:rPr>
        <w:t xml:space="preserve">dade </w:t>
      </w:r>
      <w:r w:rsidR="00AE16D9" w:rsidRPr="006D1C74">
        <w:rPr>
          <w:rFonts w:asciiTheme="majorHAnsi" w:hAnsiTheme="majorHAnsi"/>
          <w:sz w:val="20"/>
          <w:szCs w:val="20"/>
          <w:lang w:val="pt-BR"/>
        </w:rPr>
        <w:t>física gera</w:t>
      </w:r>
      <w:r w:rsidR="00030019" w:rsidRPr="006D1C74">
        <w:rPr>
          <w:rFonts w:asciiTheme="majorHAnsi" w:hAnsiTheme="majorHAnsi"/>
          <w:sz w:val="20"/>
          <w:szCs w:val="20"/>
          <w:lang w:val="pt-BR"/>
        </w:rPr>
        <w:t xml:space="preserve"> um </w:t>
      </w:r>
      <w:r w:rsidRPr="006D1C74">
        <w:rPr>
          <w:rFonts w:asciiTheme="majorHAnsi" w:hAnsiTheme="majorHAnsi"/>
          <w:sz w:val="20"/>
          <w:szCs w:val="20"/>
          <w:lang w:val="pt-BR"/>
        </w:rPr>
        <w:t>efeito</w:t>
      </w:r>
      <w:r w:rsidR="00AE16D9" w:rsidRPr="006D1C74">
        <w:rPr>
          <w:rFonts w:asciiTheme="majorHAnsi" w:hAnsiTheme="majorHAnsi"/>
          <w:sz w:val="20"/>
          <w:szCs w:val="20"/>
          <w:lang w:val="pt-BR"/>
        </w:rPr>
        <w:t xml:space="preserve"> atemorizador que </w:t>
      </w:r>
      <w:r w:rsidR="00150ED4" w:rsidRPr="006D1C74">
        <w:rPr>
          <w:rFonts w:asciiTheme="majorHAnsi" w:hAnsiTheme="majorHAnsi"/>
          <w:sz w:val="20"/>
          <w:szCs w:val="20"/>
          <w:lang w:val="pt-BR"/>
        </w:rPr>
        <w:t>é</w:t>
      </w:r>
      <w:r w:rsidR="00AE16D9" w:rsidRPr="006D1C74">
        <w:rPr>
          <w:rFonts w:asciiTheme="majorHAnsi" w:hAnsiTheme="majorHAnsi"/>
          <w:sz w:val="20"/>
          <w:szCs w:val="20"/>
          <w:lang w:val="pt-BR"/>
        </w:rPr>
        <w:t xml:space="preserve"> especialmente grave</w:t>
      </w:r>
      <w:r w:rsidR="00700267" w:rsidRPr="006D1C74">
        <w:rPr>
          <w:rFonts w:asciiTheme="majorHAnsi" w:hAnsiTheme="majorHAnsi"/>
          <w:sz w:val="20"/>
          <w:szCs w:val="20"/>
          <w:lang w:val="pt-BR"/>
        </w:rPr>
        <w:t xml:space="preserve"> pelo </w:t>
      </w:r>
      <w:r w:rsidR="00AE16D9" w:rsidRPr="006D1C74">
        <w:rPr>
          <w:rFonts w:asciiTheme="majorHAnsi" w:hAnsiTheme="majorHAnsi"/>
          <w:sz w:val="20"/>
          <w:szCs w:val="20"/>
          <w:lang w:val="pt-BR"/>
        </w:rPr>
        <w:t>impacto que t</w:t>
      </w:r>
      <w:r w:rsidR="00150ED4" w:rsidRPr="006D1C74">
        <w:rPr>
          <w:rFonts w:asciiTheme="majorHAnsi" w:hAnsiTheme="majorHAnsi"/>
          <w:sz w:val="20"/>
          <w:szCs w:val="20"/>
          <w:lang w:val="pt-BR"/>
        </w:rPr>
        <w:t>em</w:t>
      </w:r>
      <w:r w:rsidR="00AE16D9" w:rsidRPr="006D1C74">
        <w:rPr>
          <w:rFonts w:asciiTheme="majorHAnsi" w:hAnsiTheme="majorHAnsi"/>
          <w:sz w:val="20"/>
          <w:szCs w:val="20"/>
          <w:lang w:val="pt-BR"/>
        </w:rPr>
        <w:t xml:space="preserve"> sobre</w:t>
      </w:r>
      <w:r w:rsidR="00700267" w:rsidRPr="006D1C74">
        <w:rPr>
          <w:rFonts w:asciiTheme="majorHAnsi" w:hAnsiTheme="majorHAnsi"/>
          <w:sz w:val="20"/>
          <w:szCs w:val="20"/>
          <w:lang w:val="pt-BR"/>
        </w:rPr>
        <w:t xml:space="preserve"> o </w:t>
      </w:r>
      <w:r>
        <w:rPr>
          <w:rFonts w:asciiTheme="majorHAnsi" w:hAnsiTheme="majorHAnsi"/>
          <w:sz w:val="20"/>
          <w:szCs w:val="20"/>
          <w:lang w:val="pt-BR"/>
        </w:rPr>
        <w:t>exerc</w:t>
      </w:r>
      <w:r w:rsidRPr="006D1C74">
        <w:rPr>
          <w:rFonts w:asciiTheme="majorHAnsi" w:hAnsiTheme="majorHAnsi"/>
          <w:sz w:val="20"/>
          <w:szCs w:val="20"/>
          <w:lang w:val="pt-BR"/>
        </w:rPr>
        <w:t>ício</w:t>
      </w:r>
      <w:r w:rsidR="00700267" w:rsidRPr="006D1C74">
        <w:rPr>
          <w:rFonts w:asciiTheme="majorHAnsi" w:hAnsiTheme="majorHAnsi"/>
          <w:sz w:val="20"/>
          <w:szCs w:val="20"/>
          <w:lang w:val="pt-BR"/>
        </w:rPr>
        <w:t xml:space="preserve"> dos </w:t>
      </w:r>
      <w:r w:rsidR="00417BE8" w:rsidRPr="006D1C74">
        <w:rPr>
          <w:rFonts w:asciiTheme="majorHAnsi" w:hAnsiTheme="majorHAnsi"/>
          <w:sz w:val="20"/>
          <w:szCs w:val="20"/>
          <w:lang w:val="pt-BR"/>
        </w:rPr>
        <w:t>direito</w:t>
      </w:r>
      <w:r w:rsidR="00AE16D9" w:rsidRPr="006D1C74">
        <w:rPr>
          <w:rFonts w:asciiTheme="majorHAnsi" w:hAnsiTheme="majorHAnsi"/>
          <w:sz w:val="20"/>
          <w:szCs w:val="20"/>
          <w:lang w:val="pt-BR"/>
        </w:rPr>
        <w:t xml:space="preserve">s de </w:t>
      </w:r>
      <w:r w:rsidR="00E327B7" w:rsidRPr="006D1C74">
        <w:rPr>
          <w:rFonts w:asciiTheme="majorHAnsi" w:hAnsiTheme="majorHAnsi"/>
          <w:sz w:val="20"/>
          <w:szCs w:val="20"/>
          <w:lang w:val="pt-BR"/>
        </w:rPr>
        <w:t>reunião</w:t>
      </w:r>
      <w:r w:rsidR="00CF037E" w:rsidRPr="006D1C74">
        <w:rPr>
          <w:rFonts w:asciiTheme="majorHAnsi" w:hAnsiTheme="majorHAnsi"/>
          <w:sz w:val="20"/>
          <w:szCs w:val="20"/>
          <w:lang w:val="pt-BR"/>
        </w:rPr>
        <w:t xml:space="preserve"> e </w:t>
      </w:r>
      <w:r w:rsidR="00623C35" w:rsidRPr="006D1C74">
        <w:rPr>
          <w:rFonts w:asciiTheme="majorHAnsi" w:hAnsiTheme="majorHAnsi"/>
          <w:sz w:val="20"/>
          <w:szCs w:val="20"/>
          <w:lang w:val="pt-BR"/>
        </w:rPr>
        <w:t>liberdade</w:t>
      </w:r>
      <w:r w:rsidR="00AE16D9" w:rsidRPr="006D1C74">
        <w:rPr>
          <w:rFonts w:asciiTheme="majorHAnsi" w:hAnsiTheme="majorHAnsi"/>
          <w:sz w:val="20"/>
          <w:szCs w:val="20"/>
          <w:lang w:val="pt-BR"/>
        </w:rPr>
        <w:t xml:space="preserve"> de </w:t>
      </w:r>
      <w:r w:rsidR="003705A2">
        <w:rPr>
          <w:rFonts w:asciiTheme="majorHAnsi" w:hAnsiTheme="majorHAnsi"/>
          <w:sz w:val="20"/>
          <w:szCs w:val="20"/>
          <w:lang w:val="pt-BR"/>
        </w:rPr>
        <w:t>expressã</w:t>
      </w:r>
      <w:r w:rsidR="0094446B" w:rsidRPr="006D1C74">
        <w:rPr>
          <w:rFonts w:asciiTheme="majorHAnsi" w:hAnsiTheme="majorHAnsi"/>
          <w:sz w:val="20"/>
          <w:szCs w:val="20"/>
          <w:lang w:val="pt-BR"/>
        </w:rPr>
        <w:t>o</w:t>
      </w:r>
      <w:r w:rsidR="00AE16D9" w:rsidRPr="006D1C74">
        <w:rPr>
          <w:rStyle w:val="FootnoteReference"/>
          <w:rFonts w:asciiTheme="majorHAnsi" w:hAnsiTheme="majorHAnsi"/>
          <w:sz w:val="20"/>
          <w:szCs w:val="20"/>
          <w:lang w:val="pt-BR"/>
        </w:rPr>
        <w:footnoteReference w:id="89"/>
      </w:r>
      <w:r w:rsidR="00AE16D9" w:rsidRPr="006D1C74">
        <w:rPr>
          <w:rFonts w:asciiTheme="majorHAnsi" w:hAnsiTheme="majorHAnsi"/>
          <w:sz w:val="20"/>
          <w:szCs w:val="20"/>
          <w:lang w:val="pt-BR"/>
        </w:rPr>
        <w:t>.</w:t>
      </w:r>
    </w:p>
    <w:p w14:paraId="55E4E02C"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pt-BR"/>
        </w:rPr>
      </w:pPr>
    </w:p>
    <w:p w14:paraId="4878DB7D"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 xml:space="preserve"> </w:t>
      </w:r>
      <w:r w:rsidR="00B42161" w:rsidRPr="006D1C74">
        <w:rPr>
          <w:rFonts w:asciiTheme="majorHAnsi" w:hAnsiTheme="majorHAnsi"/>
          <w:sz w:val="20"/>
          <w:szCs w:val="20"/>
          <w:lang w:val="pt-BR"/>
        </w:rPr>
        <w:t>A</w:t>
      </w:r>
      <w:r w:rsidRPr="006D1C74">
        <w:rPr>
          <w:rFonts w:asciiTheme="majorHAnsi" w:hAnsiTheme="majorHAnsi"/>
          <w:sz w:val="20"/>
          <w:szCs w:val="20"/>
          <w:lang w:val="pt-BR"/>
        </w:rPr>
        <w:t xml:space="preserve"> </w:t>
      </w:r>
      <w:r w:rsidR="00A3040B" w:rsidRPr="006D1C74">
        <w:rPr>
          <w:rFonts w:asciiTheme="majorHAnsi" w:hAnsiTheme="majorHAnsi"/>
          <w:sz w:val="20"/>
          <w:szCs w:val="20"/>
          <w:lang w:val="pt-BR"/>
        </w:rPr>
        <w:t>obrigação</w:t>
      </w:r>
      <w:r w:rsidRPr="006D1C74">
        <w:rPr>
          <w:rFonts w:asciiTheme="majorHAnsi" w:hAnsiTheme="majorHAnsi"/>
          <w:sz w:val="20"/>
          <w:szCs w:val="20"/>
          <w:lang w:val="pt-BR"/>
        </w:rPr>
        <w:t xml:space="preserve"> de investigar</w:t>
      </w:r>
      <w:r w:rsidR="00CF037E" w:rsidRPr="006D1C74">
        <w:rPr>
          <w:rFonts w:asciiTheme="majorHAnsi" w:hAnsiTheme="majorHAnsi"/>
          <w:sz w:val="20"/>
          <w:szCs w:val="20"/>
          <w:lang w:val="pt-BR"/>
        </w:rPr>
        <w:t xml:space="preserve"> e </w:t>
      </w:r>
      <w:r w:rsidR="00150ED4" w:rsidRPr="006D1C74">
        <w:rPr>
          <w:rFonts w:asciiTheme="majorHAnsi" w:hAnsiTheme="majorHAnsi"/>
          <w:sz w:val="20"/>
          <w:szCs w:val="20"/>
          <w:lang w:val="pt-BR"/>
        </w:rPr>
        <w:t>punir</w:t>
      </w:r>
      <w:r w:rsidRPr="006D1C74">
        <w:rPr>
          <w:rFonts w:asciiTheme="majorHAnsi" w:hAnsiTheme="majorHAnsi"/>
          <w:sz w:val="20"/>
          <w:szCs w:val="20"/>
          <w:lang w:val="pt-BR"/>
        </w:rPr>
        <w:t xml:space="preserve"> </w:t>
      </w:r>
      <w:r w:rsidR="00585D35" w:rsidRPr="006D1C74">
        <w:rPr>
          <w:rFonts w:asciiTheme="majorHAnsi" w:hAnsiTheme="majorHAnsi"/>
          <w:sz w:val="20"/>
          <w:szCs w:val="20"/>
          <w:lang w:val="pt-BR"/>
        </w:rPr>
        <w:t>dev</w:t>
      </w:r>
      <w:r w:rsidRPr="006D1C74">
        <w:rPr>
          <w:rFonts w:asciiTheme="majorHAnsi" w:hAnsiTheme="majorHAnsi"/>
          <w:sz w:val="20"/>
          <w:szCs w:val="20"/>
          <w:lang w:val="pt-BR"/>
        </w:rPr>
        <w:t xml:space="preserve">e </w:t>
      </w:r>
      <w:r w:rsidR="00150ED4" w:rsidRPr="006D1C74">
        <w:rPr>
          <w:rFonts w:asciiTheme="majorHAnsi" w:hAnsiTheme="majorHAnsi"/>
          <w:sz w:val="20"/>
          <w:szCs w:val="20"/>
          <w:lang w:val="pt-BR"/>
        </w:rPr>
        <w:t xml:space="preserve">ser </w:t>
      </w:r>
      <w:r w:rsidRPr="006D1C74">
        <w:rPr>
          <w:rFonts w:asciiTheme="majorHAnsi" w:hAnsiTheme="majorHAnsi"/>
          <w:sz w:val="20"/>
          <w:szCs w:val="20"/>
          <w:lang w:val="pt-BR"/>
        </w:rPr>
        <w:t>cump</w:t>
      </w:r>
      <w:r w:rsidR="00150ED4" w:rsidRPr="006D1C74">
        <w:rPr>
          <w:rFonts w:asciiTheme="majorHAnsi" w:hAnsiTheme="majorHAnsi"/>
          <w:sz w:val="20"/>
          <w:szCs w:val="20"/>
          <w:lang w:val="pt-BR"/>
        </w:rPr>
        <w:t>rida</w:t>
      </w:r>
      <w:r w:rsidR="00F673C7" w:rsidRPr="006D1C74">
        <w:rPr>
          <w:rFonts w:asciiTheme="majorHAnsi" w:hAnsiTheme="majorHAnsi"/>
          <w:sz w:val="20"/>
          <w:szCs w:val="20"/>
          <w:lang w:val="pt-BR"/>
        </w:rPr>
        <w:t xml:space="preserve"> com </w:t>
      </w:r>
      <w:r w:rsidR="00700267" w:rsidRPr="006D1C74">
        <w:rPr>
          <w:rFonts w:asciiTheme="majorHAnsi" w:hAnsiTheme="majorHAnsi"/>
          <w:sz w:val="20"/>
          <w:szCs w:val="20"/>
          <w:lang w:val="pt-BR"/>
        </w:rPr>
        <w:t xml:space="preserve">a </w:t>
      </w:r>
      <w:r w:rsidR="00585D35" w:rsidRPr="006D1C74">
        <w:rPr>
          <w:rFonts w:asciiTheme="majorHAnsi" w:hAnsiTheme="majorHAnsi"/>
          <w:sz w:val="20"/>
          <w:szCs w:val="20"/>
          <w:lang w:val="pt-BR"/>
        </w:rPr>
        <w:t>dev</w:t>
      </w:r>
      <w:r w:rsidRPr="006D1C74">
        <w:rPr>
          <w:rFonts w:asciiTheme="majorHAnsi" w:hAnsiTheme="majorHAnsi"/>
          <w:sz w:val="20"/>
          <w:szCs w:val="20"/>
          <w:lang w:val="pt-BR"/>
        </w:rPr>
        <w:t>ida dilig</w:t>
      </w:r>
      <w:r w:rsidR="003C571A">
        <w:rPr>
          <w:rFonts w:asciiTheme="majorHAnsi" w:hAnsiTheme="majorHAnsi"/>
          <w:sz w:val="20"/>
          <w:szCs w:val="20"/>
          <w:lang w:val="pt-BR"/>
        </w:rPr>
        <w:t>ê</w:t>
      </w:r>
      <w:r w:rsidRPr="006D1C74">
        <w:rPr>
          <w:rFonts w:asciiTheme="majorHAnsi" w:hAnsiTheme="majorHAnsi"/>
          <w:sz w:val="20"/>
          <w:szCs w:val="20"/>
          <w:lang w:val="pt-BR"/>
        </w:rPr>
        <w:t>ncia,</w:t>
      </w:r>
      <w:r w:rsidR="00B146A8" w:rsidRPr="006D1C74">
        <w:rPr>
          <w:rFonts w:asciiTheme="majorHAnsi" w:hAnsiTheme="majorHAnsi"/>
          <w:sz w:val="20"/>
          <w:szCs w:val="20"/>
          <w:lang w:val="pt-BR"/>
        </w:rPr>
        <w:t xml:space="preserve"> o </w:t>
      </w:r>
      <w:r w:rsidR="00150ED4" w:rsidRPr="006D1C74">
        <w:rPr>
          <w:rFonts w:asciiTheme="majorHAnsi" w:hAnsiTheme="majorHAnsi"/>
          <w:sz w:val="20"/>
          <w:szCs w:val="20"/>
          <w:lang w:val="pt-BR"/>
        </w:rPr>
        <w:t>que</w:t>
      </w:r>
      <w:r w:rsidRPr="006D1C74">
        <w:rPr>
          <w:rFonts w:asciiTheme="majorHAnsi" w:hAnsiTheme="majorHAnsi"/>
          <w:sz w:val="20"/>
          <w:szCs w:val="20"/>
          <w:lang w:val="pt-BR"/>
        </w:rPr>
        <w:t xml:space="preserve"> implica que “cada </w:t>
      </w:r>
      <w:r w:rsidR="00A3040B" w:rsidRPr="006D1C74">
        <w:rPr>
          <w:rFonts w:asciiTheme="majorHAnsi" w:hAnsiTheme="majorHAnsi"/>
          <w:sz w:val="20"/>
          <w:szCs w:val="20"/>
          <w:lang w:val="pt-BR"/>
        </w:rPr>
        <w:t>ato</w:t>
      </w:r>
      <w:r w:rsidRPr="006D1C74">
        <w:rPr>
          <w:rFonts w:asciiTheme="majorHAnsi" w:hAnsiTheme="majorHAnsi"/>
          <w:sz w:val="20"/>
          <w:szCs w:val="20"/>
          <w:lang w:val="pt-BR"/>
        </w:rPr>
        <w:t xml:space="preserve"> estatal que co</w:t>
      </w:r>
      <w:r w:rsidR="00150ED4" w:rsidRPr="006D1C74">
        <w:rPr>
          <w:rFonts w:asciiTheme="majorHAnsi" w:hAnsiTheme="majorHAnsi"/>
          <w:sz w:val="20"/>
          <w:szCs w:val="20"/>
          <w:lang w:val="pt-BR"/>
        </w:rPr>
        <w:t>mpõe</w:t>
      </w:r>
      <w:r w:rsidR="00700267" w:rsidRPr="006D1C74">
        <w:rPr>
          <w:rFonts w:asciiTheme="majorHAnsi" w:hAnsiTheme="majorHAnsi"/>
          <w:sz w:val="20"/>
          <w:szCs w:val="20"/>
          <w:lang w:val="pt-BR"/>
        </w:rPr>
        <w:t xml:space="preserve"> o </w:t>
      </w:r>
      <w:r w:rsidR="00AB7F30" w:rsidRPr="006D1C74">
        <w:rPr>
          <w:rFonts w:asciiTheme="majorHAnsi" w:hAnsiTheme="majorHAnsi"/>
          <w:sz w:val="20"/>
          <w:szCs w:val="20"/>
          <w:lang w:val="pt-BR"/>
        </w:rPr>
        <w:t>processo</w:t>
      </w:r>
      <w:r w:rsidRPr="006D1C74">
        <w:rPr>
          <w:rFonts w:asciiTheme="majorHAnsi" w:hAnsiTheme="majorHAnsi"/>
          <w:sz w:val="20"/>
          <w:szCs w:val="20"/>
          <w:lang w:val="pt-BR"/>
        </w:rPr>
        <w:t xml:space="preserve"> investigativo, </w:t>
      </w:r>
      <w:r w:rsidR="00150ED4" w:rsidRPr="006D1C74">
        <w:rPr>
          <w:rFonts w:asciiTheme="majorHAnsi" w:hAnsiTheme="majorHAnsi"/>
          <w:sz w:val="20"/>
          <w:szCs w:val="20"/>
          <w:lang w:val="pt-BR"/>
        </w:rPr>
        <w:t>bem</w:t>
      </w:r>
      <w:r w:rsidRPr="006D1C74">
        <w:rPr>
          <w:rFonts w:asciiTheme="majorHAnsi" w:hAnsiTheme="majorHAnsi"/>
          <w:sz w:val="20"/>
          <w:szCs w:val="20"/>
          <w:lang w:val="pt-BR"/>
        </w:rPr>
        <w:t xml:space="preserve"> como</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investiga</w:t>
      </w:r>
      <w:r w:rsidR="00CF037E" w:rsidRPr="006D1C74">
        <w:rPr>
          <w:rFonts w:asciiTheme="majorHAnsi" w:hAnsiTheme="majorHAnsi"/>
          <w:sz w:val="20"/>
          <w:szCs w:val="20"/>
          <w:lang w:val="pt-BR"/>
        </w:rPr>
        <w:t>ção</w:t>
      </w:r>
      <w:r w:rsidR="00F673C7" w:rsidRPr="006D1C74">
        <w:rPr>
          <w:rFonts w:asciiTheme="majorHAnsi" w:hAnsiTheme="majorHAnsi"/>
          <w:sz w:val="20"/>
          <w:szCs w:val="20"/>
          <w:lang w:val="pt-BR"/>
        </w:rPr>
        <w:t xml:space="preserve"> em </w:t>
      </w:r>
      <w:r w:rsidR="00A3040B" w:rsidRPr="006D1C74">
        <w:rPr>
          <w:rFonts w:asciiTheme="majorHAnsi" w:hAnsiTheme="majorHAnsi"/>
          <w:sz w:val="20"/>
          <w:szCs w:val="20"/>
          <w:lang w:val="pt-BR"/>
        </w:rPr>
        <w:t>sua</w:t>
      </w:r>
      <w:r w:rsidRPr="006D1C74">
        <w:rPr>
          <w:rFonts w:asciiTheme="majorHAnsi" w:hAnsiTheme="majorHAnsi"/>
          <w:sz w:val="20"/>
          <w:szCs w:val="20"/>
          <w:lang w:val="pt-BR"/>
        </w:rPr>
        <w:t xml:space="preserve"> </w:t>
      </w:r>
      <w:r w:rsidR="00517ACA" w:rsidRPr="006D1C74">
        <w:rPr>
          <w:rFonts w:asciiTheme="majorHAnsi" w:hAnsiTheme="majorHAnsi"/>
          <w:sz w:val="20"/>
          <w:szCs w:val="20"/>
          <w:lang w:val="pt-BR"/>
        </w:rPr>
        <w:t>totalidade</w:t>
      </w:r>
      <w:r w:rsidRPr="006D1C74">
        <w:rPr>
          <w:rFonts w:asciiTheme="majorHAnsi" w:hAnsiTheme="majorHAnsi"/>
          <w:sz w:val="20"/>
          <w:szCs w:val="20"/>
          <w:lang w:val="pt-BR"/>
        </w:rPr>
        <w:t xml:space="preserve">, </w:t>
      </w:r>
      <w:r w:rsidR="00585D35" w:rsidRPr="006D1C74">
        <w:rPr>
          <w:rFonts w:asciiTheme="majorHAnsi" w:hAnsiTheme="majorHAnsi"/>
          <w:sz w:val="20"/>
          <w:szCs w:val="20"/>
          <w:lang w:val="pt-BR"/>
        </w:rPr>
        <w:t>dev</w:t>
      </w:r>
      <w:r w:rsidRPr="006D1C74">
        <w:rPr>
          <w:rFonts w:asciiTheme="majorHAnsi" w:hAnsiTheme="majorHAnsi"/>
          <w:sz w:val="20"/>
          <w:szCs w:val="20"/>
          <w:lang w:val="pt-BR"/>
        </w:rPr>
        <w:t xml:space="preserve">e estar orientado </w:t>
      </w:r>
      <w:r w:rsidR="00055622" w:rsidRPr="006D1C74">
        <w:rPr>
          <w:rFonts w:asciiTheme="majorHAnsi" w:hAnsiTheme="majorHAnsi"/>
          <w:sz w:val="20"/>
          <w:szCs w:val="20"/>
          <w:lang w:val="pt-BR"/>
        </w:rPr>
        <w:t>a</w:t>
      </w:r>
      <w:r w:rsidR="00030019" w:rsidRPr="006D1C74">
        <w:rPr>
          <w:rFonts w:asciiTheme="majorHAnsi" w:hAnsiTheme="majorHAnsi"/>
          <w:sz w:val="20"/>
          <w:szCs w:val="20"/>
          <w:lang w:val="pt-BR"/>
        </w:rPr>
        <w:t xml:space="preserve"> uma </w:t>
      </w:r>
      <w:r w:rsidRPr="006D1C74">
        <w:rPr>
          <w:rFonts w:asciiTheme="majorHAnsi" w:hAnsiTheme="majorHAnsi"/>
          <w:sz w:val="20"/>
          <w:szCs w:val="20"/>
          <w:lang w:val="pt-BR"/>
        </w:rPr>
        <w:t>finali</w:t>
      </w:r>
      <w:r w:rsidR="00F673C7" w:rsidRPr="006D1C74">
        <w:rPr>
          <w:rFonts w:asciiTheme="majorHAnsi" w:hAnsiTheme="majorHAnsi"/>
          <w:sz w:val="20"/>
          <w:szCs w:val="20"/>
          <w:lang w:val="pt-BR"/>
        </w:rPr>
        <w:t xml:space="preserve">dade </w:t>
      </w:r>
      <w:r w:rsidRPr="006D1C74">
        <w:rPr>
          <w:rFonts w:asciiTheme="majorHAnsi" w:hAnsiTheme="majorHAnsi"/>
          <w:sz w:val="20"/>
          <w:szCs w:val="20"/>
          <w:lang w:val="pt-BR"/>
        </w:rPr>
        <w:t>específica,</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determina</w:t>
      </w:r>
      <w:r w:rsidR="00CF037E" w:rsidRPr="006D1C74">
        <w:rPr>
          <w:rFonts w:asciiTheme="majorHAnsi" w:hAnsiTheme="majorHAnsi"/>
          <w:sz w:val="20"/>
          <w:szCs w:val="20"/>
          <w:lang w:val="pt-BR"/>
        </w:rPr>
        <w:t>ção</w:t>
      </w:r>
      <w:r w:rsidR="00795010" w:rsidRPr="006D1C74">
        <w:rPr>
          <w:rFonts w:asciiTheme="majorHAnsi" w:hAnsiTheme="majorHAnsi"/>
          <w:sz w:val="20"/>
          <w:szCs w:val="20"/>
          <w:lang w:val="pt-BR"/>
        </w:rPr>
        <w:t xml:space="preserve"> da </w:t>
      </w:r>
      <w:r w:rsidRPr="006D1C74">
        <w:rPr>
          <w:rFonts w:asciiTheme="majorHAnsi" w:hAnsiTheme="majorHAnsi"/>
          <w:sz w:val="20"/>
          <w:szCs w:val="20"/>
          <w:lang w:val="pt-BR"/>
        </w:rPr>
        <w:t>ver</w:t>
      </w:r>
      <w:r w:rsidR="00F673C7" w:rsidRPr="006D1C74">
        <w:rPr>
          <w:rFonts w:asciiTheme="majorHAnsi" w:hAnsiTheme="majorHAnsi"/>
          <w:sz w:val="20"/>
          <w:szCs w:val="20"/>
          <w:lang w:val="pt-BR"/>
        </w:rPr>
        <w:t xml:space="preserve">dade </w:t>
      </w:r>
      <w:r w:rsidR="00CF037E" w:rsidRPr="006D1C74">
        <w:rPr>
          <w:rFonts w:asciiTheme="majorHAnsi" w:hAnsiTheme="majorHAnsi"/>
          <w:sz w:val="20"/>
          <w:szCs w:val="20"/>
          <w:lang w:val="pt-BR"/>
        </w:rPr>
        <w:t>e</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investiga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persecu</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captura, </w:t>
      </w:r>
      <w:r w:rsidR="00150ED4" w:rsidRPr="006D1C74">
        <w:rPr>
          <w:rFonts w:asciiTheme="majorHAnsi" w:hAnsiTheme="majorHAnsi"/>
          <w:sz w:val="20"/>
          <w:szCs w:val="20"/>
          <w:lang w:val="pt-BR"/>
        </w:rPr>
        <w:t>a</w:t>
      </w:r>
      <w:r w:rsidRPr="006D1C74">
        <w:rPr>
          <w:rFonts w:asciiTheme="majorHAnsi" w:hAnsiTheme="majorHAnsi"/>
          <w:sz w:val="20"/>
          <w:szCs w:val="20"/>
          <w:lang w:val="pt-BR"/>
        </w:rPr>
        <w:t>jui</w:t>
      </w:r>
      <w:r w:rsidR="00150ED4" w:rsidRPr="006D1C74">
        <w:rPr>
          <w:rFonts w:asciiTheme="majorHAnsi" w:hAnsiTheme="majorHAnsi"/>
          <w:sz w:val="20"/>
          <w:szCs w:val="20"/>
          <w:lang w:val="pt-BR"/>
        </w:rPr>
        <w:t>z</w:t>
      </w:r>
      <w:r w:rsidRPr="006D1C74">
        <w:rPr>
          <w:rFonts w:asciiTheme="majorHAnsi" w:hAnsiTheme="majorHAnsi"/>
          <w:sz w:val="20"/>
          <w:szCs w:val="20"/>
          <w:lang w:val="pt-BR"/>
        </w:rPr>
        <w:t>a</w:t>
      </w:r>
      <w:r w:rsidR="00700267" w:rsidRPr="006D1C74">
        <w:rPr>
          <w:rFonts w:asciiTheme="majorHAnsi" w:hAnsiTheme="majorHAnsi"/>
          <w:sz w:val="20"/>
          <w:szCs w:val="20"/>
          <w:lang w:val="pt-BR"/>
        </w:rPr>
        <w:t>mento</w:t>
      </w:r>
      <w:r w:rsidR="00CF037E" w:rsidRPr="006D1C74">
        <w:rPr>
          <w:rFonts w:asciiTheme="majorHAnsi" w:hAnsiTheme="majorHAnsi"/>
          <w:sz w:val="20"/>
          <w:szCs w:val="20"/>
          <w:lang w:val="pt-BR"/>
        </w:rPr>
        <w:t xml:space="preserve"> e</w:t>
      </w:r>
      <w:r w:rsidR="00150ED4"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w:t>
      </w:r>
      <w:r w:rsidR="00150ED4" w:rsidRPr="006D1C74">
        <w:rPr>
          <w:rFonts w:asciiTheme="majorHAnsi" w:hAnsiTheme="majorHAnsi"/>
          <w:sz w:val="20"/>
          <w:szCs w:val="20"/>
          <w:lang w:val="pt-BR"/>
        </w:rPr>
        <w:t>se for o</w:t>
      </w:r>
      <w:r w:rsidRPr="006D1C74">
        <w:rPr>
          <w:rFonts w:asciiTheme="majorHAnsi" w:hAnsiTheme="majorHAnsi"/>
          <w:sz w:val="20"/>
          <w:szCs w:val="20"/>
          <w:lang w:val="pt-BR"/>
        </w:rPr>
        <w:t xml:space="preserve"> caso,</w:t>
      </w:r>
      <w:r w:rsidR="00700267" w:rsidRPr="006D1C74">
        <w:rPr>
          <w:rFonts w:asciiTheme="majorHAnsi" w:hAnsiTheme="majorHAnsi"/>
          <w:sz w:val="20"/>
          <w:szCs w:val="20"/>
          <w:lang w:val="pt-BR"/>
        </w:rPr>
        <w:t xml:space="preserve"> a </w:t>
      </w:r>
      <w:r w:rsidR="00150ED4" w:rsidRPr="006D1C74">
        <w:rPr>
          <w:rFonts w:asciiTheme="majorHAnsi" w:hAnsiTheme="majorHAnsi"/>
          <w:sz w:val="20"/>
          <w:szCs w:val="20"/>
          <w:lang w:val="pt-BR"/>
        </w:rPr>
        <w:t>puni</w:t>
      </w:r>
      <w:r w:rsidR="00CF037E" w:rsidRPr="006D1C74">
        <w:rPr>
          <w:rFonts w:asciiTheme="majorHAnsi" w:hAnsiTheme="majorHAnsi"/>
          <w:sz w:val="20"/>
          <w:szCs w:val="20"/>
          <w:lang w:val="pt-BR"/>
        </w:rPr>
        <w:t>ção</w:t>
      </w:r>
      <w:r w:rsidR="00700267" w:rsidRPr="006D1C74">
        <w:rPr>
          <w:rFonts w:asciiTheme="majorHAnsi" w:hAnsiTheme="majorHAnsi"/>
          <w:sz w:val="20"/>
          <w:szCs w:val="20"/>
          <w:lang w:val="pt-BR"/>
        </w:rPr>
        <w:t xml:space="preserve"> dos </w:t>
      </w:r>
      <w:r w:rsidRPr="006D1C74">
        <w:rPr>
          <w:rFonts w:asciiTheme="majorHAnsi" w:hAnsiTheme="majorHAnsi"/>
          <w:sz w:val="20"/>
          <w:szCs w:val="20"/>
          <w:lang w:val="pt-BR"/>
        </w:rPr>
        <w:t>respons</w:t>
      </w:r>
      <w:r w:rsidR="00150ED4" w:rsidRPr="006D1C74">
        <w:rPr>
          <w:rFonts w:asciiTheme="majorHAnsi" w:hAnsiTheme="majorHAnsi"/>
          <w:sz w:val="20"/>
          <w:szCs w:val="20"/>
          <w:lang w:val="pt-BR"/>
        </w:rPr>
        <w:t>ávei</w:t>
      </w:r>
      <w:r w:rsidRPr="006D1C74">
        <w:rPr>
          <w:rFonts w:asciiTheme="majorHAnsi" w:hAnsiTheme="majorHAnsi"/>
          <w:sz w:val="20"/>
          <w:szCs w:val="20"/>
          <w:lang w:val="pt-BR"/>
        </w:rPr>
        <w:t>s</w:t>
      </w:r>
      <w:r w:rsidR="00700267" w:rsidRPr="006D1C74">
        <w:rPr>
          <w:rFonts w:asciiTheme="majorHAnsi" w:hAnsiTheme="majorHAnsi"/>
          <w:sz w:val="20"/>
          <w:szCs w:val="20"/>
          <w:lang w:val="pt-BR"/>
        </w:rPr>
        <w:t xml:space="preserve"> </w:t>
      </w:r>
      <w:r w:rsidR="00150ED4" w:rsidRPr="006D1C74">
        <w:rPr>
          <w:rFonts w:asciiTheme="majorHAnsi" w:hAnsiTheme="majorHAnsi"/>
          <w:sz w:val="20"/>
          <w:szCs w:val="20"/>
          <w:lang w:val="pt-BR"/>
        </w:rPr>
        <w:t>pel</w:t>
      </w:r>
      <w:r w:rsidR="00700267" w:rsidRPr="006D1C74">
        <w:rPr>
          <w:rFonts w:asciiTheme="majorHAnsi" w:hAnsiTheme="majorHAnsi"/>
          <w:sz w:val="20"/>
          <w:szCs w:val="20"/>
          <w:lang w:val="pt-BR"/>
        </w:rPr>
        <w:t xml:space="preserve">os </w:t>
      </w:r>
      <w:r w:rsidR="00F37852" w:rsidRPr="006D1C74">
        <w:rPr>
          <w:rFonts w:asciiTheme="majorHAnsi" w:hAnsiTheme="majorHAnsi"/>
          <w:sz w:val="20"/>
          <w:szCs w:val="20"/>
          <w:lang w:val="pt-BR"/>
        </w:rPr>
        <w:t>fato</w:t>
      </w:r>
      <w:r w:rsidRPr="006D1C74">
        <w:rPr>
          <w:rFonts w:asciiTheme="majorHAnsi" w:hAnsiTheme="majorHAnsi"/>
          <w:sz w:val="20"/>
          <w:szCs w:val="20"/>
          <w:lang w:val="pt-BR"/>
        </w:rPr>
        <w:t>s”</w:t>
      </w:r>
      <w:r w:rsidRPr="006D1C74">
        <w:rPr>
          <w:rFonts w:asciiTheme="majorHAnsi" w:hAnsiTheme="majorHAnsi"/>
          <w:sz w:val="20"/>
          <w:szCs w:val="20"/>
          <w:vertAlign w:val="superscript"/>
          <w:lang w:val="pt-BR"/>
        </w:rPr>
        <w:footnoteReference w:id="90"/>
      </w:r>
      <w:r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w:t>
      </w:r>
      <w:r w:rsidR="00150ED4" w:rsidRPr="006D1C74">
        <w:rPr>
          <w:rFonts w:asciiTheme="majorHAnsi" w:hAnsiTheme="majorHAnsi"/>
          <w:sz w:val="20"/>
          <w:szCs w:val="20"/>
          <w:lang w:val="pt-BR"/>
        </w:rPr>
        <w:t>N</w:t>
      </w:r>
      <w:r w:rsidRPr="006D1C74">
        <w:rPr>
          <w:rFonts w:asciiTheme="majorHAnsi" w:hAnsiTheme="majorHAnsi"/>
          <w:sz w:val="20"/>
          <w:szCs w:val="20"/>
          <w:lang w:val="pt-BR"/>
        </w:rPr>
        <w:t>es</w:t>
      </w:r>
      <w:r w:rsidR="003C571A">
        <w:rPr>
          <w:rFonts w:asciiTheme="majorHAnsi" w:hAnsiTheme="majorHAnsi"/>
          <w:sz w:val="20"/>
          <w:szCs w:val="20"/>
          <w:lang w:val="pt-BR"/>
        </w:rPr>
        <w:t>s</w:t>
      </w:r>
      <w:r w:rsidRPr="006D1C74">
        <w:rPr>
          <w:rFonts w:asciiTheme="majorHAnsi" w:hAnsiTheme="majorHAnsi"/>
          <w:sz w:val="20"/>
          <w:szCs w:val="20"/>
          <w:lang w:val="pt-BR"/>
        </w:rPr>
        <w:t>e sentido,</w:t>
      </w:r>
      <w:r w:rsidR="00700267" w:rsidRPr="006D1C74">
        <w:rPr>
          <w:rFonts w:asciiTheme="majorHAnsi" w:hAnsiTheme="majorHAnsi"/>
          <w:sz w:val="20"/>
          <w:szCs w:val="20"/>
          <w:lang w:val="pt-BR"/>
        </w:rPr>
        <w:t xml:space="preserve"> o </w:t>
      </w:r>
      <w:r w:rsidRPr="006D1C74">
        <w:rPr>
          <w:rFonts w:asciiTheme="majorHAnsi" w:hAnsiTheme="majorHAnsi"/>
          <w:sz w:val="20"/>
          <w:szCs w:val="20"/>
          <w:lang w:val="pt-BR"/>
        </w:rPr>
        <w:t xml:space="preserve">Estado </w:t>
      </w:r>
      <w:r w:rsidR="00CB13AB" w:rsidRPr="006D1C74">
        <w:rPr>
          <w:rFonts w:asciiTheme="majorHAnsi" w:hAnsiTheme="majorHAnsi"/>
          <w:sz w:val="20"/>
          <w:szCs w:val="20"/>
          <w:lang w:val="pt-BR"/>
        </w:rPr>
        <w:t>deve</w:t>
      </w:r>
      <w:r w:rsidRPr="006D1C74">
        <w:rPr>
          <w:rFonts w:asciiTheme="majorHAnsi" w:hAnsiTheme="majorHAnsi"/>
          <w:sz w:val="20"/>
          <w:szCs w:val="20"/>
          <w:lang w:val="pt-BR"/>
        </w:rPr>
        <w:t xml:space="preserve"> demonstrar que realiz</w:t>
      </w:r>
      <w:r w:rsidR="00CB13AB" w:rsidRPr="006D1C74">
        <w:rPr>
          <w:rFonts w:asciiTheme="majorHAnsi" w:hAnsiTheme="majorHAnsi"/>
          <w:sz w:val="20"/>
          <w:szCs w:val="20"/>
          <w:lang w:val="pt-BR"/>
        </w:rPr>
        <w:t>ou</w:t>
      </w:r>
      <w:r w:rsidR="00030019" w:rsidRPr="006D1C74">
        <w:rPr>
          <w:rFonts w:asciiTheme="majorHAnsi" w:hAnsiTheme="majorHAnsi"/>
          <w:sz w:val="20"/>
          <w:szCs w:val="20"/>
          <w:lang w:val="pt-BR"/>
        </w:rPr>
        <w:t xml:space="preserve"> uma </w:t>
      </w:r>
      <w:r w:rsidRPr="006D1C74">
        <w:rPr>
          <w:rFonts w:asciiTheme="majorHAnsi" w:hAnsiTheme="majorHAnsi"/>
          <w:sz w:val="20"/>
          <w:szCs w:val="20"/>
          <w:lang w:val="pt-BR"/>
        </w:rPr>
        <w:t>investiga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w:t>
      </w:r>
      <w:r w:rsidR="00A3040B" w:rsidRPr="006D1C74">
        <w:rPr>
          <w:rFonts w:asciiTheme="majorHAnsi" w:hAnsiTheme="majorHAnsi"/>
          <w:sz w:val="20"/>
          <w:szCs w:val="20"/>
          <w:lang w:val="pt-BR"/>
        </w:rPr>
        <w:t>imediata</w:t>
      </w:r>
      <w:r w:rsidRPr="006D1C74">
        <w:rPr>
          <w:rFonts w:asciiTheme="majorHAnsi" w:hAnsiTheme="majorHAnsi"/>
          <w:sz w:val="20"/>
          <w:szCs w:val="20"/>
          <w:lang w:val="pt-BR"/>
        </w:rPr>
        <w:t xml:space="preserve">, </w:t>
      </w:r>
      <w:r w:rsidR="00517ACA" w:rsidRPr="006D1C74">
        <w:rPr>
          <w:rFonts w:asciiTheme="majorHAnsi" w:hAnsiTheme="majorHAnsi"/>
          <w:sz w:val="20"/>
          <w:szCs w:val="20"/>
          <w:lang w:val="pt-BR"/>
        </w:rPr>
        <w:t>exaustiva</w:t>
      </w:r>
      <w:r w:rsidRPr="006D1C74">
        <w:rPr>
          <w:rFonts w:asciiTheme="majorHAnsi" w:hAnsiTheme="majorHAnsi"/>
          <w:sz w:val="20"/>
          <w:szCs w:val="20"/>
          <w:lang w:val="pt-BR"/>
        </w:rPr>
        <w:t>, s</w:t>
      </w:r>
      <w:r w:rsidR="00CB13AB" w:rsidRPr="006D1C74">
        <w:rPr>
          <w:rFonts w:asciiTheme="majorHAnsi" w:hAnsiTheme="majorHAnsi"/>
          <w:sz w:val="20"/>
          <w:szCs w:val="20"/>
          <w:lang w:val="pt-BR"/>
        </w:rPr>
        <w:t>é</w:t>
      </w:r>
      <w:r w:rsidRPr="006D1C74">
        <w:rPr>
          <w:rFonts w:asciiTheme="majorHAnsi" w:hAnsiTheme="majorHAnsi"/>
          <w:sz w:val="20"/>
          <w:szCs w:val="20"/>
          <w:lang w:val="pt-BR"/>
        </w:rPr>
        <w:t>ria e imparcial</w:t>
      </w:r>
      <w:r w:rsidRPr="006D1C74">
        <w:rPr>
          <w:rFonts w:asciiTheme="majorHAnsi" w:hAnsiTheme="majorHAnsi"/>
          <w:sz w:val="20"/>
          <w:szCs w:val="20"/>
          <w:vertAlign w:val="superscript"/>
          <w:lang w:val="pt-BR"/>
        </w:rPr>
        <w:footnoteReference w:id="91"/>
      </w:r>
      <w:r w:rsidRPr="006D1C74">
        <w:rPr>
          <w:rFonts w:asciiTheme="majorHAnsi" w:hAnsiTheme="majorHAnsi"/>
          <w:sz w:val="20"/>
          <w:szCs w:val="20"/>
          <w:lang w:val="pt-BR"/>
        </w:rPr>
        <w:t>, orientada a explorar todas</w:t>
      </w:r>
      <w:r w:rsidR="00700267" w:rsidRPr="006D1C74">
        <w:rPr>
          <w:rFonts w:asciiTheme="majorHAnsi" w:hAnsiTheme="majorHAnsi"/>
          <w:sz w:val="20"/>
          <w:szCs w:val="20"/>
          <w:lang w:val="pt-BR"/>
        </w:rPr>
        <w:t xml:space="preserve"> as </w:t>
      </w:r>
      <w:r w:rsidRPr="006D1C74">
        <w:rPr>
          <w:rFonts w:asciiTheme="majorHAnsi" w:hAnsiTheme="majorHAnsi"/>
          <w:sz w:val="20"/>
          <w:szCs w:val="20"/>
          <w:lang w:val="pt-BR"/>
        </w:rPr>
        <w:t>l</w:t>
      </w:r>
      <w:r w:rsidR="003C571A">
        <w:rPr>
          <w:rFonts w:asciiTheme="majorHAnsi" w:hAnsiTheme="majorHAnsi"/>
          <w:sz w:val="20"/>
          <w:szCs w:val="20"/>
          <w:lang w:val="pt-BR"/>
        </w:rPr>
        <w:t>inh</w:t>
      </w:r>
      <w:r w:rsidRPr="006D1C74">
        <w:rPr>
          <w:rFonts w:asciiTheme="majorHAnsi" w:hAnsiTheme="majorHAnsi"/>
          <w:sz w:val="20"/>
          <w:szCs w:val="20"/>
          <w:lang w:val="pt-BR"/>
        </w:rPr>
        <w:t>as de investiga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pos</w:t>
      </w:r>
      <w:r w:rsidR="00CB13AB" w:rsidRPr="006D1C74">
        <w:rPr>
          <w:rFonts w:asciiTheme="majorHAnsi" w:hAnsiTheme="majorHAnsi"/>
          <w:sz w:val="20"/>
          <w:szCs w:val="20"/>
          <w:lang w:val="pt-BR"/>
        </w:rPr>
        <w:t>sívei</w:t>
      </w:r>
      <w:r w:rsidRPr="006D1C74">
        <w:rPr>
          <w:rFonts w:asciiTheme="majorHAnsi" w:hAnsiTheme="majorHAnsi"/>
          <w:sz w:val="20"/>
          <w:szCs w:val="20"/>
          <w:lang w:val="pt-BR"/>
        </w:rPr>
        <w:t>s</w:t>
      </w:r>
      <w:r w:rsidRPr="006D1C74">
        <w:rPr>
          <w:rFonts w:asciiTheme="majorHAnsi" w:hAnsiTheme="majorHAnsi"/>
          <w:sz w:val="20"/>
          <w:szCs w:val="20"/>
          <w:vertAlign w:val="superscript"/>
          <w:lang w:val="pt-BR"/>
        </w:rPr>
        <w:footnoteReference w:id="92"/>
      </w:r>
      <w:r w:rsidRPr="006D1C74">
        <w:rPr>
          <w:rFonts w:asciiTheme="majorHAnsi" w:hAnsiTheme="majorHAnsi"/>
          <w:sz w:val="20"/>
          <w:szCs w:val="20"/>
          <w:lang w:val="pt-BR"/>
        </w:rPr>
        <w:t xml:space="preserve">. </w:t>
      </w:r>
      <w:r w:rsidR="00B42161" w:rsidRPr="006D1C74">
        <w:rPr>
          <w:rFonts w:asciiTheme="majorHAnsi" w:hAnsiTheme="majorHAnsi"/>
          <w:sz w:val="20"/>
          <w:szCs w:val="20"/>
          <w:lang w:val="pt-BR"/>
        </w:rPr>
        <w:t>O</w:t>
      </w:r>
      <w:r w:rsidRPr="006D1C74">
        <w:rPr>
          <w:rFonts w:asciiTheme="majorHAnsi" w:hAnsiTheme="majorHAnsi"/>
          <w:sz w:val="20"/>
          <w:szCs w:val="20"/>
          <w:lang w:val="pt-BR"/>
        </w:rPr>
        <w:t xml:space="preserve"> Estado p</w:t>
      </w:r>
      <w:r w:rsidR="00CB13AB" w:rsidRPr="006D1C74">
        <w:rPr>
          <w:rFonts w:asciiTheme="majorHAnsi" w:hAnsiTheme="majorHAnsi"/>
          <w:sz w:val="20"/>
          <w:szCs w:val="20"/>
          <w:lang w:val="pt-BR"/>
        </w:rPr>
        <w:t>o</w:t>
      </w:r>
      <w:r w:rsidRPr="006D1C74">
        <w:rPr>
          <w:rFonts w:asciiTheme="majorHAnsi" w:hAnsiTheme="majorHAnsi"/>
          <w:sz w:val="20"/>
          <w:szCs w:val="20"/>
          <w:lang w:val="pt-BR"/>
        </w:rPr>
        <w:t>de ser respons</w:t>
      </w:r>
      <w:r w:rsidR="00CB13AB" w:rsidRPr="006D1C74">
        <w:rPr>
          <w:rFonts w:asciiTheme="majorHAnsi" w:hAnsiTheme="majorHAnsi"/>
          <w:sz w:val="20"/>
          <w:szCs w:val="20"/>
          <w:lang w:val="pt-BR"/>
        </w:rPr>
        <w:t>ável por</w:t>
      </w:r>
      <w:r w:rsidR="00F673C7" w:rsidRPr="006D1C74">
        <w:rPr>
          <w:rFonts w:asciiTheme="majorHAnsi" w:hAnsiTheme="majorHAnsi"/>
          <w:sz w:val="20"/>
          <w:szCs w:val="20"/>
          <w:lang w:val="pt-BR"/>
        </w:rPr>
        <w:t xml:space="preserve"> não </w:t>
      </w:r>
      <w:r w:rsidRPr="006D1C74">
        <w:rPr>
          <w:rFonts w:asciiTheme="majorHAnsi" w:hAnsiTheme="majorHAnsi"/>
          <w:sz w:val="20"/>
          <w:szCs w:val="20"/>
          <w:lang w:val="pt-BR"/>
        </w:rPr>
        <w:t>“</w:t>
      </w:r>
      <w:r w:rsidR="00585D35" w:rsidRPr="006D1C74">
        <w:rPr>
          <w:rFonts w:asciiTheme="majorHAnsi" w:hAnsiTheme="majorHAnsi"/>
          <w:sz w:val="20"/>
          <w:szCs w:val="20"/>
          <w:lang w:val="pt-BR"/>
        </w:rPr>
        <w:t>orde</w:t>
      </w:r>
      <w:r w:rsidR="00CB13AB" w:rsidRPr="006D1C74">
        <w:rPr>
          <w:rFonts w:asciiTheme="majorHAnsi" w:hAnsiTheme="majorHAnsi"/>
          <w:sz w:val="20"/>
          <w:szCs w:val="20"/>
          <w:lang w:val="pt-BR"/>
        </w:rPr>
        <w:t>n</w:t>
      </w:r>
      <w:r w:rsidRPr="006D1C74">
        <w:rPr>
          <w:rFonts w:asciiTheme="majorHAnsi" w:hAnsiTheme="majorHAnsi"/>
          <w:sz w:val="20"/>
          <w:szCs w:val="20"/>
          <w:lang w:val="pt-BR"/>
        </w:rPr>
        <w:t xml:space="preserve">ar, </w:t>
      </w:r>
      <w:r w:rsidR="00A3040B" w:rsidRPr="006D1C74">
        <w:rPr>
          <w:rFonts w:asciiTheme="majorHAnsi" w:hAnsiTheme="majorHAnsi"/>
          <w:sz w:val="20"/>
          <w:szCs w:val="20"/>
          <w:lang w:val="pt-BR"/>
        </w:rPr>
        <w:t>praticar</w:t>
      </w:r>
      <w:r w:rsidRPr="006D1C74">
        <w:rPr>
          <w:rFonts w:asciiTheme="majorHAnsi" w:hAnsiTheme="majorHAnsi"/>
          <w:sz w:val="20"/>
          <w:szCs w:val="20"/>
          <w:lang w:val="pt-BR"/>
        </w:rPr>
        <w:t xml:space="preserve"> o</w:t>
      </w:r>
      <w:r w:rsidR="00CB13AB" w:rsidRPr="006D1C74">
        <w:rPr>
          <w:rFonts w:asciiTheme="majorHAnsi" w:hAnsiTheme="majorHAnsi"/>
          <w:sz w:val="20"/>
          <w:szCs w:val="20"/>
          <w:lang w:val="pt-BR"/>
        </w:rPr>
        <w:t>u</w:t>
      </w:r>
      <w:r w:rsidRPr="006D1C74">
        <w:rPr>
          <w:rFonts w:asciiTheme="majorHAnsi" w:hAnsiTheme="majorHAnsi"/>
          <w:sz w:val="20"/>
          <w:szCs w:val="20"/>
          <w:lang w:val="pt-BR"/>
        </w:rPr>
        <w:t xml:space="preserve"> </w:t>
      </w:r>
      <w:r w:rsidR="00CB13AB" w:rsidRPr="006D1C74">
        <w:rPr>
          <w:rFonts w:asciiTheme="majorHAnsi" w:hAnsiTheme="majorHAnsi"/>
          <w:sz w:val="20"/>
          <w:szCs w:val="20"/>
          <w:lang w:val="pt-BR"/>
        </w:rPr>
        <w:t>a</w:t>
      </w:r>
      <w:r w:rsidRPr="006D1C74">
        <w:rPr>
          <w:rFonts w:asciiTheme="majorHAnsi" w:hAnsiTheme="majorHAnsi"/>
          <w:sz w:val="20"/>
          <w:szCs w:val="20"/>
          <w:lang w:val="pt-BR"/>
        </w:rPr>
        <w:t>val</w:t>
      </w:r>
      <w:r w:rsidR="00CB13AB" w:rsidRPr="006D1C74">
        <w:rPr>
          <w:rFonts w:asciiTheme="majorHAnsi" w:hAnsiTheme="majorHAnsi"/>
          <w:sz w:val="20"/>
          <w:szCs w:val="20"/>
          <w:lang w:val="pt-BR"/>
        </w:rPr>
        <w:t>i</w:t>
      </w:r>
      <w:r w:rsidRPr="006D1C74">
        <w:rPr>
          <w:rFonts w:asciiTheme="majorHAnsi" w:hAnsiTheme="majorHAnsi"/>
          <w:sz w:val="20"/>
          <w:szCs w:val="20"/>
          <w:lang w:val="pt-BR"/>
        </w:rPr>
        <w:t>ar pr</w:t>
      </w:r>
      <w:r w:rsidR="00CB13AB" w:rsidRPr="006D1C74">
        <w:rPr>
          <w:rFonts w:asciiTheme="majorHAnsi" w:hAnsiTheme="majorHAnsi"/>
          <w:sz w:val="20"/>
          <w:szCs w:val="20"/>
          <w:lang w:val="pt-BR"/>
        </w:rPr>
        <w:t>ov</w:t>
      </w:r>
      <w:r w:rsidRPr="006D1C74">
        <w:rPr>
          <w:rFonts w:asciiTheme="majorHAnsi" w:hAnsiTheme="majorHAnsi"/>
          <w:sz w:val="20"/>
          <w:szCs w:val="20"/>
          <w:lang w:val="pt-BR"/>
        </w:rPr>
        <w:t>as” que p</w:t>
      </w:r>
      <w:r w:rsidR="00CB13AB" w:rsidRPr="006D1C74">
        <w:rPr>
          <w:rFonts w:asciiTheme="majorHAnsi" w:hAnsiTheme="majorHAnsi"/>
          <w:sz w:val="20"/>
          <w:szCs w:val="20"/>
          <w:lang w:val="pt-BR"/>
        </w:rPr>
        <w:t>ossam</w:t>
      </w:r>
      <w:r w:rsidRPr="006D1C74">
        <w:rPr>
          <w:rFonts w:asciiTheme="majorHAnsi" w:hAnsiTheme="majorHAnsi"/>
          <w:sz w:val="20"/>
          <w:szCs w:val="20"/>
          <w:lang w:val="pt-BR"/>
        </w:rPr>
        <w:t xml:space="preserve"> ser fundament</w:t>
      </w:r>
      <w:r w:rsidR="00700267" w:rsidRPr="006D1C74">
        <w:rPr>
          <w:rFonts w:asciiTheme="majorHAnsi" w:hAnsiTheme="majorHAnsi"/>
          <w:sz w:val="20"/>
          <w:szCs w:val="20"/>
          <w:lang w:val="pt-BR"/>
        </w:rPr>
        <w:t>ais</w:t>
      </w:r>
      <w:r w:rsidRPr="006D1C74">
        <w:rPr>
          <w:rFonts w:asciiTheme="majorHAnsi" w:hAnsiTheme="majorHAnsi"/>
          <w:sz w:val="20"/>
          <w:szCs w:val="20"/>
          <w:lang w:val="pt-BR"/>
        </w:rPr>
        <w:t xml:space="preserve"> para</w:t>
      </w:r>
      <w:r w:rsidR="00700267" w:rsidRPr="006D1C74">
        <w:rPr>
          <w:rFonts w:asciiTheme="majorHAnsi" w:hAnsiTheme="majorHAnsi"/>
          <w:sz w:val="20"/>
          <w:szCs w:val="20"/>
          <w:lang w:val="pt-BR"/>
        </w:rPr>
        <w:t xml:space="preserve"> o </w:t>
      </w:r>
      <w:r w:rsidR="00585D35" w:rsidRPr="006D1C74">
        <w:rPr>
          <w:rFonts w:asciiTheme="majorHAnsi" w:hAnsiTheme="majorHAnsi"/>
          <w:sz w:val="20"/>
          <w:szCs w:val="20"/>
          <w:lang w:val="pt-BR"/>
        </w:rPr>
        <w:t>dev</w:t>
      </w:r>
      <w:r w:rsidRPr="006D1C74">
        <w:rPr>
          <w:rFonts w:asciiTheme="majorHAnsi" w:hAnsiTheme="majorHAnsi"/>
          <w:sz w:val="20"/>
          <w:szCs w:val="20"/>
          <w:lang w:val="pt-BR"/>
        </w:rPr>
        <w:t>ido esclareci</w:t>
      </w:r>
      <w:r w:rsidR="00700267" w:rsidRPr="006D1C74">
        <w:rPr>
          <w:rFonts w:asciiTheme="majorHAnsi" w:hAnsiTheme="majorHAnsi"/>
          <w:sz w:val="20"/>
          <w:szCs w:val="20"/>
          <w:lang w:val="pt-BR"/>
        </w:rPr>
        <w:t xml:space="preserve">mento dos </w:t>
      </w:r>
      <w:r w:rsidR="00F37852" w:rsidRPr="006D1C74">
        <w:rPr>
          <w:rFonts w:asciiTheme="majorHAnsi" w:hAnsiTheme="majorHAnsi"/>
          <w:sz w:val="20"/>
          <w:szCs w:val="20"/>
          <w:lang w:val="pt-BR"/>
        </w:rPr>
        <w:t>fato</w:t>
      </w:r>
      <w:r w:rsidRPr="006D1C74">
        <w:rPr>
          <w:rFonts w:asciiTheme="majorHAnsi" w:hAnsiTheme="majorHAnsi"/>
          <w:sz w:val="20"/>
          <w:szCs w:val="20"/>
          <w:lang w:val="pt-BR"/>
        </w:rPr>
        <w:t>s</w:t>
      </w:r>
      <w:r w:rsidRPr="006D1C74">
        <w:rPr>
          <w:rFonts w:asciiTheme="majorHAnsi" w:hAnsiTheme="majorHAnsi"/>
          <w:sz w:val="20"/>
          <w:szCs w:val="20"/>
          <w:vertAlign w:val="superscript"/>
          <w:lang w:val="pt-BR"/>
        </w:rPr>
        <w:footnoteReference w:id="93"/>
      </w:r>
      <w:r w:rsidRPr="006D1C74">
        <w:rPr>
          <w:rFonts w:asciiTheme="majorHAnsi" w:hAnsiTheme="majorHAnsi"/>
          <w:sz w:val="20"/>
          <w:szCs w:val="20"/>
          <w:lang w:val="pt-BR"/>
        </w:rPr>
        <w:t xml:space="preserve">. </w:t>
      </w:r>
    </w:p>
    <w:p w14:paraId="5F892CA4"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pt-BR"/>
        </w:rPr>
      </w:pPr>
    </w:p>
    <w:p w14:paraId="2C826E70"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 xml:space="preserve"> </w:t>
      </w:r>
      <w:r w:rsidR="00B42161" w:rsidRPr="006D1C74">
        <w:rPr>
          <w:rFonts w:asciiTheme="majorHAnsi" w:hAnsiTheme="majorHAnsi"/>
          <w:sz w:val="20"/>
          <w:szCs w:val="20"/>
          <w:lang w:val="pt-BR"/>
        </w:rPr>
        <w:t>A</w:t>
      </w:r>
      <w:r w:rsidRPr="006D1C74">
        <w:rPr>
          <w:rFonts w:asciiTheme="majorHAnsi" w:hAnsiTheme="majorHAnsi"/>
          <w:sz w:val="20"/>
          <w:szCs w:val="20"/>
          <w:lang w:val="pt-BR"/>
        </w:rPr>
        <w:t xml:space="preserve"> Corte Interamericana </w:t>
      </w:r>
      <w:r w:rsidR="00794F22" w:rsidRPr="006D1C74">
        <w:rPr>
          <w:rFonts w:asciiTheme="majorHAnsi" w:hAnsiTheme="majorHAnsi"/>
          <w:sz w:val="20"/>
          <w:szCs w:val="20"/>
          <w:lang w:val="pt-BR"/>
        </w:rPr>
        <w:t>destacou</w:t>
      </w:r>
      <w:r w:rsidR="00476A0D" w:rsidRPr="006D1C74">
        <w:rPr>
          <w:rFonts w:asciiTheme="majorHAnsi" w:hAnsiTheme="majorHAnsi"/>
          <w:sz w:val="20"/>
          <w:szCs w:val="20"/>
          <w:lang w:val="pt-BR"/>
        </w:rPr>
        <w:t xml:space="preserve"> </w:t>
      </w:r>
      <w:r w:rsidR="00700267" w:rsidRPr="006D1C74">
        <w:rPr>
          <w:rFonts w:asciiTheme="majorHAnsi" w:hAnsiTheme="majorHAnsi"/>
          <w:sz w:val="20"/>
          <w:szCs w:val="20"/>
          <w:lang w:val="pt-BR"/>
        </w:rPr>
        <w:t xml:space="preserve">a </w:t>
      </w:r>
      <w:r w:rsidR="00A3040B" w:rsidRPr="006D1C74">
        <w:rPr>
          <w:rFonts w:asciiTheme="majorHAnsi" w:hAnsiTheme="majorHAnsi"/>
          <w:sz w:val="20"/>
          <w:szCs w:val="20"/>
          <w:lang w:val="pt-BR"/>
        </w:rPr>
        <w:t>importância</w:t>
      </w:r>
      <w:r w:rsidRPr="006D1C74">
        <w:rPr>
          <w:rFonts w:asciiTheme="majorHAnsi" w:hAnsiTheme="majorHAnsi"/>
          <w:sz w:val="20"/>
          <w:szCs w:val="20"/>
          <w:lang w:val="pt-BR"/>
        </w:rPr>
        <w:t xml:space="preserve"> de </w:t>
      </w:r>
      <w:r w:rsidR="00517ACA" w:rsidRPr="006D1C74">
        <w:rPr>
          <w:rFonts w:asciiTheme="majorHAnsi" w:hAnsiTheme="majorHAnsi"/>
          <w:sz w:val="20"/>
          <w:szCs w:val="20"/>
          <w:lang w:val="pt-BR"/>
        </w:rPr>
        <w:t>estabelecer</w:t>
      </w:r>
      <w:r w:rsidRPr="006D1C74">
        <w:rPr>
          <w:rFonts w:asciiTheme="majorHAnsi" w:hAnsiTheme="majorHAnsi"/>
          <w:sz w:val="20"/>
          <w:szCs w:val="20"/>
          <w:lang w:val="pt-BR"/>
        </w:rPr>
        <w:t xml:space="preserve"> l</w:t>
      </w:r>
      <w:r w:rsidR="003C571A">
        <w:rPr>
          <w:rFonts w:asciiTheme="majorHAnsi" w:hAnsiTheme="majorHAnsi"/>
          <w:sz w:val="20"/>
          <w:szCs w:val="20"/>
          <w:lang w:val="pt-BR"/>
        </w:rPr>
        <w:t>inh</w:t>
      </w:r>
      <w:r w:rsidRPr="006D1C74">
        <w:rPr>
          <w:rFonts w:asciiTheme="majorHAnsi" w:hAnsiTheme="majorHAnsi"/>
          <w:sz w:val="20"/>
          <w:szCs w:val="20"/>
          <w:lang w:val="pt-BR"/>
        </w:rPr>
        <w:t>as lógicas de investiga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w:t>
      </w:r>
      <w:r w:rsidR="003C571A">
        <w:rPr>
          <w:rFonts w:asciiTheme="majorHAnsi" w:hAnsiTheme="majorHAnsi"/>
          <w:sz w:val="20"/>
          <w:szCs w:val="20"/>
          <w:lang w:val="pt-BR"/>
        </w:rPr>
        <w:t>base</w:t>
      </w:r>
      <w:r w:rsidR="00A3040B" w:rsidRPr="006D1C74">
        <w:rPr>
          <w:rFonts w:asciiTheme="majorHAnsi" w:hAnsiTheme="majorHAnsi"/>
          <w:sz w:val="20"/>
          <w:szCs w:val="20"/>
          <w:lang w:val="pt-BR"/>
        </w:rPr>
        <w:t>adas</w:t>
      </w:r>
      <w:r w:rsidR="00F673C7" w:rsidRPr="006D1C74">
        <w:rPr>
          <w:rFonts w:asciiTheme="majorHAnsi" w:hAnsiTheme="majorHAnsi"/>
          <w:sz w:val="20"/>
          <w:szCs w:val="20"/>
          <w:lang w:val="pt-BR"/>
        </w:rPr>
        <w:t xml:space="preserve"> </w:t>
      </w:r>
      <w:r w:rsidR="00476A0D" w:rsidRPr="006D1C74">
        <w:rPr>
          <w:rFonts w:asciiTheme="majorHAnsi" w:hAnsiTheme="majorHAnsi"/>
          <w:sz w:val="20"/>
          <w:szCs w:val="20"/>
          <w:lang w:val="pt-BR"/>
        </w:rPr>
        <w:t>n</w:t>
      </w:r>
      <w:r w:rsidR="00700267" w:rsidRPr="006D1C74">
        <w:rPr>
          <w:rFonts w:asciiTheme="majorHAnsi" w:hAnsiTheme="majorHAnsi"/>
          <w:sz w:val="20"/>
          <w:szCs w:val="20"/>
          <w:lang w:val="pt-BR"/>
        </w:rPr>
        <w:t xml:space="preserve">as </w:t>
      </w:r>
      <w:r w:rsidRPr="006D1C74">
        <w:rPr>
          <w:rFonts w:asciiTheme="majorHAnsi" w:hAnsiTheme="majorHAnsi"/>
          <w:sz w:val="20"/>
          <w:szCs w:val="20"/>
          <w:lang w:val="pt-BR"/>
        </w:rPr>
        <w:t>pr</w:t>
      </w:r>
      <w:r w:rsidR="00476A0D" w:rsidRPr="006D1C74">
        <w:rPr>
          <w:rFonts w:asciiTheme="majorHAnsi" w:hAnsiTheme="majorHAnsi"/>
          <w:sz w:val="20"/>
          <w:szCs w:val="20"/>
          <w:lang w:val="pt-BR"/>
        </w:rPr>
        <w:t>ov</w:t>
      </w:r>
      <w:r w:rsidRPr="006D1C74">
        <w:rPr>
          <w:rFonts w:asciiTheme="majorHAnsi" w:hAnsiTheme="majorHAnsi"/>
          <w:sz w:val="20"/>
          <w:szCs w:val="20"/>
          <w:lang w:val="pt-BR"/>
        </w:rPr>
        <w:t>as obtidas durante</w:t>
      </w:r>
      <w:r w:rsidR="00700267" w:rsidRPr="006D1C74">
        <w:rPr>
          <w:rFonts w:asciiTheme="majorHAnsi" w:hAnsiTheme="majorHAnsi"/>
          <w:sz w:val="20"/>
          <w:szCs w:val="20"/>
          <w:lang w:val="pt-BR"/>
        </w:rPr>
        <w:t xml:space="preserve"> o </w:t>
      </w:r>
      <w:r w:rsidR="00AB7F30" w:rsidRPr="006D1C74">
        <w:rPr>
          <w:rFonts w:asciiTheme="majorHAnsi" w:hAnsiTheme="majorHAnsi"/>
          <w:sz w:val="20"/>
          <w:szCs w:val="20"/>
          <w:lang w:val="pt-BR"/>
        </w:rPr>
        <w:t>processo</w:t>
      </w:r>
      <w:r w:rsidRPr="006D1C74">
        <w:rPr>
          <w:rFonts w:asciiTheme="majorHAnsi" w:hAnsiTheme="majorHAnsi"/>
          <w:sz w:val="20"/>
          <w:szCs w:val="20"/>
          <w:vertAlign w:val="superscript"/>
          <w:lang w:val="pt-BR"/>
        </w:rPr>
        <w:footnoteReference w:id="94"/>
      </w:r>
      <w:r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w:t>
      </w:r>
      <w:r w:rsidR="00476A0D" w:rsidRPr="006D1C74">
        <w:rPr>
          <w:rFonts w:asciiTheme="majorHAnsi" w:hAnsiTheme="majorHAnsi"/>
          <w:sz w:val="20"/>
          <w:szCs w:val="20"/>
          <w:lang w:val="pt-BR"/>
        </w:rPr>
        <w:t>E</w:t>
      </w:r>
      <w:r w:rsidR="00F673C7" w:rsidRPr="006D1C74">
        <w:rPr>
          <w:rFonts w:asciiTheme="majorHAnsi" w:hAnsiTheme="majorHAnsi"/>
          <w:sz w:val="20"/>
          <w:szCs w:val="20"/>
          <w:lang w:val="pt-BR"/>
        </w:rPr>
        <w:t xml:space="preserve">m </w:t>
      </w:r>
      <w:r w:rsidRPr="006D1C74">
        <w:rPr>
          <w:rFonts w:asciiTheme="majorHAnsi" w:hAnsiTheme="majorHAnsi"/>
          <w:sz w:val="20"/>
          <w:szCs w:val="20"/>
          <w:lang w:val="pt-BR"/>
        </w:rPr>
        <w:t>casos relacionados</w:t>
      </w:r>
      <w:r w:rsidR="00F673C7" w:rsidRPr="006D1C74">
        <w:rPr>
          <w:rFonts w:asciiTheme="majorHAnsi" w:hAnsiTheme="majorHAnsi"/>
          <w:sz w:val="20"/>
          <w:szCs w:val="20"/>
          <w:lang w:val="pt-BR"/>
        </w:rPr>
        <w:t xml:space="preserve"> com </w:t>
      </w:r>
      <w:r w:rsidR="00700267" w:rsidRPr="006D1C74">
        <w:rPr>
          <w:rFonts w:asciiTheme="majorHAnsi" w:hAnsiTheme="majorHAnsi"/>
          <w:sz w:val="20"/>
          <w:szCs w:val="20"/>
          <w:lang w:val="pt-BR"/>
        </w:rPr>
        <w:t xml:space="preserve">a </w:t>
      </w:r>
      <w:r w:rsidRPr="006D1C74">
        <w:rPr>
          <w:rFonts w:asciiTheme="majorHAnsi" w:hAnsiTheme="majorHAnsi"/>
          <w:sz w:val="20"/>
          <w:szCs w:val="20"/>
          <w:lang w:val="pt-BR"/>
        </w:rPr>
        <w:t>priva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arbitr</w:t>
      </w:r>
      <w:r w:rsidR="003C571A">
        <w:rPr>
          <w:rFonts w:asciiTheme="majorHAnsi" w:hAnsiTheme="majorHAnsi"/>
          <w:sz w:val="20"/>
          <w:szCs w:val="20"/>
          <w:lang w:val="pt-BR"/>
        </w:rPr>
        <w:t>á</w:t>
      </w:r>
      <w:r w:rsidRPr="006D1C74">
        <w:rPr>
          <w:rFonts w:asciiTheme="majorHAnsi" w:hAnsiTheme="majorHAnsi"/>
          <w:sz w:val="20"/>
          <w:szCs w:val="20"/>
          <w:lang w:val="pt-BR"/>
        </w:rPr>
        <w:t>ria</w:t>
      </w:r>
      <w:r w:rsidR="00795010" w:rsidRPr="006D1C74">
        <w:rPr>
          <w:rFonts w:asciiTheme="majorHAnsi" w:hAnsiTheme="majorHAnsi"/>
          <w:sz w:val="20"/>
          <w:szCs w:val="20"/>
          <w:lang w:val="pt-BR"/>
        </w:rPr>
        <w:t xml:space="preserve"> da </w:t>
      </w:r>
      <w:r w:rsidRPr="006D1C74">
        <w:rPr>
          <w:rFonts w:asciiTheme="majorHAnsi" w:hAnsiTheme="majorHAnsi"/>
          <w:sz w:val="20"/>
          <w:szCs w:val="20"/>
          <w:lang w:val="pt-BR"/>
        </w:rPr>
        <w:t>vida,</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Corte indic</w:t>
      </w:r>
      <w:r w:rsidR="00476A0D" w:rsidRPr="006D1C74">
        <w:rPr>
          <w:rFonts w:asciiTheme="majorHAnsi" w:hAnsiTheme="majorHAnsi"/>
          <w:sz w:val="20"/>
          <w:szCs w:val="20"/>
          <w:lang w:val="pt-BR"/>
        </w:rPr>
        <w:t>ou</w:t>
      </w:r>
      <w:r w:rsidRPr="006D1C74">
        <w:rPr>
          <w:rFonts w:asciiTheme="majorHAnsi" w:hAnsiTheme="majorHAnsi"/>
          <w:sz w:val="20"/>
          <w:szCs w:val="20"/>
          <w:lang w:val="pt-BR"/>
        </w:rPr>
        <w:t xml:space="preserve"> que</w:t>
      </w:r>
      <w:r w:rsidR="00F37852" w:rsidRPr="006D1C74">
        <w:rPr>
          <w:rFonts w:asciiTheme="majorHAnsi" w:hAnsiTheme="majorHAnsi"/>
          <w:sz w:val="20"/>
          <w:szCs w:val="20"/>
          <w:lang w:val="pt-BR"/>
        </w:rPr>
        <w:t xml:space="preserve"> é </w:t>
      </w:r>
      <w:r w:rsidRPr="006D1C74">
        <w:rPr>
          <w:rFonts w:asciiTheme="majorHAnsi" w:hAnsiTheme="majorHAnsi"/>
          <w:sz w:val="20"/>
          <w:szCs w:val="20"/>
          <w:lang w:val="pt-BR"/>
        </w:rPr>
        <w:t>imprescind</w:t>
      </w:r>
      <w:r w:rsidR="00476A0D" w:rsidRPr="006D1C74">
        <w:rPr>
          <w:rFonts w:asciiTheme="majorHAnsi" w:hAnsiTheme="majorHAnsi"/>
          <w:sz w:val="20"/>
          <w:szCs w:val="20"/>
          <w:lang w:val="pt-BR"/>
        </w:rPr>
        <w:t>ível</w:t>
      </w:r>
      <w:r w:rsidRPr="006D1C74">
        <w:rPr>
          <w:rFonts w:asciiTheme="majorHAnsi" w:hAnsiTheme="majorHAnsi"/>
          <w:sz w:val="20"/>
          <w:szCs w:val="20"/>
          <w:lang w:val="pt-BR"/>
        </w:rPr>
        <w:t xml:space="preserve"> </w:t>
      </w:r>
      <w:r w:rsidR="00A3040B" w:rsidRPr="006D1C74">
        <w:rPr>
          <w:rFonts w:asciiTheme="majorHAnsi" w:hAnsiTheme="majorHAnsi"/>
          <w:sz w:val="20"/>
          <w:szCs w:val="20"/>
          <w:lang w:val="pt-BR"/>
        </w:rPr>
        <w:t>analisar</w:t>
      </w:r>
      <w:r w:rsidR="00700267" w:rsidRPr="006D1C74">
        <w:rPr>
          <w:rFonts w:asciiTheme="majorHAnsi" w:hAnsiTheme="majorHAnsi"/>
          <w:sz w:val="20"/>
          <w:szCs w:val="20"/>
          <w:lang w:val="pt-BR"/>
        </w:rPr>
        <w:t xml:space="preserve"> as </w:t>
      </w:r>
      <w:r w:rsidR="00517ACA" w:rsidRPr="006D1C74">
        <w:rPr>
          <w:rFonts w:asciiTheme="majorHAnsi" w:hAnsiTheme="majorHAnsi"/>
          <w:sz w:val="20"/>
          <w:szCs w:val="20"/>
          <w:lang w:val="pt-BR"/>
        </w:rPr>
        <w:t>estruturas</w:t>
      </w:r>
      <w:r w:rsidRPr="006D1C74">
        <w:rPr>
          <w:rFonts w:asciiTheme="majorHAnsi" w:hAnsiTheme="majorHAnsi"/>
          <w:sz w:val="20"/>
          <w:szCs w:val="20"/>
          <w:lang w:val="pt-BR"/>
        </w:rPr>
        <w:t xml:space="preserve"> de poder que</w:t>
      </w:r>
      <w:r w:rsidR="00700267" w:rsidRPr="006D1C74">
        <w:rPr>
          <w:rFonts w:asciiTheme="majorHAnsi" w:hAnsiTheme="majorHAnsi"/>
          <w:sz w:val="20"/>
          <w:szCs w:val="20"/>
          <w:lang w:val="pt-BR"/>
        </w:rPr>
        <w:t xml:space="preserve"> a </w:t>
      </w:r>
      <w:r w:rsidR="00A3040B" w:rsidRPr="006D1C74">
        <w:rPr>
          <w:rFonts w:asciiTheme="majorHAnsi" w:hAnsiTheme="majorHAnsi"/>
          <w:sz w:val="20"/>
          <w:szCs w:val="20"/>
          <w:lang w:val="pt-BR"/>
        </w:rPr>
        <w:t>possibilitaram</w:t>
      </w:r>
      <w:r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w:t>
      </w:r>
      <w:r w:rsidRPr="006D1C74">
        <w:rPr>
          <w:rFonts w:asciiTheme="majorHAnsi" w:hAnsiTheme="majorHAnsi"/>
          <w:sz w:val="20"/>
          <w:szCs w:val="20"/>
          <w:lang w:val="pt-BR"/>
        </w:rPr>
        <w:t>plan</w:t>
      </w:r>
      <w:r w:rsidR="00476A0D" w:rsidRPr="006D1C74">
        <w:rPr>
          <w:rFonts w:asciiTheme="majorHAnsi" w:hAnsiTheme="majorHAnsi"/>
          <w:sz w:val="20"/>
          <w:szCs w:val="20"/>
          <w:lang w:val="pt-BR"/>
        </w:rPr>
        <w:t>ejaram</w:t>
      </w:r>
      <w:r w:rsidR="00CF037E" w:rsidRPr="006D1C74">
        <w:rPr>
          <w:rFonts w:asciiTheme="majorHAnsi" w:hAnsiTheme="majorHAnsi"/>
          <w:sz w:val="20"/>
          <w:szCs w:val="20"/>
          <w:lang w:val="pt-BR"/>
        </w:rPr>
        <w:t xml:space="preserve"> e</w:t>
      </w:r>
      <w:r w:rsidR="00700267" w:rsidRPr="006D1C74">
        <w:rPr>
          <w:rFonts w:asciiTheme="majorHAnsi" w:hAnsiTheme="majorHAnsi"/>
          <w:sz w:val="20"/>
          <w:szCs w:val="20"/>
          <w:lang w:val="pt-BR"/>
        </w:rPr>
        <w:t xml:space="preserve"> </w:t>
      </w:r>
      <w:r w:rsidR="00517ACA" w:rsidRPr="006D1C74">
        <w:rPr>
          <w:rFonts w:asciiTheme="majorHAnsi" w:hAnsiTheme="majorHAnsi"/>
          <w:sz w:val="20"/>
          <w:szCs w:val="20"/>
          <w:lang w:val="pt-BR"/>
        </w:rPr>
        <w:t>executaram</w:t>
      </w:r>
      <w:r w:rsidR="00217759" w:rsidRPr="006D1C74">
        <w:rPr>
          <w:rFonts w:asciiTheme="majorHAnsi" w:hAnsiTheme="majorHAnsi"/>
          <w:sz w:val="20"/>
          <w:szCs w:val="20"/>
          <w:lang w:val="pt-BR"/>
        </w:rPr>
        <w:t xml:space="preserve"> nos </w:t>
      </w:r>
      <w:r w:rsidRPr="006D1C74">
        <w:rPr>
          <w:rFonts w:asciiTheme="majorHAnsi" w:hAnsiTheme="majorHAnsi"/>
          <w:sz w:val="20"/>
          <w:szCs w:val="20"/>
          <w:lang w:val="pt-BR"/>
        </w:rPr>
        <w:t>planos intelectual</w:t>
      </w:r>
      <w:r w:rsidR="00CF037E" w:rsidRPr="006D1C74">
        <w:rPr>
          <w:rFonts w:asciiTheme="majorHAnsi" w:hAnsiTheme="majorHAnsi"/>
          <w:sz w:val="20"/>
          <w:szCs w:val="20"/>
          <w:lang w:val="pt-BR"/>
        </w:rPr>
        <w:t xml:space="preserve"> e </w:t>
      </w:r>
      <w:r w:rsidRPr="006D1C74">
        <w:rPr>
          <w:rFonts w:asciiTheme="majorHAnsi" w:hAnsiTheme="majorHAnsi"/>
          <w:sz w:val="20"/>
          <w:szCs w:val="20"/>
          <w:lang w:val="pt-BR"/>
        </w:rPr>
        <w:t xml:space="preserve">material, </w:t>
      </w:r>
      <w:r w:rsidR="00476A0D" w:rsidRPr="006D1C74">
        <w:rPr>
          <w:rFonts w:asciiTheme="majorHAnsi" w:hAnsiTheme="majorHAnsi"/>
          <w:sz w:val="20"/>
          <w:szCs w:val="20"/>
          <w:lang w:val="pt-BR"/>
        </w:rPr>
        <w:t>bem</w:t>
      </w:r>
      <w:r w:rsidRPr="006D1C74">
        <w:rPr>
          <w:rFonts w:asciiTheme="majorHAnsi" w:hAnsiTheme="majorHAnsi"/>
          <w:sz w:val="20"/>
          <w:szCs w:val="20"/>
          <w:lang w:val="pt-BR"/>
        </w:rPr>
        <w:t xml:space="preserve"> como</w:t>
      </w:r>
      <w:r w:rsidR="00700267" w:rsidRPr="006D1C74">
        <w:rPr>
          <w:rFonts w:asciiTheme="majorHAnsi" w:hAnsiTheme="majorHAnsi"/>
          <w:sz w:val="20"/>
          <w:szCs w:val="20"/>
          <w:lang w:val="pt-BR"/>
        </w:rPr>
        <w:t xml:space="preserve"> as </w:t>
      </w:r>
      <w:r w:rsidR="00CA7940" w:rsidRPr="006D1C74">
        <w:rPr>
          <w:rFonts w:asciiTheme="majorHAnsi" w:hAnsiTheme="majorHAnsi"/>
          <w:sz w:val="20"/>
          <w:szCs w:val="20"/>
          <w:lang w:val="pt-BR"/>
        </w:rPr>
        <w:t>pessoa</w:t>
      </w:r>
      <w:r w:rsidRPr="006D1C74">
        <w:rPr>
          <w:rFonts w:asciiTheme="majorHAnsi" w:hAnsiTheme="majorHAnsi"/>
          <w:sz w:val="20"/>
          <w:szCs w:val="20"/>
          <w:lang w:val="pt-BR"/>
        </w:rPr>
        <w:t>s o</w:t>
      </w:r>
      <w:r w:rsidR="00476A0D" w:rsidRPr="006D1C74">
        <w:rPr>
          <w:rFonts w:asciiTheme="majorHAnsi" w:hAnsiTheme="majorHAnsi"/>
          <w:sz w:val="20"/>
          <w:szCs w:val="20"/>
          <w:lang w:val="pt-BR"/>
        </w:rPr>
        <w:t>u</w:t>
      </w:r>
      <w:r w:rsidRPr="006D1C74">
        <w:rPr>
          <w:rFonts w:asciiTheme="majorHAnsi" w:hAnsiTheme="majorHAnsi"/>
          <w:sz w:val="20"/>
          <w:szCs w:val="20"/>
          <w:lang w:val="pt-BR"/>
        </w:rPr>
        <w:t xml:space="preserve"> grupos que </w:t>
      </w:r>
      <w:r w:rsidR="00A3040B" w:rsidRPr="006D1C74">
        <w:rPr>
          <w:rFonts w:asciiTheme="majorHAnsi" w:hAnsiTheme="majorHAnsi"/>
          <w:sz w:val="20"/>
          <w:szCs w:val="20"/>
          <w:lang w:val="pt-BR"/>
        </w:rPr>
        <w:t>estavam</w:t>
      </w:r>
      <w:r w:rsidRPr="006D1C74">
        <w:rPr>
          <w:rFonts w:asciiTheme="majorHAnsi" w:hAnsiTheme="majorHAnsi"/>
          <w:sz w:val="20"/>
          <w:szCs w:val="20"/>
          <w:lang w:val="pt-BR"/>
        </w:rPr>
        <w:t xml:space="preserve"> </w:t>
      </w:r>
      <w:r w:rsidR="00517ACA" w:rsidRPr="006D1C74">
        <w:rPr>
          <w:rFonts w:asciiTheme="majorHAnsi" w:hAnsiTheme="majorHAnsi"/>
          <w:sz w:val="20"/>
          <w:szCs w:val="20"/>
          <w:lang w:val="pt-BR"/>
        </w:rPr>
        <w:t>interessados</w:t>
      </w:r>
      <w:r w:rsidR="00FC2F62" w:rsidRPr="006D1C74">
        <w:rPr>
          <w:rFonts w:asciiTheme="majorHAnsi" w:hAnsiTheme="majorHAnsi"/>
          <w:sz w:val="20"/>
          <w:szCs w:val="20"/>
          <w:lang w:val="pt-BR"/>
        </w:rPr>
        <w:t xml:space="preserve"> no </w:t>
      </w:r>
      <w:r w:rsidRPr="006D1C74">
        <w:rPr>
          <w:rFonts w:asciiTheme="majorHAnsi" w:hAnsiTheme="majorHAnsi"/>
          <w:sz w:val="20"/>
          <w:szCs w:val="20"/>
          <w:lang w:val="pt-BR"/>
        </w:rPr>
        <w:t>delito o</w:t>
      </w:r>
      <w:r w:rsidR="00476A0D" w:rsidRPr="006D1C74">
        <w:rPr>
          <w:rFonts w:asciiTheme="majorHAnsi" w:hAnsiTheme="majorHAnsi"/>
          <w:sz w:val="20"/>
          <w:szCs w:val="20"/>
          <w:lang w:val="pt-BR"/>
        </w:rPr>
        <w:t>u</w:t>
      </w:r>
      <w:r w:rsidRPr="006D1C74">
        <w:rPr>
          <w:rFonts w:asciiTheme="majorHAnsi" w:hAnsiTheme="majorHAnsi"/>
          <w:sz w:val="20"/>
          <w:szCs w:val="20"/>
          <w:lang w:val="pt-BR"/>
        </w:rPr>
        <w:t xml:space="preserve"> se </w:t>
      </w:r>
      <w:r w:rsidR="00A3040B" w:rsidRPr="006D1C74">
        <w:rPr>
          <w:rFonts w:asciiTheme="majorHAnsi" w:hAnsiTheme="majorHAnsi"/>
          <w:sz w:val="20"/>
          <w:szCs w:val="20"/>
          <w:lang w:val="pt-BR"/>
        </w:rPr>
        <w:t>beneficiaram</w:t>
      </w:r>
      <w:r w:rsidR="00030019" w:rsidRPr="006D1C74">
        <w:rPr>
          <w:rFonts w:asciiTheme="majorHAnsi" w:hAnsiTheme="majorHAnsi"/>
          <w:sz w:val="20"/>
          <w:szCs w:val="20"/>
          <w:lang w:val="pt-BR"/>
        </w:rPr>
        <w:t xml:space="preserve"> do </w:t>
      </w:r>
      <w:r w:rsidR="00517ACA" w:rsidRPr="006D1C74">
        <w:rPr>
          <w:rFonts w:asciiTheme="majorHAnsi" w:hAnsiTheme="majorHAnsi"/>
          <w:sz w:val="20"/>
          <w:szCs w:val="20"/>
          <w:lang w:val="pt-BR"/>
        </w:rPr>
        <w:t>mesmo</w:t>
      </w:r>
      <w:r w:rsidRPr="006D1C74">
        <w:rPr>
          <w:rFonts w:asciiTheme="majorHAnsi" w:hAnsiTheme="majorHAnsi"/>
          <w:sz w:val="20"/>
          <w:szCs w:val="20"/>
          <w:lang w:val="pt-BR"/>
        </w:rPr>
        <w:t xml:space="preserve">, porque </w:t>
      </w:r>
      <w:r w:rsidR="00476A0D" w:rsidRPr="006D1C74">
        <w:rPr>
          <w:rFonts w:asciiTheme="majorHAnsi" w:hAnsiTheme="majorHAnsi"/>
          <w:sz w:val="20"/>
          <w:szCs w:val="20"/>
          <w:lang w:val="pt-BR"/>
        </w:rPr>
        <w:t>is</w:t>
      </w:r>
      <w:r w:rsidRPr="006D1C74">
        <w:rPr>
          <w:rFonts w:asciiTheme="majorHAnsi" w:hAnsiTheme="majorHAnsi"/>
          <w:sz w:val="20"/>
          <w:szCs w:val="20"/>
          <w:lang w:val="pt-BR"/>
        </w:rPr>
        <w:t xml:space="preserve">so </w:t>
      </w:r>
      <w:r w:rsidR="00A3040B" w:rsidRPr="006D1C74">
        <w:rPr>
          <w:rFonts w:asciiTheme="majorHAnsi" w:hAnsiTheme="majorHAnsi"/>
          <w:sz w:val="20"/>
          <w:szCs w:val="20"/>
          <w:lang w:val="pt-BR"/>
        </w:rPr>
        <w:t>poderia</w:t>
      </w:r>
      <w:r w:rsidRPr="006D1C74">
        <w:rPr>
          <w:rFonts w:asciiTheme="majorHAnsi" w:hAnsiTheme="majorHAnsi"/>
          <w:sz w:val="20"/>
          <w:szCs w:val="20"/>
          <w:lang w:val="pt-BR"/>
        </w:rPr>
        <w:t xml:space="preserve"> facilitar</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formula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de </w:t>
      </w:r>
      <w:r w:rsidR="00A3040B" w:rsidRPr="006D1C74">
        <w:rPr>
          <w:rFonts w:asciiTheme="majorHAnsi" w:hAnsiTheme="majorHAnsi"/>
          <w:sz w:val="20"/>
          <w:szCs w:val="20"/>
          <w:lang w:val="pt-BR"/>
        </w:rPr>
        <w:t>hipóteses</w:t>
      </w:r>
      <w:r w:rsidR="00CF037E" w:rsidRPr="006D1C74">
        <w:rPr>
          <w:rFonts w:asciiTheme="majorHAnsi" w:hAnsiTheme="majorHAnsi"/>
          <w:sz w:val="20"/>
          <w:szCs w:val="20"/>
          <w:lang w:val="pt-BR"/>
        </w:rPr>
        <w:t xml:space="preserve"> e </w:t>
      </w:r>
      <w:r w:rsidRPr="006D1C74">
        <w:rPr>
          <w:rFonts w:asciiTheme="majorHAnsi" w:hAnsiTheme="majorHAnsi"/>
          <w:sz w:val="20"/>
          <w:szCs w:val="20"/>
          <w:lang w:val="pt-BR"/>
        </w:rPr>
        <w:t>l</w:t>
      </w:r>
      <w:r w:rsidR="003C571A">
        <w:rPr>
          <w:rFonts w:asciiTheme="majorHAnsi" w:hAnsiTheme="majorHAnsi"/>
          <w:sz w:val="20"/>
          <w:szCs w:val="20"/>
          <w:lang w:val="pt-BR"/>
        </w:rPr>
        <w:t>inh</w:t>
      </w:r>
      <w:r w:rsidRPr="006D1C74">
        <w:rPr>
          <w:rFonts w:asciiTheme="majorHAnsi" w:hAnsiTheme="majorHAnsi"/>
          <w:sz w:val="20"/>
          <w:szCs w:val="20"/>
          <w:lang w:val="pt-BR"/>
        </w:rPr>
        <w:t>as de investiga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Portanto,</w:t>
      </w:r>
      <w:r w:rsidR="00F673C7" w:rsidRPr="006D1C74">
        <w:rPr>
          <w:rFonts w:asciiTheme="majorHAnsi" w:hAnsiTheme="majorHAnsi"/>
          <w:sz w:val="20"/>
          <w:szCs w:val="20"/>
          <w:lang w:val="pt-BR"/>
        </w:rPr>
        <w:t xml:space="preserve"> não </w:t>
      </w:r>
      <w:r w:rsidRPr="006D1C74">
        <w:rPr>
          <w:rFonts w:asciiTheme="majorHAnsi" w:hAnsiTheme="majorHAnsi"/>
          <w:sz w:val="20"/>
          <w:szCs w:val="20"/>
          <w:lang w:val="pt-BR"/>
        </w:rPr>
        <w:t xml:space="preserve">se trata de </w:t>
      </w:r>
      <w:r w:rsidR="00A3040B" w:rsidRPr="006D1C74">
        <w:rPr>
          <w:rFonts w:asciiTheme="majorHAnsi" w:hAnsiTheme="majorHAnsi"/>
          <w:sz w:val="20"/>
          <w:szCs w:val="20"/>
          <w:lang w:val="pt-BR"/>
        </w:rPr>
        <w:t>analisar</w:t>
      </w:r>
      <w:r w:rsidR="00030019" w:rsidRPr="006D1C74">
        <w:rPr>
          <w:rFonts w:asciiTheme="majorHAnsi" w:hAnsiTheme="majorHAnsi"/>
          <w:sz w:val="20"/>
          <w:szCs w:val="20"/>
          <w:lang w:val="pt-BR"/>
        </w:rPr>
        <w:t xml:space="preserve"> um </w:t>
      </w:r>
      <w:r w:rsidRPr="006D1C74">
        <w:rPr>
          <w:rFonts w:asciiTheme="majorHAnsi" w:hAnsiTheme="majorHAnsi"/>
          <w:sz w:val="20"/>
          <w:szCs w:val="20"/>
          <w:lang w:val="pt-BR"/>
        </w:rPr>
        <w:t xml:space="preserve">delito de </w:t>
      </w:r>
      <w:r w:rsidR="00A3040B" w:rsidRPr="006D1C74">
        <w:rPr>
          <w:rFonts w:asciiTheme="majorHAnsi" w:hAnsiTheme="majorHAnsi"/>
          <w:sz w:val="20"/>
          <w:szCs w:val="20"/>
          <w:lang w:val="pt-BR"/>
        </w:rPr>
        <w:t>maneira</w:t>
      </w:r>
      <w:r w:rsidRPr="006D1C74">
        <w:rPr>
          <w:rFonts w:asciiTheme="majorHAnsi" w:hAnsiTheme="majorHAnsi"/>
          <w:sz w:val="20"/>
          <w:szCs w:val="20"/>
          <w:lang w:val="pt-BR"/>
        </w:rPr>
        <w:t xml:space="preserve"> </w:t>
      </w:r>
      <w:r w:rsidR="00517ACA" w:rsidRPr="006D1C74">
        <w:rPr>
          <w:rFonts w:asciiTheme="majorHAnsi" w:hAnsiTheme="majorHAnsi"/>
          <w:sz w:val="20"/>
          <w:szCs w:val="20"/>
          <w:lang w:val="pt-BR"/>
        </w:rPr>
        <w:t>isolada</w:t>
      </w:r>
      <w:r w:rsidRPr="006D1C74">
        <w:rPr>
          <w:rFonts w:asciiTheme="majorHAnsi" w:hAnsiTheme="majorHAnsi"/>
          <w:sz w:val="20"/>
          <w:szCs w:val="20"/>
          <w:lang w:val="pt-BR"/>
        </w:rPr>
        <w:t xml:space="preserve">, </w:t>
      </w:r>
      <w:r w:rsidR="00476A0D" w:rsidRPr="006D1C74">
        <w:rPr>
          <w:rFonts w:asciiTheme="majorHAnsi" w:hAnsiTheme="majorHAnsi"/>
          <w:sz w:val="20"/>
          <w:szCs w:val="20"/>
          <w:lang w:val="pt-BR"/>
        </w:rPr>
        <w:t>mas</w:t>
      </w:r>
      <w:r w:rsidR="00F673C7" w:rsidRPr="006D1C74">
        <w:rPr>
          <w:rFonts w:asciiTheme="majorHAnsi" w:hAnsiTheme="majorHAnsi"/>
          <w:sz w:val="20"/>
          <w:szCs w:val="20"/>
          <w:lang w:val="pt-BR"/>
        </w:rPr>
        <w:t xml:space="preserve"> </w:t>
      </w:r>
      <w:r w:rsidR="00476A0D" w:rsidRPr="006D1C74">
        <w:rPr>
          <w:rFonts w:asciiTheme="majorHAnsi" w:hAnsiTheme="majorHAnsi"/>
          <w:sz w:val="20"/>
          <w:szCs w:val="20"/>
          <w:lang w:val="pt-BR"/>
        </w:rPr>
        <w:t>n</w:t>
      </w:r>
      <w:r w:rsidR="00030019" w:rsidRPr="006D1C74">
        <w:rPr>
          <w:rFonts w:asciiTheme="majorHAnsi" w:hAnsiTheme="majorHAnsi"/>
          <w:sz w:val="20"/>
          <w:szCs w:val="20"/>
          <w:lang w:val="pt-BR"/>
        </w:rPr>
        <w:t xml:space="preserve">um </w:t>
      </w:r>
      <w:r w:rsidRPr="006D1C74">
        <w:rPr>
          <w:rFonts w:asciiTheme="majorHAnsi" w:hAnsiTheme="majorHAnsi"/>
          <w:sz w:val="20"/>
          <w:szCs w:val="20"/>
          <w:lang w:val="pt-BR"/>
        </w:rPr>
        <w:t>contexto que proporcione</w:t>
      </w:r>
      <w:r w:rsidR="00700267" w:rsidRPr="006D1C74">
        <w:rPr>
          <w:rFonts w:asciiTheme="majorHAnsi" w:hAnsiTheme="majorHAnsi"/>
          <w:sz w:val="20"/>
          <w:szCs w:val="20"/>
          <w:lang w:val="pt-BR"/>
        </w:rPr>
        <w:t xml:space="preserve"> os </w:t>
      </w:r>
      <w:r w:rsidRPr="006D1C74">
        <w:rPr>
          <w:rFonts w:asciiTheme="majorHAnsi" w:hAnsiTheme="majorHAnsi"/>
          <w:sz w:val="20"/>
          <w:szCs w:val="20"/>
          <w:lang w:val="pt-BR"/>
        </w:rPr>
        <w:t xml:space="preserve">elementos </w:t>
      </w:r>
      <w:r w:rsidR="00A3040B" w:rsidRPr="006D1C74">
        <w:rPr>
          <w:rFonts w:asciiTheme="majorHAnsi" w:hAnsiTheme="majorHAnsi"/>
          <w:sz w:val="20"/>
          <w:szCs w:val="20"/>
          <w:lang w:val="pt-BR"/>
        </w:rPr>
        <w:t>necessários</w:t>
      </w:r>
      <w:r w:rsidRPr="006D1C74">
        <w:rPr>
          <w:rFonts w:asciiTheme="majorHAnsi" w:hAnsiTheme="majorHAnsi"/>
          <w:sz w:val="20"/>
          <w:szCs w:val="20"/>
          <w:lang w:val="pt-BR"/>
        </w:rPr>
        <w:t xml:space="preserve"> para </w:t>
      </w:r>
      <w:r w:rsidR="00517ACA" w:rsidRPr="006D1C74">
        <w:rPr>
          <w:rFonts w:asciiTheme="majorHAnsi" w:hAnsiTheme="majorHAnsi"/>
          <w:sz w:val="20"/>
          <w:szCs w:val="20"/>
          <w:lang w:val="pt-BR"/>
        </w:rPr>
        <w:t>compreender</w:t>
      </w:r>
      <w:r w:rsidRPr="006D1C74">
        <w:rPr>
          <w:rFonts w:asciiTheme="majorHAnsi" w:hAnsiTheme="majorHAnsi"/>
          <w:sz w:val="20"/>
          <w:szCs w:val="20"/>
          <w:lang w:val="pt-BR"/>
        </w:rPr>
        <w:t xml:space="preserve"> </w:t>
      </w:r>
      <w:r w:rsidR="00517ACA" w:rsidRPr="006D1C74">
        <w:rPr>
          <w:rFonts w:asciiTheme="majorHAnsi" w:hAnsiTheme="majorHAnsi"/>
          <w:sz w:val="20"/>
          <w:szCs w:val="20"/>
          <w:lang w:val="pt-BR"/>
        </w:rPr>
        <w:t>sua</w:t>
      </w:r>
      <w:r w:rsidRPr="006D1C74">
        <w:rPr>
          <w:rFonts w:asciiTheme="majorHAnsi" w:hAnsiTheme="majorHAnsi"/>
          <w:sz w:val="20"/>
          <w:szCs w:val="20"/>
          <w:lang w:val="pt-BR"/>
        </w:rPr>
        <w:t xml:space="preserve"> </w:t>
      </w:r>
      <w:r w:rsidR="00A3040B" w:rsidRPr="006D1C74">
        <w:rPr>
          <w:rFonts w:asciiTheme="majorHAnsi" w:hAnsiTheme="majorHAnsi"/>
          <w:sz w:val="20"/>
          <w:szCs w:val="20"/>
          <w:lang w:val="pt-BR"/>
        </w:rPr>
        <w:t>estrutura</w:t>
      </w:r>
      <w:r w:rsidRPr="006D1C74">
        <w:rPr>
          <w:rFonts w:asciiTheme="majorHAnsi" w:hAnsiTheme="majorHAnsi"/>
          <w:sz w:val="20"/>
          <w:szCs w:val="20"/>
          <w:lang w:val="pt-BR"/>
        </w:rPr>
        <w:t xml:space="preserve"> de opera</w:t>
      </w:r>
      <w:r w:rsidR="00CF037E" w:rsidRPr="006D1C74">
        <w:rPr>
          <w:rFonts w:asciiTheme="majorHAnsi" w:hAnsiTheme="majorHAnsi"/>
          <w:sz w:val="20"/>
          <w:szCs w:val="20"/>
          <w:lang w:val="pt-BR"/>
        </w:rPr>
        <w:t>ção</w:t>
      </w:r>
      <w:r w:rsidRPr="006D1C74">
        <w:rPr>
          <w:rFonts w:asciiTheme="majorHAnsi" w:hAnsiTheme="majorHAnsi"/>
          <w:sz w:val="20"/>
          <w:szCs w:val="20"/>
          <w:vertAlign w:val="superscript"/>
          <w:lang w:val="pt-BR"/>
        </w:rPr>
        <w:footnoteReference w:id="95"/>
      </w:r>
      <w:r w:rsidRPr="006D1C74">
        <w:rPr>
          <w:rFonts w:asciiTheme="majorHAnsi" w:hAnsiTheme="majorHAnsi"/>
          <w:sz w:val="20"/>
          <w:szCs w:val="20"/>
          <w:lang w:val="pt-BR"/>
        </w:rPr>
        <w:t>.</w:t>
      </w:r>
    </w:p>
    <w:p w14:paraId="22D396E1" w14:textId="77777777" w:rsidR="002649F0" w:rsidRPr="006D1C74" w:rsidRDefault="002649F0" w:rsidP="002649F0">
      <w:pPr>
        <w:ind w:left="720"/>
        <w:rPr>
          <w:rFonts w:asciiTheme="majorHAnsi" w:eastAsia="Cambria" w:hAnsiTheme="majorHAnsi" w:cs="Cambria"/>
          <w:color w:val="000000"/>
          <w:sz w:val="20"/>
          <w:szCs w:val="20"/>
          <w:u w:color="000000"/>
          <w:lang w:val="pt-BR" w:eastAsia="es-ES"/>
        </w:rPr>
      </w:pPr>
    </w:p>
    <w:p w14:paraId="2A500790" w14:textId="77777777" w:rsidR="00833562" w:rsidRPr="006D1C74" w:rsidRDefault="002649F0" w:rsidP="008335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Co</w:t>
      </w:r>
      <w:r w:rsidR="001E14AB" w:rsidRPr="006D1C74">
        <w:rPr>
          <w:rFonts w:asciiTheme="majorHAnsi" w:hAnsiTheme="majorHAnsi"/>
          <w:sz w:val="20"/>
          <w:szCs w:val="20"/>
          <w:lang w:val="pt-BR"/>
        </w:rPr>
        <w:t>nforme indicado n</w:t>
      </w:r>
      <w:r w:rsidR="00700267" w:rsidRPr="006D1C74">
        <w:rPr>
          <w:rFonts w:asciiTheme="majorHAnsi" w:hAnsiTheme="majorHAnsi"/>
          <w:sz w:val="20"/>
          <w:szCs w:val="20"/>
          <w:lang w:val="pt-BR"/>
        </w:rPr>
        <w:t xml:space="preserve">as </w:t>
      </w:r>
      <w:r w:rsidRPr="006D1C74">
        <w:rPr>
          <w:rFonts w:asciiTheme="majorHAnsi" w:hAnsiTheme="majorHAnsi"/>
          <w:sz w:val="20"/>
          <w:szCs w:val="20"/>
          <w:lang w:val="pt-BR"/>
        </w:rPr>
        <w:t>determina</w:t>
      </w:r>
      <w:r w:rsidR="00CF037E" w:rsidRPr="006D1C74">
        <w:rPr>
          <w:rFonts w:asciiTheme="majorHAnsi" w:hAnsiTheme="majorHAnsi"/>
          <w:sz w:val="20"/>
          <w:szCs w:val="20"/>
          <w:lang w:val="pt-BR"/>
        </w:rPr>
        <w:t>ções</w:t>
      </w:r>
      <w:r w:rsidRPr="006D1C74">
        <w:rPr>
          <w:rFonts w:asciiTheme="majorHAnsi" w:hAnsiTheme="majorHAnsi"/>
          <w:sz w:val="20"/>
          <w:szCs w:val="20"/>
          <w:lang w:val="pt-BR"/>
        </w:rPr>
        <w:t xml:space="preserve"> de </w:t>
      </w:r>
      <w:r w:rsidR="00F37852" w:rsidRPr="006D1C74">
        <w:rPr>
          <w:rFonts w:asciiTheme="majorHAnsi" w:hAnsiTheme="majorHAnsi"/>
          <w:sz w:val="20"/>
          <w:szCs w:val="20"/>
          <w:lang w:val="pt-BR"/>
        </w:rPr>
        <w:t>fato</w:t>
      </w:r>
      <w:r w:rsidRPr="006D1C74">
        <w:rPr>
          <w:rFonts w:asciiTheme="majorHAnsi" w:hAnsiTheme="majorHAnsi"/>
          <w:sz w:val="20"/>
          <w:szCs w:val="20"/>
          <w:lang w:val="pt-BR"/>
        </w:rPr>
        <w:t>,</w:t>
      </w:r>
      <w:r w:rsidR="00FC2F62" w:rsidRPr="006D1C74">
        <w:rPr>
          <w:rFonts w:asciiTheme="majorHAnsi" w:hAnsiTheme="majorHAnsi"/>
          <w:sz w:val="20"/>
          <w:szCs w:val="20"/>
          <w:lang w:val="pt-BR"/>
        </w:rPr>
        <w:t xml:space="preserve"> no </w:t>
      </w:r>
      <w:r w:rsidRPr="006D1C74">
        <w:rPr>
          <w:rFonts w:asciiTheme="majorHAnsi" w:hAnsiTheme="majorHAnsi"/>
          <w:sz w:val="20"/>
          <w:szCs w:val="20"/>
          <w:lang w:val="pt-BR"/>
        </w:rPr>
        <w:t>presente caso</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investiga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w:t>
      </w:r>
      <w:r w:rsidR="001E14AB" w:rsidRPr="006D1C74">
        <w:rPr>
          <w:rFonts w:asciiTheme="majorHAnsi" w:hAnsiTheme="majorHAnsi"/>
          <w:sz w:val="20"/>
          <w:szCs w:val="20"/>
          <w:lang w:val="pt-BR"/>
        </w:rPr>
        <w:t>teve</w:t>
      </w:r>
      <w:r w:rsidRPr="006D1C74">
        <w:rPr>
          <w:rFonts w:asciiTheme="majorHAnsi" w:hAnsiTheme="majorHAnsi"/>
          <w:sz w:val="20"/>
          <w:szCs w:val="20"/>
          <w:lang w:val="pt-BR"/>
        </w:rPr>
        <w:t xml:space="preserve"> </w:t>
      </w:r>
      <w:r w:rsidR="00A3040B" w:rsidRPr="006D1C74">
        <w:rPr>
          <w:rFonts w:asciiTheme="majorHAnsi" w:hAnsiTheme="majorHAnsi"/>
          <w:sz w:val="20"/>
          <w:szCs w:val="20"/>
          <w:lang w:val="pt-BR"/>
        </w:rPr>
        <w:t>início</w:t>
      </w:r>
      <w:r w:rsidR="00F673C7" w:rsidRPr="006D1C74">
        <w:rPr>
          <w:rFonts w:asciiTheme="majorHAnsi" w:hAnsiTheme="majorHAnsi"/>
          <w:sz w:val="20"/>
          <w:szCs w:val="20"/>
          <w:lang w:val="pt-BR"/>
        </w:rPr>
        <w:t xml:space="preserve"> em </w:t>
      </w:r>
      <w:r w:rsidR="00C6461F" w:rsidRPr="006D1C74">
        <w:rPr>
          <w:rFonts w:asciiTheme="majorHAnsi" w:hAnsiTheme="majorHAnsi"/>
          <w:sz w:val="20"/>
          <w:szCs w:val="20"/>
          <w:lang w:val="pt-BR"/>
        </w:rPr>
        <w:t>maio</w:t>
      </w:r>
      <w:r w:rsidRPr="006D1C74">
        <w:rPr>
          <w:rFonts w:asciiTheme="majorHAnsi" w:hAnsiTheme="majorHAnsi"/>
          <w:sz w:val="20"/>
          <w:szCs w:val="20"/>
          <w:lang w:val="pt-BR"/>
        </w:rPr>
        <w:t xml:space="preserve"> de 2000. </w:t>
      </w:r>
      <w:r w:rsidR="00B65A5D" w:rsidRPr="006D1C74">
        <w:rPr>
          <w:rFonts w:asciiTheme="majorHAnsi" w:hAnsiTheme="majorHAnsi"/>
          <w:sz w:val="20"/>
          <w:szCs w:val="20"/>
          <w:lang w:val="pt-BR"/>
        </w:rPr>
        <w:t>Em</w:t>
      </w:r>
      <w:r w:rsidRPr="006D1C74">
        <w:rPr>
          <w:rFonts w:asciiTheme="majorHAnsi" w:hAnsiTheme="majorHAnsi"/>
          <w:sz w:val="20"/>
          <w:szCs w:val="20"/>
          <w:lang w:val="pt-BR"/>
        </w:rPr>
        <w:t xml:space="preserve"> 9 de </w:t>
      </w:r>
      <w:r w:rsidR="00055622" w:rsidRPr="006D1C74">
        <w:rPr>
          <w:rFonts w:asciiTheme="majorHAnsi" w:hAnsiTheme="majorHAnsi"/>
          <w:sz w:val="20"/>
          <w:szCs w:val="20"/>
          <w:lang w:val="pt-BR"/>
        </w:rPr>
        <w:t>outubro</w:t>
      </w:r>
      <w:r w:rsidRPr="006D1C74">
        <w:rPr>
          <w:rFonts w:asciiTheme="majorHAnsi" w:hAnsiTheme="majorHAnsi"/>
          <w:sz w:val="20"/>
          <w:szCs w:val="20"/>
          <w:lang w:val="pt-BR"/>
        </w:rPr>
        <w:t xml:space="preserve"> de 2000,</w:t>
      </w:r>
      <w:r w:rsidR="00700267" w:rsidRPr="006D1C74">
        <w:rPr>
          <w:rFonts w:asciiTheme="majorHAnsi" w:hAnsiTheme="majorHAnsi"/>
          <w:sz w:val="20"/>
          <w:szCs w:val="20"/>
          <w:lang w:val="pt-BR"/>
        </w:rPr>
        <w:t xml:space="preserve"> o </w:t>
      </w:r>
      <w:r w:rsidRPr="006D1C74">
        <w:rPr>
          <w:rFonts w:asciiTheme="majorHAnsi" w:hAnsiTheme="majorHAnsi"/>
          <w:sz w:val="20"/>
          <w:szCs w:val="20"/>
          <w:lang w:val="pt-BR"/>
        </w:rPr>
        <w:t>representante</w:t>
      </w:r>
      <w:r w:rsidR="00030019" w:rsidRPr="006D1C74">
        <w:rPr>
          <w:rFonts w:asciiTheme="majorHAnsi" w:hAnsiTheme="majorHAnsi"/>
          <w:sz w:val="20"/>
          <w:szCs w:val="20"/>
          <w:lang w:val="pt-BR"/>
        </w:rPr>
        <w:t xml:space="preserve"> do </w:t>
      </w:r>
      <w:r w:rsidR="001E7651" w:rsidRPr="006D1C74">
        <w:rPr>
          <w:rFonts w:asciiTheme="majorHAnsi" w:hAnsiTheme="majorHAnsi"/>
          <w:sz w:val="20"/>
          <w:szCs w:val="20"/>
          <w:lang w:val="pt-BR"/>
        </w:rPr>
        <w:t>Ministério</w:t>
      </w:r>
      <w:r w:rsidRPr="006D1C74">
        <w:rPr>
          <w:rFonts w:asciiTheme="majorHAnsi" w:hAnsiTheme="majorHAnsi"/>
          <w:sz w:val="20"/>
          <w:szCs w:val="20"/>
          <w:lang w:val="pt-BR"/>
        </w:rPr>
        <w:t xml:space="preserve"> Público Militar </w:t>
      </w:r>
      <w:r w:rsidR="001E14AB" w:rsidRPr="006D1C74">
        <w:rPr>
          <w:rFonts w:asciiTheme="majorHAnsi" w:hAnsiTheme="majorHAnsi"/>
          <w:sz w:val="20"/>
          <w:szCs w:val="20"/>
          <w:lang w:val="pt-BR"/>
        </w:rPr>
        <w:t>a</w:t>
      </w:r>
      <w:r w:rsidRPr="006D1C74">
        <w:rPr>
          <w:rFonts w:asciiTheme="majorHAnsi" w:hAnsiTheme="majorHAnsi"/>
          <w:sz w:val="20"/>
          <w:szCs w:val="20"/>
          <w:lang w:val="pt-BR"/>
        </w:rPr>
        <w:t>present</w:t>
      </w:r>
      <w:r w:rsidR="001E14AB" w:rsidRPr="006D1C74">
        <w:rPr>
          <w:rFonts w:asciiTheme="majorHAnsi" w:hAnsiTheme="majorHAnsi"/>
          <w:sz w:val="20"/>
          <w:szCs w:val="20"/>
          <w:lang w:val="pt-BR"/>
        </w:rPr>
        <w:t>ou</w:t>
      </w:r>
      <w:r w:rsidR="00030019" w:rsidRPr="006D1C74">
        <w:rPr>
          <w:rFonts w:asciiTheme="majorHAnsi" w:hAnsiTheme="majorHAnsi"/>
          <w:sz w:val="20"/>
          <w:szCs w:val="20"/>
          <w:lang w:val="pt-BR"/>
        </w:rPr>
        <w:t xml:space="preserve"> um </w:t>
      </w:r>
      <w:r w:rsidRPr="006D1C74">
        <w:rPr>
          <w:rFonts w:asciiTheme="majorHAnsi" w:hAnsiTheme="majorHAnsi"/>
          <w:sz w:val="20"/>
          <w:szCs w:val="20"/>
          <w:lang w:val="pt-BR"/>
        </w:rPr>
        <w:t xml:space="preserve">pedido de </w:t>
      </w:r>
      <w:r w:rsidR="00616640" w:rsidRPr="006D1C74">
        <w:rPr>
          <w:rFonts w:asciiTheme="majorHAnsi" w:hAnsiTheme="majorHAnsi"/>
          <w:sz w:val="20"/>
          <w:szCs w:val="20"/>
          <w:lang w:val="pt-BR"/>
        </w:rPr>
        <w:t>arquivamento</w:t>
      </w:r>
      <w:r w:rsidR="00795010" w:rsidRPr="006D1C74">
        <w:rPr>
          <w:rFonts w:asciiTheme="majorHAnsi" w:hAnsiTheme="majorHAnsi"/>
          <w:sz w:val="20"/>
          <w:szCs w:val="20"/>
          <w:lang w:val="pt-BR"/>
        </w:rPr>
        <w:t xml:space="preserve"> da </w:t>
      </w:r>
      <w:r w:rsidRPr="006D1C74">
        <w:rPr>
          <w:rFonts w:asciiTheme="majorHAnsi" w:hAnsiTheme="majorHAnsi"/>
          <w:sz w:val="20"/>
          <w:szCs w:val="20"/>
          <w:lang w:val="pt-BR"/>
        </w:rPr>
        <w:t>investiga</w:t>
      </w:r>
      <w:r w:rsidR="00CF037E" w:rsidRPr="006D1C74">
        <w:rPr>
          <w:rFonts w:asciiTheme="majorHAnsi" w:hAnsiTheme="majorHAnsi"/>
          <w:sz w:val="20"/>
          <w:szCs w:val="20"/>
          <w:lang w:val="pt-BR"/>
        </w:rPr>
        <w:t>ção</w:t>
      </w:r>
      <w:r w:rsidR="00795010" w:rsidRPr="006D1C74">
        <w:rPr>
          <w:rFonts w:asciiTheme="majorHAnsi" w:hAnsiTheme="majorHAnsi"/>
          <w:sz w:val="20"/>
          <w:szCs w:val="20"/>
          <w:lang w:val="pt-BR"/>
        </w:rPr>
        <w:t xml:space="preserve"> da </w:t>
      </w:r>
      <w:r w:rsidR="00F37852" w:rsidRPr="006D1C74">
        <w:rPr>
          <w:rFonts w:asciiTheme="majorHAnsi" w:hAnsiTheme="majorHAnsi"/>
          <w:sz w:val="20"/>
          <w:szCs w:val="20"/>
          <w:lang w:val="pt-BR"/>
        </w:rPr>
        <w:t>polícia</w:t>
      </w:r>
      <w:r w:rsidRPr="006D1C74">
        <w:rPr>
          <w:rFonts w:asciiTheme="majorHAnsi" w:hAnsiTheme="majorHAnsi"/>
          <w:sz w:val="20"/>
          <w:szCs w:val="20"/>
          <w:lang w:val="pt-BR"/>
        </w:rPr>
        <w:t xml:space="preserve"> militar.</w:t>
      </w:r>
      <w:r w:rsidR="00217759" w:rsidRPr="006D1C74">
        <w:rPr>
          <w:rFonts w:asciiTheme="majorHAnsi" w:hAnsiTheme="majorHAnsi"/>
          <w:sz w:val="20"/>
          <w:szCs w:val="20"/>
          <w:lang w:val="pt-BR"/>
        </w:rPr>
        <w:t xml:space="preserve"> </w:t>
      </w:r>
      <w:r w:rsidR="001E14AB" w:rsidRPr="006D1C74">
        <w:rPr>
          <w:rFonts w:asciiTheme="majorHAnsi" w:hAnsiTheme="majorHAnsi"/>
          <w:sz w:val="20"/>
          <w:szCs w:val="20"/>
          <w:lang w:val="pt-BR"/>
        </w:rPr>
        <w:t>N</w:t>
      </w:r>
      <w:r w:rsidR="00217759" w:rsidRPr="006D1C74">
        <w:rPr>
          <w:rFonts w:asciiTheme="majorHAnsi" w:hAnsiTheme="majorHAnsi"/>
          <w:sz w:val="20"/>
          <w:szCs w:val="20"/>
          <w:lang w:val="pt-BR"/>
        </w:rPr>
        <w:t xml:space="preserve">o </w:t>
      </w:r>
      <w:r w:rsidRPr="006D1C74">
        <w:rPr>
          <w:rFonts w:asciiTheme="majorHAnsi" w:hAnsiTheme="majorHAnsi"/>
          <w:sz w:val="20"/>
          <w:szCs w:val="20"/>
          <w:lang w:val="pt-BR"/>
        </w:rPr>
        <w:t>d</w:t>
      </w:r>
      <w:r w:rsidR="00055622" w:rsidRPr="006D1C74">
        <w:rPr>
          <w:rFonts w:asciiTheme="majorHAnsi" w:hAnsiTheme="majorHAnsi"/>
          <w:sz w:val="20"/>
          <w:szCs w:val="20"/>
          <w:lang w:val="pt-BR"/>
        </w:rPr>
        <w:t>ia</w:t>
      </w:r>
      <w:r w:rsidRPr="006D1C74">
        <w:rPr>
          <w:rFonts w:asciiTheme="majorHAnsi" w:hAnsiTheme="majorHAnsi"/>
          <w:sz w:val="20"/>
          <w:szCs w:val="20"/>
          <w:lang w:val="pt-BR"/>
        </w:rPr>
        <w:t xml:space="preserve"> </w:t>
      </w:r>
      <w:r w:rsidR="00154D0D" w:rsidRPr="006D1C74">
        <w:rPr>
          <w:rFonts w:asciiTheme="majorHAnsi" w:hAnsiTheme="majorHAnsi"/>
          <w:sz w:val="20"/>
          <w:szCs w:val="20"/>
          <w:lang w:val="pt-BR"/>
        </w:rPr>
        <w:t>seguinte</w:t>
      </w:r>
      <w:r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o </w:t>
      </w:r>
      <w:r w:rsidR="008617AD" w:rsidRPr="006D1C74">
        <w:rPr>
          <w:rFonts w:asciiTheme="majorHAnsi" w:hAnsiTheme="majorHAnsi"/>
          <w:sz w:val="20"/>
          <w:szCs w:val="20"/>
          <w:lang w:val="pt-BR"/>
        </w:rPr>
        <w:t>juiz</w:t>
      </w:r>
      <w:r w:rsidRPr="006D1C74">
        <w:rPr>
          <w:rFonts w:asciiTheme="majorHAnsi" w:hAnsiTheme="majorHAnsi"/>
          <w:sz w:val="20"/>
          <w:szCs w:val="20"/>
          <w:lang w:val="pt-BR"/>
        </w:rPr>
        <w:t xml:space="preserve"> auditor militar</w:t>
      </w:r>
      <w:r w:rsidR="009661C6" w:rsidRPr="006D1C74">
        <w:rPr>
          <w:rFonts w:asciiTheme="majorHAnsi" w:hAnsiTheme="majorHAnsi"/>
          <w:sz w:val="20"/>
          <w:szCs w:val="20"/>
          <w:lang w:val="pt-BR"/>
        </w:rPr>
        <w:t xml:space="preserve"> –</w:t>
      </w:r>
      <w:r w:rsidR="001E14AB" w:rsidRPr="006D1C74">
        <w:rPr>
          <w:rFonts w:asciiTheme="majorHAnsi" w:hAnsiTheme="majorHAnsi"/>
          <w:sz w:val="20"/>
          <w:szCs w:val="20"/>
          <w:lang w:val="pt-BR"/>
        </w:rPr>
        <w:t xml:space="preserve"> </w:t>
      </w:r>
      <w:r w:rsidR="00501D1D" w:rsidRPr="006D1C74">
        <w:rPr>
          <w:rFonts w:asciiTheme="majorHAnsi" w:hAnsiTheme="majorHAnsi"/>
          <w:sz w:val="20"/>
          <w:szCs w:val="20"/>
          <w:lang w:val="pt-BR"/>
        </w:rPr>
        <w:t>também</w:t>
      </w:r>
      <w:r w:rsidR="009661C6" w:rsidRPr="006D1C74">
        <w:rPr>
          <w:rFonts w:asciiTheme="majorHAnsi" w:hAnsiTheme="majorHAnsi"/>
          <w:sz w:val="20"/>
          <w:szCs w:val="20"/>
          <w:lang w:val="pt-BR"/>
        </w:rPr>
        <w:t xml:space="preserve"> </w:t>
      </w:r>
      <w:r w:rsidR="00A3040B" w:rsidRPr="006D1C74">
        <w:rPr>
          <w:rFonts w:asciiTheme="majorHAnsi" w:hAnsiTheme="majorHAnsi"/>
          <w:sz w:val="20"/>
          <w:szCs w:val="20"/>
          <w:lang w:val="pt-BR"/>
        </w:rPr>
        <w:t>conhecido</w:t>
      </w:r>
      <w:r w:rsidR="009661C6" w:rsidRPr="006D1C74">
        <w:rPr>
          <w:rFonts w:asciiTheme="majorHAnsi" w:hAnsiTheme="majorHAnsi"/>
          <w:sz w:val="20"/>
          <w:szCs w:val="20"/>
          <w:lang w:val="pt-BR"/>
        </w:rPr>
        <w:t xml:space="preserve"> como </w:t>
      </w:r>
      <w:r w:rsidR="008617AD" w:rsidRPr="006D1C74">
        <w:rPr>
          <w:rFonts w:asciiTheme="majorHAnsi" w:hAnsiTheme="majorHAnsi"/>
          <w:sz w:val="20"/>
          <w:szCs w:val="20"/>
          <w:lang w:val="pt-BR"/>
        </w:rPr>
        <w:t>juiz</w:t>
      </w:r>
      <w:r w:rsidR="009661C6" w:rsidRPr="006D1C74">
        <w:rPr>
          <w:rFonts w:asciiTheme="majorHAnsi" w:hAnsiTheme="majorHAnsi"/>
          <w:sz w:val="20"/>
          <w:szCs w:val="20"/>
          <w:lang w:val="pt-BR"/>
        </w:rPr>
        <w:t xml:space="preserve"> de </w:t>
      </w:r>
      <w:r w:rsidR="00417BE8" w:rsidRPr="006D1C74">
        <w:rPr>
          <w:rFonts w:asciiTheme="majorHAnsi" w:hAnsiTheme="majorHAnsi"/>
          <w:sz w:val="20"/>
          <w:szCs w:val="20"/>
          <w:lang w:val="pt-BR"/>
        </w:rPr>
        <w:t>direito</w:t>
      </w:r>
      <w:r w:rsidR="001E14AB" w:rsidRPr="006D1C74">
        <w:rPr>
          <w:rFonts w:asciiTheme="majorHAnsi" w:hAnsiTheme="majorHAnsi"/>
          <w:sz w:val="20"/>
          <w:szCs w:val="20"/>
          <w:lang w:val="pt-BR"/>
        </w:rPr>
        <w:t xml:space="preserve"> –</w:t>
      </w:r>
      <w:r w:rsidRPr="006D1C74">
        <w:rPr>
          <w:rFonts w:asciiTheme="majorHAnsi" w:hAnsiTheme="majorHAnsi"/>
          <w:sz w:val="20"/>
          <w:szCs w:val="20"/>
          <w:lang w:val="pt-BR"/>
        </w:rPr>
        <w:t xml:space="preserve"> ace</w:t>
      </w:r>
      <w:r w:rsidR="001E14AB" w:rsidRPr="006D1C74">
        <w:rPr>
          <w:rFonts w:asciiTheme="majorHAnsi" w:hAnsiTheme="majorHAnsi"/>
          <w:sz w:val="20"/>
          <w:szCs w:val="20"/>
          <w:lang w:val="pt-BR"/>
        </w:rPr>
        <w:t>itou</w:t>
      </w:r>
      <w:r w:rsidR="00700267" w:rsidRPr="006D1C74">
        <w:rPr>
          <w:rFonts w:asciiTheme="majorHAnsi" w:hAnsiTheme="majorHAnsi"/>
          <w:sz w:val="20"/>
          <w:szCs w:val="20"/>
          <w:lang w:val="pt-BR"/>
        </w:rPr>
        <w:t xml:space="preserve"> o </w:t>
      </w:r>
      <w:r w:rsidRPr="006D1C74">
        <w:rPr>
          <w:rFonts w:asciiTheme="majorHAnsi" w:hAnsiTheme="majorHAnsi"/>
          <w:sz w:val="20"/>
          <w:szCs w:val="20"/>
          <w:lang w:val="pt-BR"/>
        </w:rPr>
        <w:t>pedido.</w:t>
      </w:r>
      <w:r w:rsidR="00F673C7" w:rsidRPr="006D1C74">
        <w:rPr>
          <w:rFonts w:asciiTheme="majorHAnsi" w:hAnsiTheme="majorHAnsi"/>
          <w:sz w:val="20"/>
          <w:szCs w:val="20"/>
          <w:lang w:val="pt-BR"/>
        </w:rPr>
        <w:t xml:space="preserve"> </w:t>
      </w:r>
      <w:r w:rsidR="001E14AB" w:rsidRPr="006D1C74">
        <w:rPr>
          <w:rFonts w:asciiTheme="majorHAnsi" w:hAnsiTheme="majorHAnsi"/>
          <w:sz w:val="20"/>
          <w:szCs w:val="20"/>
          <w:lang w:val="pt-BR"/>
        </w:rPr>
        <w:t>N</w:t>
      </w:r>
      <w:r w:rsidR="00F673C7" w:rsidRPr="006D1C74">
        <w:rPr>
          <w:rFonts w:asciiTheme="majorHAnsi" w:hAnsiTheme="majorHAnsi"/>
          <w:sz w:val="20"/>
          <w:szCs w:val="20"/>
          <w:lang w:val="pt-BR"/>
        </w:rPr>
        <w:t xml:space="preserve">a </w:t>
      </w:r>
      <w:r w:rsidR="00795010" w:rsidRPr="006D1C74">
        <w:rPr>
          <w:rFonts w:asciiTheme="majorHAnsi" w:hAnsiTheme="majorHAnsi"/>
          <w:sz w:val="20"/>
          <w:szCs w:val="20"/>
          <w:lang w:val="pt-BR"/>
        </w:rPr>
        <w:t>justiça</w:t>
      </w:r>
      <w:r w:rsidRPr="006D1C74">
        <w:rPr>
          <w:rFonts w:asciiTheme="majorHAnsi" w:hAnsiTheme="majorHAnsi"/>
          <w:sz w:val="20"/>
          <w:szCs w:val="20"/>
          <w:lang w:val="pt-BR"/>
        </w:rPr>
        <w:t xml:space="preserve"> penal </w:t>
      </w:r>
      <w:r w:rsidR="00BE496A" w:rsidRPr="006D1C74">
        <w:rPr>
          <w:rFonts w:asciiTheme="majorHAnsi" w:hAnsiTheme="majorHAnsi"/>
          <w:sz w:val="20"/>
          <w:szCs w:val="20"/>
          <w:lang w:val="pt-BR"/>
        </w:rPr>
        <w:t>comum</w:t>
      </w:r>
      <w:r w:rsidR="00F673C7" w:rsidRPr="006D1C74">
        <w:rPr>
          <w:rFonts w:asciiTheme="majorHAnsi" w:hAnsiTheme="majorHAnsi"/>
          <w:sz w:val="20"/>
          <w:szCs w:val="20"/>
          <w:lang w:val="pt-BR"/>
        </w:rPr>
        <w:t xml:space="preserve"> não </w:t>
      </w:r>
      <w:r w:rsidRPr="006D1C74">
        <w:rPr>
          <w:rFonts w:asciiTheme="majorHAnsi" w:hAnsiTheme="majorHAnsi"/>
          <w:sz w:val="20"/>
          <w:szCs w:val="20"/>
          <w:lang w:val="pt-BR"/>
        </w:rPr>
        <w:t xml:space="preserve">se </w:t>
      </w:r>
      <w:r w:rsidR="001E14AB" w:rsidRPr="006D1C74">
        <w:rPr>
          <w:rFonts w:asciiTheme="majorHAnsi" w:hAnsiTheme="majorHAnsi"/>
          <w:sz w:val="20"/>
          <w:szCs w:val="20"/>
          <w:lang w:val="pt-BR"/>
        </w:rPr>
        <w:t>deu andamento</w:t>
      </w:r>
      <w:r w:rsidRPr="006D1C74">
        <w:rPr>
          <w:rFonts w:asciiTheme="majorHAnsi" w:hAnsiTheme="majorHAnsi"/>
          <w:sz w:val="20"/>
          <w:szCs w:val="20"/>
          <w:lang w:val="pt-BR"/>
        </w:rPr>
        <w:t xml:space="preserve"> </w:t>
      </w:r>
      <w:r w:rsidR="00217759" w:rsidRPr="006D1C74">
        <w:rPr>
          <w:rFonts w:asciiTheme="majorHAnsi" w:hAnsiTheme="majorHAnsi"/>
          <w:sz w:val="20"/>
          <w:szCs w:val="20"/>
          <w:lang w:val="pt-BR"/>
        </w:rPr>
        <w:t xml:space="preserve">ao </w:t>
      </w:r>
      <w:r w:rsidR="00AB7F30" w:rsidRPr="006D1C74">
        <w:rPr>
          <w:rFonts w:asciiTheme="majorHAnsi" w:hAnsiTheme="majorHAnsi"/>
          <w:sz w:val="20"/>
          <w:szCs w:val="20"/>
          <w:lang w:val="pt-BR"/>
        </w:rPr>
        <w:t>processo</w:t>
      </w:r>
      <w:r w:rsidRPr="006D1C74">
        <w:rPr>
          <w:rFonts w:asciiTheme="majorHAnsi" w:hAnsiTheme="majorHAnsi"/>
          <w:sz w:val="20"/>
          <w:szCs w:val="20"/>
          <w:lang w:val="pt-BR"/>
        </w:rPr>
        <w:t xml:space="preserve"> por consider</w:t>
      </w:r>
      <w:r w:rsidR="001E14AB" w:rsidRPr="006D1C74">
        <w:rPr>
          <w:rFonts w:asciiTheme="majorHAnsi" w:hAnsiTheme="majorHAnsi"/>
          <w:sz w:val="20"/>
          <w:szCs w:val="20"/>
          <w:lang w:val="pt-BR"/>
        </w:rPr>
        <w:t>á-</w:t>
      </w:r>
      <w:r w:rsidRPr="006D1C74">
        <w:rPr>
          <w:rFonts w:asciiTheme="majorHAnsi" w:hAnsiTheme="majorHAnsi"/>
          <w:sz w:val="20"/>
          <w:szCs w:val="20"/>
          <w:lang w:val="pt-BR"/>
        </w:rPr>
        <w:t>lo co</w:t>
      </w:r>
      <w:r w:rsidR="003C571A">
        <w:rPr>
          <w:rFonts w:asciiTheme="majorHAnsi" w:hAnsiTheme="majorHAnsi"/>
          <w:sz w:val="20"/>
          <w:szCs w:val="20"/>
          <w:lang w:val="pt-BR"/>
        </w:rPr>
        <w:t>i</w:t>
      </w:r>
      <w:r w:rsidRPr="006D1C74">
        <w:rPr>
          <w:rFonts w:asciiTheme="majorHAnsi" w:hAnsiTheme="majorHAnsi"/>
          <w:sz w:val="20"/>
          <w:szCs w:val="20"/>
          <w:lang w:val="pt-BR"/>
        </w:rPr>
        <w:t xml:space="preserve">sa </w:t>
      </w:r>
      <w:r w:rsidR="00A3040B" w:rsidRPr="006D1C74">
        <w:rPr>
          <w:rFonts w:asciiTheme="majorHAnsi" w:hAnsiTheme="majorHAnsi"/>
          <w:sz w:val="20"/>
          <w:szCs w:val="20"/>
          <w:lang w:val="pt-BR"/>
        </w:rPr>
        <w:t>julgada</w:t>
      </w:r>
      <w:r w:rsidR="00F673C7" w:rsidRPr="006D1C74">
        <w:rPr>
          <w:rFonts w:asciiTheme="majorHAnsi" w:hAnsiTheme="majorHAnsi"/>
          <w:sz w:val="20"/>
          <w:szCs w:val="20"/>
          <w:lang w:val="pt-BR"/>
        </w:rPr>
        <w:t xml:space="preserve"> na </w:t>
      </w:r>
      <w:r w:rsidR="00795010" w:rsidRPr="006D1C74">
        <w:rPr>
          <w:rFonts w:asciiTheme="majorHAnsi" w:hAnsiTheme="majorHAnsi"/>
          <w:sz w:val="20"/>
          <w:szCs w:val="20"/>
          <w:lang w:val="pt-BR"/>
        </w:rPr>
        <w:t>justiça</w:t>
      </w:r>
      <w:r w:rsidRPr="006D1C74">
        <w:rPr>
          <w:rFonts w:asciiTheme="majorHAnsi" w:hAnsiTheme="majorHAnsi"/>
          <w:sz w:val="20"/>
          <w:szCs w:val="20"/>
          <w:lang w:val="pt-BR"/>
        </w:rPr>
        <w:t xml:space="preserve"> militar. </w:t>
      </w:r>
    </w:p>
    <w:p w14:paraId="5B3EE046" w14:textId="77777777" w:rsidR="00833562" w:rsidRPr="006D1C74" w:rsidRDefault="00833562" w:rsidP="00833562">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20"/>
          <w:szCs w:val="20"/>
          <w:lang w:val="pt-BR"/>
        </w:rPr>
      </w:pPr>
    </w:p>
    <w:p w14:paraId="162EC9C7" w14:textId="77777777" w:rsidR="00833562" w:rsidRPr="006D1C74" w:rsidRDefault="000A4A79" w:rsidP="008335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pt-BR"/>
        </w:rPr>
      </w:pPr>
      <w:r w:rsidRPr="006D1C74">
        <w:rPr>
          <w:rFonts w:ascii="Cambria" w:hAnsi="Cambria"/>
          <w:sz w:val="20"/>
          <w:szCs w:val="20"/>
          <w:lang w:val="pt-BR"/>
        </w:rPr>
        <w:t>A</w:t>
      </w:r>
      <w:r w:rsidR="00794F22" w:rsidRPr="006D1C74">
        <w:rPr>
          <w:rFonts w:ascii="Cambria" w:hAnsi="Cambria"/>
          <w:sz w:val="20"/>
          <w:szCs w:val="20"/>
          <w:lang w:val="pt-BR"/>
        </w:rPr>
        <w:t xml:space="preserve"> esse</w:t>
      </w:r>
      <w:r w:rsidRPr="006D1C74">
        <w:rPr>
          <w:rFonts w:ascii="Cambria" w:hAnsi="Cambria"/>
          <w:sz w:val="20"/>
          <w:szCs w:val="20"/>
          <w:lang w:val="pt-BR"/>
        </w:rPr>
        <w:t xml:space="preserve"> </w:t>
      </w:r>
      <w:r w:rsidR="00156036" w:rsidRPr="006D1C74">
        <w:rPr>
          <w:rFonts w:ascii="Cambria" w:hAnsi="Cambria"/>
          <w:sz w:val="20"/>
          <w:szCs w:val="20"/>
          <w:lang w:val="pt-BR"/>
        </w:rPr>
        <w:t>respeito</w:t>
      </w:r>
      <w:r w:rsidRPr="006D1C74">
        <w:rPr>
          <w:rFonts w:ascii="Cambria" w:hAnsi="Cambria"/>
          <w:sz w:val="20"/>
          <w:szCs w:val="20"/>
          <w:lang w:val="pt-BR"/>
        </w:rPr>
        <w:t>, cabe recordar que</w:t>
      </w:r>
      <w:r w:rsidR="00700267" w:rsidRPr="006D1C74">
        <w:rPr>
          <w:rFonts w:ascii="Cambria" w:hAnsi="Cambria"/>
          <w:sz w:val="20"/>
          <w:szCs w:val="20"/>
          <w:lang w:val="pt-BR"/>
        </w:rPr>
        <w:t xml:space="preserve"> a </w:t>
      </w:r>
      <w:r w:rsidR="002649F0" w:rsidRPr="006D1C74">
        <w:rPr>
          <w:rFonts w:ascii="Cambria" w:hAnsi="Cambria"/>
          <w:sz w:val="20"/>
          <w:szCs w:val="20"/>
          <w:lang w:val="pt-BR"/>
        </w:rPr>
        <w:t xml:space="preserve">Corte Interamericana </w:t>
      </w:r>
      <w:r w:rsidR="00696259" w:rsidRPr="006D1C74">
        <w:rPr>
          <w:rFonts w:ascii="Cambria" w:hAnsi="Cambria"/>
          <w:sz w:val="20"/>
          <w:szCs w:val="20"/>
          <w:lang w:val="pt-BR"/>
        </w:rPr>
        <w:t>referiu-</w:t>
      </w:r>
      <w:r w:rsidR="002649F0" w:rsidRPr="006D1C74">
        <w:rPr>
          <w:rFonts w:ascii="Cambria" w:hAnsi="Cambria"/>
          <w:sz w:val="20"/>
          <w:szCs w:val="20"/>
          <w:lang w:val="pt-BR"/>
        </w:rPr>
        <w:t xml:space="preserve">se </w:t>
      </w:r>
      <w:r w:rsidR="00030019" w:rsidRPr="006D1C74">
        <w:rPr>
          <w:rFonts w:ascii="Cambria" w:hAnsi="Cambria"/>
          <w:sz w:val="20"/>
          <w:szCs w:val="20"/>
          <w:lang w:val="pt-BR"/>
        </w:rPr>
        <w:t xml:space="preserve">à </w:t>
      </w:r>
      <w:r w:rsidR="002649F0" w:rsidRPr="006D1C74">
        <w:rPr>
          <w:rFonts w:ascii="Cambria" w:hAnsi="Cambria"/>
          <w:sz w:val="20"/>
          <w:szCs w:val="20"/>
          <w:lang w:val="pt-BR"/>
        </w:rPr>
        <w:t>incompatibili</w:t>
      </w:r>
      <w:r w:rsidR="00F673C7" w:rsidRPr="006D1C74">
        <w:rPr>
          <w:rFonts w:ascii="Cambria" w:hAnsi="Cambria"/>
          <w:sz w:val="20"/>
          <w:szCs w:val="20"/>
          <w:lang w:val="pt-BR"/>
        </w:rPr>
        <w:t xml:space="preserve">dade </w:t>
      </w:r>
      <w:r w:rsidR="00795010" w:rsidRPr="006D1C74">
        <w:rPr>
          <w:rFonts w:ascii="Cambria" w:hAnsi="Cambria"/>
          <w:sz w:val="20"/>
          <w:szCs w:val="20"/>
          <w:lang w:val="pt-BR"/>
        </w:rPr>
        <w:t xml:space="preserve">da </w:t>
      </w:r>
      <w:r w:rsidR="002649F0" w:rsidRPr="006D1C74">
        <w:rPr>
          <w:rFonts w:ascii="Cambria" w:hAnsi="Cambria"/>
          <w:sz w:val="20"/>
          <w:szCs w:val="20"/>
          <w:lang w:val="pt-BR"/>
        </w:rPr>
        <w:t>Conven</w:t>
      </w:r>
      <w:r w:rsidR="00CF037E" w:rsidRPr="006D1C74">
        <w:rPr>
          <w:rFonts w:ascii="Cambria" w:hAnsi="Cambria"/>
          <w:sz w:val="20"/>
          <w:szCs w:val="20"/>
          <w:lang w:val="pt-BR"/>
        </w:rPr>
        <w:t>ção</w:t>
      </w:r>
      <w:r w:rsidR="002649F0" w:rsidRPr="006D1C74">
        <w:rPr>
          <w:rFonts w:ascii="Cambria" w:hAnsi="Cambria"/>
          <w:sz w:val="20"/>
          <w:szCs w:val="20"/>
          <w:lang w:val="pt-BR"/>
        </w:rPr>
        <w:t xml:space="preserve"> Americana</w:t>
      </w:r>
      <w:r w:rsidR="00F673C7" w:rsidRPr="006D1C74">
        <w:rPr>
          <w:rFonts w:ascii="Cambria" w:hAnsi="Cambria"/>
          <w:sz w:val="20"/>
          <w:szCs w:val="20"/>
          <w:lang w:val="pt-BR"/>
        </w:rPr>
        <w:t xml:space="preserve"> com </w:t>
      </w:r>
      <w:r w:rsidR="00700267" w:rsidRPr="006D1C74">
        <w:rPr>
          <w:rFonts w:ascii="Cambria" w:hAnsi="Cambria"/>
          <w:sz w:val="20"/>
          <w:szCs w:val="20"/>
          <w:lang w:val="pt-BR"/>
        </w:rPr>
        <w:t xml:space="preserve">a </w:t>
      </w:r>
      <w:r w:rsidR="002649F0" w:rsidRPr="006D1C74">
        <w:rPr>
          <w:rFonts w:ascii="Cambria" w:hAnsi="Cambria"/>
          <w:sz w:val="20"/>
          <w:szCs w:val="20"/>
          <w:lang w:val="pt-BR"/>
        </w:rPr>
        <w:t>aplica</w:t>
      </w:r>
      <w:r w:rsidR="00CF037E" w:rsidRPr="006D1C74">
        <w:rPr>
          <w:rFonts w:ascii="Cambria" w:hAnsi="Cambria"/>
          <w:sz w:val="20"/>
          <w:szCs w:val="20"/>
          <w:lang w:val="pt-BR"/>
        </w:rPr>
        <w:t>ção</w:t>
      </w:r>
      <w:r w:rsidR="00030019" w:rsidRPr="006D1C74">
        <w:rPr>
          <w:rFonts w:ascii="Cambria" w:hAnsi="Cambria"/>
          <w:sz w:val="20"/>
          <w:szCs w:val="20"/>
          <w:lang w:val="pt-BR"/>
        </w:rPr>
        <w:t xml:space="preserve"> do </w:t>
      </w:r>
      <w:r w:rsidR="002649F0" w:rsidRPr="006D1C74">
        <w:rPr>
          <w:rFonts w:ascii="Cambria" w:hAnsi="Cambria"/>
          <w:sz w:val="20"/>
          <w:szCs w:val="20"/>
          <w:lang w:val="pt-BR"/>
        </w:rPr>
        <w:t>f</w:t>
      </w:r>
      <w:r w:rsidR="00696259" w:rsidRPr="006D1C74">
        <w:rPr>
          <w:rFonts w:ascii="Cambria" w:hAnsi="Cambria"/>
          <w:sz w:val="20"/>
          <w:szCs w:val="20"/>
          <w:lang w:val="pt-BR"/>
        </w:rPr>
        <w:t>o</w:t>
      </w:r>
      <w:r w:rsidR="002649F0" w:rsidRPr="006D1C74">
        <w:rPr>
          <w:rFonts w:ascii="Cambria" w:hAnsi="Cambria"/>
          <w:sz w:val="20"/>
          <w:szCs w:val="20"/>
          <w:lang w:val="pt-BR"/>
        </w:rPr>
        <w:t xml:space="preserve">ro </w:t>
      </w:r>
      <w:r w:rsidR="00A3040B" w:rsidRPr="006D1C74">
        <w:rPr>
          <w:rFonts w:ascii="Cambria" w:hAnsi="Cambria"/>
          <w:sz w:val="20"/>
          <w:szCs w:val="20"/>
          <w:lang w:val="pt-BR"/>
        </w:rPr>
        <w:t>militar</w:t>
      </w:r>
      <w:r w:rsidR="002649F0" w:rsidRPr="006D1C74">
        <w:rPr>
          <w:rFonts w:ascii="Cambria" w:hAnsi="Cambria"/>
          <w:sz w:val="20"/>
          <w:szCs w:val="20"/>
          <w:lang w:val="pt-BR"/>
        </w:rPr>
        <w:t xml:space="preserve"> a pos</w:t>
      </w:r>
      <w:r w:rsidR="00696259" w:rsidRPr="006D1C74">
        <w:rPr>
          <w:rFonts w:ascii="Cambria" w:hAnsi="Cambria"/>
          <w:sz w:val="20"/>
          <w:szCs w:val="20"/>
          <w:lang w:val="pt-BR"/>
        </w:rPr>
        <w:t>sívei</w:t>
      </w:r>
      <w:r w:rsidR="002649F0" w:rsidRPr="006D1C74">
        <w:rPr>
          <w:rFonts w:ascii="Cambria" w:hAnsi="Cambria"/>
          <w:sz w:val="20"/>
          <w:szCs w:val="20"/>
          <w:lang w:val="pt-BR"/>
        </w:rPr>
        <w:t>s viola</w:t>
      </w:r>
      <w:r w:rsidR="00CF037E" w:rsidRPr="006D1C74">
        <w:rPr>
          <w:rFonts w:ascii="Cambria" w:hAnsi="Cambria"/>
          <w:sz w:val="20"/>
          <w:szCs w:val="20"/>
          <w:lang w:val="pt-BR"/>
        </w:rPr>
        <w:t>ções</w:t>
      </w:r>
      <w:r w:rsidR="002649F0" w:rsidRPr="006D1C74">
        <w:rPr>
          <w:rFonts w:ascii="Cambria" w:hAnsi="Cambria"/>
          <w:sz w:val="20"/>
          <w:szCs w:val="20"/>
          <w:lang w:val="pt-BR"/>
        </w:rPr>
        <w:t xml:space="preserve"> de </w:t>
      </w:r>
      <w:r w:rsidR="00417BE8" w:rsidRPr="006D1C74">
        <w:rPr>
          <w:rFonts w:ascii="Cambria" w:hAnsi="Cambria" w:cs="Arial"/>
          <w:sz w:val="20"/>
          <w:szCs w:val="20"/>
          <w:lang w:val="pt-BR"/>
        </w:rPr>
        <w:t>direito</w:t>
      </w:r>
      <w:r w:rsidR="002649F0" w:rsidRPr="006D1C74">
        <w:rPr>
          <w:rFonts w:ascii="Cambria" w:hAnsi="Cambria" w:cs="Arial"/>
          <w:sz w:val="20"/>
          <w:szCs w:val="20"/>
          <w:lang w:val="pt-BR"/>
        </w:rPr>
        <w:t>s</w:t>
      </w:r>
      <w:r w:rsidR="002649F0" w:rsidRPr="006D1C74">
        <w:rPr>
          <w:rFonts w:ascii="Cambria" w:hAnsi="Cambria"/>
          <w:sz w:val="20"/>
          <w:szCs w:val="20"/>
          <w:lang w:val="pt-BR"/>
        </w:rPr>
        <w:t xml:space="preserve"> humanos</w:t>
      </w:r>
      <w:r w:rsidR="00CF037E" w:rsidRPr="006D1C74">
        <w:rPr>
          <w:rFonts w:ascii="Cambria" w:hAnsi="Cambria"/>
          <w:sz w:val="20"/>
          <w:szCs w:val="20"/>
          <w:lang w:val="pt-BR"/>
        </w:rPr>
        <w:t xml:space="preserve"> e </w:t>
      </w:r>
      <w:r w:rsidR="002649F0" w:rsidRPr="006D1C74">
        <w:rPr>
          <w:rFonts w:ascii="Cambria" w:hAnsi="Cambria"/>
          <w:sz w:val="20"/>
          <w:szCs w:val="20"/>
          <w:lang w:val="pt-BR"/>
        </w:rPr>
        <w:t>indic</w:t>
      </w:r>
      <w:r w:rsidR="00696259" w:rsidRPr="006D1C74">
        <w:rPr>
          <w:rFonts w:ascii="Cambria" w:hAnsi="Cambria"/>
          <w:sz w:val="20"/>
          <w:szCs w:val="20"/>
          <w:lang w:val="pt-BR"/>
        </w:rPr>
        <w:t>ou</w:t>
      </w:r>
      <w:r w:rsidR="00B146A8" w:rsidRPr="006D1C74">
        <w:rPr>
          <w:rFonts w:ascii="Cambria" w:hAnsi="Cambria"/>
          <w:sz w:val="20"/>
          <w:szCs w:val="20"/>
          <w:lang w:val="pt-BR"/>
        </w:rPr>
        <w:t xml:space="preserve"> </w:t>
      </w:r>
      <w:r w:rsidR="00696259" w:rsidRPr="006D1C74">
        <w:rPr>
          <w:rFonts w:ascii="Cambria" w:hAnsi="Cambria"/>
          <w:sz w:val="20"/>
          <w:szCs w:val="20"/>
          <w:lang w:val="pt-BR"/>
        </w:rPr>
        <w:t>que seria</w:t>
      </w:r>
      <w:r w:rsidR="00B146A8" w:rsidRPr="006D1C74">
        <w:rPr>
          <w:rFonts w:ascii="Cambria" w:hAnsi="Cambria"/>
          <w:sz w:val="20"/>
          <w:szCs w:val="20"/>
          <w:lang w:val="pt-BR"/>
        </w:rPr>
        <w:t xml:space="preserve"> </w:t>
      </w:r>
      <w:r w:rsidR="002649F0" w:rsidRPr="006D1C74">
        <w:rPr>
          <w:rFonts w:ascii="Cambria" w:hAnsi="Cambria"/>
          <w:sz w:val="20"/>
          <w:szCs w:val="20"/>
          <w:lang w:val="pt-BR"/>
        </w:rPr>
        <w:t>problemático para</w:t>
      </w:r>
      <w:r w:rsidR="00700267" w:rsidRPr="006D1C74">
        <w:rPr>
          <w:rFonts w:ascii="Cambria" w:hAnsi="Cambria"/>
          <w:sz w:val="20"/>
          <w:szCs w:val="20"/>
          <w:lang w:val="pt-BR"/>
        </w:rPr>
        <w:t xml:space="preserve"> a </w:t>
      </w:r>
      <w:r w:rsidR="002649F0" w:rsidRPr="006D1C74">
        <w:rPr>
          <w:rFonts w:ascii="Cambria" w:hAnsi="Cambria"/>
          <w:sz w:val="20"/>
          <w:szCs w:val="20"/>
          <w:lang w:val="pt-BR"/>
        </w:rPr>
        <w:t>garant</w:t>
      </w:r>
      <w:r w:rsidR="00055622" w:rsidRPr="006D1C74">
        <w:rPr>
          <w:rFonts w:ascii="Cambria" w:hAnsi="Cambria"/>
          <w:sz w:val="20"/>
          <w:szCs w:val="20"/>
          <w:lang w:val="pt-BR"/>
        </w:rPr>
        <w:t>ia</w:t>
      </w:r>
      <w:r w:rsidR="00795010" w:rsidRPr="006D1C74">
        <w:rPr>
          <w:rFonts w:ascii="Cambria" w:hAnsi="Cambria"/>
          <w:sz w:val="20"/>
          <w:szCs w:val="20"/>
          <w:lang w:val="pt-BR"/>
        </w:rPr>
        <w:t xml:space="preserve"> da </w:t>
      </w:r>
      <w:r w:rsidR="00A3040B" w:rsidRPr="006D1C74">
        <w:rPr>
          <w:rFonts w:ascii="Cambria" w:hAnsi="Cambria"/>
          <w:sz w:val="20"/>
          <w:szCs w:val="20"/>
          <w:lang w:val="pt-BR"/>
        </w:rPr>
        <w:t>independência</w:t>
      </w:r>
      <w:r w:rsidR="00CF037E" w:rsidRPr="006D1C74">
        <w:rPr>
          <w:rFonts w:ascii="Cambria" w:hAnsi="Cambria"/>
          <w:sz w:val="20"/>
          <w:szCs w:val="20"/>
          <w:lang w:val="pt-BR"/>
        </w:rPr>
        <w:t xml:space="preserve"> e</w:t>
      </w:r>
      <w:r w:rsidR="00700267" w:rsidRPr="006D1C74">
        <w:rPr>
          <w:rFonts w:ascii="Cambria" w:hAnsi="Cambria"/>
          <w:sz w:val="20"/>
          <w:szCs w:val="20"/>
          <w:lang w:val="pt-BR"/>
        </w:rPr>
        <w:t xml:space="preserve"> </w:t>
      </w:r>
      <w:r w:rsidR="002649F0" w:rsidRPr="006D1C74">
        <w:rPr>
          <w:rFonts w:ascii="Cambria" w:hAnsi="Cambria"/>
          <w:sz w:val="20"/>
          <w:szCs w:val="20"/>
          <w:lang w:val="pt-BR"/>
        </w:rPr>
        <w:t>imparciali</w:t>
      </w:r>
      <w:r w:rsidR="00F673C7" w:rsidRPr="006D1C74">
        <w:rPr>
          <w:rFonts w:ascii="Cambria" w:hAnsi="Cambria"/>
          <w:sz w:val="20"/>
          <w:szCs w:val="20"/>
          <w:lang w:val="pt-BR"/>
        </w:rPr>
        <w:t xml:space="preserve">dade </w:t>
      </w:r>
      <w:r w:rsidR="00700267" w:rsidRPr="006D1C74">
        <w:rPr>
          <w:rFonts w:ascii="Cambria" w:hAnsi="Cambria"/>
          <w:sz w:val="20"/>
          <w:szCs w:val="20"/>
          <w:lang w:val="pt-BR"/>
        </w:rPr>
        <w:t xml:space="preserve">o </w:t>
      </w:r>
      <w:r w:rsidR="00F37852" w:rsidRPr="006D1C74">
        <w:rPr>
          <w:rFonts w:ascii="Cambria" w:hAnsi="Cambria"/>
          <w:sz w:val="20"/>
          <w:szCs w:val="20"/>
          <w:lang w:val="pt-BR"/>
        </w:rPr>
        <w:t>fato</w:t>
      </w:r>
      <w:r w:rsidR="002649F0" w:rsidRPr="006D1C74">
        <w:rPr>
          <w:rFonts w:ascii="Cambria" w:hAnsi="Cambria"/>
          <w:sz w:val="20"/>
          <w:szCs w:val="20"/>
          <w:lang w:val="pt-BR"/>
        </w:rPr>
        <w:t xml:space="preserve"> de que </w:t>
      </w:r>
      <w:r w:rsidR="00A3040B" w:rsidRPr="006D1C74">
        <w:rPr>
          <w:rFonts w:ascii="Cambria" w:hAnsi="Cambria"/>
          <w:sz w:val="20"/>
          <w:szCs w:val="20"/>
          <w:lang w:val="pt-BR"/>
        </w:rPr>
        <w:t>sejam</w:t>
      </w:r>
      <w:r w:rsidR="00700267" w:rsidRPr="006D1C74">
        <w:rPr>
          <w:rFonts w:ascii="Cambria" w:hAnsi="Cambria"/>
          <w:sz w:val="20"/>
          <w:szCs w:val="20"/>
          <w:lang w:val="pt-BR"/>
        </w:rPr>
        <w:t xml:space="preserve"> as </w:t>
      </w:r>
      <w:r w:rsidR="00517ACA" w:rsidRPr="006D1C74">
        <w:rPr>
          <w:rFonts w:ascii="Cambria" w:hAnsi="Cambria"/>
          <w:sz w:val="20"/>
          <w:szCs w:val="20"/>
          <w:lang w:val="pt-BR"/>
        </w:rPr>
        <w:t>próprias</w:t>
      </w:r>
      <w:r w:rsidR="002649F0" w:rsidRPr="006D1C74">
        <w:rPr>
          <w:rFonts w:ascii="Cambria" w:hAnsi="Cambria"/>
          <w:sz w:val="20"/>
          <w:szCs w:val="20"/>
          <w:lang w:val="pt-BR"/>
        </w:rPr>
        <w:t xml:space="preserve"> </w:t>
      </w:r>
      <w:r w:rsidR="00B146A8" w:rsidRPr="006D1C74">
        <w:rPr>
          <w:rFonts w:ascii="Cambria" w:hAnsi="Cambria"/>
          <w:sz w:val="20"/>
          <w:szCs w:val="20"/>
          <w:lang w:val="pt-BR"/>
        </w:rPr>
        <w:t>força</w:t>
      </w:r>
      <w:r w:rsidR="002649F0" w:rsidRPr="006D1C74">
        <w:rPr>
          <w:rFonts w:ascii="Cambria" w:hAnsi="Cambria"/>
          <w:sz w:val="20"/>
          <w:szCs w:val="20"/>
          <w:lang w:val="pt-BR"/>
        </w:rPr>
        <w:t>s armadas</w:t>
      </w:r>
      <w:r w:rsidR="00700267" w:rsidRPr="006D1C74">
        <w:rPr>
          <w:rFonts w:ascii="Cambria" w:hAnsi="Cambria"/>
          <w:sz w:val="20"/>
          <w:szCs w:val="20"/>
          <w:lang w:val="pt-BR"/>
        </w:rPr>
        <w:t xml:space="preserve"> as </w:t>
      </w:r>
      <w:r w:rsidR="002649F0" w:rsidRPr="006D1C74">
        <w:rPr>
          <w:rFonts w:ascii="Cambria" w:hAnsi="Cambria"/>
          <w:sz w:val="20"/>
          <w:szCs w:val="20"/>
          <w:lang w:val="pt-BR"/>
        </w:rPr>
        <w:t>“encar</w:t>
      </w:r>
      <w:r w:rsidR="003C571A">
        <w:rPr>
          <w:rFonts w:ascii="Cambria" w:hAnsi="Cambria"/>
          <w:sz w:val="20"/>
          <w:szCs w:val="20"/>
          <w:lang w:val="pt-BR"/>
        </w:rPr>
        <w:t>re</w:t>
      </w:r>
      <w:r w:rsidR="002649F0" w:rsidRPr="006D1C74">
        <w:rPr>
          <w:rFonts w:ascii="Cambria" w:hAnsi="Cambria"/>
          <w:sz w:val="20"/>
          <w:szCs w:val="20"/>
          <w:lang w:val="pt-BR"/>
        </w:rPr>
        <w:t>gadas de ju</w:t>
      </w:r>
      <w:r w:rsidR="00696259" w:rsidRPr="006D1C74">
        <w:rPr>
          <w:rFonts w:ascii="Cambria" w:hAnsi="Cambria"/>
          <w:sz w:val="20"/>
          <w:szCs w:val="20"/>
          <w:lang w:val="pt-BR"/>
        </w:rPr>
        <w:t>l</w:t>
      </w:r>
      <w:r w:rsidR="002649F0" w:rsidRPr="006D1C74">
        <w:rPr>
          <w:rFonts w:ascii="Cambria" w:hAnsi="Cambria"/>
          <w:sz w:val="20"/>
          <w:szCs w:val="20"/>
          <w:lang w:val="pt-BR"/>
        </w:rPr>
        <w:t>gar s</w:t>
      </w:r>
      <w:r w:rsidR="00696259" w:rsidRPr="006D1C74">
        <w:rPr>
          <w:rFonts w:ascii="Cambria" w:hAnsi="Cambria"/>
          <w:sz w:val="20"/>
          <w:szCs w:val="20"/>
          <w:lang w:val="pt-BR"/>
        </w:rPr>
        <w:t>e</w:t>
      </w:r>
      <w:r w:rsidR="002649F0" w:rsidRPr="006D1C74">
        <w:rPr>
          <w:rFonts w:ascii="Cambria" w:hAnsi="Cambria"/>
          <w:sz w:val="20"/>
          <w:szCs w:val="20"/>
          <w:lang w:val="pt-BR"/>
        </w:rPr>
        <w:t>us pares</w:t>
      </w:r>
      <w:r w:rsidR="00F37852" w:rsidRPr="006D1C74">
        <w:rPr>
          <w:rFonts w:ascii="Cambria" w:hAnsi="Cambria"/>
          <w:sz w:val="20"/>
          <w:szCs w:val="20"/>
          <w:lang w:val="pt-BR"/>
        </w:rPr>
        <w:t xml:space="preserve"> pela </w:t>
      </w:r>
      <w:r w:rsidR="00A3040B" w:rsidRPr="006D1C74">
        <w:rPr>
          <w:rFonts w:ascii="Cambria" w:hAnsi="Cambria"/>
          <w:sz w:val="20"/>
          <w:szCs w:val="20"/>
          <w:lang w:val="pt-BR"/>
        </w:rPr>
        <w:t>execução</w:t>
      </w:r>
      <w:r w:rsidR="002649F0" w:rsidRPr="006D1C74">
        <w:rPr>
          <w:rFonts w:ascii="Cambria" w:hAnsi="Cambria"/>
          <w:sz w:val="20"/>
          <w:szCs w:val="20"/>
          <w:lang w:val="pt-BR"/>
        </w:rPr>
        <w:t xml:space="preserve"> de civis”</w:t>
      </w:r>
      <w:r w:rsidR="002649F0" w:rsidRPr="006D1C74">
        <w:rPr>
          <w:rFonts w:ascii="Cambria" w:hAnsi="Cambria"/>
          <w:sz w:val="20"/>
          <w:szCs w:val="20"/>
          <w:vertAlign w:val="superscript"/>
          <w:lang w:val="pt-BR"/>
        </w:rPr>
        <w:footnoteReference w:id="96"/>
      </w:r>
      <w:r w:rsidR="002649F0" w:rsidRPr="006D1C74">
        <w:rPr>
          <w:rFonts w:ascii="Cambria" w:hAnsi="Cambria"/>
          <w:sz w:val="20"/>
          <w:szCs w:val="20"/>
          <w:lang w:val="pt-BR"/>
        </w:rPr>
        <w:t xml:space="preserve">. </w:t>
      </w:r>
      <w:r w:rsidR="002649F0" w:rsidRPr="006D1C74">
        <w:rPr>
          <w:rFonts w:ascii="Cambria" w:hAnsi="Cambria" w:cs="Verdana"/>
          <w:sz w:val="20"/>
          <w:szCs w:val="20"/>
          <w:lang w:val="pt-BR"/>
        </w:rPr>
        <w:t>Desta forma,</w:t>
      </w:r>
      <w:r w:rsidR="00217759" w:rsidRPr="006D1C74">
        <w:rPr>
          <w:rFonts w:ascii="Cambria" w:hAnsi="Cambria" w:cs="Verdana"/>
          <w:sz w:val="20"/>
          <w:szCs w:val="20"/>
          <w:lang w:val="pt-BR"/>
        </w:rPr>
        <w:t xml:space="preserve"> ao </w:t>
      </w:r>
      <w:r w:rsidR="002649F0" w:rsidRPr="006D1C74">
        <w:rPr>
          <w:rFonts w:ascii="Cambria" w:hAnsi="Cambria" w:cs="Verdana"/>
          <w:sz w:val="20"/>
          <w:szCs w:val="20"/>
          <w:lang w:val="pt-BR"/>
        </w:rPr>
        <w:t>tratar</w:t>
      </w:r>
      <w:r w:rsidR="00696259" w:rsidRPr="006D1C74">
        <w:rPr>
          <w:rFonts w:ascii="Cambria" w:hAnsi="Cambria" w:cs="Verdana"/>
          <w:sz w:val="20"/>
          <w:szCs w:val="20"/>
          <w:lang w:val="pt-BR"/>
        </w:rPr>
        <w:t>-</w:t>
      </w:r>
      <w:r w:rsidR="002649F0" w:rsidRPr="006D1C74">
        <w:rPr>
          <w:rFonts w:ascii="Cambria" w:hAnsi="Cambria" w:cs="Verdana"/>
          <w:sz w:val="20"/>
          <w:szCs w:val="20"/>
          <w:lang w:val="pt-BR"/>
        </w:rPr>
        <w:t>se de f</w:t>
      </w:r>
      <w:r w:rsidR="00696259" w:rsidRPr="006D1C74">
        <w:rPr>
          <w:rFonts w:ascii="Cambria" w:hAnsi="Cambria" w:cs="Verdana"/>
          <w:sz w:val="20"/>
          <w:szCs w:val="20"/>
          <w:lang w:val="pt-BR"/>
        </w:rPr>
        <w:t>o</w:t>
      </w:r>
      <w:r w:rsidR="002649F0" w:rsidRPr="006D1C74">
        <w:rPr>
          <w:rFonts w:ascii="Cambria" w:hAnsi="Cambria" w:cs="Verdana"/>
          <w:sz w:val="20"/>
          <w:szCs w:val="20"/>
          <w:lang w:val="pt-BR"/>
        </w:rPr>
        <w:t>ros especi</w:t>
      </w:r>
      <w:r w:rsidR="00700267" w:rsidRPr="006D1C74">
        <w:rPr>
          <w:rFonts w:ascii="Cambria" w:hAnsi="Cambria" w:cs="Verdana"/>
          <w:sz w:val="20"/>
          <w:szCs w:val="20"/>
          <w:lang w:val="pt-BR"/>
        </w:rPr>
        <w:t>ais</w:t>
      </w:r>
      <w:r w:rsidR="002649F0" w:rsidRPr="006D1C74">
        <w:rPr>
          <w:rFonts w:ascii="Cambria" w:hAnsi="Cambria" w:cs="Verdana"/>
          <w:sz w:val="20"/>
          <w:szCs w:val="20"/>
          <w:lang w:val="pt-BR"/>
        </w:rPr>
        <w:t>, como</w:t>
      </w:r>
      <w:r w:rsidR="00700267" w:rsidRPr="006D1C74">
        <w:rPr>
          <w:rFonts w:ascii="Cambria" w:hAnsi="Cambria" w:cs="Verdana"/>
          <w:sz w:val="20"/>
          <w:szCs w:val="20"/>
          <w:lang w:val="pt-BR"/>
        </w:rPr>
        <w:t xml:space="preserve"> a </w:t>
      </w:r>
      <w:r w:rsidR="002649F0" w:rsidRPr="006D1C74">
        <w:rPr>
          <w:rFonts w:ascii="Cambria" w:hAnsi="Cambria" w:cs="Verdana"/>
          <w:sz w:val="20"/>
          <w:szCs w:val="20"/>
          <w:lang w:val="pt-BR"/>
        </w:rPr>
        <w:t>jurisdi</w:t>
      </w:r>
      <w:r w:rsidR="00CF037E" w:rsidRPr="006D1C74">
        <w:rPr>
          <w:rFonts w:ascii="Cambria" w:hAnsi="Cambria" w:cs="Verdana"/>
          <w:sz w:val="20"/>
          <w:szCs w:val="20"/>
          <w:lang w:val="pt-BR"/>
        </w:rPr>
        <w:t>ção</w:t>
      </w:r>
      <w:r w:rsidR="002649F0" w:rsidRPr="006D1C74">
        <w:rPr>
          <w:rFonts w:ascii="Cambria" w:hAnsi="Cambria" w:cs="Verdana"/>
          <w:sz w:val="20"/>
          <w:szCs w:val="20"/>
          <w:lang w:val="pt-BR"/>
        </w:rPr>
        <w:t xml:space="preserve"> militar,</w:t>
      </w:r>
      <w:r w:rsidR="00700267" w:rsidRPr="006D1C74">
        <w:rPr>
          <w:rFonts w:ascii="Cambria" w:hAnsi="Cambria" w:cs="Verdana"/>
          <w:sz w:val="20"/>
          <w:szCs w:val="20"/>
          <w:lang w:val="pt-BR"/>
        </w:rPr>
        <w:t xml:space="preserve"> a </w:t>
      </w:r>
      <w:r w:rsidR="002649F0" w:rsidRPr="006D1C74">
        <w:rPr>
          <w:rFonts w:ascii="Cambria" w:hAnsi="Cambria" w:cs="Verdana"/>
          <w:sz w:val="20"/>
          <w:szCs w:val="20"/>
          <w:lang w:val="pt-BR"/>
        </w:rPr>
        <w:t xml:space="preserve">Corte </w:t>
      </w:r>
      <w:r w:rsidR="00696259" w:rsidRPr="006D1C74">
        <w:rPr>
          <w:rFonts w:ascii="Cambria" w:hAnsi="Cambria" w:cs="Verdana"/>
          <w:sz w:val="20"/>
          <w:szCs w:val="20"/>
          <w:lang w:val="pt-BR"/>
        </w:rPr>
        <w:t>assinalou</w:t>
      </w:r>
      <w:r w:rsidR="002649F0" w:rsidRPr="006D1C74">
        <w:rPr>
          <w:rFonts w:ascii="Cambria" w:hAnsi="Cambria" w:cs="Verdana"/>
          <w:sz w:val="20"/>
          <w:szCs w:val="20"/>
          <w:lang w:val="pt-BR"/>
        </w:rPr>
        <w:t xml:space="preserve"> que so</w:t>
      </w:r>
      <w:r w:rsidR="00696259" w:rsidRPr="006D1C74">
        <w:rPr>
          <w:rFonts w:ascii="Cambria" w:hAnsi="Cambria" w:cs="Verdana"/>
          <w:sz w:val="20"/>
          <w:szCs w:val="20"/>
          <w:lang w:val="pt-BR"/>
        </w:rPr>
        <w:t>mente</w:t>
      </w:r>
      <w:r w:rsidR="002649F0" w:rsidRPr="006D1C74">
        <w:rPr>
          <w:rFonts w:ascii="Cambria" w:hAnsi="Cambria" w:cs="Verdana"/>
          <w:sz w:val="20"/>
          <w:szCs w:val="20"/>
          <w:lang w:val="pt-BR"/>
        </w:rPr>
        <w:t xml:space="preserve"> </w:t>
      </w:r>
      <w:r w:rsidR="00A3040B" w:rsidRPr="006D1C74">
        <w:rPr>
          <w:rFonts w:ascii="Cambria" w:hAnsi="Cambria" w:cs="Verdana"/>
          <w:sz w:val="20"/>
          <w:szCs w:val="20"/>
          <w:lang w:val="pt-BR"/>
        </w:rPr>
        <w:t>devem</w:t>
      </w:r>
      <w:r w:rsidR="002649F0" w:rsidRPr="006D1C74">
        <w:rPr>
          <w:rFonts w:ascii="Cambria" w:hAnsi="Cambria" w:cs="Verdana"/>
          <w:sz w:val="20"/>
          <w:szCs w:val="20"/>
          <w:lang w:val="pt-BR"/>
        </w:rPr>
        <w:t xml:space="preserve"> </w:t>
      </w:r>
      <w:r w:rsidR="00517ACA" w:rsidRPr="006D1C74">
        <w:rPr>
          <w:rFonts w:ascii="Cambria" w:hAnsi="Cambria" w:cs="Verdana"/>
          <w:sz w:val="20"/>
          <w:szCs w:val="20"/>
          <w:lang w:val="pt-BR"/>
        </w:rPr>
        <w:t>julgar</w:t>
      </w:r>
      <w:r w:rsidR="002649F0" w:rsidRPr="006D1C74">
        <w:rPr>
          <w:rFonts w:ascii="Cambria" w:hAnsi="Cambria" w:cs="Verdana"/>
          <w:sz w:val="20"/>
          <w:szCs w:val="20"/>
          <w:lang w:val="pt-BR"/>
        </w:rPr>
        <w:t xml:space="preserve"> </w:t>
      </w:r>
      <w:r w:rsidR="00CA7940" w:rsidRPr="006D1C74">
        <w:rPr>
          <w:rFonts w:ascii="Cambria" w:hAnsi="Cambria" w:cs="Verdana"/>
          <w:sz w:val="20"/>
          <w:szCs w:val="20"/>
          <w:lang w:val="pt-BR"/>
        </w:rPr>
        <w:t>pessoa</w:t>
      </w:r>
      <w:r w:rsidR="002649F0" w:rsidRPr="006D1C74">
        <w:rPr>
          <w:rFonts w:ascii="Cambria" w:hAnsi="Cambria" w:cs="Verdana"/>
          <w:sz w:val="20"/>
          <w:szCs w:val="20"/>
          <w:lang w:val="pt-BR"/>
        </w:rPr>
        <w:t>l militar</w:t>
      </w:r>
      <w:r w:rsidR="00F673C7" w:rsidRPr="006D1C74">
        <w:rPr>
          <w:rFonts w:ascii="Cambria" w:hAnsi="Cambria" w:cs="Verdana"/>
          <w:sz w:val="20"/>
          <w:szCs w:val="20"/>
          <w:lang w:val="pt-BR"/>
        </w:rPr>
        <w:t xml:space="preserve"> em </w:t>
      </w:r>
      <w:r w:rsidR="002649F0" w:rsidRPr="006D1C74">
        <w:rPr>
          <w:rFonts w:ascii="Cambria" w:hAnsi="Cambria" w:cs="Verdana"/>
          <w:sz w:val="20"/>
          <w:szCs w:val="20"/>
          <w:lang w:val="pt-BR"/>
        </w:rPr>
        <w:t>servi</w:t>
      </w:r>
      <w:r w:rsidR="00696259" w:rsidRPr="006D1C74">
        <w:rPr>
          <w:rFonts w:ascii="Cambria" w:hAnsi="Cambria" w:cs="Verdana"/>
          <w:sz w:val="20"/>
          <w:szCs w:val="20"/>
          <w:lang w:val="pt-BR"/>
        </w:rPr>
        <w:t>ç</w:t>
      </w:r>
      <w:r w:rsidR="002649F0" w:rsidRPr="006D1C74">
        <w:rPr>
          <w:rFonts w:ascii="Cambria" w:hAnsi="Cambria" w:cs="Verdana"/>
          <w:sz w:val="20"/>
          <w:szCs w:val="20"/>
          <w:lang w:val="pt-BR"/>
        </w:rPr>
        <w:t xml:space="preserve">o </w:t>
      </w:r>
      <w:r w:rsidR="00A3040B" w:rsidRPr="006D1C74">
        <w:rPr>
          <w:rFonts w:ascii="Cambria" w:hAnsi="Cambria" w:cs="Verdana"/>
          <w:sz w:val="20"/>
          <w:szCs w:val="20"/>
          <w:lang w:val="pt-BR"/>
        </w:rPr>
        <w:t>ativo</w:t>
      </w:r>
      <w:r w:rsidR="002649F0" w:rsidRPr="006D1C74">
        <w:rPr>
          <w:rFonts w:ascii="Cambria" w:hAnsi="Cambria" w:cs="Verdana"/>
          <w:sz w:val="20"/>
          <w:szCs w:val="20"/>
          <w:lang w:val="pt-BR"/>
        </w:rPr>
        <w:t xml:space="preserve"> “p</w:t>
      </w:r>
      <w:r w:rsidR="00696259" w:rsidRPr="006D1C74">
        <w:rPr>
          <w:rFonts w:ascii="Cambria" w:hAnsi="Cambria" w:cs="Verdana"/>
          <w:sz w:val="20"/>
          <w:szCs w:val="20"/>
          <w:lang w:val="pt-BR"/>
        </w:rPr>
        <w:t>el</w:t>
      </w:r>
      <w:r w:rsidR="002649F0" w:rsidRPr="006D1C74">
        <w:rPr>
          <w:rFonts w:ascii="Cambria" w:hAnsi="Cambria" w:cs="Verdana"/>
          <w:sz w:val="20"/>
          <w:szCs w:val="20"/>
          <w:lang w:val="pt-BR"/>
        </w:rPr>
        <w:t>o</w:t>
      </w:r>
      <w:r w:rsidR="00696259" w:rsidRPr="006D1C74">
        <w:rPr>
          <w:rFonts w:ascii="Cambria" w:hAnsi="Cambria" w:cs="Verdana"/>
          <w:sz w:val="20"/>
          <w:szCs w:val="20"/>
          <w:lang w:val="pt-BR"/>
        </w:rPr>
        <w:t xml:space="preserve"> cometimento </w:t>
      </w:r>
      <w:r w:rsidR="002649F0" w:rsidRPr="006D1C74">
        <w:rPr>
          <w:rFonts w:ascii="Cambria" w:hAnsi="Cambria" w:cs="Verdana"/>
          <w:sz w:val="20"/>
          <w:szCs w:val="20"/>
          <w:lang w:val="pt-BR"/>
        </w:rPr>
        <w:t>de delitos o</w:t>
      </w:r>
      <w:r w:rsidR="00696259" w:rsidRPr="006D1C74">
        <w:rPr>
          <w:rFonts w:ascii="Cambria" w:hAnsi="Cambria" w:cs="Verdana"/>
          <w:sz w:val="20"/>
          <w:szCs w:val="20"/>
          <w:lang w:val="pt-BR"/>
        </w:rPr>
        <w:t>u</w:t>
      </w:r>
      <w:r w:rsidR="002649F0" w:rsidRPr="006D1C74">
        <w:rPr>
          <w:rFonts w:ascii="Cambria" w:hAnsi="Cambria" w:cs="Verdana"/>
          <w:sz w:val="20"/>
          <w:szCs w:val="20"/>
          <w:lang w:val="pt-BR"/>
        </w:rPr>
        <w:t xml:space="preserve"> faltas que por </w:t>
      </w:r>
      <w:r w:rsidR="00A3040B" w:rsidRPr="006D1C74">
        <w:rPr>
          <w:rFonts w:ascii="Cambria" w:hAnsi="Cambria" w:cs="Verdana"/>
          <w:sz w:val="20"/>
          <w:szCs w:val="20"/>
          <w:lang w:val="pt-BR"/>
        </w:rPr>
        <w:t>sua</w:t>
      </w:r>
      <w:r w:rsidR="002649F0" w:rsidRPr="006D1C74">
        <w:rPr>
          <w:rFonts w:ascii="Cambria" w:hAnsi="Cambria" w:cs="Verdana"/>
          <w:sz w:val="20"/>
          <w:szCs w:val="20"/>
          <w:lang w:val="pt-BR"/>
        </w:rPr>
        <w:t xml:space="preserve"> </w:t>
      </w:r>
      <w:r w:rsidR="00517ACA" w:rsidRPr="006D1C74">
        <w:rPr>
          <w:rFonts w:ascii="Cambria" w:hAnsi="Cambria" w:cs="Verdana"/>
          <w:sz w:val="20"/>
          <w:szCs w:val="20"/>
          <w:lang w:val="pt-BR"/>
        </w:rPr>
        <w:t>própria</w:t>
      </w:r>
      <w:r w:rsidR="002649F0" w:rsidRPr="006D1C74">
        <w:rPr>
          <w:rFonts w:ascii="Cambria" w:hAnsi="Cambria" w:cs="Verdana"/>
          <w:sz w:val="20"/>
          <w:szCs w:val="20"/>
          <w:lang w:val="pt-BR"/>
        </w:rPr>
        <w:t xml:space="preserve"> natureza </w:t>
      </w:r>
      <w:r w:rsidR="00517ACA" w:rsidRPr="006D1C74">
        <w:rPr>
          <w:rFonts w:ascii="Cambria" w:hAnsi="Cambria" w:cs="Verdana"/>
          <w:sz w:val="20"/>
          <w:szCs w:val="20"/>
          <w:lang w:val="pt-BR"/>
        </w:rPr>
        <w:t>atentem</w:t>
      </w:r>
      <w:r w:rsidR="002649F0" w:rsidRPr="006D1C74">
        <w:rPr>
          <w:rFonts w:ascii="Cambria" w:hAnsi="Cambria" w:cs="Verdana"/>
          <w:sz w:val="20"/>
          <w:szCs w:val="20"/>
          <w:lang w:val="pt-BR"/>
        </w:rPr>
        <w:t xml:space="preserve"> contra </w:t>
      </w:r>
      <w:r w:rsidR="00A3040B" w:rsidRPr="006D1C74">
        <w:rPr>
          <w:rFonts w:ascii="Cambria" w:hAnsi="Cambria" w:cs="Verdana"/>
          <w:sz w:val="20"/>
          <w:szCs w:val="20"/>
          <w:lang w:val="pt-BR"/>
        </w:rPr>
        <w:t>bens</w:t>
      </w:r>
      <w:r w:rsidR="002649F0" w:rsidRPr="006D1C74">
        <w:rPr>
          <w:rFonts w:ascii="Cambria" w:hAnsi="Cambria" w:cs="Verdana"/>
          <w:sz w:val="20"/>
          <w:szCs w:val="20"/>
          <w:lang w:val="pt-BR"/>
        </w:rPr>
        <w:t xml:space="preserve"> jurídicos </w:t>
      </w:r>
      <w:r w:rsidR="00517ACA" w:rsidRPr="006D1C74">
        <w:rPr>
          <w:rFonts w:ascii="Cambria" w:hAnsi="Cambria" w:cs="Verdana"/>
          <w:sz w:val="20"/>
          <w:szCs w:val="20"/>
          <w:lang w:val="pt-BR"/>
        </w:rPr>
        <w:t>próprios</w:t>
      </w:r>
      <w:r w:rsidR="00030019" w:rsidRPr="006D1C74">
        <w:rPr>
          <w:rFonts w:ascii="Cambria" w:hAnsi="Cambria" w:cs="Verdana"/>
          <w:sz w:val="20"/>
          <w:szCs w:val="20"/>
          <w:lang w:val="pt-BR"/>
        </w:rPr>
        <w:t xml:space="preserve"> d</w:t>
      </w:r>
      <w:r w:rsidR="00696259" w:rsidRPr="006D1C74">
        <w:rPr>
          <w:rFonts w:ascii="Cambria" w:hAnsi="Cambria" w:cs="Verdana"/>
          <w:sz w:val="20"/>
          <w:szCs w:val="20"/>
          <w:lang w:val="pt-BR"/>
        </w:rPr>
        <w:t>a</w:t>
      </w:r>
      <w:r w:rsidR="00030019" w:rsidRPr="006D1C74">
        <w:rPr>
          <w:rFonts w:ascii="Cambria" w:hAnsi="Cambria" w:cs="Verdana"/>
          <w:sz w:val="20"/>
          <w:szCs w:val="20"/>
          <w:lang w:val="pt-BR"/>
        </w:rPr>
        <w:t xml:space="preserve"> </w:t>
      </w:r>
      <w:r w:rsidR="00585D35" w:rsidRPr="006D1C74">
        <w:rPr>
          <w:rFonts w:ascii="Cambria" w:hAnsi="Cambria" w:cs="Verdana"/>
          <w:sz w:val="20"/>
          <w:szCs w:val="20"/>
          <w:lang w:val="pt-BR"/>
        </w:rPr>
        <w:t>ordem</w:t>
      </w:r>
      <w:r w:rsidR="002649F0" w:rsidRPr="006D1C74">
        <w:rPr>
          <w:rFonts w:ascii="Cambria" w:hAnsi="Cambria" w:cs="Verdana"/>
          <w:sz w:val="20"/>
          <w:szCs w:val="20"/>
          <w:lang w:val="pt-BR"/>
        </w:rPr>
        <w:t xml:space="preserve"> militar”</w:t>
      </w:r>
      <w:r w:rsidR="002649F0" w:rsidRPr="006D1C74">
        <w:rPr>
          <w:rFonts w:ascii="Cambria" w:hAnsi="Cambria"/>
          <w:sz w:val="20"/>
          <w:szCs w:val="20"/>
          <w:vertAlign w:val="superscript"/>
          <w:lang w:val="pt-BR"/>
        </w:rPr>
        <w:t xml:space="preserve"> </w:t>
      </w:r>
      <w:r w:rsidR="002649F0" w:rsidRPr="006D1C74">
        <w:rPr>
          <w:rFonts w:ascii="Cambria" w:hAnsi="Cambria"/>
          <w:sz w:val="20"/>
          <w:szCs w:val="20"/>
          <w:vertAlign w:val="superscript"/>
          <w:lang w:val="pt-BR"/>
        </w:rPr>
        <w:footnoteReference w:id="97"/>
      </w:r>
      <w:r w:rsidR="002649F0" w:rsidRPr="006D1C74">
        <w:rPr>
          <w:rFonts w:ascii="Cambria" w:hAnsi="Cambria"/>
          <w:sz w:val="20"/>
          <w:szCs w:val="20"/>
          <w:lang w:val="pt-BR"/>
        </w:rPr>
        <w:t>.</w:t>
      </w:r>
      <w:r w:rsidR="002649F0" w:rsidRPr="006D1C74">
        <w:rPr>
          <w:rFonts w:ascii="Cambria" w:hAnsi="Cambria"/>
          <w:sz w:val="20"/>
          <w:szCs w:val="20"/>
          <w:lang w:val="pt-BR" w:eastAsia="es-CL"/>
        </w:rPr>
        <w:t xml:space="preserve"> </w:t>
      </w:r>
    </w:p>
    <w:p w14:paraId="1BFFA3CC" w14:textId="77777777" w:rsidR="00833562" w:rsidRPr="006D1C74" w:rsidRDefault="00833562" w:rsidP="00833562">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20"/>
          <w:szCs w:val="20"/>
          <w:lang w:val="pt-BR"/>
        </w:rPr>
      </w:pPr>
    </w:p>
    <w:p w14:paraId="393B8E0B" w14:textId="77777777" w:rsidR="00C70406" w:rsidRPr="006D1C74" w:rsidRDefault="00B42161" w:rsidP="008335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O</w:t>
      </w:r>
      <w:r w:rsidR="00C70406" w:rsidRPr="006D1C74">
        <w:rPr>
          <w:rFonts w:asciiTheme="majorHAnsi" w:hAnsiTheme="majorHAnsi"/>
          <w:sz w:val="20"/>
          <w:szCs w:val="20"/>
          <w:lang w:val="pt-BR"/>
        </w:rPr>
        <w:t xml:space="preserve"> Estado afirma que</w:t>
      </w:r>
      <w:r w:rsidR="00700267" w:rsidRPr="006D1C74">
        <w:rPr>
          <w:rFonts w:asciiTheme="majorHAnsi" w:hAnsiTheme="majorHAnsi"/>
          <w:sz w:val="20"/>
          <w:szCs w:val="20"/>
          <w:lang w:val="pt-BR"/>
        </w:rPr>
        <w:t xml:space="preserve"> a </w:t>
      </w:r>
      <w:r w:rsidR="00A3040B" w:rsidRPr="006D1C74">
        <w:rPr>
          <w:rFonts w:asciiTheme="majorHAnsi" w:hAnsiTheme="majorHAnsi"/>
          <w:sz w:val="20"/>
          <w:szCs w:val="20"/>
          <w:lang w:val="pt-BR"/>
        </w:rPr>
        <w:t>Constituição</w:t>
      </w:r>
      <w:r w:rsidR="00C70406" w:rsidRPr="006D1C74">
        <w:rPr>
          <w:rFonts w:asciiTheme="majorHAnsi" w:hAnsiTheme="majorHAnsi"/>
          <w:sz w:val="20"/>
          <w:szCs w:val="20"/>
          <w:lang w:val="pt-BR"/>
        </w:rPr>
        <w:t xml:space="preserve"> </w:t>
      </w:r>
      <w:r w:rsidR="00517ACA" w:rsidRPr="006D1C74">
        <w:rPr>
          <w:rFonts w:asciiTheme="majorHAnsi" w:hAnsiTheme="majorHAnsi"/>
          <w:sz w:val="20"/>
          <w:szCs w:val="20"/>
          <w:lang w:val="pt-BR"/>
        </w:rPr>
        <w:t>brasileira</w:t>
      </w:r>
      <w:r w:rsidR="00C70406" w:rsidRPr="006D1C74">
        <w:rPr>
          <w:rFonts w:asciiTheme="majorHAnsi" w:hAnsiTheme="majorHAnsi"/>
          <w:sz w:val="20"/>
          <w:szCs w:val="20"/>
          <w:lang w:val="pt-BR"/>
        </w:rPr>
        <w:t xml:space="preserve"> garant</w:t>
      </w:r>
      <w:r w:rsidR="006637BD" w:rsidRPr="006D1C74">
        <w:rPr>
          <w:rFonts w:asciiTheme="majorHAnsi" w:hAnsiTheme="majorHAnsi"/>
          <w:sz w:val="20"/>
          <w:szCs w:val="20"/>
          <w:lang w:val="pt-BR"/>
        </w:rPr>
        <w:t>e</w:t>
      </w:r>
      <w:r w:rsidR="00135454" w:rsidRPr="006D1C74">
        <w:rPr>
          <w:rFonts w:asciiTheme="majorHAnsi" w:hAnsiTheme="majorHAnsi"/>
          <w:sz w:val="20"/>
          <w:szCs w:val="20"/>
          <w:lang w:val="pt-BR"/>
        </w:rPr>
        <w:t xml:space="preserve"> aos </w:t>
      </w:r>
      <w:r w:rsidR="00C70406" w:rsidRPr="006D1C74">
        <w:rPr>
          <w:rFonts w:asciiTheme="majorHAnsi" w:hAnsiTheme="majorHAnsi"/>
          <w:sz w:val="20"/>
          <w:szCs w:val="20"/>
          <w:lang w:val="pt-BR"/>
        </w:rPr>
        <w:t>ju</w:t>
      </w:r>
      <w:r w:rsidR="006637BD" w:rsidRPr="006D1C74">
        <w:rPr>
          <w:rFonts w:asciiTheme="majorHAnsi" w:hAnsiTheme="majorHAnsi"/>
          <w:sz w:val="20"/>
          <w:szCs w:val="20"/>
          <w:lang w:val="pt-BR"/>
        </w:rPr>
        <w:t>íz</w:t>
      </w:r>
      <w:r w:rsidR="00C70406" w:rsidRPr="006D1C74">
        <w:rPr>
          <w:rFonts w:asciiTheme="majorHAnsi" w:hAnsiTheme="majorHAnsi"/>
          <w:sz w:val="20"/>
          <w:szCs w:val="20"/>
          <w:lang w:val="pt-BR"/>
        </w:rPr>
        <w:t>es, inclus</w:t>
      </w:r>
      <w:r w:rsidR="006637BD" w:rsidRPr="006D1C74">
        <w:rPr>
          <w:rFonts w:asciiTheme="majorHAnsi" w:hAnsiTheme="majorHAnsi"/>
          <w:sz w:val="20"/>
          <w:szCs w:val="20"/>
          <w:lang w:val="pt-BR"/>
        </w:rPr>
        <w:t>ive</w:t>
      </w:r>
      <w:r w:rsidR="00700267" w:rsidRPr="006D1C74">
        <w:rPr>
          <w:rFonts w:asciiTheme="majorHAnsi" w:hAnsiTheme="majorHAnsi"/>
          <w:sz w:val="20"/>
          <w:szCs w:val="20"/>
          <w:lang w:val="pt-BR"/>
        </w:rPr>
        <w:t xml:space="preserve"> os </w:t>
      </w:r>
      <w:r w:rsidR="00C70406" w:rsidRPr="006D1C74">
        <w:rPr>
          <w:rFonts w:asciiTheme="majorHAnsi" w:hAnsiTheme="majorHAnsi"/>
          <w:sz w:val="20"/>
          <w:szCs w:val="20"/>
          <w:lang w:val="pt-BR"/>
        </w:rPr>
        <w:t>ju</w:t>
      </w:r>
      <w:r w:rsidR="006637BD" w:rsidRPr="006D1C74">
        <w:rPr>
          <w:rFonts w:asciiTheme="majorHAnsi" w:hAnsiTheme="majorHAnsi"/>
          <w:sz w:val="20"/>
          <w:szCs w:val="20"/>
          <w:lang w:val="pt-BR"/>
        </w:rPr>
        <w:t>íz</w:t>
      </w:r>
      <w:r w:rsidR="00C70406" w:rsidRPr="006D1C74">
        <w:rPr>
          <w:rFonts w:asciiTheme="majorHAnsi" w:hAnsiTheme="majorHAnsi"/>
          <w:sz w:val="20"/>
          <w:szCs w:val="20"/>
          <w:lang w:val="pt-BR"/>
        </w:rPr>
        <w:t>es</w:t>
      </w:r>
      <w:r w:rsidR="00795010" w:rsidRPr="006D1C74">
        <w:rPr>
          <w:rFonts w:asciiTheme="majorHAnsi" w:hAnsiTheme="majorHAnsi"/>
          <w:sz w:val="20"/>
          <w:szCs w:val="20"/>
          <w:lang w:val="pt-BR"/>
        </w:rPr>
        <w:t xml:space="preserve"> da justiça</w:t>
      </w:r>
      <w:r w:rsidR="009661C6" w:rsidRPr="006D1C74">
        <w:rPr>
          <w:rFonts w:asciiTheme="majorHAnsi" w:hAnsiTheme="majorHAnsi"/>
          <w:sz w:val="20"/>
          <w:szCs w:val="20"/>
          <w:lang w:val="pt-BR"/>
        </w:rPr>
        <w:t xml:space="preserve"> </w:t>
      </w:r>
      <w:r w:rsidR="00C70406" w:rsidRPr="006D1C74">
        <w:rPr>
          <w:rFonts w:asciiTheme="majorHAnsi" w:hAnsiTheme="majorHAnsi"/>
          <w:sz w:val="20"/>
          <w:szCs w:val="20"/>
          <w:lang w:val="pt-BR"/>
        </w:rPr>
        <w:t>militar estadual</w:t>
      </w:r>
      <w:r w:rsidR="00CF037E" w:rsidRPr="006D1C74">
        <w:rPr>
          <w:rFonts w:asciiTheme="majorHAnsi" w:hAnsiTheme="majorHAnsi"/>
          <w:sz w:val="20"/>
          <w:szCs w:val="20"/>
          <w:lang w:val="pt-BR"/>
        </w:rPr>
        <w:t xml:space="preserve"> e </w:t>
      </w:r>
      <w:r w:rsidR="00C70406" w:rsidRPr="006D1C74">
        <w:rPr>
          <w:rFonts w:asciiTheme="majorHAnsi" w:hAnsiTheme="majorHAnsi"/>
          <w:sz w:val="20"/>
          <w:szCs w:val="20"/>
          <w:lang w:val="pt-BR"/>
        </w:rPr>
        <w:t xml:space="preserve">federal, cargo </w:t>
      </w:r>
      <w:r w:rsidR="00A3040B" w:rsidRPr="006D1C74">
        <w:rPr>
          <w:rFonts w:asciiTheme="majorHAnsi" w:hAnsiTheme="majorHAnsi"/>
          <w:sz w:val="20"/>
          <w:szCs w:val="20"/>
          <w:lang w:val="pt-BR"/>
        </w:rPr>
        <w:t>vitalício</w:t>
      </w:r>
      <w:r w:rsidR="00C70406" w:rsidRPr="006D1C74">
        <w:rPr>
          <w:rFonts w:asciiTheme="majorHAnsi" w:hAnsiTheme="majorHAnsi"/>
          <w:sz w:val="20"/>
          <w:szCs w:val="20"/>
          <w:lang w:val="pt-BR"/>
        </w:rPr>
        <w:t>, inamovi</w:t>
      </w:r>
      <w:r w:rsidR="00F33296">
        <w:rPr>
          <w:rFonts w:asciiTheme="majorHAnsi" w:hAnsiTheme="majorHAnsi"/>
          <w:sz w:val="20"/>
          <w:szCs w:val="20"/>
          <w:lang w:val="pt-BR"/>
        </w:rPr>
        <w:t>bi</w:t>
      </w:r>
      <w:r w:rsidR="00C70406" w:rsidRPr="006D1C74">
        <w:rPr>
          <w:rFonts w:asciiTheme="majorHAnsi" w:hAnsiTheme="majorHAnsi"/>
          <w:sz w:val="20"/>
          <w:szCs w:val="20"/>
          <w:lang w:val="pt-BR"/>
        </w:rPr>
        <w:t>li</w:t>
      </w:r>
      <w:r w:rsidR="00F673C7" w:rsidRPr="006D1C74">
        <w:rPr>
          <w:rFonts w:asciiTheme="majorHAnsi" w:hAnsiTheme="majorHAnsi"/>
          <w:sz w:val="20"/>
          <w:szCs w:val="20"/>
          <w:lang w:val="pt-BR"/>
        </w:rPr>
        <w:t xml:space="preserve">dade </w:t>
      </w:r>
      <w:r w:rsidR="00C70406" w:rsidRPr="006D1C74">
        <w:rPr>
          <w:rFonts w:asciiTheme="majorHAnsi" w:hAnsiTheme="majorHAnsi"/>
          <w:sz w:val="20"/>
          <w:szCs w:val="20"/>
          <w:lang w:val="pt-BR"/>
        </w:rPr>
        <w:t>e irredutibilidad</w:t>
      </w:r>
      <w:r w:rsidR="00F33296">
        <w:rPr>
          <w:rFonts w:asciiTheme="majorHAnsi" w:hAnsiTheme="majorHAnsi"/>
          <w:sz w:val="20"/>
          <w:szCs w:val="20"/>
          <w:lang w:val="pt-BR"/>
        </w:rPr>
        <w:t>e</w:t>
      </w:r>
      <w:r w:rsidR="00C70406" w:rsidRPr="006D1C74">
        <w:rPr>
          <w:rFonts w:asciiTheme="majorHAnsi" w:hAnsiTheme="majorHAnsi"/>
          <w:sz w:val="20"/>
          <w:szCs w:val="20"/>
          <w:lang w:val="pt-BR"/>
        </w:rPr>
        <w:t>, de forma que</w:t>
      </w:r>
      <w:r w:rsidR="00F37852" w:rsidRPr="006D1C74">
        <w:rPr>
          <w:rFonts w:asciiTheme="majorHAnsi" w:hAnsiTheme="majorHAnsi"/>
          <w:sz w:val="20"/>
          <w:szCs w:val="20"/>
          <w:lang w:val="pt-BR"/>
        </w:rPr>
        <w:t xml:space="preserve"> são </w:t>
      </w:r>
      <w:r w:rsidR="00C70406" w:rsidRPr="006D1C74">
        <w:rPr>
          <w:rFonts w:asciiTheme="majorHAnsi" w:hAnsiTheme="majorHAnsi"/>
          <w:sz w:val="20"/>
          <w:szCs w:val="20"/>
          <w:lang w:val="pt-BR"/>
        </w:rPr>
        <w:t>indepen</w:t>
      </w:r>
      <w:r w:rsidR="000D2A81" w:rsidRPr="006D1C74">
        <w:rPr>
          <w:rFonts w:asciiTheme="majorHAnsi" w:hAnsiTheme="majorHAnsi"/>
          <w:sz w:val="20"/>
          <w:szCs w:val="20"/>
          <w:lang w:val="pt-BR"/>
        </w:rPr>
        <w:t>dente</w:t>
      </w:r>
      <w:r w:rsidR="00C70406" w:rsidRPr="006D1C74">
        <w:rPr>
          <w:rFonts w:asciiTheme="majorHAnsi" w:hAnsiTheme="majorHAnsi"/>
          <w:sz w:val="20"/>
          <w:szCs w:val="20"/>
          <w:lang w:val="pt-BR"/>
        </w:rPr>
        <w:t>s e imparci</w:t>
      </w:r>
      <w:r w:rsidR="00700267" w:rsidRPr="006D1C74">
        <w:rPr>
          <w:rFonts w:asciiTheme="majorHAnsi" w:hAnsiTheme="majorHAnsi"/>
          <w:sz w:val="20"/>
          <w:szCs w:val="20"/>
          <w:lang w:val="pt-BR"/>
        </w:rPr>
        <w:t>ais</w:t>
      </w:r>
      <w:r w:rsidR="00F673C7" w:rsidRPr="006D1C74">
        <w:rPr>
          <w:rFonts w:asciiTheme="majorHAnsi" w:hAnsiTheme="majorHAnsi"/>
          <w:sz w:val="20"/>
          <w:szCs w:val="20"/>
          <w:lang w:val="pt-BR"/>
        </w:rPr>
        <w:t xml:space="preserve"> em </w:t>
      </w:r>
      <w:r w:rsidR="00C70406" w:rsidRPr="006D1C74">
        <w:rPr>
          <w:rFonts w:asciiTheme="majorHAnsi" w:hAnsiTheme="majorHAnsi"/>
          <w:sz w:val="20"/>
          <w:szCs w:val="20"/>
          <w:lang w:val="pt-BR"/>
        </w:rPr>
        <w:t>su</w:t>
      </w:r>
      <w:r w:rsidR="003C571A">
        <w:rPr>
          <w:rFonts w:asciiTheme="majorHAnsi" w:hAnsiTheme="majorHAnsi"/>
          <w:sz w:val="20"/>
          <w:szCs w:val="20"/>
          <w:lang w:val="pt-BR"/>
        </w:rPr>
        <w:t>a</w:t>
      </w:r>
      <w:r w:rsidR="00C70406" w:rsidRPr="006D1C74">
        <w:rPr>
          <w:rFonts w:asciiTheme="majorHAnsi" w:hAnsiTheme="majorHAnsi"/>
          <w:sz w:val="20"/>
          <w:szCs w:val="20"/>
          <w:lang w:val="pt-BR"/>
        </w:rPr>
        <w:t>s decis</w:t>
      </w:r>
      <w:r w:rsidR="002D7172" w:rsidRPr="006D1C74">
        <w:rPr>
          <w:rFonts w:asciiTheme="majorHAnsi" w:hAnsiTheme="majorHAnsi"/>
          <w:sz w:val="20"/>
          <w:szCs w:val="20"/>
          <w:lang w:val="pt-BR"/>
        </w:rPr>
        <w:t>õ</w:t>
      </w:r>
      <w:r w:rsidR="00C70406" w:rsidRPr="006D1C74">
        <w:rPr>
          <w:rFonts w:asciiTheme="majorHAnsi" w:hAnsiTheme="majorHAnsi"/>
          <w:sz w:val="20"/>
          <w:szCs w:val="20"/>
          <w:lang w:val="pt-BR"/>
        </w:rPr>
        <w:t xml:space="preserve">es. </w:t>
      </w:r>
      <w:r w:rsidR="002D7172" w:rsidRPr="006D1C74">
        <w:rPr>
          <w:rFonts w:asciiTheme="majorHAnsi" w:hAnsiTheme="majorHAnsi"/>
          <w:sz w:val="20"/>
          <w:szCs w:val="20"/>
          <w:lang w:val="pt-BR"/>
        </w:rPr>
        <w:t xml:space="preserve">Informa </w:t>
      </w:r>
      <w:r w:rsidR="00501D1D" w:rsidRPr="006D1C74">
        <w:rPr>
          <w:rFonts w:asciiTheme="majorHAnsi" w:hAnsiTheme="majorHAnsi"/>
          <w:sz w:val="20"/>
          <w:szCs w:val="20"/>
          <w:lang w:val="pt-BR"/>
        </w:rPr>
        <w:t>também</w:t>
      </w:r>
      <w:r w:rsidR="00C70406" w:rsidRPr="006D1C74">
        <w:rPr>
          <w:rFonts w:asciiTheme="majorHAnsi" w:hAnsiTheme="majorHAnsi"/>
          <w:sz w:val="20"/>
          <w:szCs w:val="20"/>
          <w:lang w:val="pt-BR"/>
        </w:rPr>
        <w:t xml:space="preserve"> que</w:t>
      </w:r>
      <w:r w:rsidR="00700267" w:rsidRPr="006D1C74">
        <w:rPr>
          <w:rFonts w:asciiTheme="majorHAnsi" w:hAnsiTheme="majorHAnsi"/>
          <w:sz w:val="20"/>
          <w:szCs w:val="20"/>
          <w:lang w:val="pt-BR"/>
        </w:rPr>
        <w:t xml:space="preserve"> a </w:t>
      </w:r>
      <w:r w:rsidR="00795010" w:rsidRPr="006D1C74">
        <w:rPr>
          <w:rFonts w:asciiTheme="majorHAnsi" w:hAnsiTheme="majorHAnsi"/>
          <w:sz w:val="20"/>
          <w:szCs w:val="20"/>
          <w:lang w:val="pt-BR"/>
        </w:rPr>
        <w:t>justiça</w:t>
      </w:r>
      <w:r w:rsidR="00C70406" w:rsidRPr="006D1C74">
        <w:rPr>
          <w:rFonts w:asciiTheme="majorHAnsi" w:hAnsiTheme="majorHAnsi"/>
          <w:sz w:val="20"/>
          <w:szCs w:val="20"/>
          <w:lang w:val="pt-BR"/>
        </w:rPr>
        <w:t xml:space="preserve"> militar</w:t>
      </w:r>
      <w:r w:rsidR="00F673C7" w:rsidRPr="006D1C74">
        <w:rPr>
          <w:rFonts w:asciiTheme="majorHAnsi" w:hAnsiTheme="majorHAnsi"/>
          <w:sz w:val="20"/>
          <w:szCs w:val="20"/>
          <w:lang w:val="pt-BR"/>
        </w:rPr>
        <w:t xml:space="preserve"> não</w:t>
      </w:r>
      <w:r w:rsidR="00F37852" w:rsidRPr="006D1C74">
        <w:rPr>
          <w:rFonts w:asciiTheme="majorHAnsi" w:hAnsiTheme="majorHAnsi"/>
          <w:sz w:val="20"/>
          <w:szCs w:val="20"/>
          <w:lang w:val="pt-BR"/>
        </w:rPr>
        <w:t xml:space="preserve"> é </w:t>
      </w:r>
      <w:r w:rsidR="00030019" w:rsidRPr="006D1C74">
        <w:rPr>
          <w:rFonts w:asciiTheme="majorHAnsi" w:hAnsiTheme="majorHAnsi"/>
          <w:sz w:val="20"/>
          <w:szCs w:val="20"/>
          <w:lang w:val="pt-BR"/>
        </w:rPr>
        <w:t xml:space="preserve">um </w:t>
      </w:r>
      <w:r w:rsidR="00C70406" w:rsidRPr="006D1C74">
        <w:rPr>
          <w:rFonts w:asciiTheme="majorHAnsi" w:hAnsiTheme="majorHAnsi"/>
          <w:sz w:val="20"/>
          <w:szCs w:val="20"/>
          <w:lang w:val="pt-BR"/>
        </w:rPr>
        <w:t>órg</w:t>
      </w:r>
      <w:r w:rsidR="002D7172" w:rsidRPr="006D1C74">
        <w:rPr>
          <w:rFonts w:asciiTheme="majorHAnsi" w:hAnsiTheme="majorHAnsi"/>
          <w:sz w:val="20"/>
          <w:szCs w:val="20"/>
          <w:lang w:val="pt-BR"/>
        </w:rPr>
        <w:t>ã</w:t>
      </w:r>
      <w:r w:rsidR="00C70406" w:rsidRPr="006D1C74">
        <w:rPr>
          <w:rFonts w:asciiTheme="majorHAnsi" w:hAnsiTheme="majorHAnsi"/>
          <w:sz w:val="20"/>
          <w:szCs w:val="20"/>
          <w:lang w:val="pt-BR"/>
        </w:rPr>
        <w:t>o perten</w:t>
      </w:r>
      <w:r w:rsidR="002D7172" w:rsidRPr="006D1C74">
        <w:rPr>
          <w:rFonts w:asciiTheme="majorHAnsi" w:hAnsiTheme="majorHAnsi"/>
          <w:sz w:val="20"/>
          <w:szCs w:val="20"/>
          <w:lang w:val="pt-BR"/>
        </w:rPr>
        <w:t>c</w:t>
      </w:r>
      <w:r w:rsidR="00C70406" w:rsidRPr="006D1C74">
        <w:rPr>
          <w:rFonts w:asciiTheme="majorHAnsi" w:hAnsiTheme="majorHAnsi"/>
          <w:sz w:val="20"/>
          <w:szCs w:val="20"/>
          <w:lang w:val="pt-BR"/>
        </w:rPr>
        <w:t>ente</w:t>
      </w:r>
      <w:r w:rsidR="00030019" w:rsidRPr="006D1C74">
        <w:rPr>
          <w:rFonts w:asciiTheme="majorHAnsi" w:hAnsiTheme="majorHAnsi"/>
          <w:sz w:val="20"/>
          <w:szCs w:val="20"/>
          <w:lang w:val="pt-BR"/>
        </w:rPr>
        <w:t xml:space="preserve"> às </w:t>
      </w:r>
      <w:r w:rsidR="00B146A8" w:rsidRPr="006D1C74">
        <w:rPr>
          <w:rFonts w:asciiTheme="majorHAnsi" w:hAnsiTheme="majorHAnsi"/>
          <w:sz w:val="20"/>
          <w:szCs w:val="20"/>
          <w:lang w:val="pt-BR"/>
        </w:rPr>
        <w:t>força</w:t>
      </w:r>
      <w:r w:rsidR="00C70406" w:rsidRPr="006D1C74">
        <w:rPr>
          <w:rFonts w:asciiTheme="majorHAnsi" w:hAnsiTheme="majorHAnsi"/>
          <w:sz w:val="20"/>
          <w:szCs w:val="20"/>
          <w:lang w:val="pt-BR"/>
        </w:rPr>
        <w:t xml:space="preserve">s armadas, </w:t>
      </w:r>
      <w:r w:rsidR="002D7172" w:rsidRPr="006D1C74">
        <w:rPr>
          <w:rFonts w:asciiTheme="majorHAnsi" w:hAnsiTheme="majorHAnsi"/>
          <w:sz w:val="20"/>
          <w:szCs w:val="20"/>
          <w:lang w:val="pt-BR"/>
        </w:rPr>
        <w:t>mas</w:t>
      </w:r>
      <w:r w:rsidR="00B3098F" w:rsidRPr="006D1C74">
        <w:rPr>
          <w:rFonts w:asciiTheme="majorHAnsi" w:hAnsiTheme="majorHAnsi"/>
          <w:sz w:val="20"/>
          <w:szCs w:val="20"/>
          <w:lang w:val="pt-BR"/>
        </w:rPr>
        <w:t xml:space="preserve"> </w:t>
      </w:r>
      <w:r w:rsidR="00C70406" w:rsidRPr="006D1C74">
        <w:rPr>
          <w:rFonts w:asciiTheme="majorHAnsi" w:hAnsiTheme="majorHAnsi"/>
          <w:sz w:val="20"/>
          <w:szCs w:val="20"/>
          <w:lang w:val="pt-BR"/>
        </w:rPr>
        <w:t>parte</w:t>
      </w:r>
      <w:r w:rsidR="00030019" w:rsidRPr="006D1C74">
        <w:rPr>
          <w:rFonts w:asciiTheme="majorHAnsi" w:hAnsiTheme="majorHAnsi"/>
          <w:sz w:val="20"/>
          <w:szCs w:val="20"/>
          <w:lang w:val="pt-BR"/>
        </w:rPr>
        <w:t xml:space="preserve"> do </w:t>
      </w:r>
      <w:r w:rsidR="00C70406" w:rsidRPr="006D1C74">
        <w:rPr>
          <w:rFonts w:asciiTheme="majorHAnsi" w:hAnsiTheme="majorHAnsi"/>
          <w:sz w:val="20"/>
          <w:szCs w:val="20"/>
          <w:lang w:val="pt-BR"/>
        </w:rPr>
        <w:t>Poder Judici</w:t>
      </w:r>
      <w:r w:rsidR="002D7172" w:rsidRPr="006D1C74">
        <w:rPr>
          <w:rFonts w:asciiTheme="majorHAnsi" w:hAnsiTheme="majorHAnsi"/>
          <w:sz w:val="20"/>
          <w:szCs w:val="20"/>
          <w:lang w:val="pt-BR"/>
        </w:rPr>
        <w:t>ário</w:t>
      </w:r>
      <w:r w:rsidR="00C70406" w:rsidRPr="006D1C74">
        <w:rPr>
          <w:rFonts w:asciiTheme="majorHAnsi" w:hAnsiTheme="majorHAnsi"/>
          <w:sz w:val="20"/>
          <w:szCs w:val="20"/>
          <w:lang w:val="pt-BR"/>
        </w:rPr>
        <w:t xml:space="preserve"> constitucionalmente aut</w:t>
      </w:r>
      <w:r w:rsidR="003C571A">
        <w:rPr>
          <w:rFonts w:asciiTheme="majorHAnsi" w:hAnsiTheme="majorHAnsi"/>
          <w:sz w:val="20"/>
          <w:szCs w:val="20"/>
          <w:lang w:val="pt-BR"/>
        </w:rPr>
        <w:t>ô</w:t>
      </w:r>
      <w:r w:rsidR="00C70406" w:rsidRPr="006D1C74">
        <w:rPr>
          <w:rFonts w:asciiTheme="majorHAnsi" w:hAnsiTheme="majorHAnsi"/>
          <w:sz w:val="20"/>
          <w:szCs w:val="20"/>
          <w:lang w:val="pt-BR"/>
        </w:rPr>
        <w:t>nomo e indepen</w:t>
      </w:r>
      <w:r w:rsidR="000D2A81" w:rsidRPr="006D1C74">
        <w:rPr>
          <w:rFonts w:asciiTheme="majorHAnsi" w:hAnsiTheme="majorHAnsi"/>
          <w:sz w:val="20"/>
          <w:szCs w:val="20"/>
          <w:lang w:val="pt-BR"/>
        </w:rPr>
        <w:t>dente</w:t>
      </w:r>
      <w:r w:rsidR="00C70406" w:rsidRPr="006D1C74">
        <w:rPr>
          <w:rFonts w:asciiTheme="majorHAnsi" w:hAnsiTheme="majorHAnsi"/>
          <w:sz w:val="20"/>
          <w:szCs w:val="20"/>
          <w:lang w:val="pt-BR"/>
        </w:rPr>
        <w:t xml:space="preserve">. </w:t>
      </w:r>
      <w:r w:rsidR="00871BBE" w:rsidRPr="006D1C74">
        <w:rPr>
          <w:rFonts w:asciiTheme="majorHAnsi" w:hAnsiTheme="majorHAnsi"/>
          <w:sz w:val="20"/>
          <w:szCs w:val="20"/>
          <w:lang w:val="pt-BR"/>
        </w:rPr>
        <w:t>A</w:t>
      </w:r>
      <w:r w:rsidR="002D7172" w:rsidRPr="006D1C74">
        <w:rPr>
          <w:rFonts w:asciiTheme="majorHAnsi" w:hAnsiTheme="majorHAnsi"/>
          <w:sz w:val="20"/>
          <w:szCs w:val="20"/>
          <w:lang w:val="pt-BR"/>
        </w:rPr>
        <w:t>lém disso</w:t>
      </w:r>
      <w:r w:rsidR="00871BBE" w:rsidRPr="006D1C74">
        <w:rPr>
          <w:rFonts w:asciiTheme="majorHAnsi" w:hAnsiTheme="majorHAnsi"/>
          <w:sz w:val="20"/>
          <w:szCs w:val="20"/>
          <w:lang w:val="pt-BR"/>
        </w:rPr>
        <w:t xml:space="preserve">, </w:t>
      </w:r>
      <w:r w:rsidR="00956B36" w:rsidRPr="006D1C74">
        <w:rPr>
          <w:rFonts w:asciiTheme="majorHAnsi" w:hAnsiTheme="majorHAnsi"/>
          <w:sz w:val="20"/>
          <w:szCs w:val="20"/>
          <w:lang w:val="pt-BR"/>
        </w:rPr>
        <w:t xml:space="preserve">afirma </w:t>
      </w:r>
      <w:r w:rsidR="00871BBE" w:rsidRPr="006D1C74">
        <w:rPr>
          <w:rFonts w:asciiTheme="majorHAnsi" w:hAnsiTheme="majorHAnsi"/>
          <w:sz w:val="20"/>
          <w:szCs w:val="20"/>
          <w:lang w:val="pt-BR"/>
        </w:rPr>
        <w:t>que</w:t>
      </w:r>
      <w:r w:rsidR="00F673C7" w:rsidRPr="006D1C74">
        <w:rPr>
          <w:rFonts w:asciiTheme="majorHAnsi" w:hAnsiTheme="majorHAnsi"/>
          <w:sz w:val="20"/>
          <w:szCs w:val="20"/>
          <w:lang w:val="pt-BR"/>
        </w:rPr>
        <w:t xml:space="preserve"> na </w:t>
      </w:r>
      <w:r w:rsidR="00795010" w:rsidRPr="006D1C74">
        <w:rPr>
          <w:rFonts w:asciiTheme="majorHAnsi" w:hAnsiTheme="majorHAnsi"/>
          <w:sz w:val="20"/>
          <w:szCs w:val="20"/>
          <w:lang w:val="pt-BR"/>
        </w:rPr>
        <w:t>justiça</w:t>
      </w:r>
      <w:r w:rsidR="00D22683" w:rsidRPr="006D1C74">
        <w:rPr>
          <w:rFonts w:asciiTheme="majorHAnsi" w:hAnsiTheme="majorHAnsi"/>
          <w:sz w:val="20"/>
          <w:szCs w:val="20"/>
          <w:lang w:val="pt-BR"/>
        </w:rPr>
        <w:t xml:space="preserve"> militar estadual</w:t>
      </w:r>
      <w:r w:rsidR="00700267" w:rsidRPr="006D1C74">
        <w:rPr>
          <w:rFonts w:asciiTheme="majorHAnsi" w:hAnsiTheme="majorHAnsi"/>
          <w:sz w:val="20"/>
          <w:szCs w:val="20"/>
          <w:lang w:val="pt-BR"/>
        </w:rPr>
        <w:t xml:space="preserve"> os </w:t>
      </w:r>
      <w:r w:rsidR="00BF6FE3" w:rsidRPr="006D1C74">
        <w:rPr>
          <w:rFonts w:asciiTheme="majorHAnsi" w:hAnsiTheme="majorHAnsi"/>
          <w:sz w:val="20"/>
          <w:szCs w:val="20"/>
          <w:lang w:val="pt-BR"/>
        </w:rPr>
        <w:t>crimes</w:t>
      </w:r>
      <w:r w:rsidR="00871BBE" w:rsidRPr="006D1C74">
        <w:rPr>
          <w:rFonts w:asciiTheme="majorHAnsi" w:hAnsiTheme="majorHAnsi"/>
          <w:sz w:val="20"/>
          <w:szCs w:val="20"/>
          <w:lang w:val="pt-BR"/>
        </w:rPr>
        <w:t xml:space="preserve"> dolosos contra</w:t>
      </w:r>
      <w:r w:rsidR="00700267" w:rsidRPr="006D1C74">
        <w:rPr>
          <w:rFonts w:asciiTheme="majorHAnsi" w:hAnsiTheme="majorHAnsi"/>
          <w:sz w:val="20"/>
          <w:szCs w:val="20"/>
          <w:lang w:val="pt-BR"/>
        </w:rPr>
        <w:t xml:space="preserve"> a </w:t>
      </w:r>
      <w:r w:rsidR="00871BBE" w:rsidRPr="006D1C74">
        <w:rPr>
          <w:rFonts w:asciiTheme="majorHAnsi" w:hAnsiTheme="majorHAnsi"/>
          <w:sz w:val="20"/>
          <w:szCs w:val="20"/>
          <w:lang w:val="pt-BR"/>
        </w:rPr>
        <w:t>vida de civis</w:t>
      </w:r>
      <w:r w:rsidR="00F37852" w:rsidRPr="006D1C74">
        <w:rPr>
          <w:rFonts w:asciiTheme="majorHAnsi" w:hAnsiTheme="majorHAnsi"/>
          <w:sz w:val="20"/>
          <w:szCs w:val="20"/>
          <w:lang w:val="pt-BR"/>
        </w:rPr>
        <w:t xml:space="preserve"> são </w:t>
      </w:r>
      <w:r w:rsidR="003C571A">
        <w:rPr>
          <w:rFonts w:asciiTheme="majorHAnsi" w:hAnsiTheme="majorHAnsi"/>
          <w:sz w:val="20"/>
          <w:szCs w:val="20"/>
          <w:lang w:val="pt-BR"/>
        </w:rPr>
        <w:t>d</w:t>
      </w:r>
      <w:r w:rsidR="00F91670">
        <w:rPr>
          <w:rFonts w:asciiTheme="majorHAnsi" w:hAnsiTheme="majorHAnsi"/>
          <w:sz w:val="20"/>
          <w:szCs w:val="20"/>
          <w:lang w:val="pt-BR"/>
        </w:rPr>
        <w:t>a</w:t>
      </w:r>
      <w:r w:rsidR="003C571A">
        <w:rPr>
          <w:rFonts w:asciiTheme="majorHAnsi" w:hAnsiTheme="majorHAnsi"/>
          <w:sz w:val="20"/>
          <w:szCs w:val="20"/>
          <w:lang w:val="pt-BR"/>
        </w:rPr>
        <w:t xml:space="preserve"> </w:t>
      </w:r>
      <w:r w:rsidR="00BF6FE3" w:rsidRPr="006D1C74">
        <w:rPr>
          <w:rFonts w:asciiTheme="majorHAnsi" w:hAnsiTheme="majorHAnsi"/>
          <w:sz w:val="20"/>
          <w:szCs w:val="20"/>
          <w:lang w:val="pt-BR"/>
        </w:rPr>
        <w:t>competência</w:t>
      </w:r>
      <w:r w:rsidR="00030019" w:rsidRPr="006D1C74">
        <w:rPr>
          <w:rFonts w:asciiTheme="majorHAnsi" w:hAnsiTheme="majorHAnsi"/>
          <w:sz w:val="20"/>
          <w:szCs w:val="20"/>
          <w:lang w:val="pt-BR"/>
        </w:rPr>
        <w:t xml:space="preserve"> do </w:t>
      </w:r>
      <w:r w:rsidR="00871BBE" w:rsidRPr="006D1C74">
        <w:rPr>
          <w:rFonts w:asciiTheme="majorHAnsi" w:hAnsiTheme="majorHAnsi"/>
          <w:sz w:val="20"/>
          <w:szCs w:val="20"/>
          <w:lang w:val="pt-BR"/>
        </w:rPr>
        <w:t>j</w:t>
      </w:r>
      <w:r w:rsidR="002D7172" w:rsidRPr="006D1C74">
        <w:rPr>
          <w:rFonts w:asciiTheme="majorHAnsi" w:hAnsiTheme="majorHAnsi"/>
          <w:sz w:val="20"/>
          <w:szCs w:val="20"/>
          <w:lang w:val="pt-BR"/>
        </w:rPr>
        <w:t>úri</w:t>
      </w:r>
      <w:r w:rsidR="00795010" w:rsidRPr="006D1C74">
        <w:rPr>
          <w:rFonts w:asciiTheme="majorHAnsi" w:hAnsiTheme="majorHAnsi"/>
          <w:sz w:val="20"/>
          <w:szCs w:val="20"/>
          <w:lang w:val="pt-BR"/>
        </w:rPr>
        <w:t xml:space="preserve"> da justiça</w:t>
      </w:r>
      <w:r w:rsidR="00871BBE" w:rsidRPr="006D1C74">
        <w:rPr>
          <w:rFonts w:asciiTheme="majorHAnsi" w:hAnsiTheme="majorHAnsi"/>
          <w:sz w:val="20"/>
          <w:szCs w:val="20"/>
          <w:lang w:val="pt-BR"/>
        </w:rPr>
        <w:t xml:space="preserve"> </w:t>
      </w:r>
      <w:r w:rsidR="00BE496A" w:rsidRPr="006D1C74">
        <w:rPr>
          <w:rFonts w:asciiTheme="majorHAnsi" w:hAnsiTheme="majorHAnsi"/>
          <w:sz w:val="20"/>
          <w:szCs w:val="20"/>
          <w:lang w:val="pt-BR"/>
        </w:rPr>
        <w:t>comum</w:t>
      </w:r>
      <w:r w:rsidR="00CF037E" w:rsidRPr="006D1C74">
        <w:rPr>
          <w:rFonts w:asciiTheme="majorHAnsi" w:hAnsiTheme="majorHAnsi"/>
          <w:sz w:val="20"/>
          <w:szCs w:val="20"/>
          <w:lang w:val="pt-BR"/>
        </w:rPr>
        <w:t xml:space="preserve"> </w:t>
      </w:r>
      <w:r w:rsidR="00CF037E" w:rsidRPr="006D1C74">
        <w:rPr>
          <w:rFonts w:asciiTheme="majorHAnsi" w:hAnsiTheme="majorHAnsi"/>
          <w:sz w:val="20"/>
          <w:szCs w:val="20"/>
          <w:lang w:val="pt-BR"/>
        </w:rPr>
        <w:lastRenderedPageBreak/>
        <w:t xml:space="preserve">e </w:t>
      </w:r>
      <w:r w:rsidR="00871BBE" w:rsidRPr="006D1C74">
        <w:rPr>
          <w:rFonts w:asciiTheme="majorHAnsi" w:hAnsiTheme="majorHAnsi"/>
          <w:sz w:val="20"/>
          <w:szCs w:val="20"/>
          <w:lang w:val="pt-BR"/>
        </w:rPr>
        <w:t>que</w:t>
      </w:r>
      <w:r w:rsidR="00B3098F" w:rsidRPr="006D1C74">
        <w:rPr>
          <w:rFonts w:asciiTheme="majorHAnsi" w:hAnsiTheme="majorHAnsi"/>
          <w:sz w:val="20"/>
          <w:szCs w:val="20"/>
          <w:lang w:val="pt-BR"/>
        </w:rPr>
        <w:t>,</w:t>
      </w:r>
      <w:r w:rsidR="00BA29E4" w:rsidRPr="006D1C74">
        <w:rPr>
          <w:rFonts w:asciiTheme="majorHAnsi" w:hAnsiTheme="majorHAnsi"/>
          <w:sz w:val="20"/>
          <w:szCs w:val="20"/>
          <w:lang w:val="pt-BR"/>
        </w:rPr>
        <w:t xml:space="preserve"> a partir</w:t>
      </w:r>
      <w:r w:rsidR="00795010" w:rsidRPr="006D1C74">
        <w:rPr>
          <w:rFonts w:asciiTheme="majorHAnsi" w:hAnsiTheme="majorHAnsi"/>
          <w:sz w:val="20"/>
          <w:szCs w:val="20"/>
          <w:lang w:val="pt-BR"/>
        </w:rPr>
        <w:t xml:space="preserve"> da </w:t>
      </w:r>
      <w:r w:rsidR="00BF6FE3" w:rsidRPr="006D1C74">
        <w:rPr>
          <w:rFonts w:asciiTheme="majorHAnsi" w:hAnsiTheme="majorHAnsi"/>
          <w:sz w:val="20"/>
          <w:szCs w:val="20"/>
          <w:lang w:val="pt-BR"/>
        </w:rPr>
        <w:t>Emenda</w:t>
      </w:r>
      <w:r w:rsidR="00327B88" w:rsidRPr="006D1C74">
        <w:rPr>
          <w:rFonts w:asciiTheme="majorHAnsi" w:hAnsiTheme="majorHAnsi"/>
          <w:sz w:val="20"/>
          <w:szCs w:val="20"/>
          <w:lang w:val="pt-BR"/>
        </w:rPr>
        <w:t xml:space="preserve"> C</w:t>
      </w:r>
      <w:r w:rsidR="00BA29E4" w:rsidRPr="006D1C74">
        <w:rPr>
          <w:rFonts w:asciiTheme="majorHAnsi" w:hAnsiTheme="majorHAnsi"/>
          <w:sz w:val="20"/>
          <w:szCs w:val="20"/>
          <w:lang w:val="pt-BR"/>
        </w:rPr>
        <w:t xml:space="preserve">onstitucional 45, de </w:t>
      </w:r>
      <w:r w:rsidR="00BF6FE3" w:rsidRPr="006D1C74">
        <w:rPr>
          <w:rFonts w:asciiTheme="majorHAnsi" w:hAnsiTheme="majorHAnsi"/>
          <w:sz w:val="20"/>
          <w:szCs w:val="20"/>
          <w:lang w:val="pt-BR"/>
        </w:rPr>
        <w:t>dezembro</w:t>
      </w:r>
      <w:r w:rsidR="00BA29E4" w:rsidRPr="006D1C74">
        <w:rPr>
          <w:rFonts w:asciiTheme="majorHAnsi" w:hAnsiTheme="majorHAnsi"/>
          <w:sz w:val="20"/>
          <w:szCs w:val="20"/>
          <w:lang w:val="pt-BR"/>
        </w:rPr>
        <w:t xml:space="preserve"> de 2004,</w:t>
      </w:r>
      <w:r w:rsidR="00700267" w:rsidRPr="006D1C74">
        <w:rPr>
          <w:rFonts w:asciiTheme="majorHAnsi" w:hAnsiTheme="majorHAnsi"/>
          <w:sz w:val="20"/>
          <w:szCs w:val="20"/>
          <w:lang w:val="pt-BR"/>
        </w:rPr>
        <w:t xml:space="preserve"> os </w:t>
      </w:r>
      <w:r w:rsidR="00871BBE" w:rsidRPr="006D1C74">
        <w:rPr>
          <w:rFonts w:asciiTheme="majorHAnsi" w:hAnsiTheme="majorHAnsi"/>
          <w:sz w:val="20"/>
          <w:szCs w:val="20"/>
          <w:lang w:val="pt-BR"/>
        </w:rPr>
        <w:t>de</w:t>
      </w:r>
      <w:r w:rsidR="00D74A93" w:rsidRPr="006D1C74">
        <w:rPr>
          <w:rFonts w:asciiTheme="majorHAnsi" w:hAnsiTheme="majorHAnsi"/>
          <w:sz w:val="20"/>
          <w:szCs w:val="20"/>
          <w:lang w:val="pt-BR"/>
        </w:rPr>
        <w:t>mais</w:t>
      </w:r>
      <w:r w:rsidR="00871BBE" w:rsidRPr="006D1C74">
        <w:rPr>
          <w:rFonts w:asciiTheme="majorHAnsi" w:hAnsiTheme="majorHAnsi"/>
          <w:sz w:val="20"/>
          <w:szCs w:val="20"/>
          <w:lang w:val="pt-BR"/>
        </w:rPr>
        <w:t xml:space="preserve"> </w:t>
      </w:r>
      <w:r w:rsidR="00BF6FE3" w:rsidRPr="006D1C74">
        <w:rPr>
          <w:rFonts w:asciiTheme="majorHAnsi" w:hAnsiTheme="majorHAnsi"/>
          <w:sz w:val="20"/>
          <w:szCs w:val="20"/>
          <w:lang w:val="pt-BR"/>
        </w:rPr>
        <w:t>crimes</w:t>
      </w:r>
      <w:r w:rsidR="00871BBE" w:rsidRPr="006D1C74">
        <w:rPr>
          <w:rFonts w:asciiTheme="majorHAnsi" w:hAnsiTheme="majorHAnsi"/>
          <w:sz w:val="20"/>
          <w:szCs w:val="20"/>
          <w:lang w:val="pt-BR"/>
        </w:rPr>
        <w:t xml:space="preserve"> cometidos por </w:t>
      </w:r>
      <w:r w:rsidR="00F37852" w:rsidRPr="006D1C74">
        <w:rPr>
          <w:rFonts w:asciiTheme="majorHAnsi" w:hAnsiTheme="majorHAnsi"/>
          <w:sz w:val="20"/>
          <w:szCs w:val="20"/>
          <w:lang w:val="pt-BR"/>
        </w:rPr>
        <w:t>pol</w:t>
      </w:r>
      <w:r w:rsidR="002D7172" w:rsidRPr="006D1C74">
        <w:rPr>
          <w:rFonts w:asciiTheme="majorHAnsi" w:hAnsiTheme="majorHAnsi"/>
          <w:sz w:val="20"/>
          <w:szCs w:val="20"/>
          <w:lang w:val="pt-BR"/>
        </w:rPr>
        <w:t>i</w:t>
      </w:r>
      <w:r w:rsidR="00F37852" w:rsidRPr="006D1C74">
        <w:rPr>
          <w:rFonts w:asciiTheme="majorHAnsi" w:hAnsiTheme="majorHAnsi"/>
          <w:sz w:val="20"/>
          <w:szCs w:val="20"/>
          <w:lang w:val="pt-BR"/>
        </w:rPr>
        <w:t>cia</w:t>
      </w:r>
      <w:r w:rsidR="002D7172" w:rsidRPr="006D1C74">
        <w:rPr>
          <w:rFonts w:asciiTheme="majorHAnsi" w:hAnsiTheme="majorHAnsi"/>
          <w:sz w:val="20"/>
          <w:szCs w:val="20"/>
          <w:lang w:val="pt-BR"/>
        </w:rPr>
        <w:t>i</w:t>
      </w:r>
      <w:r w:rsidR="00956B36" w:rsidRPr="006D1C74">
        <w:rPr>
          <w:rFonts w:asciiTheme="majorHAnsi" w:hAnsiTheme="majorHAnsi"/>
          <w:sz w:val="20"/>
          <w:szCs w:val="20"/>
          <w:lang w:val="pt-BR"/>
        </w:rPr>
        <w:t>s</w:t>
      </w:r>
      <w:r w:rsidR="00871BBE" w:rsidRPr="006D1C74">
        <w:rPr>
          <w:rFonts w:asciiTheme="majorHAnsi" w:hAnsiTheme="majorHAnsi"/>
          <w:sz w:val="20"/>
          <w:szCs w:val="20"/>
          <w:lang w:val="pt-BR"/>
        </w:rPr>
        <w:t xml:space="preserve"> militares contra civis, inclus</w:t>
      </w:r>
      <w:r w:rsidR="002D7172" w:rsidRPr="006D1C74">
        <w:rPr>
          <w:rFonts w:asciiTheme="majorHAnsi" w:hAnsiTheme="majorHAnsi"/>
          <w:sz w:val="20"/>
          <w:szCs w:val="20"/>
          <w:lang w:val="pt-BR"/>
        </w:rPr>
        <w:t>ive</w:t>
      </w:r>
      <w:r w:rsidR="00700267" w:rsidRPr="006D1C74">
        <w:rPr>
          <w:rFonts w:asciiTheme="majorHAnsi" w:hAnsiTheme="majorHAnsi"/>
          <w:sz w:val="20"/>
          <w:szCs w:val="20"/>
          <w:lang w:val="pt-BR"/>
        </w:rPr>
        <w:t xml:space="preserve"> o </w:t>
      </w:r>
      <w:r w:rsidR="00871BBE" w:rsidRPr="006D1C74">
        <w:rPr>
          <w:rFonts w:asciiTheme="majorHAnsi" w:hAnsiTheme="majorHAnsi"/>
          <w:sz w:val="20"/>
          <w:szCs w:val="20"/>
          <w:lang w:val="pt-BR"/>
        </w:rPr>
        <w:t>culposo contra</w:t>
      </w:r>
      <w:r w:rsidR="00700267" w:rsidRPr="006D1C74">
        <w:rPr>
          <w:rFonts w:asciiTheme="majorHAnsi" w:hAnsiTheme="majorHAnsi"/>
          <w:sz w:val="20"/>
          <w:szCs w:val="20"/>
          <w:lang w:val="pt-BR"/>
        </w:rPr>
        <w:t xml:space="preserve"> a </w:t>
      </w:r>
      <w:r w:rsidR="00871BBE" w:rsidRPr="006D1C74">
        <w:rPr>
          <w:rFonts w:asciiTheme="majorHAnsi" w:hAnsiTheme="majorHAnsi"/>
          <w:sz w:val="20"/>
          <w:szCs w:val="20"/>
          <w:lang w:val="pt-BR"/>
        </w:rPr>
        <w:t>vida, pas</w:t>
      </w:r>
      <w:r w:rsidR="002D7172" w:rsidRPr="006D1C74">
        <w:rPr>
          <w:rFonts w:asciiTheme="majorHAnsi" w:hAnsiTheme="majorHAnsi"/>
          <w:sz w:val="20"/>
          <w:szCs w:val="20"/>
          <w:lang w:val="pt-BR"/>
        </w:rPr>
        <w:t>s</w:t>
      </w:r>
      <w:r w:rsidR="009661C6" w:rsidRPr="006D1C74">
        <w:rPr>
          <w:rFonts w:asciiTheme="majorHAnsi" w:hAnsiTheme="majorHAnsi"/>
          <w:sz w:val="20"/>
          <w:szCs w:val="20"/>
          <w:lang w:val="pt-BR"/>
        </w:rPr>
        <w:t>ar</w:t>
      </w:r>
      <w:r w:rsidR="002D7172" w:rsidRPr="006D1C74">
        <w:rPr>
          <w:rFonts w:asciiTheme="majorHAnsi" w:hAnsiTheme="majorHAnsi"/>
          <w:sz w:val="20"/>
          <w:szCs w:val="20"/>
          <w:lang w:val="pt-BR"/>
        </w:rPr>
        <w:t>am</w:t>
      </w:r>
      <w:r w:rsidR="00030019" w:rsidRPr="006D1C74">
        <w:rPr>
          <w:rFonts w:asciiTheme="majorHAnsi" w:hAnsiTheme="majorHAnsi"/>
          <w:sz w:val="20"/>
          <w:szCs w:val="20"/>
          <w:lang w:val="pt-BR"/>
        </w:rPr>
        <w:t xml:space="preserve"> à </w:t>
      </w:r>
      <w:r w:rsidR="00BF6FE3" w:rsidRPr="006D1C74">
        <w:rPr>
          <w:rFonts w:asciiTheme="majorHAnsi" w:hAnsiTheme="majorHAnsi"/>
          <w:sz w:val="20"/>
          <w:szCs w:val="20"/>
          <w:lang w:val="pt-BR"/>
        </w:rPr>
        <w:t>competência</w:t>
      </w:r>
      <w:r w:rsidR="00030019" w:rsidRPr="006D1C74">
        <w:rPr>
          <w:rFonts w:asciiTheme="majorHAnsi" w:hAnsiTheme="majorHAnsi"/>
          <w:sz w:val="20"/>
          <w:szCs w:val="20"/>
          <w:lang w:val="pt-BR"/>
        </w:rPr>
        <w:t xml:space="preserve"> do </w:t>
      </w:r>
      <w:r w:rsidR="008617AD" w:rsidRPr="006D1C74">
        <w:rPr>
          <w:rFonts w:asciiTheme="majorHAnsi" w:hAnsiTheme="majorHAnsi"/>
          <w:sz w:val="20"/>
          <w:szCs w:val="20"/>
          <w:lang w:val="pt-BR"/>
        </w:rPr>
        <w:t>juiz</w:t>
      </w:r>
      <w:r w:rsidR="00871BBE" w:rsidRPr="006D1C74">
        <w:rPr>
          <w:rFonts w:asciiTheme="majorHAnsi" w:hAnsiTheme="majorHAnsi"/>
          <w:sz w:val="20"/>
          <w:szCs w:val="20"/>
          <w:lang w:val="pt-BR"/>
        </w:rPr>
        <w:t xml:space="preserve"> </w:t>
      </w:r>
      <w:r w:rsidR="006415B7" w:rsidRPr="006D1C74">
        <w:rPr>
          <w:rFonts w:asciiTheme="majorHAnsi" w:hAnsiTheme="majorHAnsi"/>
          <w:sz w:val="20"/>
          <w:szCs w:val="20"/>
          <w:lang w:val="pt-BR"/>
        </w:rPr>
        <w:t xml:space="preserve">de </w:t>
      </w:r>
      <w:r w:rsidR="00417BE8" w:rsidRPr="006D1C74">
        <w:rPr>
          <w:rFonts w:asciiTheme="majorHAnsi" w:hAnsiTheme="majorHAnsi"/>
          <w:sz w:val="20"/>
          <w:szCs w:val="20"/>
          <w:lang w:val="pt-BR"/>
        </w:rPr>
        <w:t>direito</w:t>
      </w:r>
      <w:r w:rsidR="00683AAF" w:rsidRPr="006D1C74">
        <w:rPr>
          <w:rFonts w:asciiTheme="majorHAnsi" w:hAnsiTheme="majorHAnsi"/>
          <w:sz w:val="20"/>
          <w:szCs w:val="20"/>
          <w:lang w:val="pt-BR"/>
        </w:rPr>
        <w:t xml:space="preserve">, antes </w:t>
      </w:r>
      <w:r w:rsidR="00BF6FE3" w:rsidRPr="006D1C74">
        <w:rPr>
          <w:rFonts w:asciiTheme="majorHAnsi" w:hAnsiTheme="majorHAnsi"/>
          <w:sz w:val="20"/>
          <w:szCs w:val="20"/>
          <w:lang w:val="pt-BR"/>
        </w:rPr>
        <w:t>conhecido</w:t>
      </w:r>
      <w:r w:rsidR="00683AAF" w:rsidRPr="006D1C74">
        <w:rPr>
          <w:rFonts w:asciiTheme="majorHAnsi" w:hAnsiTheme="majorHAnsi"/>
          <w:sz w:val="20"/>
          <w:szCs w:val="20"/>
          <w:lang w:val="pt-BR"/>
        </w:rPr>
        <w:t xml:space="preserve"> como </w:t>
      </w:r>
      <w:r w:rsidR="008617AD" w:rsidRPr="006D1C74">
        <w:rPr>
          <w:rFonts w:asciiTheme="majorHAnsi" w:hAnsiTheme="majorHAnsi"/>
          <w:sz w:val="20"/>
          <w:szCs w:val="20"/>
          <w:lang w:val="pt-BR"/>
        </w:rPr>
        <w:t>juiz</w:t>
      </w:r>
      <w:r w:rsidR="00683AAF" w:rsidRPr="006D1C74">
        <w:rPr>
          <w:rFonts w:asciiTheme="majorHAnsi" w:hAnsiTheme="majorHAnsi"/>
          <w:sz w:val="20"/>
          <w:szCs w:val="20"/>
          <w:lang w:val="pt-BR"/>
        </w:rPr>
        <w:t xml:space="preserve"> auditor</w:t>
      </w:r>
      <w:r w:rsidR="00871BBE" w:rsidRPr="006D1C74">
        <w:rPr>
          <w:rFonts w:asciiTheme="majorHAnsi" w:hAnsiTheme="majorHAnsi"/>
          <w:sz w:val="20"/>
          <w:szCs w:val="20"/>
          <w:lang w:val="pt-BR"/>
        </w:rPr>
        <w:t>. Explica que</w:t>
      </w:r>
      <w:r w:rsidR="00700267" w:rsidRPr="006D1C74">
        <w:rPr>
          <w:rFonts w:asciiTheme="majorHAnsi" w:hAnsiTheme="majorHAnsi"/>
          <w:sz w:val="20"/>
          <w:szCs w:val="20"/>
          <w:lang w:val="pt-BR"/>
        </w:rPr>
        <w:t xml:space="preserve"> o </w:t>
      </w:r>
      <w:r w:rsidR="008617AD" w:rsidRPr="006D1C74">
        <w:rPr>
          <w:rFonts w:asciiTheme="majorHAnsi" w:hAnsiTheme="majorHAnsi"/>
          <w:sz w:val="20"/>
          <w:szCs w:val="20"/>
          <w:lang w:val="pt-BR"/>
        </w:rPr>
        <w:t>juiz</w:t>
      </w:r>
      <w:r w:rsidR="00871BBE" w:rsidRPr="006D1C74">
        <w:rPr>
          <w:rFonts w:asciiTheme="majorHAnsi" w:hAnsiTheme="majorHAnsi"/>
          <w:sz w:val="20"/>
          <w:szCs w:val="20"/>
          <w:lang w:val="pt-BR"/>
        </w:rPr>
        <w:t xml:space="preserve"> </w:t>
      </w:r>
      <w:r w:rsidR="006415B7" w:rsidRPr="006D1C74">
        <w:rPr>
          <w:rFonts w:asciiTheme="majorHAnsi" w:hAnsiTheme="majorHAnsi"/>
          <w:sz w:val="20"/>
          <w:szCs w:val="20"/>
          <w:lang w:val="pt-BR"/>
        </w:rPr>
        <w:t xml:space="preserve">de </w:t>
      </w:r>
      <w:r w:rsidR="00417BE8" w:rsidRPr="006D1C74">
        <w:rPr>
          <w:rFonts w:asciiTheme="majorHAnsi" w:hAnsiTheme="majorHAnsi"/>
          <w:sz w:val="20"/>
          <w:szCs w:val="20"/>
          <w:lang w:val="pt-BR"/>
        </w:rPr>
        <w:t>direito</w:t>
      </w:r>
      <w:r w:rsidR="00F37852" w:rsidRPr="006D1C74">
        <w:rPr>
          <w:rFonts w:asciiTheme="majorHAnsi" w:hAnsiTheme="majorHAnsi"/>
          <w:sz w:val="20"/>
          <w:szCs w:val="20"/>
          <w:lang w:val="pt-BR"/>
        </w:rPr>
        <w:t xml:space="preserve"> é </w:t>
      </w:r>
      <w:r w:rsidR="00030019" w:rsidRPr="006D1C74">
        <w:rPr>
          <w:rFonts w:asciiTheme="majorHAnsi" w:hAnsiTheme="majorHAnsi"/>
          <w:sz w:val="20"/>
          <w:szCs w:val="20"/>
          <w:lang w:val="pt-BR"/>
        </w:rPr>
        <w:t xml:space="preserve">um </w:t>
      </w:r>
      <w:r w:rsidR="008617AD" w:rsidRPr="006D1C74">
        <w:rPr>
          <w:rFonts w:asciiTheme="majorHAnsi" w:hAnsiTheme="majorHAnsi"/>
          <w:sz w:val="20"/>
          <w:szCs w:val="20"/>
          <w:lang w:val="pt-BR"/>
        </w:rPr>
        <w:t>juiz</w:t>
      </w:r>
      <w:r w:rsidR="00871BBE" w:rsidRPr="006D1C74">
        <w:rPr>
          <w:rFonts w:asciiTheme="majorHAnsi" w:hAnsiTheme="majorHAnsi"/>
          <w:sz w:val="20"/>
          <w:szCs w:val="20"/>
          <w:lang w:val="pt-BR"/>
        </w:rPr>
        <w:t xml:space="preserve"> técnico </w:t>
      </w:r>
      <w:r w:rsidR="002D7172" w:rsidRPr="006D1C74">
        <w:rPr>
          <w:rFonts w:asciiTheme="majorHAnsi" w:hAnsiTheme="majorHAnsi"/>
          <w:sz w:val="20"/>
          <w:szCs w:val="20"/>
          <w:lang w:val="pt-BR"/>
        </w:rPr>
        <w:t>form</w:t>
      </w:r>
      <w:r w:rsidR="00871BBE" w:rsidRPr="006D1C74">
        <w:rPr>
          <w:rFonts w:asciiTheme="majorHAnsi" w:hAnsiTheme="majorHAnsi"/>
          <w:sz w:val="20"/>
          <w:szCs w:val="20"/>
          <w:lang w:val="pt-BR"/>
        </w:rPr>
        <w:t>ado</w:t>
      </w:r>
      <w:r w:rsidR="00F673C7" w:rsidRPr="006D1C74">
        <w:rPr>
          <w:rFonts w:asciiTheme="majorHAnsi" w:hAnsiTheme="majorHAnsi"/>
          <w:sz w:val="20"/>
          <w:szCs w:val="20"/>
          <w:lang w:val="pt-BR"/>
        </w:rPr>
        <w:t xml:space="preserve"> em </w:t>
      </w:r>
      <w:r w:rsidR="00417BE8" w:rsidRPr="006D1C74">
        <w:rPr>
          <w:rFonts w:asciiTheme="majorHAnsi" w:hAnsiTheme="majorHAnsi"/>
          <w:sz w:val="20"/>
          <w:szCs w:val="20"/>
          <w:lang w:val="pt-BR"/>
        </w:rPr>
        <w:t>Direito</w:t>
      </w:r>
      <w:r w:rsidR="00CF037E" w:rsidRPr="006D1C74">
        <w:rPr>
          <w:rFonts w:asciiTheme="majorHAnsi" w:hAnsiTheme="majorHAnsi"/>
          <w:sz w:val="20"/>
          <w:szCs w:val="20"/>
          <w:lang w:val="pt-BR"/>
        </w:rPr>
        <w:t xml:space="preserve"> e</w:t>
      </w:r>
      <w:r w:rsidR="00030019" w:rsidRPr="006D1C74">
        <w:rPr>
          <w:rFonts w:asciiTheme="majorHAnsi" w:hAnsiTheme="majorHAnsi"/>
          <w:sz w:val="20"/>
          <w:szCs w:val="20"/>
          <w:lang w:val="pt-BR"/>
        </w:rPr>
        <w:t xml:space="preserve"> um </w:t>
      </w:r>
      <w:r w:rsidR="00871BBE" w:rsidRPr="006D1C74">
        <w:rPr>
          <w:rFonts w:asciiTheme="majorHAnsi" w:hAnsiTheme="majorHAnsi"/>
          <w:sz w:val="20"/>
          <w:szCs w:val="20"/>
          <w:lang w:val="pt-BR"/>
        </w:rPr>
        <w:t xml:space="preserve">civil </w:t>
      </w:r>
      <w:r w:rsidR="00BF6FE3" w:rsidRPr="006D1C74">
        <w:rPr>
          <w:rFonts w:asciiTheme="majorHAnsi" w:hAnsiTheme="majorHAnsi"/>
          <w:sz w:val="20"/>
          <w:szCs w:val="20"/>
          <w:lang w:val="pt-BR"/>
        </w:rPr>
        <w:t>selecionado</w:t>
      </w:r>
      <w:r w:rsidR="00871BBE" w:rsidRPr="006D1C74">
        <w:rPr>
          <w:rFonts w:asciiTheme="majorHAnsi" w:hAnsiTheme="majorHAnsi"/>
          <w:sz w:val="20"/>
          <w:szCs w:val="20"/>
          <w:lang w:val="pt-BR"/>
        </w:rPr>
        <w:t xml:space="preserve"> </w:t>
      </w:r>
      <w:r w:rsidR="00B3098F" w:rsidRPr="006D1C74">
        <w:rPr>
          <w:rFonts w:asciiTheme="majorHAnsi" w:hAnsiTheme="majorHAnsi"/>
          <w:sz w:val="20"/>
          <w:szCs w:val="20"/>
          <w:lang w:val="pt-BR"/>
        </w:rPr>
        <w:t xml:space="preserve">mediante </w:t>
      </w:r>
      <w:r w:rsidR="00871BBE" w:rsidRPr="006D1C74">
        <w:rPr>
          <w:rFonts w:asciiTheme="majorHAnsi" w:hAnsiTheme="majorHAnsi"/>
          <w:sz w:val="20"/>
          <w:szCs w:val="20"/>
          <w:lang w:val="pt-BR"/>
        </w:rPr>
        <w:t>concur</w:t>
      </w:r>
      <w:r w:rsidR="00B3098F" w:rsidRPr="006D1C74">
        <w:rPr>
          <w:rFonts w:asciiTheme="majorHAnsi" w:hAnsiTheme="majorHAnsi"/>
          <w:sz w:val="20"/>
          <w:szCs w:val="20"/>
          <w:lang w:val="pt-BR"/>
        </w:rPr>
        <w:t>so</w:t>
      </w:r>
      <w:r w:rsidR="00871BBE" w:rsidRPr="006D1C74">
        <w:rPr>
          <w:rFonts w:asciiTheme="majorHAnsi" w:hAnsiTheme="majorHAnsi"/>
          <w:sz w:val="20"/>
          <w:szCs w:val="20"/>
          <w:lang w:val="pt-BR"/>
        </w:rPr>
        <w:t xml:space="preserve"> </w:t>
      </w:r>
      <w:r w:rsidR="002D7172" w:rsidRPr="006D1C74">
        <w:rPr>
          <w:rFonts w:asciiTheme="majorHAnsi" w:hAnsiTheme="majorHAnsi"/>
          <w:sz w:val="20"/>
          <w:szCs w:val="20"/>
          <w:lang w:val="pt-BR"/>
        </w:rPr>
        <w:t>realiz</w:t>
      </w:r>
      <w:r w:rsidR="00871BBE" w:rsidRPr="006D1C74">
        <w:rPr>
          <w:rFonts w:asciiTheme="majorHAnsi" w:hAnsiTheme="majorHAnsi"/>
          <w:sz w:val="20"/>
          <w:szCs w:val="20"/>
          <w:lang w:val="pt-BR"/>
        </w:rPr>
        <w:t>ad</w:t>
      </w:r>
      <w:r w:rsidR="00B3098F" w:rsidRPr="006D1C74">
        <w:rPr>
          <w:rFonts w:asciiTheme="majorHAnsi" w:hAnsiTheme="majorHAnsi"/>
          <w:sz w:val="20"/>
          <w:szCs w:val="20"/>
          <w:lang w:val="pt-BR"/>
        </w:rPr>
        <w:t xml:space="preserve">o </w:t>
      </w:r>
      <w:r w:rsidR="00700267" w:rsidRPr="006D1C74">
        <w:rPr>
          <w:rFonts w:asciiTheme="majorHAnsi" w:hAnsiTheme="majorHAnsi"/>
          <w:sz w:val="20"/>
          <w:szCs w:val="20"/>
          <w:lang w:val="pt-BR"/>
        </w:rPr>
        <w:t xml:space="preserve">pelo </w:t>
      </w:r>
      <w:r w:rsidR="00BF6FE3" w:rsidRPr="006D1C74">
        <w:rPr>
          <w:rFonts w:asciiTheme="majorHAnsi" w:hAnsiTheme="majorHAnsi"/>
          <w:sz w:val="20"/>
          <w:szCs w:val="20"/>
          <w:lang w:val="pt-BR"/>
        </w:rPr>
        <w:t>próprio</w:t>
      </w:r>
      <w:r w:rsidR="00B3098F" w:rsidRPr="006D1C74">
        <w:rPr>
          <w:rFonts w:asciiTheme="majorHAnsi" w:hAnsiTheme="majorHAnsi"/>
          <w:sz w:val="20"/>
          <w:szCs w:val="20"/>
          <w:lang w:val="pt-BR"/>
        </w:rPr>
        <w:t xml:space="preserve"> </w:t>
      </w:r>
      <w:r w:rsidR="002D7172" w:rsidRPr="006D1C74">
        <w:rPr>
          <w:rFonts w:asciiTheme="majorHAnsi" w:hAnsiTheme="majorHAnsi"/>
          <w:sz w:val="20"/>
          <w:szCs w:val="20"/>
          <w:lang w:val="pt-BR"/>
        </w:rPr>
        <w:t>P</w:t>
      </w:r>
      <w:r w:rsidR="00871BBE" w:rsidRPr="006D1C74">
        <w:rPr>
          <w:rFonts w:asciiTheme="majorHAnsi" w:hAnsiTheme="majorHAnsi"/>
          <w:sz w:val="20"/>
          <w:szCs w:val="20"/>
          <w:lang w:val="pt-BR"/>
        </w:rPr>
        <w:t xml:space="preserve">oder </w:t>
      </w:r>
      <w:r w:rsidR="002D7172" w:rsidRPr="006D1C74">
        <w:rPr>
          <w:rFonts w:asciiTheme="majorHAnsi" w:hAnsiTheme="majorHAnsi"/>
          <w:sz w:val="20"/>
          <w:szCs w:val="20"/>
          <w:lang w:val="pt-BR"/>
        </w:rPr>
        <w:t>J</w:t>
      </w:r>
      <w:r w:rsidR="00871BBE" w:rsidRPr="006D1C74">
        <w:rPr>
          <w:rFonts w:asciiTheme="majorHAnsi" w:hAnsiTheme="majorHAnsi"/>
          <w:sz w:val="20"/>
          <w:szCs w:val="20"/>
          <w:lang w:val="pt-BR"/>
        </w:rPr>
        <w:t>udici</w:t>
      </w:r>
      <w:r w:rsidR="002D7172" w:rsidRPr="006D1C74">
        <w:rPr>
          <w:rFonts w:asciiTheme="majorHAnsi" w:hAnsiTheme="majorHAnsi"/>
          <w:sz w:val="20"/>
          <w:szCs w:val="20"/>
          <w:lang w:val="pt-BR"/>
        </w:rPr>
        <w:t>ário</w:t>
      </w:r>
      <w:r w:rsidR="00871BBE" w:rsidRPr="006D1C74">
        <w:rPr>
          <w:rFonts w:asciiTheme="majorHAnsi" w:hAnsiTheme="majorHAnsi"/>
          <w:sz w:val="20"/>
          <w:szCs w:val="20"/>
          <w:lang w:val="pt-BR"/>
        </w:rPr>
        <w:t xml:space="preserve">. </w:t>
      </w:r>
    </w:p>
    <w:p w14:paraId="3CC51A08" w14:textId="77777777" w:rsidR="002649F0" w:rsidRPr="006D1C74" w:rsidRDefault="002649F0" w:rsidP="002649F0">
      <w:pPr>
        <w:ind w:left="720"/>
        <w:rPr>
          <w:rFonts w:asciiTheme="majorHAnsi" w:eastAsia="Cambria" w:hAnsiTheme="majorHAnsi" w:cs="Cambria"/>
          <w:color w:val="000000"/>
          <w:sz w:val="20"/>
          <w:szCs w:val="20"/>
          <w:u w:color="000000"/>
          <w:lang w:val="pt-BR" w:eastAsia="es-ES"/>
        </w:rPr>
      </w:pPr>
    </w:p>
    <w:p w14:paraId="70847D2B" w14:textId="77777777" w:rsidR="005F55DC" w:rsidRPr="006D1C74" w:rsidRDefault="002649F0" w:rsidP="008335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Desde 1997,</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CIDH recomend</w:t>
      </w:r>
      <w:r w:rsidR="002D7172" w:rsidRPr="006D1C74">
        <w:rPr>
          <w:rFonts w:asciiTheme="majorHAnsi" w:hAnsiTheme="majorHAnsi"/>
          <w:sz w:val="20"/>
          <w:szCs w:val="20"/>
          <w:lang w:val="pt-BR"/>
        </w:rPr>
        <w:t>ou</w:t>
      </w:r>
      <w:r w:rsidR="00217759" w:rsidRPr="006D1C74">
        <w:rPr>
          <w:rFonts w:asciiTheme="majorHAnsi" w:hAnsiTheme="majorHAnsi"/>
          <w:sz w:val="20"/>
          <w:szCs w:val="20"/>
          <w:lang w:val="pt-BR"/>
        </w:rPr>
        <w:t xml:space="preserve"> ao </w:t>
      </w:r>
      <w:r w:rsidRPr="006D1C74">
        <w:rPr>
          <w:rFonts w:asciiTheme="majorHAnsi" w:hAnsiTheme="majorHAnsi"/>
          <w:sz w:val="20"/>
          <w:szCs w:val="20"/>
          <w:lang w:val="pt-BR"/>
        </w:rPr>
        <w:t>Estado</w:t>
      </w:r>
      <w:r w:rsidR="00FB1092" w:rsidRPr="006D1C74">
        <w:rPr>
          <w:rFonts w:asciiTheme="majorHAnsi" w:hAnsiTheme="majorHAnsi"/>
          <w:sz w:val="20"/>
          <w:szCs w:val="20"/>
          <w:lang w:val="pt-BR"/>
        </w:rPr>
        <w:t xml:space="preserve"> d</w:t>
      </w:r>
      <w:r w:rsidR="002D7172" w:rsidRPr="006D1C74">
        <w:rPr>
          <w:rFonts w:asciiTheme="majorHAnsi" w:hAnsiTheme="majorHAnsi"/>
          <w:sz w:val="20"/>
          <w:szCs w:val="20"/>
          <w:lang w:val="pt-BR"/>
        </w:rPr>
        <w:t>o</w:t>
      </w:r>
      <w:r w:rsidR="00FB1092" w:rsidRPr="006D1C74">
        <w:rPr>
          <w:rFonts w:asciiTheme="majorHAnsi" w:hAnsiTheme="majorHAnsi"/>
          <w:sz w:val="20"/>
          <w:szCs w:val="20"/>
          <w:lang w:val="pt-BR"/>
        </w:rPr>
        <w:t xml:space="preserve"> Brasil</w:t>
      </w:r>
      <w:r w:rsidRPr="006D1C74">
        <w:rPr>
          <w:rFonts w:asciiTheme="majorHAnsi" w:hAnsiTheme="majorHAnsi"/>
          <w:sz w:val="20"/>
          <w:szCs w:val="20"/>
          <w:lang w:val="pt-BR"/>
        </w:rPr>
        <w:t xml:space="preserve"> “atribuir</w:t>
      </w:r>
      <w:r w:rsidR="00030019" w:rsidRPr="006D1C74">
        <w:rPr>
          <w:rFonts w:asciiTheme="majorHAnsi" w:hAnsiTheme="majorHAnsi"/>
          <w:sz w:val="20"/>
          <w:szCs w:val="20"/>
          <w:lang w:val="pt-BR"/>
        </w:rPr>
        <w:t xml:space="preserve"> à </w:t>
      </w:r>
      <w:r w:rsidR="00795010" w:rsidRPr="006D1C74">
        <w:rPr>
          <w:rFonts w:asciiTheme="majorHAnsi" w:hAnsiTheme="majorHAnsi"/>
          <w:sz w:val="20"/>
          <w:szCs w:val="20"/>
          <w:lang w:val="pt-BR"/>
        </w:rPr>
        <w:t>Justiça</w:t>
      </w:r>
      <w:r w:rsidRPr="006D1C74">
        <w:rPr>
          <w:rFonts w:asciiTheme="majorHAnsi" w:hAnsiTheme="majorHAnsi"/>
          <w:sz w:val="20"/>
          <w:szCs w:val="20"/>
          <w:lang w:val="pt-BR"/>
        </w:rPr>
        <w:t xml:space="preserve"> </w:t>
      </w:r>
      <w:r w:rsidR="00BE496A" w:rsidRPr="006D1C74">
        <w:rPr>
          <w:rFonts w:asciiTheme="majorHAnsi" w:hAnsiTheme="majorHAnsi"/>
          <w:sz w:val="20"/>
          <w:szCs w:val="20"/>
          <w:lang w:val="pt-BR"/>
        </w:rPr>
        <w:t>comum</w:t>
      </w:r>
      <w:r w:rsidR="00700267" w:rsidRPr="006D1C74">
        <w:rPr>
          <w:rFonts w:asciiTheme="majorHAnsi" w:hAnsiTheme="majorHAnsi"/>
          <w:sz w:val="20"/>
          <w:szCs w:val="20"/>
          <w:lang w:val="pt-BR"/>
        </w:rPr>
        <w:t xml:space="preserve"> a </w:t>
      </w:r>
      <w:r w:rsidR="00BF6FE3" w:rsidRPr="006D1C74">
        <w:rPr>
          <w:rFonts w:asciiTheme="majorHAnsi" w:hAnsiTheme="majorHAnsi"/>
          <w:sz w:val="20"/>
          <w:szCs w:val="20"/>
          <w:lang w:val="pt-BR"/>
        </w:rPr>
        <w:t>competência</w:t>
      </w:r>
      <w:r w:rsidRPr="006D1C74">
        <w:rPr>
          <w:rFonts w:asciiTheme="majorHAnsi" w:hAnsiTheme="majorHAnsi"/>
          <w:sz w:val="20"/>
          <w:szCs w:val="20"/>
          <w:lang w:val="pt-BR"/>
        </w:rPr>
        <w:t xml:space="preserve"> para </w:t>
      </w:r>
      <w:r w:rsidR="00BF6FE3" w:rsidRPr="006D1C74">
        <w:rPr>
          <w:rFonts w:asciiTheme="majorHAnsi" w:hAnsiTheme="majorHAnsi"/>
          <w:sz w:val="20"/>
          <w:szCs w:val="20"/>
          <w:lang w:val="pt-BR"/>
        </w:rPr>
        <w:t>julgar</w:t>
      </w:r>
      <w:r w:rsidRPr="006D1C74">
        <w:rPr>
          <w:rFonts w:asciiTheme="majorHAnsi" w:hAnsiTheme="majorHAnsi"/>
          <w:sz w:val="20"/>
          <w:szCs w:val="20"/>
          <w:lang w:val="pt-BR"/>
        </w:rPr>
        <w:t xml:space="preserve"> todos</w:t>
      </w:r>
      <w:r w:rsidR="00700267" w:rsidRPr="006D1C74">
        <w:rPr>
          <w:rFonts w:asciiTheme="majorHAnsi" w:hAnsiTheme="majorHAnsi"/>
          <w:sz w:val="20"/>
          <w:szCs w:val="20"/>
          <w:lang w:val="pt-BR"/>
        </w:rPr>
        <w:t xml:space="preserve"> os </w:t>
      </w:r>
      <w:r w:rsidR="00BF6FE3" w:rsidRPr="006D1C74">
        <w:rPr>
          <w:rFonts w:asciiTheme="majorHAnsi" w:hAnsiTheme="majorHAnsi"/>
          <w:sz w:val="20"/>
          <w:szCs w:val="20"/>
          <w:lang w:val="pt-BR"/>
        </w:rPr>
        <w:t>crimes</w:t>
      </w:r>
      <w:r w:rsidRPr="006D1C74">
        <w:rPr>
          <w:rFonts w:asciiTheme="majorHAnsi" w:hAnsiTheme="majorHAnsi"/>
          <w:sz w:val="20"/>
          <w:szCs w:val="20"/>
          <w:lang w:val="pt-BR"/>
        </w:rPr>
        <w:t xml:space="preserve"> cometidos por </w:t>
      </w:r>
      <w:r w:rsidR="00BF6FE3" w:rsidRPr="006D1C74">
        <w:rPr>
          <w:rFonts w:asciiTheme="majorHAnsi" w:hAnsiTheme="majorHAnsi"/>
          <w:sz w:val="20"/>
          <w:szCs w:val="20"/>
          <w:lang w:val="pt-BR"/>
        </w:rPr>
        <w:t>membros</w:t>
      </w:r>
      <w:r w:rsidR="00D74A93" w:rsidRPr="006D1C74">
        <w:rPr>
          <w:rFonts w:asciiTheme="majorHAnsi" w:hAnsiTheme="majorHAnsi"/>
          <w:sz w:val="20"/>
          <w:szCs w:val="20"/>
          <w:lang w:val="pt-BR"/>
        </w:rPr>
        <w:t xml:space="preserve"> das </w:t>
      </w:r>
      <w:r w:rsidR="00F37852" w:rsidRPr="006D1C74">
        <w:rPr>
          <w:rFonts w:asciiTheme="majorHAnsi" w:hAnsiTheme="majorHAnsi"/>
          <w:sz w:val="20"/>
          <w:szCs w:val="20"/>
          <w:lang w:val="pt-BR"/>
        </w:rPr>
        <w:t>polícia</w:t>
      </w:r>
      <w:r w:rsidRPr="006D1C74">
        <w:rPr>
          <w:rFonts w:asciiTheme="majorHAnsi" w:hAnsiTheme="majorHAnsi"/>
          <w:sz w:val="20"/>
          <w:szCs w:val="20"/>
          <w:lang w:val="pt-BR"/>
        </w:rPr>
        <w:t>s militares estadu</w:t>
      </w:r>
      <w:r w:rsidR="00700267" w:rsidRPr="006D1C74">
        <w:rPr>
          <w:rFonts w:asciiTheme="majorHAnsi" w:hAnsiTheme="majorHAnsi"/>
          <w:sz w:val="20"/>
          <w:szCs w:val="20"/>
          <w:lang w:val="pt-BR"/>
        </w:rPr>
        <w:t>ais</w:t>
      </w:r>
      <w:r w:rsidRPr="006D1C74">
        <w:rPr>
          <w:rFonts w:asciiTheme="majorHAnsi" w:hAnsiTheme="majorHAnsi"/>
          <w:sz w:val="20"/>
          <w:szCs w:val="20"/>
          <w:lang w:val="pt-BR"/>
        </w:rPr>
        <w:t>”</w:t>
      </w:r>
      <w:r w:rsidRPr="006D1C74">
        <w:rPr>
          <w:rFonts w:asciiTheme="majorHAnsi" w:hAnsiTheme="majorHAnsi"/>
          <w:sz w:val="20"/>
          <w:szCs w:val="20"/>
          <w:vertAlign w:val="superscript"/>
          <w:lang w:val="pt-BR"/>
        </w:rPr>
        <w:footnoteReference w:id="98"/>
      </w:r>
      <w:r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w:t>
      </w:r>
      <w:r w:rsidR="002D7172" w:rsidRPr="006D1C74">
        <w:rPr>
          <w:rFonts w:asciiTheme="majorHAnsi" w:hAnsiTheme="majorHAnsi"/>
          <w:sz w:val="20"/>
          <w:szCs w:val="20"/>
          <w:lang w:val="pt-BR"/>
        </w:rPr>
        <w:t>Co</w:t>
      </w:r>
      <w:r w:rsidR="00F673C7" w:rsidRPr="006D1C74">
        <w:rPr>
          <w:rFonts w:asciiTheme="majorHAnsi" w:hAnsiTheme="majorHAnsi"/>
          <w:sz w:val="20"/>
          <w:szCs w:val="20"/>
          <w:lang w:val="pt-BR"/>
        </w:rPr>
        <w:t xml:space="preserve">m </w:t>
      </w:r>
      <w:r w:rsidR="00BF6FE3" w:rsidRPr="006D1C74">
        <w:rPr>
          <w:rFonts w:asciiTheme="majorHAnsi" w:hAnsiTheme="majorHAnsi"/>
          <w:sz w:val="20"/>
          <w:szCs w:val="20"/>
          <w:lang w:val="pt-BR"/>
        </w:rPr>
        <w:t>efeito</w:t>
      </w:r>
      <w:r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em </w:t>
      </w:r>
      <w:r w:rsidR="00BF6FE3" w:rsidRPr="006D1C74">
        <w:rPr>
          <w:rFonts w:asciiTheme="majorHAnsi" w:hAnsiTheme="majorHAnsi"/>
          <w:sz w:val="20"/>
          <w:szCs w:val="20"/>
          <w:lang w:val="pt-BR"/>
        </w:rPr>
        <w:t>seu</w:t>
      </w:r>
      <w:r w:rsidRPr="006D1C74">
        <w:rPr>
          <w:rFonts w:asciiTheme="majorHAnsi" w:hAnsiTheme="majorHAnsi"/>
          <w:sz w:val="20"/>
          <w:szCs w:val="20"/>
          <w:lang w:val="pt-BR"/>
        </w:rPr>
        <w:t xml:space="preserve"> </w:t>
      </w:r>
      <w:r w:rsidR="00927E16" w:rsidRPr="006D1C74">
        <w:rPr>
          <w:rFonts w:asciiTheme="majorHAnsi" w:hAnsiTheme="majorHAnsi"/>
          <w:i/>
          <w:sz w:val="20"/>
          <w:szCs w:val="20"/>
          <w:lang w:val="pt-BR"/>
        </w:rPr>
        <w:t>Relatório</w:t>
      </w:r>
      <w:r w:rsidRPr="006D1C74">
        <w:rPr>
          <w:rFonts w:asciiTheme="majorHAnsi" w:hAnsiTheme="majorHAnsi"/>
          <w:i/>
          <w:sz w:val="20"/>
          <w:szCs w:val="20"/>
          <w:lang w:val="pt-BR"/>
        </w:rPr>
        <w:t xml:space="preserve"> sobre</w:t>
      </w:r>
      <w:r w:rsidR="00700267" w:rsidRPr="006D1C74">
        <w:rPr>
          <w:rFonts w:asciiTheme="majorHAnsi" w:hAnsiTheme="majorHAnsi"/>
          <w:i/>
          <w:sz w:val="20"/>
          <w:szCs w:val="20"/>
          <w:lang w:val="pt-BR"/>
        </w:rPr>
        <w:t xml:space="preserve"> a </w:t>
      </w:r>
      <w:r w:rsidRPr="006D1C74">
        <w:rPr>
          <w:rFonts w:asciiTheme="majorHAnsi" w:hAnsiTheme="majorHAnsi"/>
          <w:i/>
          <w:sz w:val="20"/>
          <w:szCs w:val="20"/>
          <w:lang w:val="pt-BR"/>
        </w:rPr>
        <w:t>situa</w:t>
      </w:r>
      <w:r w:rsidR="00CF037E" w:rsidRPr="006D1C74">
        <w:rPr>
          <w:rFonts w:asciiTheme="majorHAnsi" w:hAnsiTheme="majorHAnsi"/>
          <w:i/>
          <w:sz w:val="20"/>
          <w:szCs w:val="20"/>
          <w:lang w:val="pt-BR"/>
        </w:rPr>
        <w:t>ção</w:t>
      </w:r>
      <w:r w:rsidR="00700267" w:rsidRPr="006D1C74">
        <w:rPr>
          <w:rFonts w:asciiTheme="majorHAnsi" w:hAnsiTheme="majorHAnsi"/>
          <w:i/>
          <w:sz w:val="20"/>
          <w:szCs w:val="20"/>
          <w:lang w:val="pt-BR"/>
        </w:rPr>
        <w:t xml:space="preserve"> dos </w:t>
      </w:r>
      <w:r w:rsidR="00417BE8" w:rsidRPr="006D1C74">
        <w:rPr>
          <w:rFonts w:asciiTheme="majorHAnsi" w:hAnsiTheme="majorHAnsi"/>
          <w:i/>
          <w:sz w:val="20"/>
          <w:szCs w:val="20"/>
          <w:lang w:val="pt-BR"/>
        </w:rPr>
        <w:t>direito</w:t>
      </w:r>
      <w:r w:rsidRPr="006D1C74">
        <w:rPr>
          <w:rFonts w:asciiTheme="majorHAnsi" w:hAnsiTheme="majorHAnsi"/>
          <w:i/>
          <w:sz w:val="20"/>
          <w:szCs w:val="20"/>
          <w:lang w:val="pt-BR"/>
        </w:rPr>
        <w:t>s humanos</w:t>
      </w:r>
      <w:r w:rsidR="00F673C7" w:rsidRPr="006D1C74">
        <w:rPr>
          <w:rFonts w:asciiTheme="majorHAnsi" w:hAnsiTheme="majorHAnsi"/>
          <w:i/>
          <w:sz w:val="20"/>
          <w:szCs w:val="20"/>
          <w:lang w:val="pt-BR"/>
        </w:rPr>
        <w:t xml:space="preserve"> </w:t>
      </w:r>
      <w:r w:rsidR="002D7172" w:rsidRPr="006D1C74">
        <w:rPr>
          <w:rFonts w:asciiTheme="majorHAnsi" w:hAnsiTheme="majorHAnsi"/>
          <w:i/>
          <w:sz w:val="20"/>
          <w:szCs w:val="20"/>
          <w:lang w:val="pt-BR"/>
        </w:rPr>
        <w:t>no</w:t>
      </w:r>
      <w:r w:rsidR="00F673C7" w:rsidRPr="006D1C74">
        <w:rPr>
          <w:rFonts w:asciiTheme="majorHAnsi" w:hAnsiTheme="majorHAnsi"/>
          <w:i/>
          <w:sz w:val="20"/>
          <w:szCs w:val="20"/>
          <w:lang w:val="pt-BR"/>
        </w:rPr>
        <w:t xml:space="preserve"> </w:t>
      </w:r>
      <w:r w:rsidRPr="006D1C74">
        <w:rPr>
          <w:rFonts w:asciiTheme="majorHAnsi" w:hAnsiTheme="majorHAnsi"/>
          <w:i/>
          <w:sz w:val="20"/>
          <w:szCs w:val="20"/>
          <w:lang w:val="pt-BR"/>
        </w:rPr>
        <w:t>Brasil</w:t>
      </w:r>
      <w:r w:rsidRPr="006D1C74">
        <w:rPr>
          <w:rFonts w:asciiTheme="majorHAnsi" w:hAnsiTheme="majorHAnsi"/>
          <w:sz w:val="20"/>
          <w:szCs w:val="20"/>
          <w:lang w:val="pt-BR"/>
        </w:rPr>
        <w:t xml:space="preserve"> (1997),</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Pr="006D1C74">
        <w:rPr>
          <w:rFonts w:asciiTheme="majorHAnsi" w:hAnsiTheme="majorHAnsi"/>
          <w:sz w:val="20"/>
          <w:szCs w:val="20"/>
          <w:lang w:val="pt-BR"/>
        </w:rPr>
        <w:t xml:space="preserve"> </w:t>
      </w:r>
      <w:r w:rsidR="00BF6FE3" w:rsidRPr="006D1C74">
        <w:rPr>
          <w:rFonts w:asciiTheme="majorHAnsi" w:hAnsiTheme="majorHAnsi"/>
          <w:sz w:val="20"/>
          <w:szCs w:val="20"/>
          <w:lang w:val="pt-BR"/>
        </w:rPr>
        <w:t>assinalou</w:t>
      </w:r>
      <w:r w:rsidRPr="006D1C74">
        <w:rPr>
          <w:rFonts w:asciiTheme="majorHAnsi" w:hAnsiTheme="majorHAnsi"/>
          <w:sz w:val="20"/>
          <w:szCs w:val="20"/>
          <w:lang w:val="pt-BR"/>
        </w:rPr>
        <w:t xml:space="preserve"> que</w:t>
      </w:r>
      <w:r w:rsidR="00700267" w:rsidRPr="006D1C74">
        <w:rPr>
          <w:rFonts w:asciiTheme="majorHAnsi" w:hAnsiTheme="majorHAnsi"/>
          <w:sz w:val="20"/>
          <w:szCs w:val="20"/>
          <w:lang w:val="pt-BR"/>
        </w:rPr>
        <w:t xml:space="preserve"> os </w:t>
      </w:r>
      <w:r w:rsidRPr="006D1C74">
        <w:rPr>
          <w:rFonts w:asciiTheme="majorHAnsi" w:hAnsiTheme="majorHAnsi"/>
          <w:sz w:val="20"/>
          <w:szCs w:val="20"/>
          <w:lang w:val="pt-BR"/>
        </w:rPr>
        <w:t>tribun</w:t>
      </w:r>
      <w:r w:rsidR="00700267" w:rsidRPr="006D1C74">
        <w:rPr>
          <w:rFonts w:asciiTheme="majorHAnsi" w:hAnsiTheme="majorHAnsi"/>
          <w:sz w:val="20"/>
          <w:szCs w:val="20"/>
          <w:lang w:val="pt-BR"/>
        </w:rPr>
        <w:t>ais</w:t>
      </w:r>
      <w:r w:rsidR="00030019" w:rsidRPr="006D1C74">
        <w:rPr>
          <w:rFonts w:asciiTheme="majorHAnsi" w:hAnsiTheme="majorHAnsi"/>
          <w:sz w:val="20"/>
          <w:szCs w:val="20"/>
          <w:lang w:val="pt-BR"/>
        </w:rPr>
        <w:t xml:space="preserve"> do </w:t>
      </w:r>
      <w:r w:rsidRPr="006D1C74">
        <w:rPr>
          <w:rFonts w:asciiTheme="majorHAnsi" w:hAnsiTheme="majorHAnsi"/>
          <w:sz w:val="20"/>
          <w:szCs w:val="20"/>
          <w:lang w:val="pt-BR"/>
        </w:rPr>
        <w:t>f</w:t>
      </w:r>
      <w:r w:rsidR="002D7172" w:rsidRPr="006D1C74">
        <w:rPr>
          <w:rFonts w:asciiTheme="majorHAnsi" w:hAnsiTheme="majorHAnsi"/>
          <w:sz w:val="20"/>
          <w:szCs w:val="20"/>
          <w:lang w:val="pt-BR"/>
        </w:rPr>
        <w:t>o</w:t>
      </w:r>
      <w:r w:rsidRPr="006D1C74">
        <w:rPr>
          <w:rFonts w:asciiTheme="majorHAnsi" w:hAnsiTheme="majorHAnsi"/>
          <w:sz w:val="20"/>
          <w:szCs w:val="20"/>
          <w:lang w:val="pt-BR"/>
        </w:rPr>
        <w:t xml:space="preserve">ro militar </w:t>
      </w:r>
      <w:r w:rsidR="00BF6FE3" w:rsidRPr="006D1C74">
        <w:rPr>
          <w:rFonts w:asciiTheme="majorHAnsi" w:hAnsiTheme="majorHAnsi"/>
          <w:sz w:val="20"/>
          <w:szCs w:val="20"/>
          <w:lang w:val="pt-BR"/>
        </w:rPr>
        <w:t>tendem</w:t>
      </w:r>
      <w:r w:rsidRPr="006D1C74">
        <w:rPr>
          <w:rFonts w:asciiTheme="majorHAnsi" w:hAnsiTheme="majorHAnsi"/>
          <w:sz w:val="20"/>
          <w:szCs w:val="20"/>
          <w:lang w:val="pt-BR"/>
        </w:rPr>
        <w:t xml:space="preserve"> a ser indulgentes</w:t>
      </w:r>
      <w:r w:rsidR="00F673C7" w:rsidRPr="006D1C74">
        <w:rPr>
          <w:rFonts w:asciiTheme="majorHAnsi" w:hAnsiTheme="majorHAnsi"/>
          <w:sz w:val="20"/>
          <w:szCs w:val="20"/>
          <w:lang w:val="pt-BR"/>
        </w:rPr>
        <w:t xml:space="preserve"> com </w:t>
      </w:r>
      <w:r w:rsidR="00700267" w:rsidRPr="006D1C74">
        <w:rPr>
          <w:rFonts w:asciiTheme="majorHAnsi" w:hAnsiTheme="majorHAnsi"/>
          <w:sz w:val="20"/>
          <w:szCs w:val="20"/>
          <w:lang w:val="pt-BR"/>
        </w:rPr>
        <w:t xml:space="preserve">os </w:t>
      </w:r>
      <w:r w:rsidRPr="006D1C74">
        <w:rPr>
          <w:rFonts w:asciiTheme="majorHAnsi" w:hAnsiTheme="majorHAnsi"/>
          <w:sz w:val="20"/>
          <w:szCs w:val="20"/>
          <w:lang w:val="pt-BR"/>
        </w:rPr>
        <w:t>agentes</w:t>
      </w:r>
      <w:r w:rsidR="00795010" w:rsidRPr="006D1C74">
        <w:rPr>
          <w:rFonts w:asciiTheme="majorHAnsi" w:hAnsiTheme="majorHAnsi"/>
          <w:sz w:val="20"/>
          <w:szCs w:val="20"/>
          <w:lang w:val="pt-BR"/>
        </w:rPr>
        <w:t xml:space="preserve"> da </w:t>
      </w:r>
      <w:r w:rsidR="00F37852" w:rsidRPr="006D1C74">
        <w:rPr>
          <w:rFonts w:asciiTheme="majorHAnsi" w:hAnsiTheme="majorHAnsi"/>
          <w:sz w:val="20"/>
          <w:szCs w:val="20"/>
          <w:lang w:val="pt-BR"/>
        </w:rPr>
        <w:t>polícia</w:t>
      </w:r>
      <w:r w:rsidRPr="006D1C74">
        <w:rPr>
          <w:rFonts w:asciiTheme="majorHAnsi" w:hAnsiTheme="majorHAnsi"/>
          <w:sz w:val="20"/>
          <w:szCs w:val="20"/>
          <w:lang w:val="pt-BR"/>
        </w:rPr>
        <w:t xml:space="preserve"> militar acusados de viola</w:t>
      </w:r>
      <w:r w:rsidR="00CF037E" w:rsidRPr="006D1C74">
        <w:rPr>
          <w:rFonts w:asciiTheme="majorHAnsi" w:hAnsiTheme="majorHAnsi"/>
          <w:sz w:val="20"/>
          <w:szCs w:val="20"/>
          <w:lang w:val="pt-BR"/>
        </w:rPr>
        <w:t>ções</w:t>
      </w:r>
      <w:r w:rsidRPr="006D1C74">
        <w:rPr>
          <w:rFonts w:asciiTheme="majorHAnsi" w:hAnsiTheme="majorHAnsi"/>
          <w:sz w:val="20"/>
          <w:szCs w:val="20"/>
          <w:lang w:val="pt-BR"/>
        </w:rPr>
        <w:t xml:space="preserve"> de </w:t>
      </w:r>
      <w:r w:rsidR="00417BE8" w:rsidRPr="006D1C74">
        <w:rPr>
          <w:rFonts w:asciiTheme="majorHAnsi" w:hAnsiTheme="majorHAnsi"/>
          <w:sz w:val="20"/>
          <w:szCs w:val="20"/>
          <w:lang w:val="pt-BR"/>
        </w:rPr>
        <w:t>direito</w:t>
      </w:r>
      <w:r w:rsidRPr="006D1C74">
        <w:rPr>
          <w:rFonts w:asciiTheme="majorHAnsi" w:hAnsiTheme="majorHAnsi"/>
          <w:sz w:val="20"/>
          <w:szCs w:val="20"/>
          <w:lang w:val="pt-BR"/>
        </w:rPr>
        <w:t>s humanos</w:t>
      </w:r>
      <w:r w:rsidR="00CF037E" w:rsidRPr="006D1C74">
        <w:rPr>
          <w:rFonts w:asciiTheme="majorHAnsi" w:hAnsiTheme="majorHAnsi"/>
          <w:sz w:val="20"/>
          <w:szCs w:val="20"/>
          <w:lang w:val="pt-BR"/>
        </w:rPr>
        <w:t xml:space="preserve"> e </w:t>
      </w:r>
      <w:r w:rsidRPr="006D1C74">
        <w:rPr>
          <w:rFonts w:asciiTheme="majorHAnsi" w:hAnsiTheme="majorHAnsi"/>
          <w:sz w:val="20"/>
          <w:szCs w:val="20"/>
          <w:lang w:val="pt-BR"/>
        </w:rPr>
        <w:t xml:space="preserve">de </w:t>
      </w:r>
      <w:r w:rsidR="00CF037E" w:rsidRPr="006D1C74">
        <w:rPr>
          <w:rFonts w:asciiTheme="majorHAnsi" w:hAnsiTheme="majorHAnsi"/>
          <w:sz w:val="20"/>
          <w:szCs w:val="20"/>
          <w:lang w:val="pt-BR"/>
        </w:rPr>
        <w:t>outr</w:t>
      </w:r>
      <w:r w:rsidRPr="006D1C74">
        <w:rPr>
          <w:rFonts w:asciiTheme="majorHAnsi" w:hAnsiTheme="majorHAnsi"/>
          <w:sz w:val="20"/>
          <w:szCs w:val="20"/>
          <w:lang w:val="pt-BR"/>
        </w:rPr>
        <w:t>os delitos pen</w:t>
      </w:r>
      <w:r w:rsidR="00700267" w:rsidRPr="006D1C74">
        <w:rPr>
          <w:rFonts w:asciiTheme="majorHAnsi" w:hAnsiTheme="majorHAnsi"/>
          <w:sz w:val="20"/>
          <w:szCs w:val="20"/>
          <w:lang w:val="pt-BR"/>
        </w:rPr>
        <w:t>ais</w:t>
      </w:r>
      <w:r w:rsidRPr="006D1C74">
        <w:rPr>
          <w:rFonts w:asciiTheme="majorHAnsi" w:hAnsiTheme="majorHAnsi"/>
          <w:sz w:val="20"/>
          <w:szCs w:val="20"/>
          <w:lang w:val="pt-BR"/>
        </w:rPr>
        <w:t>,</w:t>
      </w:r>
      <w:r w:rsidR="00B146A8" w:rsidRPr="006D1C74">
        <w:rPr>
          <w:rFonts w:asciiTheme="majorHAnsi" w:hAnsiTheme="majorHAnsi"/>
          <w:sz w:val="20"/>
          <w:szCs w:val="20"/>
          <w:lang w:val="pt-BR"/>
        </w:rPr>
        <w:t xml:space="preserve"> o </w:t>
      </w:r>
      <w:r w:rsidR="002D7172" w:rsidRPr="006D1C74">
        <w:rPr>
          <w:rFonts w:asciiTheme="majorHAnsi" w:hAnsiTheme="majorHAnsi"/>
          <w:sz w:val="20"/>
          <w:szCs w:val="20"/>
          <w:lang w:val="pt-BR"/>
        </w:rPr>
        <w:t>que</w:t>
      </w:r>
      <w:r w:rsidRPr="006D1C74">
        <w:rPr>
          <w:rFonts w:asciiTheme="majorHAnsi" w:hAnsiTheme="majorHAnsi"/>
          <w:sz w:val="20"/>
          <w:szCs w:val="20"/>
          <w:lang w:val="pt-BR"/>
        </w:rPr>
        <w:t xml:space="preserve"> propicia</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impuni</w:t>
      </w:r>
      <w:r w:rsidR="00F673C7" w:rsidRPr="006D1C74">
        <w:rPr>
          <w:rFonts w:asciiTheme="majorHAnsi" w:hAnsiTheme="majorHAnsi"/>
          <w:sz w:val="20"/>
          <w:szCs w:val="20"/>
          <w:lang w:val="pt-BR"/>
        </w:rPr>
        <w:t xml:space="preserve">dade </w:t>
      </w:r>
      <w:r w:rsidR="00700267" w:rsidRPr="006D1C74">
        <w:rPr>
          <w:rFonts w:asciiTheme="majorHAnsi" w:hAnsiTheme="majorHAnsi"/>
          <w:sz w:val="20"/>
          <w:szCs w:val="20"/>
          <w:lang w:val="pt-BR"/>
        </w:rPr>
        <w:t xml:space="preserve">dos </w:t>
      </w:r>
      <w:r w:rsidRPr="006D1C74">
        <w:rPr>
          <w:rFonts w:asciiTheme="majorHAnsi" w:hAnsiTheme="majorHAnsi"/>
          <w:sz w:val="20"/>
          <w:szCs w:val="20"/>
          <w:lang w:val="pt-BR"/>
        </w:rPr>
        <w:t>acusados</w:t>
      </w:r>
      <w:r w:rsidRPr="006D1C74">
        <w:rPr>
          <w:rFonts w:asciiTheme="majorHAnsi" w:hAnsiTheme="majorHAnsi"/>
          <w:sz w:val="20"/>
          <w:szCs w:val="20"/>
          <w:vertAlign w:val="superscript"/>
          <w:lang w:val="pt-BR"/>
        </w:rPr>
        <w:footnoteReference w:id="99"/>
      </w:r>
      <w:r w:rsidRPr="006D1C74">
        <w:rPr>
          <w:rFonts w:asciiTheme="majorHAnsi" w:hAnsiTheme="majorHAnsi"/>
          <w:sz w:val="20"/>
          <w:szCs w:val="20"/>
          <w:lang w:val="pt-BR"/>
        </w:rPr>
        <w:t>.</w:t>
      </w:r>
    </w:p>
    <w:p w14:paraId="25C2D9C7" w14:textId="77777777" w:rsidR="005F55DC" w:rsidRPr="006D1C74" w:rsidRDefault="005F55DC" w:rsidP="00833562">
      <w:pPr>
        <w:pStyle w:val="ListParagraph"/>
        <w:rPr>
          <w:rFonts w:asciiTheme="majorHAnsi" w:hAnsiTheme="majorHAnsi"/>
          <w:sz w:val="20"/>
          <w:szCs w:val="20"/>
          <w:lang w:val="pt-BR"/>
        </w:rPr>
      </w:pPr>
    </w:p>
    <w:p w14:paraId="3F296436" w14:textId="77777777" w:rsidR="006E085B" w:rsidRPr="006D1C74" w:rsidRDefault="00BF6FE3" w:rsidP="008335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Em</w:t>
      </w:r>
      <w:r w:rsidR="006E085B" w:rsidRPr="006D1C74">
        <w:rPr>
          <w:rFonts w:asciiTheme="majorHAnsi" w:hAnsiTheme="majorHAnsi"/>
          <w:sz w:val="20"/>
          <w:szCs w:val="20"/>
          <w:lang w:val="pt-BR"/>
        </w:rPr>
        <w:t xml:space="preserve"> sentido</w:t>
      </w:r>
      <w:r w:rsidR="002D7172" w:rsidRPr="006D1C74">
        <w:rPr>
          <w:rFonts w:asciiTheme="majorHAnsi" w:hAnsiTheme="majorHAnsi"/>
          <w:sz w:val="20"/>
          <w:szCs w:val="20"/>
          <w:lang w:val="pt-BR"/>
        </w:rPr>
        <w:t xml:space="preserve"> semelhante</w:t>
      </w:r>
      <w:r w:rsidR="006E085B" w:rsidRPr="006D1C74">
        <w:rPr>
          <w:rFonts w:asciiTheme="majorHAnsi" w:hAnsiTheme="majorHAnsi"/>
          <w:sz w:val="20"/>
          <w:szCs w:val="20"/>
          <w:lang w:val="pt-BR"/>
        </w:rPr>
        <w:t>,</w:t>
      </w:r>
      <w:r w:rsidR="00FC2F62" w:rsidRPr="006D1C74">
        <w:rPr>
          <w:rFonts w:asciiTheme="majorHAnsi" w:hAnsiTheme="majorHAnsi"/>
          <w:sz w:val="20"/>
          <w:szCs w:val="20"/>
          <w:lang w:val="pt-BR"/>
        </w:rPr>
        <w:t xml:space="preserve"> no </w:t>
      </w:r>
      <w:r w:rsidR="006E085B" w:rsidRPr="006D1C74">
        <w:rPr>
          <w:rFonts w:asciiTheme="majorHAnsi" w:hAnsiTheme="majorHAnsi"/>
          <w:sz w:val="20"/>
          <w:szCs w:val="20"/>
          <w:lang w:val="pt-BR"/>
        </w:rPr>
        <w:t xml:space="preserve">caso </w:t>
      </w:r>
      <w:r w:rsidR="00181B29" w:rsidRPr="006D1C74">
        <w:rPr>
          <w:rFonts w:asciiTheme="majorHAnsi" w:hAnsiTheme="majorHAnsi"/>
          <w:i/>
          <w:sz w:val="20"/>
          <w:szCs w:val="20"/>
          <w:lang w:val="pt-BR"/>
        </w:rPr>
        <w:t xml:space="preserve">Jailton Neri </w:t>
      </w:r>
      <w:r w:rsidR="002D7172" w:rsidRPr="006D1C74">
        <w:rPr>
          <w:rFonts w:asciiTheme="majorHAnsi" w:hAnsiTheme="majorHAnsi"/>
          <w:i/>
          <w:sz w:val="20"/>
          <w:szCs w:val="20"/>
          <w:lang w:val="pt-BR"/>
        </w:rPr>
        <w:t>d</w:t>
      </w:r>
      <w:r w:rsidR="00181B29" w:rsidRPr="006D1C74">
        <w:rPr>
          <w:rFonts w:asciiTheme="majorHAnsi" w:hAnsiTheme="majorHAnsi"/>
          <w:i/>
          <w:sz w:val="20"/>
          <w:szCs w:val="20"/>
          <w:lang w:val="pt-BR"/>
        </w:rPr>
        <w:t>a Fonseca vs. Brasil,</w:t>
      </w:r>
      <w:r w:rsidR="00700267" w:rsidRPr="006D1C74">
        <w:rPr>
          <w:rFonts w:asciiTheme="majorHAnsi" w:hAnsiTheme="majorHAnsi"/>
          <w:i/>
          <w:sz w:val="20"/>
          <w:szCs w:val="20"/>
          <w:lang w:val="pt-BR"/>
        </w:rPr>
        <w:t xml:space="preserve"> </w:t>
      </w:r>
      <w:r w:rsidR="002D7172" w:rsidRPr="006D1C74">
        <w:rPr>
          <w:rFonts w:asciiTheme="majorHAnsi" w:hAnsiTheme="majorHAnsi"/>
          <w:iCs/>
          <w:sz w:val="20"/>
          <w:szCs w:val="20"/>
          <w:lang w:val="pt-BR"/>
        </w:rPr>
        <w:t>a</w:t>
      </w:r>
      <w:r w:rsidR="00700267" w:rsidRPr="006D1C74">
        <w:rPr>
          <w:rFonts w:asciiTheme="majorHAnsi" w:hAnsiTheme="majorHAnsi"/>
          <w:i/>
          <w:sz w:val="20"/>
          <w:szCs w:val="20"/>
          <w:lang w:val="pt-BR"/>
        </w:rPr>
        <w:t xml:space="preserve"> </w:t>
      </w:r>
      <w:r w:rsidR="00417BE8" w:rsidRPr="006D1C74">
        <w:rPr>
          <w:rFonts w:asciiTheme="majorHAnsi" w:hAnsiTheme="majorHAnsi"/>
          <w:sz w:val="20"/>
          <w:szCs w:val="20"/>
          <w:lang w:val="pt-BR"/>
        </w:rPr>
        <w:t>Comissão</w:t>
      </w:r>
      <w:r w:rsidR="006E085B" w:rsidRPr="006D1C74">
        <w:rPr>
          <w:rFonts w:asciiTheme="majorHAnsi" w:hAnsiTheme="majorHAnsi"/>
          <w:sz w:val="20"/>
          <w:szCs w:val="20"/>
          <w:lang w:val="pt-BR"/>
        </w:rPr>
        <w:t xml:space="preserve"> </w:t>
      </w:r>
      <w:r w:rsidR="002D7172" w:rsidRPr="006D1C74">
        <w:rPr>
          <w:rFonts w:asciiTheme="majorHAnsi" w:hAnsiTheme="majorHAnsi"/>
          <w:sz w:val="20"/>
          <w:szCs w:val="20"/>
          <w:lang w:val="pt-BR"/>
        </w:rPr>
        <w:t>as</w:t>
      </w:r>
      <w:r w:rsidR="006E085B" w:rsidRPr="006D1C74">
        <w:rPr>
          <w:rFonts w:asciiTheme="majorHAnsi" w:hAnsiTheme="majorHAnsi"/>
          <w:sz w:val="20"/>
          <w:szCs w:val="20"/>
          <w:lang w:val="pt-BR"/>
        </w:rPr>
        <w:t>s</w:t>
      </w:r>
      <w:r w:rsidR="002D7172" w:rsidRPr="006D1C74">
        <w:rPr>
          <w:rFonts w:asciiTheme="majorHAnsi" w:hAnsiTheme="majorHAnsi"/>
          <w:sz w:val="20"/>
          <w:szCs w:val="20"/>
          <w:lang w:val="pt-BR"/>
        </w:rPr>
        <w:t>in</w:t>
      </w:r>
      <w:r w:rsidR="006E085B" w:rsidRPr="006D1C74">
        <w:rPr>
          <w:rFonts w:asciiTheme="majorHAnsi" w:hAnsiTheme="majorHAnsi"/>
          <w:sz w:val="20"/>
          <w:szCs w:val="20"/>
          <w:lang w:val="pt-BR"/>
        </w:rPr>
        <w:t>al</w:t>
      </w:r>
      <w:r w:rsidR="002D7172" w:rsidRPr="006D1C74">
        <w:rPr>
          <w:rFonts w:asciiTheme="majorHAnsi" w:hAnsiTheme="majorHAnsi"/>
          <w:sz w:val="20"/>
          <w:szCs w:val="20"/>
          <w:lang w:val="pt-BR"/>
        </w:rPr>
        <w:t>ou</w:t>
      </w:r>
      <w:r w:rsidR="006E085B" w:rsidRPr="006D1C74">
        <w:rPr>
          <w:rFonts w:asciiTheme="majorHAnsi" w:hAnsiTheme="majorHAnsi"/>
          <w:sz w:val="20"/>
          <w:szCs w:val="20"/>
          <w:lang w:val="pt-BR"/>
        </w:rPr>
        <w:t>:</w:t>
      </w:r>
    </w:p>
    <w:p w14:paraId="31F638F2" w14:textId="77777777" w:rsidR="00680090" w:rsidRPr="006D1C74" w:rsidRDefault="00680090" w:rsidP="003511A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pt-BR"/>
        </w:rPr>
      </w:pPr>
    </w:p>
    <w:p w14:paraId="4DF360C6" w14:textId="77777777" w:rsidR="006E085B" w:rsidRPr="006D1C74" w:rsidRDefault="002D7172" w:rsidP="003511A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540" w:right="720"/>
        <w:jc w:val="both"/>
        <w:rPr>
          <w:rFonts w:asciiTheme="majorHAnsi" w:hAnsiTheme="majorHAnsi"/>
          <w:sz w:val="20"/>
          <w:szCs w:val="20"/>
          <w:lang w:val="pt-BR"/>
        </w:rPr>
      </w:pPr>
      <w:r w:rsidRPr="006D1C74">
        <w:rPr>
          <w:rFonts w:asciiTheme="majorHAnsi" w:hAnsiTheme="majorHAnsi"/>
          <w:sz w:val="20"/>
          <w:szCs w:val="20"/>
          <w:lang w:val="pt-BR"/>
        </w:rPr>
        <w:t>A</w:t>
      </w:r>
      <w:r w:rsidR="006E085B" w:rsidRPr="006D1C74">
        <w:rPr>
          <w:rFonts w:asciiTheme="majorHAnsi" w:hAnsiTheme="majorHAnsi"/>
          <w:sz w:val="20"/>
          <w:szCs w:val="20"/>
          <w:lang w:val="pt-BR"/>
        </w:rPr>
        <w:t xml:space="preserve"> </w:t>
      </w:r>
      <w:r w:rsidR="00F37852" w:rsidRPr="006D1C74">
        <w:rPr>
          <w:rFonts w:asciiTheme="majorHAnsi" w:hAnsiTheme="majorHAnsi"/>
          <w:sz w:val="20"/>
          <w:szCs w:val="20"/>
          <w:lang w:val="pt-BR"/>
        </w:rPr>
        <w:t>polícia</w:t>
      </w:r>
      <w:r w:rsidR="006E085B" w:rsidRPr="006D1C74">
        <w:rPr>
          <w:rFonts w:asciiTheme="majorHAnsi" w:hAnsiTheme="majorHAnsi"/>
          <w:sz w:val="20"/>
          <w:szCs w:val="20"/>
          <w:lang w:val="pt-BR"/>
        </w:rPr>
        <w:t xml:space="preserve"> militar</w:t>
      </w:r>
      <w:r w:rsidR="00CF037E" w:rsidRPr="006D1C74">
        <w:rPr>
          <w:rFonts w:asciiTheme="majorHAnsi" w:hAnsiTheme="majorHAnsi"/>
          <w:sz w:val="20"/>
          <w:szCs w:val="20"/>
          <w:lang w:val="pt-BR"/>
        </w:rPr>
        <w:t xml:space="preserve"> e</w:t>
      </w:r>
      <w:r w:rsidR="00700267" w:rsidRPr="006D1C74">
        <w:rPr>
          <w:rFonts w:asciiTheme="majorHAnsi" w:hAnsiTheme="majorHAnsi"/>
          <w:sz w:val="20"/>
          <w:szCs w:val="20"/>
          <w:lang w:val="pt-BR"/>
        </w:rPr>
        <w:t xml:space="preserve"> os </w:t>
      </w:r>
      <w:r w:rsidR="006E085B" w:rsidRPr="006D1C74">
        <w:rPr>
          <w:rFonts w:asciiTheme="majorHAnsi" w:hAnsiTheme="majorHAnsi"/>
          <w:sz w:val="20"/>
          <w:szCs w:val="20"/>
          <w:lang w:val="pt-BR"/>
        </w:rPr>
        <w:t>tribun</w:t>
      </w:r>
      <w:r w:rsidR="00700267" w:rsidRPr="006D1C74">
        <w:rPr>
          <w:rFonts w:asciiTheme="majorHAnsi" w:hAnsiTheme="majorHAnsi"/>
          <w:sz w:val="20"/>
          <w:szCs w:val="20"/>
          <w:lang w:val="pt-BR"/>
        </w:rPr>
        <w:t>ais</w:t>
      </w:r>
      <w:r w:rsidR="006E085B" w:rsidRPr="006D1C74">
        <w:rPr>
          <w:rFonts w:asciiTheme="majorHAnsi" w:hAnsiTheme="majorHAnsi"/>
          <w:sz w:val="20"/>
          <w:szCs w:val="20"/>
          <w:lang w:val="pt-BR"/>
        </w:rPr>
        <w:t xml:space="preserve"> militares</w:t>
      </w:r>
      <w:r w:rsidR="00F673C7" w:rsidRPr="006D1C74">
        <w:rPr>
          <w:rFonts w:asciiTheme="majorHAnsi" w:hAnsiTheme="majorHAnsi"/>
          <w:sz w:val="20"/>
          <w:szCs w:val="20"/>
          <w:lang w:val="pt-BR"/>
        </w:rPr>
        <w:t xml:space="preserve"> não </w:t>
      </w:r>
      <w:r w:rsidR="006E085B" w:rsidRPr="006D1C74">
        <w:rPr>
          <w:rFonts w:asciiTheme="majorHAnsi" w:hAnsiTheme="majorHAnsi"/>
          <w:sz w:val="20"/>
          <w:szCs w:val="20"/>
          <w:lang w:val="pt-BR"/>
        </w:rPr>
        <w:t>t</w:t>
      </w:r>
      <w:r w:rsidRPr="006D1C74">
        <w:rPr>
          <w:rFonts w:asciiTheme="majorHAnsi" w:hAnsiTheme="majorHAnsi"/>
          <w:sz w:val="20"/>
          <w:szCs w:val="20"/>
          <w:lang w:val="pt-BR"/>
        </w:rPr>
        <w:t>êm</w:t>
      </w:r>
      <w:r w:rsidR="00700267" w:rsidRPr="006D1C74">
        <w:rPr>
          <w:rFonts w:asciiTheme="majorHAnsi" w:hAnsiTheme="majorHAnsi"/>
          <w:sz w:val="20"/>
          <w:szCs w:val="20"/>
          <w:lang w:val="pt-BR"/>
        </w:rPr>
        <w:t xml:space="preserve"> a </w:t>
      </w:r>
      <w:r w:rsidR="00BF6FE3" w:rsidRPr="006D1C74">
        <w:rPr>
          <w:rFonts w:asciiTheme="majorHAnsi" w:hAnsiTheme="majorHAnsi"/>
          <w:sz w:val="20"/>
          <w:szCs w:val="20"/>
          <w:lang w:val="pt-BR"/>
        </w:rPr>
        <w:t>independência</w:t>
      </w:r>
      <w:r w:rsidR="00CF037E" w:rsidRPr="006D1C74">
        <w:rPr>
          <w:rFonts w:asciiTheme="majorHAnsi" w:hAnsiTheme="majorHAnsi"/>
          <w:sz w:val="20"/>
          <w:szCs w:val="20"/>
          <w:lang w:val="pt-BR"/>
        </w:rPr>
        <w:t xml:space="preserve"> e </w:t>
      </w:r>
      <w:r w:rsidR="006E085B" w:rsidRPr="006D1C74">
        <w:rPr>
          <w:rFonts w:asciiTheme="majorHAnsi" w:hAnsiTheme="majorHAnsi"/>
          <w:sz w:val="20"/>
          <w:szCs w:val="20"/>
          <w:lang w:val="pt-BR"/>
        </w:rPr>
        <w:t>autonom</w:t>
      </w:r>
      <w:r w:rsidR="00055622" w:rsidRPr="006D1C74">
        <w:rPr>
          <w:rFonts w:asciiTheme="majorHAnsi" w:hAnsiTheme="majorHAnsi"/>
          <w:sz w:val="20"/>
          <w:szCs w:val="20"/>
          <w:lang w:val="pt-BR"/>
        </w:rPr>
        <w:t>ia</w:t>
      </w:r>
      <w:r w:rsidR="006E085B" w:rsidRPr="006D1C74">
        <w:rPr>
          <w:rFonts w:asciiTheme="majorHAnsi" w:hAnsiTheme="majorHAnsi"/>
          <w:sz w:val="20"/>
          <w:szCs w:val="20"/>
          <w:lang w:val="pt-BR"/>
        </w:rPr>
        <w:t xml:space="preserve"> </w:t>
      </w:r>
      <w:r w:rsidR="00BF6FE3" w:rsidRPr="006D1C74">
        <w:rPr>
          <w:rFonts w:asciiTheme="majorHAnsi" w:hAnsiTheme="majorHAnsi"/>
          <w:sz w:val="20"/>
          <w:szCs w:val="20"/>
          <w:lang w:val="pt-BR"/>
        </w:rPr>
        <w:t>necessárias</w:t>
      </w:r>
      <w:r w:rsidR="006E085B" w:rsidRPr="006D1C74">
        <w:rPr>
          <w:rFonts w:asciiTheme="majorHAnsi" w:hAnsiTheme="majorHAnsi"/>
          <w:sz w:val="20"/>
          <w:szCs w:val="20"/>
          <w:lang w:val="pt-BR"/>
        </w:rPr>
        <w:t xml:space="preserve"> para investigar n</w:t>
      </w:r>
      <w:r w:rsidRPr="006D1C74">
        <w:rPr>
          <w:rFonts w:asciiTheme="majorHAnsi" w:hAnsiTheme="majorHAnsi"/>
          <w:sz w:val="20"/>
          <w:szCs w:val="20"/>
          <w:lang w:val="pt-BR"/>
        </w:rPr>
        <w:t>em</w:t>
      </w:r>
      <w:r w:rsidR="006E085B" w:rsidRPr="006D1C74">
        <w:rPr>
          <w:rFonts w:asciiTheme="majorHAnsi" w:hAnsiTheme="majorHAnsi"/>
          <w:sz w:val="20"/>
          <w:szCs w:val="20"/>
          <w:lang w:val="pt-BR"/>
        </w:rPr>
        <w:t xml:space="preserve"> para </w:t>
      </w:r>
      <w:r w:rsidR="00BF6FE3" w:rsidRPr="006D1C74">
        <w:rPr>
          <w:rFonts w:asciiTheme="majorHAnsi" w:hAnsiTheme="majorHAnsi"/>
          <w:sz w:val="20"/>
          <w:szCs w:val="20"/>
          <w:lang w:val="pt-BR"/>
        </w:rPr>
        <w:t>julgar</w:t>
      </w:r>
      <w:r w:rsidR="006E085B" w:rsidRPr="006D1C74">
        <w:rPr>
          <w:rFonts w:asciiTheme="majorHAnsi" w:hAnsiTheme="majorHAnsi"/>
          <w:sz w:val="20"/>
          <w:szCs w:val="20"/>
          <w:lang w:val="pt-BR"/>
        </w:rPr>
        <w:t xml:space="preserve"> de </w:t>
      </w:r>
      <w:r w:rsidR="00BF6FE3" w:rsidRPr="006D1C74">
        <w:rPr>
          <w:rFonts w:asciiTheme="majorHAnsi" w:hAnsiTheme="majorHAnsi"/>
          <w:sz w:val="20"/>
          <w:szCs w:val="20"/>
          <w:lang w:val="pt-BR"/>
        </w:rPr>
        <w:t>maneira</w:t>
      </w:r>
      <w:r w:rsidR="006E085B" w:rsidRPr="006D1C74">
        <w:rPr>
          <w:rFonts w:asciiTheme="majorHAnsi" w:hAnsiTheme="majorHAnsi"/>
          <w:sz w:val="20"/>
          <w:szCs w:val="20"/>
          <w:lang w:val="pt-BR"/>
        </w:rPr>
        <w:t xml:space="preserve"> imparcial</w:t>
      </w:r>
      <w:r w:rsidR="00700267" w:rsidRPr="006D1C74">
        <w:rPr>
          <w:rFonts w:asciiTheme="majorHAnsi" w:hAnsiTheme="majorHAnsi"/>
          <w:sz w:val="20"/>
          <w:szCs w:val="20"/>
          <w:lang w:val="pt-BR"/>
        </w:rPr>
        <w:t xml:space="preserve"> as </w:t>
      </w:r>
      <w:r w:rsidR="00795010" w:rsidRPr="006D1C74">
        <w:rPr>
          <w:rFonts w:asciiTheme="majorHAnsi" w:hAnsiTheme="majorHAnsi"/>
          <w:sz w:val="20"/>
          <w:szCs w:val="20"/>
          <w:lang w:val="pt-BR"/>
        </w:rPr>
        <w:t>suposta</w:t>
      </w:r>
      <w:r w:rsidR="006E085B" w:rsidRPr="006D1C74">
        <w:rPr>
          <w:rFonts w:asciiTheme="majorHAnsi" w:hAnsiTheme="majorHAnsi"/>
          <w:sz w:val="20"/>
          <w:szCs w:val="20"/>
          <w:lang w:val="pt-BR"/>
        </w:rPr>
        <w:t>s viola</w:t>
      </w:r>
      <w:r w:rsidR="00CF037E" w:rsidRPr="006D1C74">
        <w:rPr>
          <w:rFonts w:asciiTheme="majorHAnsi" w:hAnsiTheme="majorHAnsi"/>
          <w:sz w:val="20"/>
          <w:szCs w:val="20"/>
          <w:lang w:val="pt-BR"/>
        </w:rPr>
        <w:t>ções</w:t>
      </w:r>
      <w:r w:rsidR="00135454" w:rsidRPr="006D1C74">
        <w:rPr>
          <w:rFonts w:asciiTheme="majorHAnsi" w:hAnsiTheme="majorHAnsi"/>
          <w:sz w:val="20"/>
          <w:szCs w:val="20"/>
          <w:lang w:val="pt-BR"/>
        </w:rPr>
        <w:t xml:space="preserve"> </w:t>
      </w:r>
      <w:r w:rsidRPr="006D1C74">
        <w:rPr>
          <w:rFonts w:asciiTheme="majorHAnsi" w:hAnsiTheme="majorHAnsi"/>
          <w:sz w:val="20"/>
          <w:szCs w:val="20"/>
          <w:lang w:val="pt-BR"/>
        </w:rPr>
        <w:t>de</w:t>
      </w:r>
      <w:r w:rsidR="00135454" w:rsidRPr="006D1C74">
        <w:rPr>
          <w:rFonts w:asciiTheme="majorHAnsi" w:hAnsiTheme="majorHAnsi"/>
          <w:sz w:val="20"/>
          <w:szCs w:val="20"/>
          <w:lang w:val="pt-BR"/>
        </w:rPr>
        <w:t xml:space="preserve"> </w:t>
      </w:r>
      <w:r w:rsidR="00417BE8" w:rsidRPr="006D1C74">
        <w:rPr>
          <w:rFonts w:asciiTheme="majorHAnsi" w:hAnsiTheme="majorHAnsi"/>
          <w:sz w:val="20"/>
          <w:szCs w:val="20"/>
          <w:lang w:val="pt-BR"/>
        </w:rPr>
        <w:t>direito</w:t>
      </w:r>
      <w:r w:rsidR="006E085B" w:rsidRPr="006D1C74">
        <w:rPr>
          <w:rFonts w:asciiTheme="majorHAnsi" w:hAnsiTheme="majorHAnsi"/>
          <w:sz w:val="20"/>
          <w:szCs w:val="20"/>
          <w:lang w:val="pt-BR"/>
        </w:rPr>
        <w:t xml:space="preserve">s humanos </w:t>
      </w:r>
      <w:r w:rsidR="00795010" w:rsidRPr="006D1C74">
        <w:rPr>
          <w:rFonts w:asciiTheme="majorHAnsi" w:hAnsiTheme="majorHAnsi"/>
          <w:sz w:val="20"/>
          <w:szCs w:val="20"/>
          <w:lang w:val="pt-BR"/>
        </w:rPr>
        <w:t>suposta</w:t>
      </w:r>
      <w:r w:rsidR="006E085B" w:rsidRPr="006D1C74">
        <w:rPr>
          <w:rFonts w:asciiTheme="majorHAnsi" w:hAnsiTheme="majorHAnsi"/>
          <w:sz w:val="20"/>
          <w:szCs w:val="20"/>
          <w:lang w:val="pt-BR"/>
        </w:rPr>
        <w:t xml:space="preserve">mente cometidas por </w:t>
      </w:r>
      <w:r w:rsidR="00F37852" w:rsidRPr="006D1C74">
        <w:rPr>
          <w:rFonts w:asciiTheme="majorHAnsi" w:hAnsiTheme="majorHAnsi"/>
          <w:sz w:val="20"/>
          <w:szCs w:val="20"/>
          <w:lang w:val="pt-BR"/>
        </w:rPr>
        <w:t>polícia</w:t>
      </w:r>
      <w:r w:rsidR="006E085B" w:rsidRPr="006D1C74">
        <w:rPr>
          <w:rFonts w:asciiTheme="majorHAnsi" w:hAnsiTheme="majorHAnsi"/>
          <w:sz w:val="20"/>
          <w:szCs w:val="20"/>
          <w:lang w:val="pt-BR"/>
        </w:rPr>
        <w:t>s militares. Tanto</w:t>
      </w:r>
      <w:r w:rsidR="00700267" w:rsidRPr="006D1C74">
        <w:rPr>
          <w:rFonts w:asciiTheme="majorHAnsi" w:hAnsiTheme="majorHAnsi"/>
          <w:sz w:val="20"/>
          <w:szCs w:val="20"/>
          <w:lang w:val="pt-BR"/>
        </w:rPr>
        <w:t xml:space="preserve"> a </w:t>
      </w:r>
      <w:r w:rsidR="006E085B" w:rsidRPr="006D1C74">
        <w:rPr>
          <w:rFonts w:asciiTheme="majorHAnsi" w:hAnsiTheme="majorHAnsi"/>
          <w:sz w:val="20"/>
          <w:szCs w:val="20"/>
          <w:lang w:val="pt-BR"/>
        </w:rPr>
        <w:t>investiga</w:t>
      </w:r>
      <w:r w:rsidR="00CF037E" w:rsidRPr="006D1C74">
        <w:rPr>
          <w:rFonts w:asciiTheme="majorHAnsi" w:hAnsiTheme="majorHAnsi"/>
          <w:sz w:val="20"/>
          <w:szCs w:val="20"/>
          <w:lang w:val="pt-BR"/>
        </w:rPr>
        <w:t>ção</w:t>
      </w:r>
      <w:r w:rsidR="006E085B" w:rsidRPr="006D1C74">
        <w:rPr>
          <w:rFonts w:asciiTheme="majorHAnsi" w:hAnsiTheme="majorHAnsi"/>
          <w:sz w:val="20"/>
          <w:szCs w:val="20"/>
          <w:lang w:val="pt-BR"/>
        </w:rPr>
        <w:t xml:space="preserve"> de </w:t>
      </w:r>
      <w:r w:rsidR="00795010" w:rsidRPr="006D1C74">
        <w:rPr>
          <w:rFonts w:asciiTheme="majorHAnsi" w:hAnsiTheme="majorHAnsi"/>
          <w:sz w:val="20"/>
          <w:szCs w:val="20"/>
          <w:lang w:val="pt-BR"/>
        </w:rPr>
        <w:t>suposta</w:t>
      </w:r>
      <w:r w:rsidR="006E085B" w:rsidRPr="006D1C74">
        <w:rPr>
          <w:rFonts w:asciiTheme="majorHAnsi" w:hAnsiTheme="majorHAnsi"/>
          <w:sz w:val="20"/>
          <w:szCs w:val="20"/>
          <w:lang w:val="pt-BR"/>
        </w:rPr>
        <w:t>s viola</w:t>
      </w:r>
      <w:r w:rsidR="00CF037E" w:rsidRPr="006D1C74">
        <w:rPr>
          <w:rFonts w:asciiTheme="majorHAnsi" w:hAnsiTheme="majorHAnsi"/>
          <w:sz w:val="20"/>
          <w:szCs w:val="20"/>
          <w:lang w:val="pt-BR"/>
        </w:rPr>
        <w:t>ções</w:t>
      </w:r>
      <w:r w:rsidR="006E085B" w:rsidRPr="006D1C74">
        <w:rPr>
          <w:rFonts w:asciiTheme="majorHAnsi" w:hAnsiTheme="majorHAnsi"/>
          <w:sz w:val="20"/>
          <w:szCs w:val="20"/>
          <w:lang w:val="pt-BR"/>
        </w:rPr>
        <w:t xml:space="preserve"> de </w:t>
      </w:r>
      <w:r w:rsidR="00417BE8" w:rsidRPr="006D1C74">
        <w:rPr>
          <w:rFonts w:asciiTheme="majorHAnsi" w:hAnsiTheme="majorHAnsi"/>
          <w:sz w:val="20"/>
          <w:szCs w:val="20"/>
          <w:lang w:val="pt-BR"/>
        </w:rPr>
        <w:t>direito</w:t>
      </w:r>
      <w:r w:rsidR="006E085B" w:rsidRPr="006D1C74">
        <w:rPr>
          <w:rFonts w:asciiTheme="majorHAnsi" w:hAnsiTheme="majorHAnsi"/>
          <w:sz w:val="20"/>
          <w:szCs w:val="20"/>
          <w:lang w:val="pt-BR"/>
        </w:rPr>
        <w:t>s humanos realizada</w:t>
      </w:r>
      <w:r w:rsidR="00F37852" w:rsidRPr="006D1C74">
        <w:rPr>
          <w:rFonts w:asciiTheme="majorHAnsi" w:hAnsiTheme="majorHAnsi"/>
          <w:sz w:val="20"/>
          <w:szCs w:val="20"/>
          <w:lang w:val="pt-BR"/>
        </w:rPr>
        <w:t xml:space="preserve"> pela polícia</w:t>
      </w:r>
      <w:r w:rsidR="006E085B" w:rsidRPr="006D1C74">
        <w:rPr>
          <w:rFonts w:asciiTheme="majorHAnsi" w:hAnsiTheme="majorHAnsi"/>
          <w:sz w:val="20"/>
          <w:szCs w:val="20"/>
          <w:lang w:val="pt-BR"/>
        </w:rPr>
        <w:t xml:space="preserve"> militar como</w:t>
      </w:r>
      <w:r w:rsidR="00700267" w:rsidRPr="006D1C74">
        <w:rPr>
          <w:rFonts w:asciiTheme="majorHAnsi" w:hAnsiTheme="majorHAnsi"/>
          <w:sz w:val="20"/>
          <w:szCs w:val="20"/>
          <w:lang w:val="pt-BR"/>
        </w:rPr>
        <w:t xml:space="preserve"> o </w:t>
      </w:r>
      <w:r w:rsidR="00BF6FE3" w:rsidRPr="006D1C74">
        <w:rPr>
          <w:rFonts w:asciiTheme="majorHAnsi" w:hAnsiTheme="majorHAnsi"/>
          <w:sz w:val="20"/>
          <w:szCs w:val="20"/>
          <w:lang w:val="pt-BR"/>
        </w:rPr>
        <w:t>julgamento</w:t>
      </w:r>
      <w:r w:rsidR="006E085B" w:rsidRPr="006D1C74">
        <w:rPr>
          <w:rFonts w:asciiTheme="majorHAnsi" w:hAnsiTheme="majorHAnsi"/>
          <w:sz w:val="20"/>
          <w:szCs w:val="20"/>
          <w:lang w:val="pt-BR"/>
        </w:rPr>
        <w:t xml:space="preserve"> de</w:t>
      </w:r>
      <w:r w:rsidRPr="006D1C74">
        <w:rPr>
          <w:rFonts w:asciiTheme="majorHAnsi" w:hAnsiTheme="majorHAnsi"/>
          <w:sz w:val="20"/>
          <w:szCs w:val="20"/>
          <w:lang w:val="pt-BR"/>
        </w:rPr>
        <w:t>ss</w:t>
      </w:r>
      <w:r w:rsidR="006E085B" w:rsidRPr="006D1C74">
        <w:rPr>
          <w:rFonts w:asciiTheme="majorHAnsi" w:hAnsiTheme="majorHAnsi"/>
          <w:sz w:val="20"/>
          <w:szCs w:val="20"/>
          <w:lang w:val="pt-BR"/>
        </w:rPr>
        <w:t>as viola</w:t>
      </w:r>
      <w:r w:rsidR="00CF037E" w:rsidRPr="006D1C74">
        <w:rPr>
          <w:rFonts w:asciiTheme="majorHAnsi" w:hAnsiTheme="majorHAnsi"/>
          <w:sz w:val="20"/>
          <w:szCs w:val="20"/>
          <w:lang w:val="pt-BR"/>
        </w:rPr>
        <w:t>ções</w:t>
      </w:r>
      <w:r w:rsidR="006E085B" w:rsidRPr="006D1C74">
        <w:rPr>
          <w:rFonts w:asciiTheme="majorHAnsi" w:hAnsiTheme="majorHAnsi"/>
          <w:sz w:val="20"/>
          <w:szCs w:val="20"/>
          <w:lang w:val="pt-BR"/>
        </w:rPr>
        <w:t xml:space="preserve"> por tribun</w:t>
      </w:r>
      <w:r w:rsidR="00700267" w:rsidRPr="006D1C74">
        <w:rPr>
          <w:rFonts w:asciiTheme="majorHAnsi" w:hAnsiTheme="majorHAnsi"/>
          <w:sz w:val="20"/>
          <w:szCs w:val="20"/>
          <w:lang w:val="pt-BR"/>
        </w:rPr>
        <w:t>ais</w:t>
      </w:r>
      <w:r w:rsidR="006E085B" w:rsidRPr="006D1C74">
        <w:rPr>
          <w:rFonts w:asciiTheme="majorHAnsi" w:hAnsiTheme="majorHAnsi"/>
          <w:sz w:val="20"/>
          <w:szCs w:val="20"/>
          <w:lang w:val="pt-BR"/>
        </w:rPr>
        <w:t xml:space="preserve"> militares </w:t>
      </w:r>
      <w:r w:rsidR="00BF6FE3" w:rsidRPr="006D1C74">
        <w:rPr>
          <w:rFonts w:asciiTheme="majorHAnsi" w:hAnsiTheme="majorHAnsi"/>
          <w:sz w:val="20"/>
          <w:szCs w:val="20"/>
          <w:lang w:val="pt-BR"/>
        </w:rPr>
        <w:t>implicam</w:t>
      </w:r>
      <w:r w:rsidR="006E085B" w:rsidRPr="006D1C74">
        <w:rPr>
          <w:rFonts w:asciiTheme="majorHAnsi" w:hAnsiTheme="majorHAnsi"/>
          <w:sz w:val="20"/>
          <w:szCs w:val="20"/>
          <w:lang w:val="pt-BR"/>
        </w:rPr>
        <w:t xml:space="preserve"> viola</w:t>
      </w:r>
      <w:r w:rsidR="00CF037E" w:rsidRPr="006D1C74">
        <w:rPr>
          <w:rFonts w:asciiTheme="majorHAnsi" w:hAnsiTheme="majorHAnsi"/>
          <w:sz w:val="20"/>
          <w:szCs w:val="20"/>
          <w:lang w:val="pt-BR"/>
        </w:rPr>
        <w:t>ção</w:t>
      </w:r>
      <w:r w:rsidR="006E085B" w:rsidRPr="006D1C74">
        <w:rPr>
          <w:rFonts w:asciiTheme="majorHAnsi" w:hAnsiTheme="majorHAnsi"/>
          <w:sz w:val="20"/>
          <w:szCs w:val="20"/>
          <w:lang w:val="pt-BR"/>
        </w:rPr>
        <w:t xml:space="preserve"> </w:t>
      </w:r>
      <w:r w:rsidR="006E085B" w:rsidRPr="006D1C74">
        <w:rPr>
          <w:rFonts w:asciiTheme="majorHAnsi" w:hAnsiTheme="majorHAnsi"/>
          <w:i/>
          <w:iCs/>
          <w:sz w:val="20"/>
          <w:szCs w:val="20"/>
          <w:lang w:val="pt-BR"/>
        </w:rPr>
        <w:t>per se</w:t>
      </w:r>
      <w:r w:rsidR="00135454" w:rsidRPr="006D1C74">
        <w:rPr>
          <w:rFonts w:asciiTheme="majorHAnsi" w:hAnsiTheme="majorHAnsi"/>
          <w:sz w:val="20"/>
          <w:szCs w:val="20"/>
          <w:lang w:val="pt-BR"/>
        </w:rPr>
        <w:t xml:space="preserve"> </w:t>
      </w:r>
      <w:r w:rsidRPr="006D1C74">
        <w:rPr>
          <w:rFonts w:asciiTheme="majorHAnsi" w:hAnsiTheme="majorHAnsi"/>
          <w:sz w:val="20"/>
          <w:szCs w:val="20"/>
          <w:lang w:val="pt-BR"/>
        </w:rPr>
        <w:t>d</w:t>
      </w:r>
      <w:r w:rsidR="00135454" w:rsidRPr="006D1C74">
        <w:rPr>
          <w:rFonts w:asciiTheme="majorHAnsi" w:hAnsiTheme="majorHAnsi"/>
          <w:sz w:val="20"/>
          <w:szCs w:val="20"/>
          <w:lang w:val="pt-BR"/>
        </w:rPr>
        <w:t xml:space="preserve">os </w:t>
      </w:r>
      <w:r w:rsidR="00F673C7" w:rsidRPr="006D1C74">
        <w:rPr>
          <w:rFonts w:asciiTheme="majorHAnsi" w:hAnsiTheme="majorHAnsi"/>
          <w:sz w:val="20"/>
          <w:szCs w:val="20"/>
          <w:lang w:val="pt-BR"/>
        </w:rPr>
        <w:t>artigo</w:t>
      </w:r>
      <w:r w:rsidR="006E085B" w:rsidRPr="006D1C74">
        <w:rPr>
          <w:rFonts w:asciiTheme="majorHAnsi" w:hAnsiTheme="majorHAnsi"/>
          <w:sz w:val="20"/>
          <w:szCs w:val="20"/>
          <w:lang w:val="pt-BR"/>
        </w:rPr>
        <w:t>s 1.1, 25</w:t>
      </w:r>
      <w:r w:rsidR="00CF037E" w:rsidRPr="006D1C74">
        <w:rPr>
          <w:rFonts w:asciiTheme="majorHAnsi" w:hAnsiTheme="majorHAnsi"/>
          <w:sz w:val="20"/>
          <w:szCs w:val="20"/>
          <w:lang w:val="pt-BR"/>
        </w:rPr>
        <w:t xml:space="preserve"> e </w:t>
      </w:r>
      <w:r w:rsidR="006E085B" w:rsidRPr="006D1C74">
        <w:rPr>
          <w:rFonts w:asciiTheme="majorHAnsi" w:hAnsiTheme="majorHAnsi"/>
          <w:sz w:val="20"/>
          <w:szCs w:val="20"/>
          <w:lang w:val="pt-BR"/>
        </w:rPr>
        <w:t>8</w:t>
      </w:r>
      <w:r w:rsidR="00795010" w:rsidRPr="006D1C74">
        <w:rPr>
          <w:rFonts w:asciiTheme="majorHAnsi" w:hAnsiTheme="majorHAnsi"/>
          <w:sz w:val="20"/>
          <w:szCs w:val="20"/>
          <w:lang w:val="pt-BR"/>
        </w:rPr>
        <w:t xml:space="preserve"> da </w:t>
      </w:r>
      <w:r w:rsidR="006E085B" w:rsidRPr="006D1C74">
        <w:rPr>
          <w:rFonts w:asciiTheme="majorHAnsi" w:hAnsiTheme="majorHAnsi"/>
          <w:sz w:val="20"/>
          <w:szCs w:val="20"/>
          <w:lang w:val="pt-BR"/>
        </w:rPr>
        <w:t>Conven</w:t>
      </w:r>
      <w:r w:rsidR="00CF037E" w:rsidRPr="006D1C74">
        <w:rPr>
          <w:rFonts w:asciiTheme="majorHAnsi" w:hAnsiTheme="majorHAnsi"/>
          <w:sz w:val="20"/>
          <w:szCs w:val="20"/>
          <w:lang w:val="pt-BR"/>
        </w:rPr>
        <w:t>ção</w:t>
      </w:r>
      <w:r w:rsidR="006E085B" w:rsidRPr="006D1C74">
        <w:rPr>
          <w:rFonts w:asciiTheme="majorHAnsi" w:hAnsiTheme="majorHAnsi"/>
          <w:sz w:val="20"/>
          <w:szCs w:val="20"/>
          <w:lang w:val="pt-BR"/>
        </w:rPr>
        <w:t xml:space="preserve"> Americana</w:t>
      </w:r>
      <w:r w:rsidR="006E085B" w:rsidRPr="006D1C74">
        <w:rPr>
          <w:rStyle w:val="FootnoteReference"/>
          <w:rFonts w:asciiTheme="majorHAnsi" w:hAnsiTheme="majorHAnsi"/>
          <w:sz w:val="20"/>
          <w:szCs w:val="20"/>
          <w:lang w:val="pt-BR"/>
        </w:rPr>
        <w:footnoteReference w:id="100"/>
      </w:r>
      <w:r w:rsidR="006E085B" w:rsidRPr="006D1C74">
        <w:rPr>
          <w:rFonts w:asciiTheme="majorHAnsi" w:hAnsiTheme="majorHAnsi"/>
          <w:sz w:val="20"/>
          <w:szCs w:val="20"/>
          <w:lang w:val="pt-BR"/>
        </w:rPr>
        <w:t>.</w:t>
      </w:r>
    </w:p>
    <w:p w14:paraId="0CD46300" w14:textId="77777777" w:rsidR="006E085B" w:rsidRPr="006D1C74" w:rsidRDefault="006E085B" w:rsidP="0083356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b/>
          <w:sz w:val="20"/>
          <w:szCs w:val="20"/>
          <w:lang w:val="pt-BR"/>
        </w:rPr>
      </w:pPr>
    </w:p>
    <w:p w14:paraId="4AE6AD06" w14:textId="77777777" w:rsidR="00D5460A" w:rsidRPr="006D1C74" w:rsidRDefault="00D5460A" w:rsidP="008335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0"/>
        <w:jc w:val="both"/>
        <w:rPr>
          <w:rFonts w:asciiTheme="majorHAnsi" w:hAnsiTheme="majorHAnsi"/>
          <w:b/>
          <w:sz w:val="20"/>
          <w:szCs w:val="20"/>
          <w:lang w:val="pt-BR"/>
        </w:rPr>
      </w:pPr>
      <w:r w:rsidRPr="006D1C74">
        <w:rPr>
          <w:rFonts w:asciiTheme="majorHAnsi" w:hAnsiTheme="majorHAnsi"/>
          <w:sz w:val="20"/>
          <w:szCs w:val="20"/>
          <w:lang w:val="pt-BR"/>
        </w:rPr>
        <w:t>Por su</w:t>
      </w:r>
      <w:r w:rsidR="002D7172" w:rsidRPr="006D1C74">
        <w:rPr>
          <w:rFonts w:asciiTheme="majorHAnsi" w:hAnsiTheme="majorHAnsi"/>
          <w:sz w:val="20"/>
          <w:szCs w:val="20"/>
          <w:lang w:val="pt-BR"/>
        </w:rPr>
        <w:t>a</w:t>
      </w:r>
      <w:r w:rsidRPr="006D1C74">
        <w:rPr>
          <w:rFonts w:asciiTheme="majorHAnsi" w:hAnsiTheme="majorHAnsi"/>
          <w:sz w:val="20"/>
          <w:szCs w:val="20"/>
          <w:lang w:val="pt-BR"/>
        </w:rPr>
        <w:t xml:space="preserve"> </w:t>
      </w:r>
      <w:r w:rsidR="002D7172" w:rsidRPr="006D1C74">
        <w:rPr>
          <w:rFonts w:asciiTheme="majorHAnsi" w:hAnsiTheme="majorHAnsi"/>
          <w:sz w:val="20"/>
          <w:szCs w:val="20"/>
          <w:lang w:val="pt-BR"/>
        </w:rPr>
        <w:t>vez</w:t>
      </w:r>
      <w:r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a </w:t>
      </w:r>
      <w:r w:rsidRPr="006D1C74">
        <w:rPr>
          <w:rFonts w:ascii="Cambria" w:hAnsi="Cambria" w:cs="Arial"/>
          <w:sz w:val="20"/>
          <w:szCs w:val="20"/>
          <w:lang w:val="pt-BR"/>
        </w:rPr>
        <w:t>Corte Interamericana</w:t>
      </w:r>
      <w:r w:rsidR="002D7172" w:rsidRPr="006D1C74">
        <w:rPr>
          <w:rFonts w:ascii="Cambria" w:hAnsi="Cambria" w:cs="Arial"/>
          <w:sz w:val="20"/>
          <w:szCs w:val="20"/>
          <w:lang w:val="pt-BR"/>
        </w:rPr>
        <w:t>,</w:t>
      </w:r>
      <w:r w:rsidR="00F673C7" w:rsidRPr="006D1C74">
        <w:rPr>
          <w:rFonts w:ascii="Cambria" w:hAnsi="Cambria" w:cs="Arial"/>
          <w:sz w:val="20"/>
          <w:szCs w:val="20"/>
          <w:lang w:val="pt-BR"/>
        </w:rPr>
        <w:t xml:space="preserve"> em </w:t>
      </w:r>
      <w:r w:rsidR="00BF6FE3" w:rsidRPr="006D1C74">
        <w:rPr>
          <w:rFonts w:ascii="Cambria" w:hAnsi="Cambria" w:cs="Arial"/>
          <w:sz w:val="20"/>
          <w:szCs w:val="20"/>
          <w:lang w:val="pt-BR"/>
        </w:rPr>
        <w:t>sua</w:t>
      </w:r>
      <w:r w:rsidRPr="006D1C74">
        <w:rPr>
          <w:rFonts w:ascii="Cambria" w:hAnsi="Cambria" w:cs="Arial"/>
          <w:sz w:val="20"/>
          <w:szCs w:val="20"/>
          <w:lang w:val="pt-BR"/>
        </w:rPr>
        <w:t xml:space="preserve"> </w:t>
      </w:r>
      <w:r w:rsidR="00F673C7" w:rsidRPr="006D1C74">
        <w:rPr>
          <w:rFonts w:ascii="Cambria" w:hAnsi="Cambria" w:cs="Arial"/>
          <w:sz w:val="20"/>
          <w:szCs w:val="20"/>
          <w:lang w:val="pt-BR"/>
        </w:rPr>
        <w:t>sentença</w:t>
      </w:r>
      <w:r w:rsidR="00FC2F62" w:rsidRPr="006D1C74">
        <w:rPr>
          <w:rFonts w:ascii="Cambria" w:hAnsi="Cambria" w:cs="Arial"/>
          <w:sz w:val="20"/>
          <w:szCs w:val="20"/>
          <w:lang w:val="pt-BR"/>
        </w:rPr>
        <w:t xml:space="preserve"> no </w:t>
      </w:r>
      <w:r w:rsidRPr="006D1C74">
        <w:rPr>
          <w:rFonts w:ascii="Cambria" w:hAnsi="Cambria" w:cs="Arial"/>
          <w:sz w:val="20"/>
          <w:szCs w:val="20"/>
          <w:lang w:val="pt-BR"/>
        </w:rPr>
        <w:t xml:space="preserve">caso </w:t>
      </w:r>
      <w:r w:rsidRPr="006D1C74">
        <w:rPr>
          <w:rFonts w:ascii="Cambria" w:hAnsi="Cambria" w:cs="Arial"/>
          <w:i/>
          <w:sz w:val="20"/>
          <w:szCs w:val="20"/>
          <w:lang w:val="pt-BR"/>
        </w:rPr>
        <w:t>Gomes Lund</w:t>
      </w:r>
      <w:r w:rsidR="00CF037E" w:rsidRPr="006D1C74">
        <w:rPr>
          <w:rFonts w:ascii="Cambria" w:hAnsi="Cambria" w:cs="Arial"/>
          <w:i/>
          <w:sz w:val="20"/>
          <w:szCs w:val="20"/>
          <w:lang w:val="pt-BR"/>
        </w:rPr>
        <w:t xml:space="preserve"> e outr</w:t>
      </w:r>
      <w:r w:rsidRPr="006D1C74">
        <w:rPr>
          <w:rFonts w:ascii="Cambria" w:hAnsi="Cambria" w:cs="Arial"/>
          <w:i/>
          <w:sz w:val="20"/>
          <w:szCs w:val="20"/>
          <w:lang w:val="pt-BR"/>
        </w:rPr>
        <w:t>os (“Guerrilha do Araguaia”) Vs. Brasil</w:t>
      </w:r>
      <w:r w:rsidRPr="006D1C74">
        <w:rPr>
          <w:rFonts w:ascii="Cambria" w:hAnsi="Cambria" w:cs="Arial"/>
          <w:sz w:val="20"/>
          <w:szCs w:val="20"/>
          <w:lang w:val="pt-BR"/>
        </w:rPr>
        <w:t xml:space="preserve">,  </w:t>
      </w:r>
      <w:r w:rsidR="00585D35" w:rsidRPr="006D1C74">
        <w:rPr>
          <w:rFonts w:ascii="Cambria" w:hAnsi="Cambria" w:cs="Arial"/>
          <w:sz w:val="20"/>
          <w:szCs w:val="20"/>
          <w:lang w:val="pt-BR"/>
        </w:rPr>
        <w:t>orde</w:t>
      </w:r>
      <w:r w:rsidR="002D7172" w:rsidRPr="006D1C74">
        <w:rPr>
          <w:rFonts w:ascii="Cambria" w:hAnsi="Cambria" w:cs="Arial"/>
          <w:sz w:val="20"/>
          <w:szCs w:val="20"/>
          <w:lang w:val="pt-BR"/>
        </w:rPr>
        <w:t xml:space="preserve">nou que </w:t>
      </w:r>
      <w:r w:rsidR="00217759" w:rsidRPr="006D1C74">
        <w:rPr>
          <w:rFonts w:ascii="Cambria" w:hAnsi="Cambria" w:cs="Arial"/>
          <w:sz w:val="20"/>
          <w:szCs w:val="20"/>
          <w:lang w:val="pt-BR"/>
        </w:rPr>
        <w:t xml:space="preserve">o </w:t>
      </w:r>
      <w:r w:rsidRPr="006D1C74">
        <w:rPr>
          <w:rFonts w:ascii="Cambria" w:hAnsi="Cambria" w:cs="Arial"/>
          <w:sz w:val="20"/>
          <w:szCs w:val="20"/>
          <w:lang w:val="pt-BR"/>
        </w:rPr>
        <w:t>Estado garanti</w:t>
      </w:r>
      <w:r w:rsidR="002D7172" w:rsidRPr="006D1C74">
        <w:rPr>
          <w:rFonts w:ascii="Cambria" w:hAnsi="Cambria" w:cs="Arial"/>
          <w:sz w:val="20"/>
          <w:szCs w:val="20"/>
          <w:lang w:val="pt-BR"/>
        </w:rPr>
        <w:t>sse</w:t>
      </w:r>
      <w:r w:rsidRPr="006D1C74">
        <w:rPr>
          <w:rFonts w:ascii="Cambria" w:hAnsi="Cambria" w:cs="Arial"/>
          <w:sz w:val="20"/>
          <w:szCs w:val="20"/>
          <w:lang w:val="pt-BR"/>
        </w:rPr>
        <w:t xml:space="preserve"> que</w:t>
      </w:r>
      <w:r w:rsidR="00700267" w:rsidRPr="006D1C74">
        <w:rPr>
          <w:rFonts w:ascii="Cambria" w:hAnsi="Cambria" w:cs="Arial"/>
          <w:sz w:val="20"/>
          <w:szCs w:val="20"/>
          <w:lang w:val="pt-BR"/>
        </w:rPr>
        <w:t xml:space="preserve"> as </w:t>
      </w:r>
      <w:r w:rsidRPr="006D1C74">
        <w:rPr>
          <w:rFonts w:ascii="Cambria" w:hAnsi="Cambria" w:cs="Arial"/>
          <w:sz w:val="20"/>
          <w:szCs w:val="20"/>
          <w:lang w:val="pt-BR"/>
        </w:rPr>
        <w:t>causas pen</w:t>
      </w:r>
      <w:r w:rsidR="00700267" w:rsidRPr="006D1C74">
        <w:rPr>
          <w:rFonts w:ascii="Cambria" w:hAnsi="Cambria" w:cs="Arial"/>
          <w:sz w:val="20"/>
          <w:szCs w:val="20"/>
          <w:lang w:val="pt-BR"/>
        </w:rPr>
        <w:t>ais</w:t>
      </w:r>
      <w:r w:rsidRPr="006D1C74">
        <w:rPr>
          <w:rFonts w:ascii="Cambria" w:hAnsi="Cambria" w:cs="Arial"/>
          <w:sz w:val="20"/>
          <w:szCs w:val="20"/>
          <w:lang w:val="pt-BR"/>
        </w:rPr>
        <w:t xml:space="preserve"> inici</w:t>
      </w:r>
      <w:r w:rsidR="002D7172" w:rsidRPr="006D1C74">
        <w:rPr>
          <w:rFonts w:ascii="Cambria" w:hAnsi="Cambria" w:cs="Arial"/>
          <w:sz w:val="20"/>
          <w:szCs w:val="20"/>
          <w:lang w:val="pt-BR"/>
        </w:rPr>
        <w:t>adas</w:t>
      </w:r>
      <w:r w:rsidR="00BD3AB3" w:rsidRPr="006D1C74">
        <w:rPr>
          <w:rFonts w:ascii="Cambria" w:hAnsi="Cambria" w:cs="Arial"/>
          <w:sz w:val="20"/>
          <w:szCs w:val="20"/>
          <w:lang w:val="pt-BR"/>
        </w:rPr>
        <w:t xml:space="preserve"> pelos </w:t>
      </w:r>
      <w:r w:rsidR="00F37852" w:rsidRPr="006D1C74">
        <w:rPr>
          <w:rFonts w:ascii="Cambria" w:hAnsi="Cambria" w:cs="Arial"/>
          <w:sz w:val="20"/>
          <w:szCs w:val="20"/>
          <w:lang w:val="pt-BR"/>
        </w:rPr>
        <w:t>fato</w:t>
      </w:r>
      <w:r w:rsidRPr="006D1C74">
        <w:rPr>
          <w:rFonts w:ascii="Cambria" w:hAnsi="Cambria" w:cs="Arial"/>
          <w:sz w:val="20"/>
          <w:szCs w:val="20"/>
          <w:lang w:val="pt-BR"/>
        </w:rPr>
        <w:t>s de</w:t>
      </w:r>
      <w:r w:rsidR="002D7172" w:rsidRPr="006D1C74">
        <w:rPr>
          <w:rFonts w:ascii="Cambria" w:hAnsi="Cambria" w:cs="Arial"/>
          <w:sz w:val="20"/>
          <w:szCs w:val="20"/>
          <w:lang w:val="pt-BR"/>
        </w:rPr>
        <w:t>sse</w:t>
      </w:r>
      <w:r w:rsidRPr="006D1C74">
        <w:rPr>
          <w:rFonts w:ascii="Cambria" w:hAnsi="Cambria" w:cs="Arial"/>
          <w:sz w:val="20"/>
          <w:szCs w:val="20"/>
          <w:lang w:val="pt-BR"/>
        </w:rPr>
        <w:t xml:space="preserve"> caso,</w:t>
      </w:r>
      <w:r w:rsidR="00F673C7" w:rsidRPr="006D1C74">
        <w:rPr>
          <w:rFonts w:ascii="Cambria" w:hAnsi="Cambria" w:cs="Arial"/>
          <w:sz w:val="20"/>
          <w:szCs w:val="20"/>
          <w:lang w:val="pt-BR"/>
        </w:rPr>
        <w:t xml:space="preserve"> </w:t>
      </w:r>
      <w:r w:rsidRPr="006D1C74">
        <w:rPr>
          <w:rFonts w:ascii="Cambria" w:hAnsi="Cambria" w:cs="Arial"/>
          <w:sz w:val="20"/>
          <w:szCs w:val="20"/>
          <w:lang w:val="pt-BR"/>
        </w:rPr>
        <w:t xml:space="preserve">contra </w:t>
      </w:r>
      <w:r w:rsidR="002D7172" w:rsidRPr="006D1C74">
        <w:rPr>
          <w:rFonts w:ascii="Cambria" w:hAnsi="Cambria" w:cs="Arial"/>
          <w:sz w:val="20"/>
          <w:szCs w:val="20"/>
          <w:lang w:val="pt-BR"/>
        </w:rPr>
        <w:t>supostos</w:t>
      </w:r>
      <w:r w:rsidRPr="006D1C74">
        <w:rPr>
          <w:rFonts w:ascii="Cambria" w:hAnsi="Cambria" w:cs="Arial"/>
          <w:sz w:val="20"/>
          <w:szCs w:val="20"/>
          <w:lang w:val="pt-BR"/>
        </w:rPr>
        <w:t xml:space="preserve"> respons</w:t>
      </w:r>
      <w:r w:rsidR="002D7172" w:rsidRPr="006D1C74">
        <w:rPr>
          <w:rFonts w:ascii="Cambria" w:hAnsi="Cambria" w:cs="Arial"/>
          <w:sz w:val="20"/>
          <w:szCs w:val="20"/>
          <w:lang w:val="pt-BR"/>
        </w:rPr>
        <w:t>ávei</w:t>
      </w:r>
      <w:r w:rsidRPr="006D1C74">
        <w:rPr>
          <w:rFonts w:ascii="Cambria" w:hAnsi="Cambria" w:cs="Arial"/>
          <w:sz w:val="20"/>
          <w:szCs w:val="20"/>
          <w:lang w:val="pt-BR"/>
        </w:rPr>
        <w:t xml:space="preserve">s que </w:t>
      </w:r>
      <w:r w:rsidR="00BF6FE3" w:rsidRPr="006D1C74">
        <w:rPr>
          <w:rFonts w:ascii="Cambria" w:hAnsi="Cambria" w:cs="Arial"/>
          <w:sz w:val="20"/>
          <w:szCs w:val="20"/>
          <w:lang w:val="pt-BR"/>
        </w:rPr>
        <w:t>sejam</w:t>
      </w:r>
      <w:r w:rsidRPr="006D1C74">
        <w:rPr>
          <w:rFonts w:ascii="Cambria" w:hAnsi="Cambria" w:cs="Arial"/>
          <w:sz w:val="20"/>
          <w:szCs w:val="20"/>
          <w:lang w:val="pt-BR"/>
        </w:rPr>
        <w:t xml:space="preserve"> o</w:t>
      </w:r>
      <w:r w:rsidR="002D7172" w:rsidRPr="006D1C74">
        <w:rPr>
          <w:rFonts w:ascii="Cambria" w:hAnsi="Cambria" w:cs="Arial"/>
          <w:sz w:val="20"/>
          <w:szCs w:val="20"/>
          <w:lang w:val="pt-BR"/>
        </w:rPr>
        <w:t>u</w:t>
      </w:r>
      <w:r w:rsidRPr="006D1C74">
        <w:rPr>
          <w:rFonts w:ascii="Cambria" w:hAnsi="Cambria" w:cs="Arial"/>
          <w:sz w:val="20"/>
          <w:szCs w:val="20"/>
          <w:lang w:val="pt-BR"/>
        </w:rPr>
        <w:t xml:space="preserve"> </w:t>
      </w:r>
      <w:r w:rsidR="002D7172" w:rsidRPr="006D1C74">
        <w:rPr>
          <w:rFonts w:ascii="Cambria" w:hAnsi="Cambria" w:cs="Arial"/>
          <w:sz w:val="20"/>
          <w:szCs w:val="20"/>
          <w:lang w:val="pt-BR"/>
        </w:rPr>
        <w:t>tenham</w:t>
      </w:r>
      <w:r w:rsidRPr="006D1C74">
        <w:rPr>
          <w:rFonts w:ascii="Cambria" w:hAnsi="Cambria" w:cs="Arial"/>
          <w:sz w:val="20"/>
          <w:szCs w:val="20"/>
          <w:lang w:val="pt-BR"/>
        </w:rPr>
        <w:t xml:space="preserve"> sido </w:t>
      </w:r>
      <w:r w:rsidR="00BF6FE3" w:rsidRPr="006D1C74">
        <w:rPr>
          <w:rFonts w:ascii="Cambria" w:hAnsi="Cambria" w:cs="Arial"/>
          <w:sz w:val="20"/>
          <w:szCs w:val="20"/>
          <w:lang w:val="pt-BR"/>
        </w:rPr>
        <w:t>funcionários</w:t>
      </w:r>
      <w:r w:rsidRPr="006D1C74">
        <w:rPr>
          <w:rFonts w:ascii="Cambria" w:hAnsi="Cambria" w:cs="Arial"/>
          <w:sz w:val="20"/>
          <w:szCs w:val="20"/>
          <w:lang w:val="pt-BR"/>
        </w:rPr>
        <w:t xml:space="preserve"> militares, se</w:t>
      </w:r>
      <w:r w:rsidR="002D7172" w:rsidRPr="006D1C74">
        <w:rPr>
          <w:rFonts w:ascii="Cambria" w:hAnsi="Cambria" w:cs="Arial"/>
          <w:sz w:val="20"/>
          <w:szCs w:val="20"/>
          <w:lang w:val="pt-BR"/>
        </w:rPr>
        <w:t>jam</w:t>
      </w:r>
      <w:r w:rsidRPr="006D1C74">
        <w:rPr>
          <w:rFonts w:ascii="Cambria" w:hAnsi="Cambria" w:cs="Arial"/>
          <w:sz w:val="20"/>
          <w:szCs w:val="20"/>
          <w:lang w:val="pt-BR"/>
        </w:rPr>
        <w:t xml:space="preserve"> tramit</w:t>
      </w:r>
      <w:r w:rsidR="002D7172" w:rsidRPr="006D1C74">
        <w:rPr>
          <w:rFonts w:ascii="Cambria" w:hAnsi="Cambria" w:cs="Arial"/>
          <w:sz w:val="20"/>
          <w:szCs w:val="20"/>
          <w:lang w:val="pt-BR"/>
        </w:rPr>
        <w:t>adas</w:t>
      </w:r>
      <w:r w:rsidRPr="006D1C74">
        <w:rPr>
          <w:rFonts w:ascii="Cambria" w:hAnsi="Cambria" w:cs="Arial"/>
          <w:sz w:val="20"/>
          <w:szCs w:val="20"/>
          <w:lang w:val="pt-BR"/>
        </w:rPr>
        <w:t xml:space="preserve"> </w:t>
      </w:r>
      <w:r w:rsidR="002D7172" w:rsidRPr="006D1C74">
        <w:rPr>
          <w:rFonts w:ascii="Cambria" w:hAnsi="Cambria" w:cs="Arial"/>
          <w:sz w:val="20"/>
          <w:szCs w:val="20"/>
          <w:lang w:val="pt-BR"/>
        </w:rPr>
        <w:t>n</w:t>
      </w:r>
      <w:r w:rsidR="00700267" w:rsidRPr="006D1C74">
        <w:rPr>
          <w:rFonts w:ascii="Cambria" w:hAnsi="Cambria" w:cs="Arial"/>
          <w:sz w:val="20"/>
          <w:szCs w:val="20"/>
          <w:lang w:val="pt-BR"/>
        </w:rPr>
        <w:t xml:space="preserve">a </w:t>
      </w:r>
      <w:r w:rsidRPr="006D1C74">
        <w:rPr>
          <w:rFonts w:ascii="Cambria" w:hAnsi="Cambria" w:cs="Arial"/>
          <w:sz w:val="20"/>
          <w:szCs w:val="20"/>
          <w:lang w:val="pt-BR"/>
        </w:rPr>
        <w:t>jurisdi</w:t>
      </w:r>
      <w:r w:rsidR="00CF037E" w:rsidRPr="006D1C74">
        <w:rPr>
          <w:rFonts w:ascii="Cambria" w:hAnsi="Cambria" w:cs="Arial"/>
          <w:sz w:val="20"/>
          <w:szCs w:val="20"/>
          <w:lang w:val="pt-BR"/>
        </w:rPr>
        <w:t>ção</w:t>
      </w:r>
      <w:r w:rsidRPr="006D1C74">
        <w:rPr>
          <w:rFonts w:ascii="Cambria" w:hAnsi="Cambria" w:cs="Arial"/>
          <w:sz w:val="20"/>
          <w:szCs w:val="20"/>
          <w:lang w:val="pt-BR"/>
        </w:rPr>
        <w:t xml:space="preserve"> </w:t>
      </w:r>
      <w:r w:rsidR="00BF6FE3" w:rsidRPr="006D1C74">
        <w:rPr>
          <w:rFonts w:ascii="Cambria" w:hAnsi="Cambria" w:cs="Arial"/>
          <w:sz w:val="20"/>
          <w:szCs w:val="20"/>
          <w:lang w:val="pt-BR"/>
        </w:rPr>
        <w:t>ordinária</w:t>
      </w:r>
      <w:r w:rsidR="00CF037E" w:rsidRPr="006D1C74">
        <w:rPr>
          <w:rFonts w:ascii="Cambria" w:hAnsi="Cambria" w:cs="Arial"/>
          <w:sz w:val="20"/>
          <w:szCs w:val="20"/>
          <w:lang w:val="pt-BR"/>
        </w:rPr>
        <w:t xml:space="preserve"> e</w:t>
      </w:r>
      <w:r w:rsidR="00F673C7" w:rsidRPr="006D1C74">
        <w:rPr>
          <w:rFonts w:ascii="Cambria" w:hAnsi="Cambria" w:cs="Arial"/>
          <w:sz w:val="20"/>
          <w:szCs w:val="20"/>
          <w:lang w:val="pt-BR"/>
        </w:rPr>
        <w:t xml:space="preserve"> não</w:t>
      </w:r>
      <w:r w:rsidR="00FC2F62" w:rsidRPr="006D1C74">
        <w:rPr>
          <w:rFonts w:ascii="Cambria" w:hAnsi="Cambria" w:cs="Arial"/>
          <w:sz w:val="20"/>
          <w:szCs w:val="20"/>
          <w:lang w:val="pt-BR"/>
        </w:rPr>
        <w:t xml:space="preserve"> no </w:t>
      </w:r>
      <w:r w:rsidRPr="006D1C74">
        <w:rPr>
          <w:rFonts w:ascii="Cambria" w:hAnsi="Cambria" w:cs="Arial"/>
          <w:sz w:val="20"/>
          <w:szCs w:val="20"/>
          <w:lang w:val="pt-BR"/>
        </w:rPr>
        <w:t>f</w:t>
      </w:r>
      <w:r w:rsidR="002D7172" w:rsidRPr="006D1C74">
        <w:rPr>
          <w:rFonts w:ascii="Cambria" w:hAnsi="Cambria" w:cs="Arial"/>
          <w:sz w:val="20"/>
          <w:szCs w:val="20"/>
          <w:lang w:val="pt-BR"/>
        </w:rPr>
        <w:t>o</w:t>
      </w:r>
      <w:r w:rsidRPr="006D1C74">
        <w:rPr>
          <w:rFonts w:ascii="Cambria" w:hAnsi="Cambria" w:cs="Arial"/>
          <w:sz w:val="20"/>
          <w:szCs w:val="20"/>
          <w:lang w:val="pt-BR"/>
        </w:rPr>
        <w:t>ro militar</w:t>
      </w:r>
      <w:r w:rsidRPr="006D1C74">
        <w:rPr>
          <w:rStyle w:val="FootnoteReference"/>
          <w:rFonts w:ascii="Cambria" w:hAnsi="Cambria" w:cs="Arial"/>
          <w:sz w:val="20"/>
          <w:szCs w:val="20"/>
          <w:lang w:val="pt-BR"/>
        </w:rPr>
        <w:footnoteReference w:id="101"/>
      </w:r>
      <w:r w:rsidRPr="006D1C74">
        <w:rPr>
          <w:rFonts w:ascii="Cambria" w:hAnsi="Cambria" w:cs="Arial"/>
          <w:sz w:val="20"/>
          <w:szCs w:val="20"/>
          <w:lang w:val="pt-BR"/>
        </w:rPr>
        <w:t>. A</w:t>
      </w:r>
      <w:r w:rsidR="002D7172" w:rsidRPr="006D1C74">
        <w:rPr>
          <w:rFonts w:ascii="Cambria" w:hAnsi="Cambria" w:cs="Arial"/>
          <w:sz w:val="20"/>
          <w:szCs w:val="20"/>
          <w:lang w:val="pt-BR"/>
        </w:rPr>
        <w:t>lém disso</w:t>
      </w:r>
      <w:r w:rsidRPr="006D1C74">
        <w:rPr>
          <w:rFonts w:ascii="Cambria" w:hAnsi="Cambria" w:cs="Arial"/>
          <w:sz w:val="20"/>
          <w:szCs w:val="20"/>
          <w:lang w:val="pt-BR"/>
        </w:rPr>
        <w:t>,</w:t>
      </w:r>
      <w:r w:rsidR="00FC2F62" w:rsidRPr="006D1C74">
        <w:rPr>
          <w:rFonts w:ascii="Cambria" w:hAnsi="Cambria" w:cs="Arial"/>
          <w:sz w:val="20"/>
          <w:szCs w:val="20"/>
          <w:lang w:val="pt-BR"/>
        </w:rPr>
        <w:t xml:space="preserve"> no </w:t>
      </w:r>
      <w:r w:rsidRPr="006D1C74">
        <w:rPr>
          <w:rFonts w:ascii="Cambria" w:hAnsi="Cambria" w:cs="Arial"/>
          <w:sz w:val="20"/>
          <w:szCs w:val="20"/>
          <w:lang w:val="pt-BR"/>
        </w:rPr>
        <w:t xml:space="preserve">caso </w:t>
      </w:r>
      <w:r w:rsidRPr="006D1C74">
        <w:rPr>
          <w:rFonts w:ascii="Cambria" w:hAnsi="Cambria" w:cs="Arial"/>
          <w:i/>
          <w:sz w:val="20"/>
          <w:szCs w:val="20"/>
          <w:lang w:val="pt-BR"/>
        </w:rPr>
        <w:t>Herzog vs. Brasil</w:t>
      </w:r>
      <w:r w:rsidR="006A4850" w:rsidRPr="006D1C74">
        <w:rPr>
          <w:rFonts w:ascii="Cambria" w:hAnsi="Cambria" w:cs="Arial"/>
          <w:i/>
          <w:sz w:val="20"/>
          <w:szCs w:val="20"/>
          <w:lang w:val="pt-BR"/>
        </w:rPr>
        <w:t>,</w:t>
      </w:r>
      <w:r w:rsidRPr="006D1C74">
        <w:rPr>
          <w:rFonts w:ascii="Cambria" w:hAnsi="Cambria" w:cs="Arial"/>
          <w:sz w:val="20"/>
          <w:szCs w:val="20"/>
          <w:lang w:val="pt-BR"/>
        </w:rPr>
        <w:t xml:space="preserve"> onde</w:t>
      </w:r>
      <w:r w:rsidR="00700267" w:rsidRPr="006D1C74">
        <w:rPr>
          <w:rFonts w:ascii="Cambria" w:hAnsi="Cambria" w:cs="Arial"/>
          <w:sz w:val="20"/>
          <w:szCs w:val="20"/>
          <w:lang w:val="pt-BR"/>
        </w:rPr>
        <w:t xml:space="preserve"> a </w:t>
      </w:r>
      <w:r w:rsidRPr="006D1C74">
        <w:rPr>
          <w:rFonts w:ascii="Cambria" w:hAnsi="Cambria" w:cs="Arial"/>
          <w:sz w:val="20"/>
          <w:szCs w:val="20"/>
          <w:lang w:val="pt-BR"/>
        </w:rPr>
        <w:t>investiga</w:t>
      </w:r>
      <w:r w:rsidR="00CF037E" w:rsidRPr="006D1C74">
        <w:rPr>
          <w:rFonts w:ascii="Cambria" w:hAnsi="Cambria" w:cs="Arial"/>
          <w:sz w:val="20"/>
          <w:szCs w:val="20"/>
          <w:lang w:val="pt-BR"/>
        </w:rPr>
        <w:t>ção</w:t>
      </w:r>
      <w:r w:rsidRPr="006D1C74">
        <w:rPr>
          <w:rFonts w:ascii="Cambria" w:hAnsi="Cambria" w:cs="Arial"/>
          <w:sz w:val="20"/>
          <w:szCs w:val="20"/>
          <w:lang w:val="pt-BR"/>
        </w:rPr>
        <w:t xml:space="preserve"> </w:t>
      </w:r>
      <w:r w:rsidR="002D7172" w:rsidRPr="006D1C74">
        <w:rPr>
          <w:rFonts w:ascii="Cambria" w:hAnsi="Cambria" w:cs="Arial"/>
          <w:sz w:val="20"/>
          <w:szCs w:val="20"/>
          <w:lang w:val="pt-BR"/>
        </w:rPr>
        <w:t xml:space="preserve">após a </w:t>
      </w:r>
      <w:r w:rsidR="00FC2F62" w:rsidRPr="006D1C74">
        <w:rPr>
          <w:rFonts w:ascii="Cambria" w:hAnsi="Cambria" w:cs="Arial"/>
          <w:sz w:val="20"/>
          <w:szCs w:val="20"/>
          <w:lang w:val="pt-BR"/>
        </w:rPr>
        <w:t>morte</w:t>
      </w:r>
      <w:r w:rsidR="00030019" w:rsidRPr="006D1C74">
        <w:rPr>
          <w:rFonts w:ascii="Cambria" w:hAnsi="Cambria" w:cs="Arial"/>
          <w:sz w:val="20"/>
          <w:szCs w:val="20"/>
          <w:lang w:val="pt-BR"/>
        </w:rPr>
        <w:t xml:space="preserve"> do </w:t>
      </w:r>
      <w:r w:rsidR="00BF6FE3" w:rsidRPr="006D1C74">
        <w:rPr>
          <w:rFonts w:ascii="Cambria" w:hAnsi="Cambria" w:cs="Arial"/>
          <w:sz w:val="20"/>
          <w:szCs w:val="20"/>
          <w:lang w:val="pt-BR"/>
        </w:rPr>
        <w:t>senhor</w:t>
      </w:r>
      <w:r w:rsidRPr="006D1C74">
        <w:rPr>
          <w:rFonts w:ascii="Cambria" w:hAnsi="Cambria" w:cs="Arial"/>
          <w:sz w:val="20"/>
          <w:szCs w:val="20"/>
          <w:lang w:val="pt-BR"/>
        </w:rPr>
        <w:t xml:space="preserve"> Herzog </w:t>
      </w:r>
      <w:r w:rsidR="002D7172" w:rsidRPr="006D1C74">
        <w:rPr>
          <w:rFonts w:ascii="Cambria" w:hAnsi="Cambria" w:cs="Arial"/>
          <w:sz w:val="20"/>
          <w:szCs w:val="20"/>
          <w:lang w:val="pt-BR"/>
        </w:rPr>
        <w:t>foi empreendida</w:t>
      </w:r>
      <w:r w:rsidR="00F37852" w:rsidRPr="006D1C74">
        <w:rPr>
          <w:rFonts w:ascii="Cambria" w:hAnsi="Cambria" w:cs="Arial"/>
          <w:sz w:val="20"/>
          <w:szCs w:val="20"/>
          <w:lang w:val="pt-BR"/>
        </w:rPr>
        <w:t xml:space="preserve"> pela polícia</w:t>
      </w:r>
      <w:r w:rsidRPr="006D1C74">
        <w:rPr>
          <w:rFonts w:ascii="Cambria" w:hAnsi="Cambria" w:cs="Arial"/>
          <w:sz w:val="20"/>
          <w:szCs w:val="20"/>
          <w:lang w:val="pt-BR"/>
        </w:rPr>
        <w:t xml:space="preserve"> militar</w:t>
      </w:r>
      <w:r w:rsidR="00535D89" w:rsidRPr="006D1C74">
        <w:rPr>
          <w:rFonts w:ascii="Cambria" w:hAnsi="Cambria" w:cs="Arial"/>
          <w:sz w:val="20"/>
          <w:szCs w:val="20"/>
          <w:lang w:val="pt-BR"/>
        </w:rPr>
        <w:t>,</w:t>
      </w:r>
      <w:r w:rsidRPr="006D1C74">
        <w:rPr>
          <w:rFonts w:ascii="Cambria" w:hAnsi="Cambria" w:cs="Arial"/>
          <w:sz w:val="20"/>
          <w:szCs w:val="20"/>
          <w:lang w:val="pt-BR"/>
        </w:rPr>
        <w:t xml:space="preserve"> que </w:t>
      </w:r>
      <w:r w:rsidR="002D7172" w:rsidRPr="006D1C74">
        <w:rPr>
          <w:rFonts w:ascii="Cambria" w:hAnsi="Cambria" w:cs="Arial"/>
          <w:sz w:val="20"/>
          <w:szCs w:val="20"/>
          <w:lang w:val="pt-BR"/>
        </w:rPr>
        <w:t>decidiu</w:t>
      </w:r>
      <w:r w:rsidR="00700267" w:rsidRPr="006D1C74">
        <w:rPr>
          <w:rFonts w:ascii="Cambria" w:hAnsi="Cambria" w:cs="Arial"/>
          <w:sz w:val="20"/>
          <w:szCs w:val="20"/>
          <w:lang w:val="pt-BR"/>
        </w:rPr>
        <w:t xml:space="preserve"> o </w:t>
      </w:r>
      <w:r w:rsidR="00616640" w:rsidRPr="006D1C74">
        <w:rPr>
          <w:rFonts w:ascii="Cambria" w:hAnsi="Cambria" w:cs="Arial"/>
          <w:sz w:val="20"/>
          <w:szCs w:val="20"/>
          <w:lang w:val="pt-BR"/>
        </w:rPr>
        <w:t>arquivamento</w:t>
      </w:r>
      <w:r w:rsidR="00795010" w:rsidRPr="006D1C74">
        <w:rPr>
          <w:rFonts w:ascii="Cambria" w:hAnsi="Cambria" w:cs="Arial"/>
          <w:sz w:val="20"/>
          <w:szCs w:val="20"/>
          <w:lang w:val="pt-BR"/>
        </w:rPr>
        <w:t xml:space="preserve"> da </w:t>
      </w:r>
      <w:r w:rsidR="00BF6FE3" w:rsidRPr="006D1C74">
        <w:rPr>
          <w:rFonts w:ascii="Cambria" w:hAnsi="Cambria" w:cs="Arial"/>
          <w:sz w:val="20"/>
          <w:szCs w:val="20"/>
          <w:lang w:val="pt-BR"/>
        </w:rPr>
        <w:t>mesma</w:t>
      </w:r>
      <w:r w:rsidRPr="006D1C74">
        <w:rPr>
          <w:rFonts w:ascii="Cambria" w:hAnsi="Cambria" w:cs="Arial"/>
          <w:sz w:val="20"/>
          <w:szCs w:val="20"/>
          <w:lang w:val="pt-BR"/>
        </w:rPr>
        <w:t>,</w:t>
      </w:r>
      <w:r w:rsidR="00700267" w:rsidRPr="006D1C74">
        <w:rPr>
          <w:rFonts w:ascii="Cambria" w:hAnsi="Cambria" w:cs="Arial"/>
          <w:sz w:val="20"/>
          <w:szCs w:val="20"/>
          <w:lang w:val="pt-BR"/>
        </w:rPr>
        <w:t xml:space="preserve"> a </w:t>
      </w:r>
      <w:r w:rsidRPr="006D1C74">
        <w:rPr>
          <w:rFonts w:asciiTheme="majorHAnsi" w:hAnsiTheme="majorHAnsi"/>
          <w:sz w:val="20"/>
          <w:szCs w:val="20"/>
          <w:lang w:val="pt-BR"/>
        </w:rPr>
        <w:t xml:space="preserve">Corte </w:t>
      </w:r>
      <w:r w:rsidR="00535D89" w:rsidRPr="006D1C74">
        <w:rPr>
          <w:rFonts w:asciiTheme="majorHAnsi" w:hAnsiTheme="majorHAnsi"/>
          <w:sz w:val="20"/>
          <w:szCs w:val="20"/>
          <w:lang w:val="pt-BR"/>
        </w:rPr>
        <w:t>considerou</w:t>
      </w:r>
      <w:r w:rsidRPr="006D1C74">
        <w:rPr>
          <w:rFonts w:asciiTheme="majorHAnsi" w:hAnsiTheme="majorHAnsi"/>
          <w:sz w:val="20"/>
          <w:szCs w:val="20"/>
          <w:lang w:val="pt-BR"/>
        </w:rPr>
        <w:t xml:space="preserve"> pertinente reiterar </w:t>
      </w:r>
      <w:r w:rsidR="00E6602C" w:rsidRPr="006D1C74">
        <w:rPr>
          <w:rFonts w:asciiTheme="majorHAnsi" w:hAnsiTheme="majorHAnsi"/>
          <w:sz w:val="20"/>
          <w:szCs w:val="20"/>
          <w:lang w:val="pt-BR"/>
        </w:rPr>
        <w:t>su</w:t>
      </w:r>
      <w:r w:rsidR="00535D89" w:rsidRPr="006D1C74">
        <w:rPr>
          <w:rFonts w:asciiTheme="majorHAnsi" w:hAnsiTheme="majorHAnsi"/>
          <w:sz w:val="20"/>
          <w:szCs w:val="20"/>
          <w:lang w:val="pt-BR"/>
        </w:rPr>
        <w:t>a</w:t>
      </w:r>
      <w:r w:rsidR="00E6602C" w:rsidRPr="006D1C74">
        <w:rPr>
          <w:rFonts w:asciiTheme="majorHAnsi" w:hAnsiTheme="majorHAnsi"/>
          <w:sz w:val="20"/>
          <w:szCs w:val="20"/>
          <w:lang w:val="pt-BR"/>
        </w:rPr>
        <w:t xml:space="preserve"> </w:t>
      </w:r>
      <w:r w:rsidR="00BF6FE3" w:rsidRPr="006D1C74">
        <w:rPr>
          <w:rFonts w:asciiTheme="majorHAnsi" w:hAnsiTheme="majorHAnsi"/>
          <w:sz w:val="20"/>
          <w:szCs w:val="20"/>
          <w:lang w:val="pt-BR"/>
        </w:rPr>
        <w:t>jurisprudência</w:t>
      </w:r>
      <w:r w:rsidRPr="006D1C74">
        <w:rPr>
          <w:rFonts w:asciiTheme="majorHAnsi" w:hAnsiTheme="majorHAnsi"/>
          <w:sz w:val="20"/>
          <w:szCs w:val="20"/>
          <w:lang w:val="pt-BR"/>
        </w:rPr>
        <w:t xml:space="preserve"> constante relativa</w:t>
      </w:r>
      <w:r w:rsidR="00135454" w:rsidRPr="006D1C74">
        <w:rPr>
          <w:rFonts w:asciiTheme="majorHAnsi" w:hAnsiTheme="majorHAnsi"/>
          <w:sz w:val="20"/>
          <w:szCs w:val="20"/>
          <w:lang w:val="pt-BR"/>
        </w:rPr>
        <w:t xml:space="preserve"> aos </w:t>
      </w:r>
      <w:r w:rsidR="00BF6FE3" w:rsidRPr="006D1C74">
        <w:rPr>
          <w:rFonts w:asciiTheme="majorHAnsi" w:hAnsiTheme="majorHAnsi"/>
          <w:sz w:val="20"/>
          <w:szCs w:val="20"/>
          <w:lang w:val="pt-BR"/>
        </w:rPr>
        <w:t>limites</w:t>
      </w:r>
      <w:r w:rsidR="00795010" w:rsidRPr="006D1C74">
        <w:rPr>
          <w:rFonts w:asciiTheme="majorHAnsi" w:hAnsiTheme="majorHAnsi"/>
          <w:sz w:val="20"/>
          <w:szCs w:val="20"/>
          <w:lang w:val="pt-BR"/>
        </w:rPr>
        <w:t xml:space="preserve"> da </w:t>
      </w:r>
      <w:r w:rsidR="00BF6FE3" w:rsidRPr="006D1C74">
        <w:rPr>
          <w:rFonts w:asciiTheme="majorHAnsi" w:hAnsiTheme="majorHAnsi"/>
          <w:sz w:val="20"/>
          <w:szCs w:val="20"/>
          <w:lang w:val="pt-BR"/>
        </w:rPr>
        <w:t>competência</w:t>
      </w:r>
      <w:r w:rsidR="00795010" w:rsidRPr="006D1C74">
        <w:rPr>
          <w:rFonts w:asciiTheme="majorHAnsi" w:hAnsiTheme="majorHAnsi"/>
          <w:sz w:val="20"/>
          <w:szCs w:val="20"/>
          <w:lang w:val="pt-BR"/>
        </w:rPr>
        <w:t xml:space="preserve"> da </w:t>
      </w:r>
      <w:r w:rsidRPr="006D1C74">
        <w:rPr>
          <w:rFonts w:asciiTheme="majorHAnsi" w:hAnsiTheme="majorHAnsi"/>
          <w:sz w:val="20"/>
          <w:szCs w:val="20"/>
          <w:lang w:val="pt-BR"/>
        </w:rPr>
        <w:t>jurisdi</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militar para con</w:t>
      </w:r>
      <w:r w:rsidR="00535D89" w:rsidRPr="006D1C74">
        <w:rPr>
          <w:rFonts w:asciiTheme="majorHAnsi" w:hAnsiTheme="majorHAnsi"/>
          <w:sz w:val="20"/>
          <w:szCs w:val="20"/>
          <w:lang w:val="pt-BR"/>
        </w:rPr>
        <w:t>he</w:t>
      </w:r>
      <w:r w:rsidRPr="006D1C74">
        <w:rPr>
          <w:rFonts w:asciiTheme="majorHAnsi" w:hAnsiTheme="majorHAnsi"/>
          <w:sz w:val="20"/>
          <w:szCs w:val="20"/>
          <w:lang w:val="pt-BR"/>
        </w:rPr>
        <w:t xml:space="preserve">cer </w:t>
      </w:r>
      <w:r w:rsidR="00F37852" w:rsidRPr="006D1C74">
        <w:rPr>
          <w:rFonts w:asciiTheme="majorHAnsi" w:hAnsiTheme="majorHAnsi"/>
          <w:sz w:val="20"/>
          <w:szCs w:val="20"/>
          <w:lang w:val="pt-BR"/>
        </w:rPr>
        <w:t>fato</w:t>
      </w:r>
      <w:r w:rsidRPr="006D1C74">
        <w:rPr>
          <w:rFonts w:asciiTheme="majorHAnsi" w:hAnsiTheme="majorHAnsi"/>
          <w:sz w:val="20"/>
          <w:szCs w:val="20"/>
          <w:lang w:val="pt-BR"/>
        </w:rPr>
        <w:t xml:space="preserve">s que </w:t>
      </w:r>
      <w:r w:rsidR="00BF6FE3" w:rsidRPr="006D1C74">
        <w:rPr>
          <w:rFonts w:asciiTheme="majorHAnsi" w:hAnsiTheme="majorHAnsi"/>
          <w:sz w:val="20"/>
          <w:szCs w:val="20"/>
          <w:lang w:val="pt-BR"/>
        </w:rPr>
        <w:t>constituem</w:t>
      </w:r>
      <w:r w:rsidRPr="006D1C74">
        <w:rPr>
          <w:rFonts w:asciiTheme="majorHAnsi" w:hAnsiTheme="majorHAnsi"/>
          <w:sz w:val="20"/>
          <w:szCs w:val="20"/>
          <w:lang w:val="pt-BR"/>
        </w:rPr>
        <w:t xml:space="preserve"> viola</w:t>
      </w:r>
      <w:r w:rsidR="00CF037E" w:rsidRPr="006D1C74">
        <w:rPr>
          <w:rFonts w:asciiTheme="majorHAnsi" w:hAnsiTheme="majorHAnsi"/>
          <w:sz w:val="20"/>
          <w:szCs w:val="20"/>
          <w:lang w:val="pt-BR"/>
        </w:rPr>
        <w:t>ções</w:t>
      </w:r>
      <w:r w:rsidRPr="006D1C74">
        <w:rPr>
          <w:rFonts w:asciiTheme="majorHAnsi" w:hAnsiTheme="majorHAnsi"/>
          <w:sz w:val="20"/>
          <w:szCs w:val="20"/>
          <w:lang w:val="pt-BR"/>
        </w:rPr>
        <w:t xml:space="preserve"> </w:t>
      </w:r>
      <w:r w:rsidR="00F91670">
        <w:rPr>
          <w:rFonts w:asciiTheme="majorHAnsi" w:hAnsiTheme="majorHAnsi"/>
          <w:sz w:val="20"/>
          <w:szCs w:val="20"/>
          <w:lang w:val="pt-BR"/>
        </w:rPr>
        <w:t>de</w:t>
      </w:r>
      <w:r w:rsidRPr="006D1C74">
        <w:rPr>
          <w:rFonts w:asciiTheme="majorHAnsi" w:hAnsiTheme="majorHAnsi"/>
          <w:sz w:val="20"/>
          <w:szCs w:val="20"/>
          <w:lang w:val="pt-BR"/>
        </w:rPr>
        <w:t xml:space="preserve"> </w:t>
      </w:r>
      <w:r w:rsidR="00417BE8" w:rsidRPr="006D1C74">
        <w:rPr>
          <w:rFonts w:asciiTheme="majorHAnsi" w:hAnsiTheme="majorHAnsi"/>
          <w:sz w:val="20"/>
          <w:szCs w:val="20"/>
          <w:lang w:val="pt-BR"/>
        </w:rPr>
        <w:t>direito</w:t>
      </w:r>
      <w:r w:rsidRPr="006D1C74">
        <w:rPr>
          <w:rFonts w:asciiTheme="majorHAnsi" w:hAnsiTheme="majorHAnsi"/>
          <w:sz w:val="20"/>
          <w:szCs w:val="20"/>
          <w:lang w:val="pt-BR"/>
        </w:rPr>
        <w:t>s humanos</w:t>
      </w:r>
      <w:r w:rsidRPr="006D1C74">
        <w:rPr>
          <w:rStyle w:val="FootnoteReference"/>
          <w:rFonts w:asciiTheme="majorHAnsi" w:hAnsiTheme="majorHAnsi"/>
          <w:sz w:val="20"/>
          <w:szCs w:val="20"/>
          <w:lang w:val="pt-BR"/>
        </w:rPr>
        <w:footnoteReference w:id="102"/>
      </w:r>
      <w:r w:rsidRPr="006D1C74">
        <w:rPr>
          <w:rFonts w:asciiTheme="majorHAnsi" w:hAnsiTheme="majorHAnsi"/>
          <w:sz w:val="20"/>
          <w:szCs w:val="20"/>
          <w:lang w:val="pt-BR"/>
        </w:rPr>
        <w:t>.</w:t>
      </w:r>
    </w:p>
    <w:p w14:paraId="0E889799" w14:textId="77777777" w:rsidR="00D5460A" w:rsidRPr="006D1C74" w:rsidRDefault="00D5460A" w:rsidP="0083356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b/>
          <w:sz w:val="20"/>
          <w:szCs w:val="20"/>
          <w:lang w:val="pt-BR"/>
        </w:rPr>
      </w:pPr>
    </w:p>
    <w:p w14:paraId="292C88F2" w14:textId="77777777" w:rsidR="008617D5" w:rsidRPr="006D1C74" w:rsidRDefault="00535D89" w:rsidP="008617D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0"/>
        <w:jc w:val="both"/>
        <w:rPr>
          <w:rFonts w:asciiTheme="majorHAnsi" w:hAnsiTheme="majorHAnsi"/>
          <w:b/>
          <w:sz w:val="20"/>
          <w:szCs w:val="20"/>
          <w:lang w:val="pt-BR"/>
        </w:rPr>
      </w:pPr>
      <w:r w:rsidRPr="006D1C74">
        <w:rPr>
          <w:rFonts w:asciiTheme="majorHAnsi" w:hAnsiTheme="majorHAnsi"/>
          <w:sz w:val="20"/>
          <w:szCs w:val="20"/>
          <w:lang w:val="pt-BR"/>
        </w:rPr>
        <w:t>N</w:t>
      </w:r>
      <w:r w:rsidR="00700267" w:rsidRPr="006D1C74">
        <w:rPr>
          <w:rFonts w:asciiTheme="majorHAnsi" w:hAnsiTheme="majorHAnsi"/>
          <w:sz w:val="20"/>
          <w:szCs w:val="20"/>
          <w:lang w:val="pt-BR"/>
        </w:rPr>
        <w:t xml:space="preserve">o </w:t>
      </w:r>
      <w:r w:rsidR="000A4A79" w:rsidRPr="006D1C74">
        <w:rPr>
          <w:rFonts w:asciiTheme="majorHAnsi" w:hAnsiTheme="majorHAnsi"/>
          <w:sz w:val="20"/>
          <w:szCs w:val="20"/>
          <w:lang w:val="pt-BR"/>
        </w:rPr>
        <w:t xml:space="preserve">presente </w:t>
      </w:r>
      <w:r w:rsidR="002649F0" w:rsidRPr="006D1C74">
        <w:rPr>
          <w:rFonts w:asciiTheme="majorHAnsi" w:hAnsiTheme="majorHAnsi"/>
          <w:sz w:val="20"/>
          <w:szCs w:val="20"/>
          <w:lang w:val="pt-BR"/>
        </w:rPr>
        <w:t>caso,</w:t>
      </w:r>
      <w:r w:rsidR="00700267" w:rsidRPr="006D1C74">
        <w:rPr>
          <w:rFonts w:asciiTheme="majorHAnsi" w:hAnsiTheme="majorHAnsi"/>
          <w:sz w:val="20"/>
          <w:szCs w:val="20"/>
          <w:lang w:val="pt-BR"/>
        </w:rPr>
        <w:t xml:space="preserve"> as </w:t>
      </w:r>
      <w:r w:rsidR="003171F3" w:rsidRPr="006D1C74">
        <w:rPr>
          <w:rFonts w:asciiTheme="majorHAnsi" w:hAnsiTheme="majorHAnsi"/>
          <w:sz w:val="20"/>
          <w:szCs w:val="20"/>
          <w:lang w:val="pt-BR"/>
        </w:rPr>
        <w:t>diligências</w:t>
      </w:r>
      <w:r w:rsidR="00E16B25" w:rsidRPr="006D1C74">
        <w:rPr>
          <w:rFonts w:asciiTheme="majorHAnsi" w:hAnsiTheme="majorHAnsi"/>
          <w:sz w:val="20"/>
          <w:szCs w:val="20"/>
          <w:lang w:val="pt-BR"/>
        </w:rPr>
        <w:t xml:space="preserve"> inici</w:t>
      </w:r>
      <w:r w:rsidR="00700267" w:rsidRPr="006D1C74">
        <w:rPr>
          <w:rFonts w:asciiTheme="majorHAnsi" w:hAnsiTheme="majorHAnsi"/>
          <w:sz w:val="20"/>
          <w:szCs w:val="20"/>
          <w:lang w:val="pt-BR"/>
        </w:rPr>
        <w:t>ais</w:t>
      </w:r>
      <w:r w:rsidR="00D74A93" w:rsidRPr="006D1C74">
        <w:rPr>
          <w:rFonts w:asciiTheme="majorHAnsi" w:hAnsiTheme="majorHAnsi"/>
          <w:sz w:val="20"/>
          <w:szCs w:val="20"/>
          <w:lang w:val="pt-BR"/>
        </w:rPr>
        <w:t xml:space="preserve"> das </w:t>
      </w:r>
      <w:r w:rsidR="00E16B25" w:rsidRPr="006D1C74">
        <w:rPr>
          <w:rFonts w:asciiTheme="majorHAnsi" w:hAnsiTheme="majorHAnsi"/>
          <w:sz w:val="20"/>
          <w:szCs w:val="20"/>
          <w:lang w:val="pt-BR"/>
        </w:rPr>
        <w:t>investiga</w:t>
      </w:r>
      <w:r w:rsidR="00CF037E" w:rsidRPr="006D1C74">
        <w:rPr>
          <w:rFonts w:asciiTheme="majorHAnsi" w:hAnsiTheme="majorHAnsi"/>
          <w:sz w:val="20"/>
          <w:szCs w:val="20"/>
          <w:lang w:val="pt-BR"/>
        </w:rPr>
        <w:t>ções</w:t>
      </w:r>
      <w:r w:rsidR="00E16B25" w:rsidRPr="006D1C74">
        <w:rPr>
          <w:rFonts w:asciiTheme="majorHAnsi" w:hAnsiTheme="majorHAnsi"/>
          <w:sz w:val="20"/>
          <w:szCs w:val="20"/>
          <w:lang w:val="pt-BR"/>
        </w:rPr>
        <w:t xml:space="preserve"> </w:t>
      </w:r>
      <w:r w:rsidR="00EC4793" w:rsidRPr="006D1C74">
        <w:rPr>
          <w:rFonts w:asciiTheme="majorHAnsi" w:hAnsiTheme="majorHAnsi"/>
          <w:sz w:val="20"/>
          <w:szCs w:val="20"/>
          <w:lang w:val="pt-BR"/>
        </w:rPr>
        <w:t>foram</w:t>
      </w:r>
      <w:r w:rsidR="00E16B25" w:rsidRPr="006D1C74">
        <w:rPr>
          <w:rFonts w:asciiTheme="majorHAnsi" w:hAnsiTheme="majorHAnsi"/>
          <w:sz w:val="20"/>
          <w:szCs w:val="20"/>
          <w:lang w:val="pt-BR"/>
        </w:rPr>
        <w:t xml:space="preserve"> realiza</w:t>
      </w:r>
      <w:r w:rsidR="00EC4793" w:rsidRPr="006D1C74">
        <w:rPr>
          <w:rFonts w:asciiTheme="majorHAnsi" w:hAnsiTheme="majorHAnsi"/>
          <w:sz w:val="20"/>
          <w:szCs w:val="20"/>
          <w:lang w:val="pt-BR"/>
        </w:rPr>
        <w:t>das</w:t>
      </w:r>
      <w:r w:rsidR="00FC2F62" w:rsidRPr="006D1C74">
        <w:rPr>
          <w:rFonts w:asciiTheme="majorHAnsi" w:hAnsiTheme="majorHAnsi"/>
          <w:sz w:val="20"/>
          <w:szCs w:val="20"/>
          <w:lang w:val="pt-BR"/>
        </w:rPr>
        <w:t xml:space="preserve"> no </w:t>
      </w:r>
      <w:r w:rsidR="00BF6FE3" w:rsidRPr="006D1C74">
        <w:rPr>
          <w:rFonts w:asciiTheme="majorHAnsi" w:hAnsiTheme="majorHAnsi"/>
          <w:sz w:val="20"/>
          <w:szCs w:val="20"/>
          <w:lang w:val="pt-BR"/>
        </w:rPr>
        <w:t>âmbito</w:t>
      </w:r>
      <w:r w:rsidR="00795010" w:rsidRPr="006D1C74">
        <w:rPr>
          <w:rFonts w:asciiTheme="majorHAnsi" w:hAnsiTheme="majorHAnsi"/>
          <w:sz w:val="20"/>
          <w:szCs w:val="20"/>
          <w:lang w:val="pt-BR"/>
        </w:rPr>
        <w:t xml:space="preserve"> da </w:t>
      </w:r>
      <w:r w:rsidR="00F37852" w:rsidRPr="006D1C74">
        <w:rPr>
          <w:rFonts w:asciiTheme="majorHAnsi" w:hAnsiTheme="majorHAnsi"/>
          <w:sz w:val="20"/>
          <w:szCs w:val="20"/>
          <w:lang w:val="pt-BR"/>
        </w:rPr>
        <w:t>polícia</w:t>
      </w:r>
      <w:r w:rsidR="00E16B25" w:rsidRPr="006D1C74">
        <w:rPr>
          <w:rFonts w:asciiTheme="majorHAnsi" w:hAnsiTheme="majorHAnsi"/>
          <w:sz w:val="20"/>
          <w:szCs w:val="20"/>
          <w:lang w:val="pt-BR"/>
        </w:rPr>
        <w:t xml:space="preserve"> militar.</w:t>
      </w:r>
      <w:r w:rsidR="00F673C7" w:rsidRPr="006D1C74">
        <w:rPr>
          <w:rFonts w:asciiTheme="majorHAnsi" w:hAnsiTheme="majorHAnsi"/>
          <w:sz w:val="20"/>
          <w:szCs w:val="20"/>
          <w:lang w:val="pt-BR"/>
        </w:rPr>
        <w:t xml:space="preserve"> </w:t>
      </w:r>
      <w:r w:rsidR="00EC4793" w:rsidRPr="006D1C74">
        <w:rPr>
          <w:rFonts w:asciiTheme="majorHAnsi" w:hAnsiTheme="majorHAnsi"/>
          <w:sz w:val="20"/>
          <w:szCs w:val="20"/>
          <w:lang w:val="pt-BR"/>
        </w:rPr>
        <w:t>P</w:t>
      </w:r>
      <w:r w:rsidR="00E16B25" w:rsidRPr="006D1C74">
        <w:rPr>
          <w:rFonts w:asciiTheme="majorHAnsi" w:hAnsiTheme="majorHAnsi"/>
          <w:sz w:val="20"/>
          <w:szCs w:val="20"/>
          <w:lang w:val="pt-BR"/>
        </w:rPr>
        <w:t>osterior</w:t>
      </w:r>
      <w:r w:rsidR="00EC4793" w:rsidRPr="006D1C74">
        <w:rPr>
          <w:rFonts w:asciiTheme="majorHAnsi" w:hAnsiTheme="majorHAnsi"/>
          <w:sz w:val="20"/>
          <w:szCs w:val="20"/>
          <w:lang w:val="pt-BR"/>
        </w:rPr>
        <w:t>mente</w:t>
      </w:r>
      <w:r w:rsidR="00E16B25"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a </w:t>
      </w:r>
      <w:r w:rsidR="00D83648" w:rsidRPr="006D1C74">
        <w:rPr>
          <w:rFonts w:asciiTheme="majorHAnsi" w:hAnsiTheme="majorHAnsi"/>
          <w:sz w:val="20"/>
          <w:szCs w:val="20"/>
          <w:lang w:val="pt-BR"/>
        </w:rPr>
        <w:t>deci</w:t>
      </w:r>
      <w:r w:rsidR="0094446B" w:rsidRPr="006D1C74">
        <w:rPr>
          <w:rFonts w:asciiTheme="majorHAnsi" w:hAnsiTheme="majorHAnsi"/>
          <w:sz w:val="20"/>
          <w:szCs w:val="20"/>
          <w:lang w:val="pt-BR"/>
        </w:rPr>
        <w:t>são</w:t>
      </w:r>
      <w:r w:rsidR="00D83648" w:rsidRPr="006D1C74">
        <w:rPr>
          <w:rFonts w:asciiTheme="majorHAnsi" w:hAnsiTheme="majorHAnsi"/>
          <w:sz w:val="20"/>
          <w:szCs w:val="20"/>
          <w:lang w:val="pt-BR"/>
        </w:rPr>
        <w:t xml:space="preserve"> de </w:t>
      </w:r>
      <w:r w:rsidR="00BF6FE3" w:rsidRPr="006D1C74">
        <w:rPr>
          <w:rFonts w:asciiTheme="majorHAnsi" w:hAnsiTheme="majorHAnsi"/>
          <w:sz w:val="20"/>
          <w:szCs w:val="20"/>
          <w:lang w:val="pt-BR"/>
        </w:rPr>
        <w:t>arquivar</w:t>
      </w:r>
      <w:r w:rsidR="00700267" w:rsidRPr="006D1C74">
        <w:rPr>
          <w:rFonts w:asciiTheme="majorHAnsi" w:hAnsiTheme="majorHAnsi"/>
          <w:sz w:val="20"/>
          <w:szCs w:val="20"/>
          <w:lang w:val="pt-BR"/>
        </w:rPr>
        <w:t xml:space="preserve"> o </w:t>
      </w:r>
      <w:r w:rsidR="00AB7F30" w:rsidRPr="006D1C74">
        <w:rPr>
          <w:rFonts w:asciiTheme="majorHAnsi" w:hAnsiTheme="majorHAnsi"/>
          <w:sz w:val="20"/>
          <w:szCs w:val="20"/>
          <w:lang w:val="pt-BR"/>
        </w:rPr>
        <w:t>processo</w:t>
      </w:r>
      <w:r w:rsidR="00CA7940" w:rsidRPr="006D1C74">
        <w:rPr>
          <w:rFonts w:asciiTheme="majorHAnsi" w:hAnsiTheme="majorHAnsi"/>
          <w:sz w:val="20"/>
          <w:szCs w:val="20"/>
          <w:lang w:val="pt-BR"/>
        </w:rPr>
        <w:t xml:space="preserve"> foi </w:t>
      </w:r>
      <w:r w:rsidR="00D83648" w:rsidRPr="006D1C74">
        <w:rPr>
          <w:rFonts w:asciiTheme="majorHAnsi" w:hAnsiTheme="majorHAnsi"/>
          <w:sz w:val="20"/>
          <w:szCs w:val="20"/>
          <w:lang w:val="pt-BR"/>
        </w:rPr>
        <w:t xml:space="preserve">tomada de </w:t>
      </w:r>
      <w:r w:rsidR="00BF6FE3" w:rsidRPr="006D1C74">
        <w:rPr>
          <w:rFonts w:asciiTheme="majorHAnsi" w:hAnsiTheme="majorHAnsi"/>
          <w:sz w:val="20"/>
          <w:szCs w:val="20"/>
          <w:lang w:val="pt-BR"/>
        </w:rPr>
        <w:t>maneira</w:t>
      </w:r>
      <w:r w:rsidR="00D83648" w:rsidRPr="006D1C74">
        <w:rPr>
          <w:rFonts w:asciiTheme="majorHAnsi" w:hAnsiTheme="majorHAnsi"/>
          <w:sz w:val="20"/>
          <w:szCs w:val="20"/>
          <w:lang w:val="pt-BR"/>
        </w:rPr>
        <w:t xml:space="preserve"> individual</w:t>
      </w:r>
      <w:r w:rsidR="00700267" w:rsidRPr="006D1C74">
        <w:rPr>
          <w:rFonts w:asciiTheme="majorHAnsi" w:hAnsiTheme="majorHAnsi"/>
          <w:sz w:val="20"/>
          <w:szCs w:val="20"/>
          <w:lang w:val="pt-BR"/>
        </w:rPr>
        <w:t xml:space="preserve"> pelo </w:t>
      </w:r>
      <w:r w:rsidR="008617AD" w:rsidRPr="006D1C74">
        <w:rPr>
          <w:rFonts w:asciiTheme="majorHAnsi" w:hAnsiTheme="majorHAnsi"/>
          <w:sz w:val="20"/>
          <w:szCs w:val="20"/>
          <w:lang w:val="pt-BR"/>
        </w:rPr>
        <w:t>juiz</w:t>
      </w:r>
      <w:r w:rsidR="004F7E2E" w:rsidRPr="006D1C74">
        <w:rPr>
          <w:rFonts w:asciiTheme="majorHAnsi" w:hAnsiTheme="majorHAnsi"/>
          <w:sz w:val="20"/>
          <w:szCs w:val="20"/>
          <w:lang w:val="pt-BR"/>
        </w:rPr>
        <w:t xml:space="preserve"> de </w:t>
      </w:r>
      <w:r w:rsidR="00417BE8" w:rsidRPr="006D1C74">
        <w:rPr>
          <w:rFonts w:asciiTheme="majorHAnsi" w:hAnsiTheme="majorHAnsi"/>
          <w:sz w:val="20"/>
          <w:szCs w:val="20"/>
          <w:lang w:val="pt-BR"/>
        </w:rPr>
        <w:t>direito</w:t>
      </w:r>
      <w:r w:rsidR="00D83648"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w:t>
      </w:r>
      <w:r w:rsidR="00EC4793" w:rsidRPr="006D1C74">
        <w:rPr>
          <w:rFonts w:asciiTheme="majorHAnsi" w:hAnsiTheme="majorHAnsi"/>
          <w:sz w:val="20"/>
          <w:szCs w:val="20"/>
          <w:lang w:val="pt-BR"/>
        </w:rPr>
        <w:t>contudo</w:t>
      </w:r>
      <w:r w:rsidR="00D83648" w:rsidRPr="006D1C74">
        <w:rPr>
          <w:rFonts w:asciiTheme="majorHAnsi" w:hAnsiTheme="majorHAnsi"/>
          <w:sz w:val="20"/>
          <w:szCs w:val="20"/>
          <w:lang w:val="pt-BR"/>
        </w:rPr>
        <w:t xml:space="preserve">, </w:t>
      </w:r>
      <w:r w:rsidR="00700267" w:rsidRPr="006D1C74">
        <w:rPr>
          <w:rFonts w:asciiTheme="majorHAnsi" w:hAnsiTheme="majorHAnsi"/>
          <w:sz w:val="20"/>
          <w:szCs w:val="20"/>
          <w:lang w:val="pt-BR"/>
        </w:rPr>
        <w:t xml:space="preserve">a </w:t>
      </w:r>
      <w:r w:rsidR="00417BE8" w:rsidRPr="006D1C74">
        <w:rPr>
          <w:rFonts w:asciiTheme="majorHAnsi" w:hAnsiTheme="majorHAnsi"/>
          <w:sz w:val="20"/>
          <w:szCs w:val="20"/>
          <w:lang w:val="pt-BR"/>
        </w:rPr>
        <w:t>Comissão</w:t>
      </w:r>
      <w:r w:rsidR="004F729D" w:rsidRPr="006D1C74">
        <w:rPr>
          <w:rFonts w:asciiTheme="majorHAnsi" w:hAnsiTheme="majorHAnsi"/>
          <w:sz w:val="20"/>
          <w:szCs w:val="20"/>
          <w:lang w:val="pt-BR"/>
        </w:rPr>
        <w:t xml:space="preserve"> </w:t>
      </w:r>
      <w:r w:rsidR="00BF6FE3" w:rsidRPr="006D1C74">
        <w:rPr>
          <w:rFonts w:asciiTheme="majorHAnsi" w:hAnsiTheme="majorHAnsi"/>
          <w:sz w:val="20"/>
          <w:szCs w:val="20"/>
          <w:lang w:val="pt-BR"/>
        </w:rPr>
        <w:t>adverte</w:t>
      </w:r>
      <w:r w:rsidR="004F729D" w:rsidRPr="006D1C74">
        <w:rPr>
          <w:rFonts w:asciiTheme="majorHAnsi" w:hAnsiTheme="majorHAnsi"/>
          <w:sz w:val="20"/>
          <w:szCs w:val="20"/>
          <w:lang w:val="pt-BR"/>
        </w:rPr>
        <w:t xml:space="preserve"> que</w:t>
      </w:r>
      <w:r w:rsidR="00700267" w:rsidRPr="006D1C74">
        <w:rPr>
          <w:rFonts w:asciiTheme="majorHAnsi" w:hAnsiTheme="majorHAnsi"/>
          <w:sz w:val="20"/>
          <w:szCs w:val="20"/>
          <w:lang w:val="pt-BR"/>
        </w:rPr>
        <w:t xml:space="preserve"> os </w:t>
      </w:r>
      <w:r w:rsidR="00D83648" w:rsidRPr="006D1C74">
        <w:rPr>
          <w:rFonts w:asciiTheme="majorHAnsi" w:hAnsiTheme="majorHAnsi"/>
          <w:sz w:val="20"/>
          <w:szCs w:val="20"/>
          <w:lang w:val="pt-BR"/>
        </w:rPr>
        <w:t>conse</w:t>
      </w:r>
      <w:r w:rsidR="00EC4793" w:rsidRPr="006D1C74">
        <w:rPr>
          <w:rFonts w:asciiTheme="majorHAnsi" w:hAnsiTheme="majorHAnsi"/>
          <w:sz w:val="20"/>
          <w:szCs w:val="20"/>
          <w:lang w:val="pt-BR"/>
        </w:rPr>
        <w:t>lh</w:t>
      </w:r>
      <w:r w:rsidR="00D83648" w:rsidRPr="006D1C74">
        <w:rPr>
          <w:rFonts w:asciiTheme="majorHAnsi" w:hAnsiTheme="majorHAnsi"/>
          <w:sz w:val="20"/>
          <w:szCs w:val="20"/>
          <w:lang w:val="pt-BR"/>
        </w:rPr>
        <w:t xml:space="preserve">os de </w:t>
      </w:r>
      <w:r w:rsidR="00795010" w:rsidRPr="006D1C74">
        <w:rPr>
          <w:rFonts w:asciiTheme="majorHAnsi" w:hAnsiTheme="majorHAnsi"/>
          <w:sz w:val="20"/>
          <w:szCs w:val="20"/>
          <w:lang w:val="pt-BR"/>
        </w:rPr>
        <w:t>justiça</w:t>
      </w:r>
      <w:r w:rsidR="00D83648" w:rsidRPr="006D1C74">
        <w:rPr>
          <w:rFonts w:asciiTheme="majorHAnsi" w:hAnsiTheme="majorHAnsi"/>
          <w:sz w:val="20"/>
          <w:szCs w:val="20"/>
          <w:lang w:val="pt-BR"/>
        </w:rPr>
        <w:t xml:space="preserve"> </w:t>
      </w:r>
      <w:r w:rsidR="00EC4793" w:rsidRPr="006D1C74">
        <w:rPr>
          <w:rFonts w:asciiTheme="majorHAnsi" w:hAnsiTheme="majorHAnsi"/>
          <w:sz w:val="20"/>
          <w:szCs w:val="20"/>
          <w:lang w:val="pt-BR"/>
        </w:rPr>
        <w:t>são</w:t>
      </w:r>
      <w:r w:rsidR="008617D5" w:rsidRPr="006D1C74">
        <w:rPr>
          <w:rFonts w:asciiTheme="majorHAnsi" w:hAnsiTheme="majorHAnsi"/>
          <w:sz w:val="20"/>
          <w:szCs w:val="20"/>
          <w:lang w:val="pt-BR"/>
        </w:rPr>
        <w:t xml:space="preserve"> formados</w:t>
      </w:r>
      <w:r w:rsidR="00700267" w:rsidRPr="006D1C74">
        <w:rPr>
          <w:rFonts w:asciiTheme="majorHAnsi" w:hAnsiTheme="majorHAnsi"/>
          <w:sz w:val="20"/>
          <w:szCs w:val="20"/>
          <w:lang w:val="pt-BR"/>
        </w:rPr>
        <w:t xml:space="preserve"> pelo </w:t>
      </w:r>
      <w:r w:rsidR="008617AD" w:rsidRPr="006D1C74">
        <w:rPr>
          <w:rFonts w:asciiTheme="majorHAnsi" w:hAnsiTheme="majorHAnsi"/>
          <w:sz w:val="20"/>
          <w:szCs w:val="20"/>
          <w:lang w:val="pt-BR"/>
        </w:rPr>
        <w:t>juiz</w:t>
      </w:r>
      <w:r w:rsidR="008617D5" w:rsidRPr="006D1C74">
        <w:rPr>
          <w:rFonts w:asciiTheme="majorHAnsi" w:hAnsiTheme="majorHAnsi"/>
          <w:sz w:val="20"/>
          <w:szCs w:val="20"/>
          <w:lang w:val="pt-BR"/>
        </w:rPr>
        <w:t xml:space="preserve"> de </w:t>
      </w:r>
      <w:r w:rsidR="00417BE8" w:rsidRPr="006D1C74">
        <w:rPr>
          <w:rFonts w:asciiTheme="majorHAnsi" w:hAnsiTheme="majorHAnsi"/>
          <w:sz w:val="20"/>
          <w:szCs w:val="20"/>
          <w:lang w:val="pt-BR"/>
        </w:rPr>
        <w:t>direito</w:t>
      </w:r>
      <w:r w:rsidR="00CF037E" w:rsidRPr="006D1C74">
        <w:rPr>
          <w:rFonts w:asciiTheme="majorHAnsi" w:hAnsiTheme="majorHAnsi"/>
          <w:sz w:val="20"/>
          <w:szCs w:val="20"/>
          <w:lang w:val="pt-BR"/>
        </w:rPr>
        <w:t xml:space="preserve"> e </w:t>
      </w:r>
      <w:r w:rsidR="004F729D" w:rsidRPr="006D1C74">
        <w:rPr>
          <w:rFonts w:asciiTheme="majorHAnsi" w:hAnsiTheme="majorHAnsi"/>
          <w:sz w:val="20"/>
          <w:szCs w:val="20"/>
          <w:lang w:val="pt-BR"/>
        </w:rPr>
        <w:t>por</w:t>
      </w:r>
      <w:r w:rsidR="008617D5" w:rsidRPr="006D1C74">
        <w:rPr>
          <w:rFonts w:asciiTheme="majorHAnsi" w:hAnsiTheme="majorHAnsi"/>
          <w:sz w:val="20"/>
          <w:szCs w:val="20"/>
          <w:lang w:val="pt-BR"/>
        </w:rPr>
        <w:t xml:space="preserve"> </w:t>
      </w:r>
      <w:r w:rsidR="003705A2">
        <w:rPr>
          <w:rFonts w:asciiTheme="majorHAnsi" w:hAnsiTheme="majorHAnsi"/>
          <w:sz w:val="20"/>
          <w:szCs w:val="20"/>
          <w:lang w:val="pt-BR"/>
        </w:rPr>
        <w:t>qua</w:t>
      </w:r>
      <w:r w:rsidR="008617D5" w:rsidRPr="006D1C74">
        <w:rPr>
          <w:rFonts w:asciiTheme="majorHAnsi" w:hAnsiTheme="majorHAnsi"/>
          <w:sz w:val="20"/>
          <w:szCs w:val="20"/>
          <w:lang w:val="pt-BR"/>
        </w:rPr>
        <w:t xml:space="preserve">tro militares de </w:t>
      </w:r>
      <w:r w:rsidR="00BF6FE3" w:rsidRPr="006D1C74">
        <w:rPr>
          <w:rFonts w:asciiTheme="majorHAnsi" w:hAnsiTheme="majorHAnsi"/>
          <w:sz w:val="20"/>
          <w:szCs w:val="20"/>
          <w:lang w:val="pt-BR"/>
        </w:rPr>
        <w:t>carreira</w:t>
      </w:r>
      <w:r w:rsidR="00683AAF" w:rsidRPr="006D1C74">
        <w:rPr>
          <w:rFonts w:asciiTheme="majorHAnsi" w:hAnsiTheme="majorHAnsi"/>
          <w:sz w:val="20"/>
          <w:szCs w:val="20"/>
          <w:lang w:val="pt-BR"/>
        </w:rPr>
        <w:t>,</w:t>
      </w:r>
      <w:r w:rsidR="008617D5" w:rsidRPr="006D1C74">
        <w:rPr>
          <w:rFonts w:asciiTheme="majorHAnsi" w:hAnsiTheme="majorHAnsi"/>
          <w:sz w:val="20"/>
          <w:szCs w:val="20"/>
          <w:lang w:val="pt-BR"/>
        </w:rPr>
        <w:t xml:space="preserve"> que </w:t>
      </w:r>
      <w:r w:rsidR="00BF6FE3" w:rsidRPr="006D1C74">
        <w:rPr>
          <w:rFonts w:asciiTheme="majorHAnsi" w:hAnsiTheme="majorHAnsi"/>
          <w:sz w:val="20"/>
          <w:szCs w:val="20"/>
          <w:lang w:val="pt-BR"/>
        </w:rPr>
        <w:t>assumem</w:t>
      </w:r>
      <w:r w:rsidR="00700267" w:rsidRPr="006D1C74">
        <w:rPr>
          <w:rFonts w:asciiTheme="majorHAnsi" w:hAnsiTheme="majorHAnsi"/>
          <w:sz w:val="20"/>
          <w:szCs w:val="20"/>
          <w:lang w:val="pt-BR"/>
        </w:rPr>
        <w:t xml:space="preserve"> o </w:t>
      </w:r>
      <w:r w:rsidR="008617D5" w:rsidRPr="006D1C74">
        <w:rPr>
          <w:rFonts w:asciiTheme="majorHAnsi" w:hAnsiTheme="majorHAnsi"/>
          <w:sz w:val="20"/>
          <w:szCs w:val="20"/>
          <w:lang w:val="pt-BR"/>
        </w:rPr>
        <w:t>p</w:t>
      </w:r>
      <w:r w:rsidR="00EC4793" w:rsidRPr="006D1C74">
        <w:rPr>
          <w:rFonts w:asciiTheme="majorHAnsi" w:hAnsiTheme="majorHAnsi"/>
          <w:sz w:val="20"/>
          <w:szCs w:val="20"/>
          <w:lang w:val="pt-BR"/>
        </w:rPr>
        <w:t>o</w:t>
      </w:r>
      <w:r w:rsidR="008617D5" w:rsidRPr="006D1C74">
        <w:rPr>
          <w:rFonts w:asciiTheme="majorHAnsi" w:hAnsiTheme="majorHAnsi"/>
          <w:sz w:val="20"/>
          <w:szCs w:val="20"/>
          <w:lang w:val="pt-BR"/>
        </w:rPr>
        <w:t>sto de ju</w:t>
      </w:r>
      <w:r w:rsidR="00EC4793" w:rsidRPr="006D1C74">
        <w:rPr>
          <w:rFonts w:asciiTheme="majorHAnsi" w:hAnsiTheme="majorHAnsi"/>
          <w:sz w:val="20"/>
          <w:szCs w:val="20"/>
          <w:lang w:val="pt-BR"/>
        </w:rPr>
        <w:t>íz</w:t>
      </w:r>
      <w:r w:rsidR="008617D5" w:rsidRPr="006D1C74">
        <w:rPr>
          <w:rFonts w:asciiTheme="majorHAnsi" w:hAnsiTheme="majorHAnsi"/>
          <w:sz w:val="20"/>
          <w:szCs w:val="20"/>
          <w:lang w:val="pt-BR"/>
        </w:rPr>
        <w:t>es militares tempora</w:t>
      </w:r>
      <w:r w:rsidR="00EC4793" w:rsidRPr="006D1C74">
        <w:rPr>
          <w:rFonts w:asciiTheme="majorHAnsi" w:hAnsiTheme="majorHAnsi"/>
          <w:sz w:val="20"/>
          <w:szCs w:val="20"/>
          <w:lang w:val="pt-BR"/>
        </w:rPr>
        <w:t>ria</w:t>
      </w:r>
      <w:r w:rsidR="008617D5" w:rsidRPr="006D1C74">
        <w:rPr>
          <w:rFonts w:asciiTheme="majorHAnsi" w:hAnsiTheme="majorHAnsi"/>
          <w:sz w:val="20"/>
          <w:szCs w:val="20"/>
          <w:lang w:val="pt-BR"/>
        </w:rPr>
        <w:t>mente</w:t>
      </w:r>
      <w:r w:rsidR="00E6602C" w:rsidRPr="006D1C74">
        <w:rPr>
          <w:rFonts w:asciiTheme="majorHAnsi" w:hAnsiTheme="majorHAnsi"/>
          <w:sz w:val="20"/>
          <w:szCs w:val="20"/>
          <w:lang w:val="pt-BR"/>
        </w:rPr>
        <w:t>,</w:t>
      </w:r>
      <w:r w:rsidR="00CF037E" w:rsidRPr="006D1C74">
        <w:rPr>
          <w:rFonts w:asciiTheme="majorHAnsi" w:hAnsiTheme="majorHAnsi"/>
          <w:sz w:val="20"/>
          <w:szCs w:val="20"/>
          <w:lang w:val="pt-BR"/>
        </w:rPr>
        <w:t xml:space="preserve"> </w:t>
      </w:r>
      <w:r w:rsidR="00700267" w:rsidRPr="006D1C74">
        <w:rPr>
          <w:rFonts w:asciiTheme="majorHAnsi" w:hAnsiTheme="majorHAnsi"/>
          <w:sz w:val="20"/>
          <w:szCs w:val="20"/>
          <w:lang w:val="pt-BR"/>
        </w:rPr>
        <w:t xml:space="preserve">sem </w:t>
      </w:r>
      <w:r w:rsidR="008617D5" w:rsidRPr="006D1C74">
        <w:rPr>
          <w:rFonts w:asciiTheme="majorHAnsi" w:hAnsiTheme="majorHAnsi"/>
          <w:sz w:val="20"/>
          <w:szCs w:val="20"/>
          <w:lang w:val="pt-BR"/>
        </w:rPr>
        <w:t>de</w:t>
      </w:r>
      <w:r w:rsidR="00EC4793" w:rsidRPr="006D1C74">
        <w:rPr>
          <w:rFonts w:asciiTheme="majorHAnsi" w:hAnsiTheme="majorHAnsi"/>
          <w:sz w:val="20"/>
          <w:szCs w:val="20"/>
          <w:lang w:val="pt-BR"/>
        </w:rPr>
        <w:t>ix</w:t>
      </w:r>
      <w:r w:rsidR="008617D5" w:rsidRPr="006D1C74">
        <w:rPr>
          <w:rFonts w:asciiTheme="majorHAnsi" w:hAnsiTheme="majorHAnsi"/>
          <w:sz w:val="20"/>
          <w:szCs w:val="20"/>
          <w:lang w:val="pt-BR"/>
        </w:rPr>
        <w:t>ar s</w:t>
      </w:r>
      <w:r w:rsidR="00F91670">
        <w:rPr>
          <w:rFonts w:asciiTheme="majorHAnsi" w:hAnsiTheme="majorHAnsi"/>
          <w:sz w:val="20"/>
          <w:szCs w:val="20"/>
          <w:lang w:val="pt-BR"/>
        </w:rPr>
        <w:t>e</w:t>
      </w:r>
      <w:r w:rsidR="008617D5" w:rsidRPr="006D1C74">
        <w:rPr>
          <w:rFonts w:asciiTheme="majorHAnsi" w:hAnsiTheme="majorHAnsi"/>
          <w:sz w:val="20"/>
          <w:szCs w:val="20"/>
          <w:lang w:val="pt-BR"/>
        </w:rPr>
        <w:t>us p</w:t>
      </w:r>
      <w:r w:rsidR="00EC4793" w:rsidRPr="006D1C74">
        <w:rPr>
          <w:rFonts w:asciiTheme="majorHAnsi" w:hAnsiTheme="majorHAnsi"/>
          <w:sz w:val="20"/>
          <w:szCs w:val="20"/>
          <w:lang w:val="pt-BR"/>
        </w:rPr>
        <w:t>o</w:t>
      </w:r>
      <w:r w:rsidR="008617D5" w:rsidRPr="006D1C74">
        <w:rPr>
          <w:rFonts w:asciiTheme="majorHAnsi" w:hAnsiTheme="majorHAnsi"/>
          <w:sz w:val="20"/>
          <w:szCs w:val="20"/>
          <w:lang w:val="pt-BR"/>
        </w:rPr>
        <w:t>stos militares</w:t>
      </w:r>
      <w:r w:rsidR="008617D5" w:rsidRPr="006D1C74">
        <w:rPr>
          <w:rStyle w:val="FootnoteReference"/>
          <w:rFonts w:asciiTheme="majorHAnsi" w:hAnsiTheme="majorHAnsi"/>
          <w:sz w:val="20"/>
          <w:szCs w:val="20"/>
          <w:lang w:val="pt-BR"/>
        </w:rPr>
        <w:footnoteReference w:id="103"/>
      </w:r>
      <w:r w:rsidR="004F729D" w:rsidRPr="006D1C74">
        <w:rPr>
          <w:rFonts w:asciiTheme="majorHAnsi" w:hAnsiTheme="majorHAnsi"/>
          <w:sz w:val="20"/>
          <w:szCs w:val="20"/>
          <w:lang w:val="pt-BR"/>
        </w:rPr>
        <w:t>.</w:t>
      </w:r>
      <w:r w:rsidR="008617D5" w:rsidRPr="006D1C74">
        <w:rPr>
          <w:rFonts w:asciiTheme="majorHAnsi" w:hAnsiTheme="majorHAnsi"/>
          <w:sz w:val="20"/>
          <w:szCs w:val="20"/>
          <w:lang w:val="pt-BR"/>
        </w:rPr>
        <w:t xml:space="preserve"> </w:t>
      </w:r>
      <w:r w:rsidR="00B42161" w:rsidRPr="006D1C74">
        <w:rPr>
          <w:rFonts w:asciiTheme="majorHAnsi" w:hAnsiTheme="majorHAnsi"/>
          <w:sz w:val="20"/>
          <w:szCs w:val="20"/>
          <w:lang w:val="pt-BR"/>
        </w:rPr>
        <w:t>A</w:t>
      </w:r>
      <w:r w:rsidR="008617D5" w:rsidRPr="006D1C74">
        <w:rPr>
          <w:rFonts w:asciiTheme="majorHAnsi" w:hAnsiTheme="majorHAnsi"/>
          <w:sz w:val="20"/>
          <w:szCs w:val="20"/>
          <w:lang w:val="pt-BR"/>
        </w:rPr>
        <w:t xml:space="preserve"> </w:t>
      </w:r>
      <w:r w:rsidR="00417BE8" w:rsidRPr="006D1C74">
        <w:rPr>
          <w:rFonts w:asciiTheme="majorHAnsi" w:hAnsiTheme="majorHAnsi"/>
          <w:sz w:val="20"/>
          <w:szCs w:val="20"/>
          <w:lang w:val="pt-BR"/>
        </w:rPr>
        <w:t>Comissão</w:t>
      </w:r>
      <w:r w:rsidR="008617D5" w:rsidRPr="006D1C74">
        <w:rPr>
          <w:rFonts w:asciiTheme="majorHAnsi" w:hAnsiTheme="majorHAnsi"/>
          <w:sz w:val="20"/>
          <w:szCs w:val="20"/>
          <w:lang w:val="pt-BR"/>
        </w:rPr>
        <w:t xml:space="preserve"> </w:t>
      </w:r>
      <w:r w:rsidR="00BF6FE3" w:rsidRPr="006D1C74">
        <w:rPr>
          <w:rFonts w:asciiTheme="majorHAnsi" w:hAnsiTheme="majorHAnsi"/>
          <w:sz w:val="20"/>
          <w:szCs w:val="20"/>
          <w:lang w:val="pt-BR"/>
        </w:rPr>
        <w:t>entende</w:t>
      </w:r>
      <w:r w:rsidR="008617D5" w:rsidRPr="006D1C74">
        <w:rPr>
          <w:rFonts w:asciiTheme="majorHAnsi" w:hAnsiTheme="majorHAnsi"/>
          <w:sz w:val="20"/>
          <w:szCs w:val="20"/>
          <w:lang w:val="pt-BR"/>
        </w:rPr>
        <w:t xml:space="preserve"> que</w:t>
      </w:r>
      <w:r w:rsidR="00700267" w:rsidRPr="006D1C74">
        <w:rPr>
          <w:rFonts w:asciiTheme="majorHAnsi" w:hAnsiTheme="majorHAnsi"/>
          <w:sz w:val="20"/>
          <w:szCs w:val="20"/>
          <w:lang w:val="pt-BR"/>
        </w:rPr>
        <w:t xml:space="preserve"> a </w:t>
      </w:r>
      <w:r w:rsidR="008617D5" w:rsidRPr="006D1C74">
        <w:rPr>
          <w:rFonts w:asciiTheme="majorHAnsi" w:hAnsiTheme="majorHAnsi"/>
          <w:sz w:val="20"/>
          <w:szCs w:val="20"/>
          <w:lang w:val="pt-BR"/>
        </w:rPr>
        <w:t>propor</w:t>
      </w:r>
      <w:r w:rsidR="00CF037E" w:rsidRPr="006D1C74">
        <w:rPr>
          <w:rFonts w:asciiTheme="majorHAnsi" w:hAnsiTheme="majorHAnsi"/>
          <w:sz w:val="20"/>
          <w:szCs w:val="20"/>
          <w:lang w:val="pt-BR"/>
        </w:rPr>
        <w:t>ção</w:t>
      </w:r>
      <w:r w:rsidR="008617D5" w:rsidRPr="006D1C74">
        <w:rPr>
          <w:rFonts w:asciiTheme="majorHAnsi" w:hAnsiTheme="majorHAnsi"/>
          <w:sz w:val="20"/>
          <w:szCs w:val="20"/>
          <w:lang w:val="pt-BR"/>
        </w:rPr>
        <w:t xml:space="preserve"> de </w:t>
      </w:r>
      <w:r w:rsidR="003705A2">
        <w:rPr>
          <w:rFonts w:asciiTheme="majorHAnsi" w:hAnsiTheme="majorHAnsi"/>
          <w:sz w:val="20"/>
          <w:szCs w:val="20"/>
          <w:lang w:val="pt-BR"/>
        </w:rPr>
        <w:t>qua</w:t>
      </w:r>
      <w:r w:rsidR="008617D5" w:rsidRPr="006D1C74">
        <w:rPr>
          <w:rFonts w:asciiTheme="majorHAnsi" w:hAnsiTheme="majorHAnsi"/>
          <w:sz w:val="20"/>
          <w:szCs w:val="20"/>
          <w:lang w:val="pt-BR"/>
        </w:rPr>
        <w:t>tro militares, s</w:t>
      </w:r>
      <w:r w:rsidR="00EC4793" w:rsidRPr="006D1C74">
        <w:rPr>
          <w:rFonts w:asciiTheme="majorHAnsi" w:hAnsiTheme="majorHAnsi"/>
          <w:sz w:val="20"/>
          <w:szCs w:val="20"/>
          <w:lang w:val="pt-BR"/>
        </w:rPr>
        <w:t>ub</w:t>
      </w:r>
      <w:r w:rsidR="008617D5" w:rsidRPr="006D1C74">
        <w:rPr>
          <w:rFonts w:asciiTheme="majorHAnsi" w:hAnsiTheme="majorHAnsi"/>
          <w:sz w:val="20"/>
          <w:szCs w:val="20"/>
          <w:lang w:val="pt-BR"/>
        </w:rPr>
        <w:t>metidos</w:t>
      </w:r>
      <w:r w:rsidR="00135454" w:rsidRPr="006D1C74">
        <w:rPr>
          <w:rFonts w:asciiTheme="majorHAnsi" w:hAnsiTheme="majorHAnsi"/>
          <w:sz w:val="20"/>
          <w:szCs w:val="20"/>
          <w:lang w:val="pt-BR"/>
        </w:rPr>
        <w:t xml:space="preserve"> aos </w:t>
      </w:r>
      <w:r w:rsidR="00BF6FE3" w:rsidRPr="006D1C74">
        <w:rPr>
          <w:rFonts w:asciiTheme="majorHAnsi" w:hAnsiTheme="majorHAnsi"/>
          <w:sz w:val="20"/>
          <w:szCs w:val="20"/>
          <w:lang w:val="pt-BR"/>
        </w:rPr>
        <w:t>princípios</w:t>
      </w:r>
      <w:r w:rsidR="008617D5" w:rsidRPr="006D1C74">
        <w:rPr>
          <w:rFonts w:asciiTheme="majorHAnsi" w:hAnsiTheme="majorHAnsi"/>
          <w:sz w:val="20"/>
          <w:szCs w:val="20"/>
          <w:lang w:val="pt-BR"/>
        </w:rPr>
        <w:t xml:space="preserve"> militares,</w:t>
      </w:r>
      <w:r w:rsidR="00CF037E" w:rsidRPr="006D1C74">
        <w:rPr>
          <w:rFonts w:asciiTheme="majorHAnsi" w:hAnsiTheme="majorHAnsi"/>
          <w:sz w:val="20"/>
          <w:szCs w:val="20"/>
          <w:lang w:val="pt-BR"/>
        </w:rPr>
        <w:t xml:space="preserve"> e</w:t>
      </w:r>
      <w:r w:rsidR="00030019" w:rsidRPr="006D1C74">
        <w:rPr>
          <w:rFonts w:asciiTheme="majorHAnsi" w:hAnsiTheme="majorHAnsi"/>
          <w:sz w:val="20"/>
          <w:szCs w:val="20"/>
          <w:lang w:val="pt-BR"/>
        </w:rPr>
        <w:t xml:space="preserve"> um </w:t>
      </w:r>
      <w:r w:rsidR="008617AD" w:rsidRPr="006D1C74">
        <w:rPr>
          <w:rFonts w:asciiTheme="majorHAnsi" w:hAnsiTheme="majorHAnsi"/>
          <w:sz w:val="20"/>
          <w:szCs w:val="20"/>
          <w:lang w:val="pt-BR"/>
        </w:rPr>
        <w:t>juiz</w:t>
      </w:r>
      <w:r w:rsidR="008617D5" w:rsidRPr="006D1C74">
        <w:rPr>
          <w:rFonts w:asciiTheme="majorHAnsi" w:hAnsiTheme="majorHAnsi"/>
          <w:sz w:val="20"/>
          <w:szCs w:val="20"/>
          <w:lang w:val="pt-BR"/>
        </w:rPr>
        <w:t xml:space="preserve"> indepen</w:t>
      </w:r>
      <w:r w:rsidR="000D2A81" w:rsidRPr="006D1C74">
        <w:rPr>
          <w:rFonts w:asciiTheme="majorHAnsi" w:hAnsiTheme="majorHAnsi"/>
          <w:sz w:val="20"/>
          <w:szCs w:val="20"/>
          <w:lang w:val="pt-BR"/>
        </w:rPr>
        <w:t>dente</w:t>
      </w:r>
      <w:r w:rsidR="00F673C7" w:rsidRPr="006D1C74">
        <w:rPr>
          <w:rFonts w:asciiTheme="majorHAnsi" w:hAnsiTheme="majorHAnsi"/>
          <w:sz w:val="20"/>
          <w:szCs w:val="20"/>
          <w:lang w:val="pt-BR"/>
        </w:rPr>
        <w:t xml:space="preserve"> não </w:t>
      </w:r>
      <w:r w:rsidR="008617D5" w:rsidRPr="006D1C74">
        <w:rPr>
          <w:rFonts w:asciiTheme="majorHAnsi" w:hAnsiTheme="majorHAnsi"/>
          <w:sz w:val="20"/>
          <w:szCs w:val="20"/>
          <w:lang w:val="pt-BR"/>
        </w:rPr>
        <w:t>garant</w:t>
      </w:r>
      <w:r w:rsidR="00EC4793" w:rsidRPr="006D1C74">
        <w:rPr>
          <w:rFonts w:asciiTheme="majorHAnsi" w:hAnsiTheme="majorHAnsi"/>
          <w:sz w:val="20"/>
          <w:szCs w:val="20"/>
          <w:lang w:val="pt-BR"/>
        </w:rPr>
        <w:t>e</w:t>
      </w:r>
      <w:r w:rsidR="00700267" w:rsidRPr="006D1C74">
        <w:rPr>
          <w:rFonts w:asciiTheme="majorHAnsi" w:hAnsiTheme="majorHAnsi"/>
          <w:sz w:val="20"/>
          <w:szCs w:val="20"/>
          <w:lang w:val="pt-BR"/>
        </w:rPr>
        <w:t xml:space="preserve"> a </w:t>
      </w:r>
      <w:r w:rsidR="008617D5" w:rsidRPr="006D1C74">
        <w:rPr>
          <w:rFonts w:asciiTheme="majorHAnsi" w:hAnsiTheme="majorHAnsi"/>
          <w:sz w:val="20"/>
          <w:szCs w:val="20"/>
          <w:lang w:val="pt-BR"/>
        </w:rPr>
        <w:t>imparciali</w:t>
      </w:r>
      <w:r w:rsidR="00F673C7" w:rsidRPr="006D1C74">
        <w:rPr>
          <w:rFonts w:asciiTheme="majorHAnsi" w:hAnsiTheme="majorHAnsi"/>
          <w:sz w:val="20"/>
          <w:szCs w:val="20"/>
          <w:lang w:val="pt-BR"/>
        </w:rPr>
        <w:t xml:space="preserve">dade </w:t>
      </w:r>
      <w:r w:rsidR="00795010" w:rsidRPr="006D1C74">
        <w:rPr>
          <w:rFonts w:asciiTheme="majorHAnsi" w:hAnsiTheme="majorHAnsi"/>
          <w:sz w:val="20"/>
          <w:szCs w:val="20"/>
          <w:lang w:val="pt-BR"/>
        </w:rPr>
        <w:t xml:space="preserve">da </w:t>
      </w:r>
      <w:r w:rsidR="008617D5" w:rsidRPr="006D1C74">
        <w:rPr>
          <w:rFonts w:asciiTheme="majorHAnsi" w:hAnsiTheme="majorHAnsi"/>
          <w:sz w:val="20"/>
          <w:szCs w:val="20"/>
          <w:lang w:val="pt-BR"/>
        </w:rPr>
        <w:t>deci</w:t>
      </w:r>
      <w:r w:rsidR="0094446B" w:rsidRPr="006D1C74">
        <w:rPr>
          <w:rFonts w:asciiTheme="majorHAnsi" w:hAnsiTheme="majorHAnsi"/>
          <w:sz w:val="20"/>
          <w:szCs w:val="20"/>
          <w:lang w:val="pt-BR"/>
        </w:rPr>
        <w:t>são</w:t>
      </w:r>
      <w:r w:rsidR="008617D5" w:rsidRPr="006D1C74">
        <w:rPr>
          <w:rFonts w:asciiTheme="majorHAnsi" w:hAnsiTheme="majorHAnsi"/>
          <w:sz w:val="20"/>
          <w:szCs w:val="20"/>
          <w:lang w:val="pt-BR"/>
        </w:rPr>
        <w:t xml:space="preserve"> final</w:t>
      </w:r>
      <w:r w:rsidR="00EC4793" w:rsidRPr="006D1C74">
        <w:rPr>
          <w:rFonts w:asciiTheme="majorHAnsi" w:hAnsiTheme="majorHAnsi"/>
          <w:sz w:val="20"/>
          <w:szCs w:val="20"/>
          <w:lang w:val="pt-BR"/>
        </w:rPr>
        <w:t>,</w:t>
      </w:r>
      <w:r w:rsidR="008617D5" w:rsidRPr="006D1C74">
        <w:rPr>
          <w:rFonts w:asciiTheme="majorHAnsi" w:hAnsiTheme="majorHAnsi"/>
          <w:sz w:val="20"/>
          <w:szCs w:val="20"/>
          <w:lang w:val="pt-BR"/>
        </w:rPr>
        <w:t xml:space="preserve"> </w:t>
      </w:r>
      <w:r w:rsidR="004F729D" w:rsidRPr="006D1C74">
        <w:rPr>
          <w:rFonts w:asciiTheme="majorHAnsi" w:hAnsiTheme="majorHAnsi"/>
          <w:sz w:val="20"/>
          <w:szCs w:val="20"/>
          <w:lang w:val="pt-BR"/>
        </w:rPr>
        <w:t>que,</w:t>
      </w:r>
      <w:r w:rsidR="008617D5" w:rsidRPr="006D1C74">
        <w:rPr>
          <w:rFonts w:asciiTheme="majorHAnsi" w:hAnsiTheme="majorHAnsi"/>
          <w:sz w:val="20"/>
          <w:szCs w:val="20"/>
          <w:lang w:val="pt-BR"/>
        </w:rPr>
        <w:t xml:space="preserve"> </w:t>
      </w:r>
      <w:r w:rsidR="004F729D" w:rsidRPr="006D1C74">
        <w:rPr>
          <w:rFonts w:asciiTheme="majorHAnsi" w:hAnsiTheme="majorHAnsi"/>
          <w:sz w:val="20"/>
          <w:szCs w:val="20"/>
          <w:lang w:val="pt-BR"/>
        </w:rPr>
        <w:t>a</w:t>
      </w:r>
      <w:r w:rsidR="00EC4793" w:rsidRPr="006D1C74">
        <w:rPr>
          <w:rFonts w:asciiTheme="majorHAnsi" w:hAnsiTheme="majorHAnsi"/>
          <w:sz w:val="20"/>
          <w:szCs w:val="20"/>
          <w:lang w:val="pt-BR"/>
        </w:rPr>
        <w:t>lém disso</w:t>
      </w:r>
      <w:r w:rsidR="004F729D"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não </w:t>
      </w:r>
      <w:r w:rsidR="00BF6FE3" w:rsidRPr="006D1C74">
        <w:rPr>
          <w:rFonts w:asciiTheme="majorHAnsi" w:hAnsiTheme="majorHAnsi"/>
          <w:sz w:val="20"/>
          <w:szCs w:val="20"/>
          <w:lang w:val="pt-BR"/>
        </w:rPr>
        <w:t>requer</w:t>
      </w:r>
      <w:r w:rsidR="008617D5" w:rsidRPr="006D1C74">
        <w:rPr>
          <w:rFonts w:asciiTheme="majorHAnsi" w:hAnsiTheme="majorHAnsi"/>
          <w:sz w:val="20"/>
          <w:szCs w:val="20"/>
          <w:lang w:val="pt-BR"/>
        </w:rPr>
        <w:t xml:space="preserve"> </w:t>
      </w:r>
      <w:r w:rsidR="00BF6FE3" w:rsidRPr="006D1C74">
        <w:rPr>
          <w:rFonts w:asciiTheme="majorHAnsi" w:hAnsiTheme="majorHAnsi"/>
          <w:sz w:val="20"/>
          <w:szCs w:val="20"/>
          <w:lang w:val="pt-BR"/>
        </w:rPr>
        <w:t>unanimidade</w:t>
      </w:r>
      <w:r w:rsidR="008617D5" w:rsidRPr="006D1C74">
        <w:rPr>
          <w:rFonts w:asciiTheme="majorHAnsi" w:hAnsiTheme="majorHAnsi"/>
          <w:sz w:val="20"/>
          <w:szCs w:val="20"/>
          <w:lang w:val="pt-BR"/>
        </w:rPr>
        <w:t xml:space="preserve">, </w:t>
      </w:r>
      <w:r w:rsidR="00EC4793" w:rsidRPr="006D1C74">
        <w:rPr>
          <w:rFonts w:asciiTheme="majorHAnsi" w:hAnsiTheme="majorHAnsi"/>
          <w:sz w:val="20"/>
          <w:szCs w:val="20"/>
          <w:lang w:val="pt-BR"/>
        </w:rPr>
        <w:t>mas apenas</w:t>
      </w:r>
      <w:r w:rsidR="008617D5" w:rsidRPr="006D1C74">
        <w:rPr>
          <w:rFonts w:asciiTheme="majorHAnsi" w:hAnsiTheme="majorHAnsi"/>
          <w:sz w:val="20"/>
          <w:szCs w:val="20"/>
          <w:lang w:val="pt-BR"/>
        </w:rPr>
        <w:t xml:space="preserve"> </w:t>
      </w:r>
      <w:r w:rsidR="00C6461F" w:rsidRPr="006D1C74">
        <w:rPr>
          <w:rFonts w:asciiTheme="majorHAnsi" w:hAnsiTheme="majorHAnsi"/>
          <w:sz w:val="20"/>
          <w:szCs w:val="20"/>
          <w:lang w:val="pt-BR"/>
        </w:rPr>
        <w:t>maio</w:t>
      </w:r>
      <w:r w:rsidR="008617D5" w:rsidRPr="006D1C74">
        <w:rPr>
          <w:rFonts w:asciiTheme="majorHAnsi" w:hAnsiTheme="majorHAnsi"/>
          <w:sz w:val="20"/>
          <w:szCs w:val="20"/>
          <w:lang w:val="pt-BR"/>
        </w:rPr>
        <w:t>r</w:t>
      </w:r>
      <w:r w:rsidR="00055622" w:rsidRPr="006D1C74">
        <w:rPr>
          <w:rFonts w:asciiTheme="majorHAnsi" w:hAnsiTheme="majorHAnsi"/>
          <w:sz w:val="20"/>
          <w:szCs w:val="20"/>
          <w:lang w:val="pt-BR"/>
        </w:rPr>
        <w:t>ia</w:t>
      </w:r>
      <w:r w:rsidR="008617D5" w:rsidRPr="006D1C74">
        <w:rPr>
          <w:rFonts w:asciiTheme="majorHAnsi" w:hAnsiTheme="majorHAnsi"/>
          <w:sz w:val="20"/>
          <w:szCs w:val="20"/>
          <w:lang w:val="pt-BR"/>
        </w:rPr>
        <w:t xml:space="preserve">. </w:t>
      </w:r>
      <w:r w:rsidR="00A42421" w:rsidRPr="006D1C74">
        <w:rPr>
          <w:rFonts w:asciiTheme="majorHAnsi" w:hAnsiTheme="majorHAnsi"/>
          <w:sz w:val="20"/>
          <w:szCs w:val="20"/>
          <w:lang w:val="pt-BR"/>
        </w:rPr>
        <w:t>As</w:t>
      </w:r>
      <w:r w:rsidR="00EC4793" w:rsidRPr="006D1C74">
        <w:rPr>
          <w:rFonts w:asciiTheme="majorHAnsi" w:hAnsiTheme="majorHAnsi"/>
          <w:sz w:val="20"/>
          <w:szCs w:val="20"/>
          <w:lang w:val="pt-BR"/>
        </w:rPr>
        <w:t>sim</w:t>
      </w:r>
      <w:r w:rsidR="00A42421" w:rsidRPr="006D1C74">
        <w:rPr>
          <w:rFonts w:asciiTheme="majorHAnsi" w:hAnsiTheme="majorHAnsi"/>
          <w:sz w:val="20"/>
          <w:szCs w:val="20"/>
          <w:lang w:val="pt-BR"/>
        </w:rPr>
        <w:t>, c</w:t>
      </w:r>
      <w:r w:rsidR="008617D5" w:rsidRPr="006D1C74">
        <w:rPr>
          <w:rFonts w:asciiTheme="majorHAnsi" w:hAnsiTheme="majorHAnsi"/>
          <w:sz w:val="20"/>
          <w:szCs w:val="20"/>
          <w:lang w:val="pt-BR"/>
        </w:rPr>
        <w:t xml:space="preserve">onforme </w:t>
      </w:r>
      <w:r w:rsidR="00EC4793" w:rsidRPr="006D1C74">
        <w:rPr>
          <w:rFonts w:asciiTheme="majorHAnsi" w:hAnsiTheme="majorHAnsi"/>
          <w:sz w:val="20"/>
          <w:szCs w:val="20"/>
          <w:lang w:val="pt-BR"/>
        </w:rPr>
        <w:t xml:space="preserve">exposto </w:t>
      </w:r>
      <w:r w:rsidR="008617D5" w:rsidRPr="006D1C74">
        <w:rPr>
          <w:rFonts w:asciiTheme="majorHAnsi" w:hAnsiTheme="majorHAnsi"/>
          <w:sz w:val="20"/>
          <w:szCs w:val="20"/>
          <w:lang w:val="pt-BR"/>
        </w:rPr>
        <w:t>anterior</w:t>
      </w:r>
      <w:r w:rsidR="00EC4793" w:rsidRPr="006D1C74">
        <w:rPr>
          <w:rFonts w:asciiTheme="majorHAnsi" w:hAnsiTheme="majorHAnsi"/>
          <w:sz w:val="20"/>
          <w:szCs w:val="20"/>
          <w:lang w:val="pt-BR"/>
        </w:rPr>
        <w:t>mente</w:t>
      </w:r>
      <w:r w:rsidR="008617D5" w:rsidRPr="006D1C74">
        <w:rPr>
          <w:rFonts w:asciiTheme="majorHAnsi" w:hAnsiTheme="majorHAnsi"/>
          <w:sz w:val="20"/>
          <w:szCs w:val="20"/>
          <w:lang w:val="pt-BR"/>
        </w:rPr>
        <w:t xml:space="preserve">, </w:t>
      </w:r>
      <w:r w:rsidR="00EC4793" w:rsidRPr="006D1C74">
        <w:rPr>
          <w:rFonts w:asciiTheme="majorHAnsi" w:hAnsiTheme="majorHAnsi"/>
          <w:sz w:val="20"/>
          <w:szCs w:val="20"/>
          <w:lang w:val="pt-BR"/>
        </w:rPr>
        <w:t xml:space="preserve">mesmo se </w:t>
      </w:r>
      <w:r w:rsidR="00700267" w:rsidRPr="006D1C74">
        <w:rPr>
          <w:rFonts w:asciiTheme="majorHAnsi" w:hAnsiTheme="majorHAnsi"/>
          <w:sz w:val="20"/>
          <w:szCs w:val="20"/>
          <w:lang w:val="pt-BR"/>
        </w:rPr>
        <w:t xml:space="preserve">o </w:t>
      </w:r>
      <w:r w:rsidR="008617AD" w:rsidRPr="006D1C74">
        <w:rPr>
          <w:rFonts w:asciiTheme="majorHAnsi" w:hAnsiTheme="majorHAnsi"/>
          <w:sz w:val="20"/>
          <w:szCs w:val="20"/>
          <w:lang w:val="pt-BR"/>
        </w:rPr>
        <w:t>juiz</w:t>
      </w:r>
      <w:r w:rsidR="008617D5" w:rsidRPr="006D1C74">
        <w:rPr>
          <w:rFonts w:asciiTheme="majorHAnsi" w:hAnsiTheme="majorHAnsi"/>
          <w:sz w:val="20"/>
          <w:szCs w:val="20"/>
          <w:lang w:val="pt-BR"/>
        </w:rPr>
        <w:t xml:space="preserve"> de </w:t>
      </w:r>
      <w:r w:rsidR="00417BE8" w:rsidRPr="006D1C74">
        <w:rPr>
          <w:rFonts w:asciiTheme="majorHAnsi" w:hAnsiTheme="majorHAnsi"/>
          <w:sz w:val="20"/>
          <w:szCs w:val="20"/>
          <w:lang w:val="pt-BR"/>
        </w:rPr>
        <w:t>direito</w:t>
      </w:r>
      <w:r w:rsidR="00F673C7" w:rsidRPr="006D1C74">
        <w:rPr>
          <w:rFonts w:asciiTheme="majorHAnsi" w:hAnsiTheme="majorHAnsi"/>
          <w:sz w:val="20"/>
          <w:szCs w:val="20"/>
          <w:lang w:val="pt-BR"/>
        </w:rPr>
        <w:t xml:space="preserve"> não </w:t>
      </w:r>
      <w:r w:rsidR="00EC4793" w:rsidRPr="006D1C74">
        <w:rPr>
          <w:rFonts w:asciiTheme="majorHAnsi" w:hAnsiTheme="majorHAnsi"/>
          <w:sz w:val="20"/>
          <w:szCs w:val="20"/>
          <w:lang w:val="pt-BR"/>
        </w:rPr>
        <w:t xml:space="preserve">tivesse </w:t>
      </w:r>
      <w:r w:rsidR="00135406" w:rsidRPr="006D1C74">
        <w:rPr>
          <w:rFonts w:asciiTheme="majorHAnsi" w:hAnsiTheme="majorHAnsi"/>
          <w:sz w:val="20"/>
          <w:szCs w:val="20"/>
          <w:lang w:val="pt-BR"/>
        </w:rPr>
        <w:t>ar</w:t>
      </w:r>
      <w:r w:rsidR="00EC4793" w:rsidRPr="006D1C74">
        <w:rPr>
          <w:rFonts w:asciiTheme="majorHAnsi" w:hAnsiTheme="majorHAnsi"/>
          <w:sz w:val="20"/>
          <w:szCs w:val="20"/>
          <w:lang w:val="pt-BR"/>
        </w:rPr>
        <w:t>qu</w:t>
      </w:r>
      <w:r w:rsidR="00135406" w:rsidRPr="006D1C74">
        <w:rPr>
          <w:rFonts w:asciiTheme="majorHAnsi" w:hAnsiTheme="majorHAnsi"/>
          <w:sz w:val="20"/>
          <w:szCs w:val="20"/>
          <w:lang w:val="pt-BR"/>
        </w:rPr>
        <w:t>ivado</w:t>
      </w:r>
      <w:r w:rsidR="00700267" w:rsidRPr="006D1C74">
        <w:rPr>
          <w:rFonts w:asciiTheme="majorHAnsi" w:hAnsiTheme="majorHAnsi"/>
          <w:sz w:val="20"/>
          <w:szCs w:val="20"/>
          <w:lang w:val="pt-BR"/>
        </w:rPr>
        <w:t xml:space="preserve"> o </w:t>
      </w:r>
      <w:r w:rsidR="00AB7F30" w:rsidRPr="006D1C74">
        <w:rPr>
          <w:rFonts w:asciiTheme="majorHAnsi" w:hAnsiTheme="majorHAnsi"/>
          <w:sz w:val="20"/>
          <w:szCs w:val="20"/>
          <w:lang w:val="pt-BR"/>
        </w:rPr>
        <w:t>processo</w:t>
      </w:r>
      <w:r w:rsidR="00CF037E" w:rsidRPr="006D1C74">
        <w:rPr>
          <w:rFonts w:asciiTheme="majorHAnsi" w:hAnsiTheme="majorHAnsi"/>
          <w:sz w:val="20"/>
          <w:szCs w:val="20"/>
          <w:lang w:val="pt-BR"/>
        </w:rPr>
        <w:t xml:space="preserve"> e </w:t>
      </w:r>
      <w:r w:rsidR="00EC4793" w:rsidRPr="006D1C74">
        <w:rPr>
          <w:rFonts w:asciiTheme="majorHAnsi" w:hAnsiTheme="majorHAnsi"/>
          <w:sz w:val="20"/>
          <w:szCs w:val="20"/>
          <w:lang w:val="pt-BR"/>
        </w:rPr>
        <w:t>houvesse</w:t>
      </w:r>
      <w:r w:rsidR="008617D5" w:rsidRPr="006D1C74">
        <w:rPr>
          <w:rFonts w:asciiTheme="majorHAnsi" w:hAnsiTheme="majorHAnsi"/>
          <w:sz w:val="20"/>
          <w:szCs w:val="20"/>
          <w:lang w:val="pt-BR"/>
        </w:rPr>
        <w:t xml:space="preserve"> </w:t>
      </w:r>
      <w:r w:rsidR="00EC4793" w:rsidRPr="006D1C74">
        <w:rPr>
          <w:rFonts w:asciiTheme="majorHAnsi" w:hAnsiTheme="majorHAnsi"/>
          <w:sz w:val="20"/>
          <w:szCs w:val="20"/>
          <w:lang w:val="pt-BR"/>
        </w:rPr>
        <w:t>recebido a</w:t>
      </w:r>
      <w:r w:rsidR="00030019"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denúncia</w:t>
      </w:r>
      <w:r w:rsidR="008617D5"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a </w:t>
      </w:r>
      <w:r w:rsidR="00E327B7" w:rsidRPr="006D1C74">
        <w:rPr>
          <w:rFonts w:asciiTheme="majorHAnsi" w:hAnsiTheme="majorHAnsi"/>
          <w:sz w:val="20"/>
          <w:szCs w:val="20"/>
          <w:lang w:val="pt-BR"/>
        </w:rPr>
        <w:t>família</w:t>
      </w:r>
      <w:r w:rsidR="008617D5" w:rsidRPr="006D1C74">
        <w:rPr>
          <w:rFonts w:asciiTheme="majorHAnsi" w:hAnsiTheme="majorHAnsi"/>
          <w:sz w:val="20"/>
          <w:szCs w:val="20"/>
          <w:lang w:val="pt-BR"/>
        </w:rPr>
        <w:t xml:space="preserve"> de Antonio Tavares</w:t>
      </w:r>
      <w:r w:rsidR="00F673C7" w:rsidRPr="006D1C74">
        <w:rPr>
          <w:rFonts w:asciiTheme="majorHAnsi" w:hAnsiTheme="majorHAnsi"/>
          <w:sz w:val="20"/>
          <w:szCs w:val="20"/>
          <w:lang w:val="pt-BR"/>
        </w:rPr>
        <w:t xml:space="preserve"> não </w:t>
      </w:r>
      <w:r w:rsidR="00EC4793" w:rsidRPr="006D1C74">
        <w:rPr>
          <w:rFonts w:asciiTheme="majorHAnsi" w:hAnsiTheme="majorHAnsi"/>
          <w:sz w:val="20"/>
          <w:szCs w:val="20"/>
          <w:lang w:val="pt-BR"/>
        </w:rPr>
        <w:t>teria</w:t>
      </w:r>
      <w:r w:rsidR="008617D5" w:rsidRPr="006D1C74">
        <w:rPr>
          <w:rFonts w:asciiTheme="majorHAnsi" w:hAnsiTheme="majorHAnsi"/>
          <w:sz w:val="20"/>
          <w:szCs w:val="20"/>
          <w:lang w:val="pt-BR"/>
        </w:rPr>
        <w:t xml:space="preserve"> contado</w:t>
      </w:r>
      <w:r w:rsidR="00F673C7" w:rsidRPr="006D1C74">
        <w:rPr>
          <w:rFonts w:asciiTheme="majorHAnsi" w:hAnsiTheme="majorHAnsi"/>
          <w:sz w:val="20"/>
          <w:szCs w:val="20"/>
          <w:lang w:val="pt-BR"/>
        </w:rPr>
        <w:t xml:space="preserve"> com </w:t>
      </w:r>
      <w:r w:rsidR="00030019" w:rsidRPr="006D1C74">
        <w:rPr>
          <w:rFonts w:asciiTheme="majorHAnsi" w:hAnsiTheme="majorHAnsi"/>
          <w:sz w:val="20"/>
          <w:szCs w:val="20"/>
          <w:lang w:val="pt-BR"/>
        </w:rPr>
        <w:t xml:space="preserve">um </w:t>
      </w:r>
      <w:r w:rsidR="00AB7F30" w:rsidRPr="006D1C74">
        <w:rPr>
          <w:rFonts w:asciiTheme="majorHAnsi" w:hAnsiTheme="majorHAnsi"/>
          <w:sz w:val="20"/>
          <w:szCs w:val="20"/>
          <w:lang w:val="pt-BR"/>
        </w:rPr>
        <w:t>processo</w:t>
      </w:r>
      <w:r w:rsidR="008617D5" w:rsidRPr="006D1C74">
        <w:rPr>
          <w:rFonts w:asciiTheme="majorHAnsi" w:hAnsiTheme="majorHAnsi"/>
          <w:sz w:val="20"/>
          <w:szCs w:val="20"/>
          <w:lang w:val="pt-BR"/>
        </w:rPr>
        <w:t xml:space="preserve"> </w:t>
      </w:r>
      <w:r w:rsidR="00EC4793" w:rsidRPr="006D1C74">
        <w:rPr>
          <w:rFonts w:asciiTheme="majorHAnsi" w:hAnsiTheme="majorHAnsi"/>
          <w:sz w:val="20"/>
          <w:szCs w:val="20"/>
          <w:lang w:val="pt-BR"/>
        </w:rPr>
        <w:t xml:space="preserve">em </w:t>
      </w:r>
      <w:r w:rsidR="008617D5" w:rsidRPr="006D1C74">
        <w:rPr>
          <w:rFonts w:asciiTheme="majorHAnsi" w:hAnsiTheme="majorHAnsi"/>
          <w:sz w:val="20"/>
          <w:szCs w:val="20"/>
          <w:lang w:val="pt-BR"/>
        </w:rPr>
        <w:t>conform</w:t>
      </w:r>
      <w:r w:rsidR="00EC4793" w:rsidRPr="006D1C74">
        <w:rPr>
          <w:rFonts w:asciiTheme="majorHAnsi" w:hAnsiTheme="majorHAnsi"/>
          <w:sz w:val="20"/>
          <w:szCs w:val="20"/>
          <w:lang w:val="pt-BR"/>
        </w:rPr>
        <w:t>idad</w:t>
      </w:r>
      <w:r w:rsidR="008617D5" w:rsidRPr="006D1C74">
        <w:rPr>
          <w:rFonts w:asciiTheme="majorHAnsi" w:hAnsiTheme="majorHAnsi"/>
          <w:sz w:val="20"/>
          <w:szCs w:val="20"/>
          <w:lang w:val="pt-BR"/>
        </w:rPr>
        <w:t>e</w:t>
      </w:r>
      <w:r w:rsidR="00135454" w:rsidRPr="006D1C74">
        <w:rPr>
          <w:rFonts w:asciiTheme="majorHAnsi" w:hAnsiTheme="majorHAnsi"/>
          <w:sz w:val="20"/>
          <w:szCs w:val="20"/>
          <w:lang w:val="pt-BR"/>
        </w:rPr>
        <w:t xml:space="preserve"> </w:t>
      </w:r>
      <w:r w:rsidR="00EC4793" w:rsidRPr="006D1C74">
        <w:rPr>
          <w:rFonts w:asciiTheme="majorHAnsi" w:hAnsiTheme="majorHAnsi"/>
          <w:sz w:val="20"/>
          <w:szCs w:val="20"/>
          <w:lang w:val="pt-BR"/>
        </w:rPr>
        <w:t xml:space="preserve">com </w:t>
      </w:r>
      <w:r w:rsidR="00135454" w:rsidRPr="006D1C74">
        <w:rPr>
          <w:rFonts w:asciiTheme="majorHAnsi" w:hAnsiTheme="majorHAnsi"/>
          <w:sz w:val="20"/>
          <w:szCs w:val="20"/>
          <w:lang w:val="pt-BR"/>
        </w:rPr>
        <w:t xml:space="preserve">os </w:t>
      </w:r>
      <w:r w:rsidR="00EC4793" w:rsidRPr="006D1C74">
        <w:rPr>
          <w:rFonts w:asciiTheme="majorHAnsi" w:hAnsiTheme="majorHAnsi"/>
          <w:sz w:val="20"/>
          <w:szCs w:val="20"/>
          <w:lang w:val="pt-BR"/>
        </w:rPr>
        <w:t>padrões</w:t>
      </w:r>
      <w:r w:rsidR="008617D5" w:rsidRPr="006D1C74">
        <w:rPr>
          <w:rFonts w:asciiTheme="majorHAnsi" w:hAnsiTheme="majorHAnsi"/>
          <w:sz w:val="20"/>
          <w:szCs w:val="20"/>
          <w:lang w:val="pt-BR"/>
        </w:rPr>
        <w:t xml:space="preserve"> internacion</w:t>
      </w:r>
      <w:r w:rsidR="00700267" w:rsidRPr="006D1C74">
        <w:rPr>
          <w:rFonts w:asciiTheme="majorHAnsi" w:hAnsiTheme="majorHAnsi"/>
          <w:sz w:val="20"/>
          <w:szCs w:val="20"/>
          <w:lang w:val="pt-BR"/>
        </w:rPr>
        <w:t>ais</w:t>
      </w:r>
      <w:r w:rsidR="008F43DA" w:rsidRPr="006D1C74">
        <w:rPr>
          <w:rFonts w:asciiTheme="majorHAnsi" w:hAnsiTheme="majorHAnsi"/>
          <w:sz w:val="20"/>
          <w:szCs w:val="20"/>
          <w:lang w:val="pt-BR"/>
        </w:rPr>
        <w:t xml:space="preserve"> de </w:t>
      </w:r>
      <w:r w:rsidR="00BF6FE3" w:rsidRPr="006D1C74">
        <w:rPr>
          <w:rFonts w:asciiTheme="majorHAnsi" w:hAnsiTheme="majorHAnsi"/>
          <w:sz w:val="20"/>
          <w:szCs w:val="20"/>
          <w:lang w:val="pt-BR"/>
        </w:rPr>
        <w:t>independência</w:t>
      </w:r>
      <w:r w:rsidR="008F43DA" w:rsidRPr="006D1C74">
        <w:rPr>
          <w:rFonts w:asciiTheme="majorHAnsi" w:hAnsiTheme="majorHAnsi"/>
          <w:sz w:val="20"/>
          <w:szCs w:val="20"/>
          <w:lang w:val="pt-BR"/>
        </w:rPr>
        <w:t xml:space="preserve"> e </w:t>
      </w:r>
      <w:r w:rsidR="00BF6FE3" w:rsidRPr="006D1C74">
        <w:rPr>
          <w:rFonts w:asciiTheme="majorHAnsi" w:hAnsiTheme="majorHAnsi"/>
          <w:sz w:val="20"/>
          <w:szCs w:val="20"/>
          <w:lang w:val="pt-BR"/>
        </w:rPr>
        <w:t>imparcialidade</w:t>
      </w:r>
      <w:r w:rsidR="008617D5" w:rsidRPr="006D1C74">
        <w:rPr>
          <w:rFonts w:asciiTheme="majorHAnsi" w:hAnsiTheme="majorHAnsi"/>
          <w:sz w:val="20"/>
          <w:szCs w:val="20"/>
          <w:lang w:val="pt-BR"/>
        </w:rPr>
        <w:t xml:space="preserve">. </w:t>
      </w:r>
    </w:p>
    <w:p w14:paraId="2C8E86E1" w14:textId="77777777" w:rsidR="008617D5" w:rsidRPr="006D1C74" w:rsidRDefault="008617D5" w:rsidP="002A2EB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pt-BR"/>
        </w:rPr>
      </w:pPr>
    </w:p>
    <w:p w14:paraId="72D92CD8" w14:textId="77777777" w:rsidR="00E16B25" w:rsidRPr="006D1C74" w:rsidRDefault="00135406" w:rsidP="00E16B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0"/>
        <w:jc w:val="both"/>
        <w:rPr>
          <w:rFonts w:asciiTheme="majorHAnsi" w:hAnsiTheme="majorHAnsi"/>
          <w:b/>
          <w:sz w:val="20"/>
          <w:szCs w:val="20"/>
          <w:lang w:val="pt-BR"/>
        </w:rPr>
      </w:pPr>
      <w:r w:rsidRPr="006D1C74">
        <w:rPr>
          <w:rFonts w:asciiTheme="majorHAnsi" w:hAnsiTheme="majorHAnsi"/>
          <w:sz w:val="20"/>
          <w:szCs w:val="20"/>
          <w:lang w:val="pt-BR"/>
        </w:rPr>
        <w:t>A</w:t>
      </w:r>
      <w:r w:rsidR="00EC4793" w:rsidRPr="006D1C74">
        <w:rPr>
          <w:rFonts w:asciiTheme="majorHAnsi" w:hAnsiTheme="majorHAnsi"/>
          <w:sz w:val="20"/>
          <w:szCs w:val="20"/>
          <w:lang w:val="pt-BR"/>
        </w:rPr>
        <w:t>o</w:t>
      </w:r>
      <w:r w:rsidRPr="006D1C74">
        <w:rPr>
          <w:rFonts w:asciiTheme="majorHAnsi" w:hAnsiTheme="majorHAnsi"/>
          <w:sz w:val="20"/>
          <w:szCs w:val="20"/>
          <w:lang w:val="pt-BR"/>
        </w:rPr>
        <w:t xml:space="preserve"> </w:t>
      </w:r>
      <w:r w:rsidR="00EC4793" w:rsidRPr="006D1C74">
        <w:rPr>
          <w:rFonts w:asciiTheme="majorHAnsi" w:hAnsiTheme="majorHAnsi"/>
          <w:sz w:val="20"/>
          <w:szCs w:val="20"/>
          <w:lang w:val="pt-BR"/>
        </w:rPr>
        <w:t xml:space="preserve">se </w:t>
      </w:r>
      <w:r w:rsidR="002649F0" w:rsidRPr="006D1C74">
        <w:rPr>
          <w:rFonts w:asciiTheme="majorHAnsi" w:hAnsiTheme="majorHAnsi"/>
          <w:sz w:val="20"/>
          <w:szCs w:val="20"/>
          <w:lang w:val="pt-BR"/>
        </w:rPr>
        <w:t>tratar de</w:t>
      </w:r>
      <w:r w:rsidR="00030019" w:rsidRPr="006D1C74">
        <w:rPr>
          <w:rFonts w:asciiTheme="majorHAnsi" w:hAnsiTheme="majorHAnsi"/>
          <w:sz w:val="20"/>
          <w:szCs w:val="20"/>
          <w:lang w:val="pt-BR"/>
        </w:rPr>
        <w:t xml:space="preserve"> uma </w:t>
      </w:r>
      <w:r w:rsidR="002649F0" w:rsidRPr="006D1C74">
        <w:rPr>
          <w:rFonts w:asciiTheme="majorHAnsi" w:hAnsiTheme="majorHAnsi"/>
          <w:sz w:val="20"/>
          <w:szCs w:val="20"/>
          <w:lang w:val="pt-BR"/>
        </w:rPr>
        <w:t>pos</w:t>
      </w:r>
      <w:r w:rsidR="00EC4793" w:rsidRPr="006D1C74">
        <w:rPr>
          <w:rFonts w:asciiTheme="majorHAnsi" w:hAnsiTheme="majorHAnsi"/>
          <w:sz w:val="20"/>
          <w:szCs w:val="20"/>
          <w:lang w:val="pt-BR"/>
        </w:rPr>
        <w:t>sível</w:t>
      </w:r>
      <w:r w:rsidR="002649F0" w:rsidRPr="006D1C74">
        <w:rPr>
          <w:rFonts w:asciiTheme="majorHAnsi" w:hAnsiTheme="majorHAnsi"/>
          <w:sz w:val="20"/>
          <w:szCs w:val="20"/>
          <w:lang w:val="pt-BR"/>
        </w:rPr>
        <w:t xml:space="preserve"> viola</w:t>
      </w:r>
      <w:r w:rsidR="00CF037E" w:rsidRPr="006D1C74">
        <w:rPr>
          <w:rFonts w:asciiTheme="majorHAnsi" w:hAnsiTheme="majorHAnsi"/>
          <w:sz w:val="20"/>
          <w:szCs w:val="20"/>
          <w:lang w:val="pt-BR"/>
        </w:rPr>
        <w:t>ção</w:t>
      </w:r>
      <w:r w:rsidR="00700267" w:rsidRPr="006D1C74">
        <w:rPr>
          <w:rFonts w:asciiTheme="majorHAnsi" w:hAnsiTheme="majorHAnsi"/>
          <w:sz w:val="20"/>
          <w:szCs w:val="20"/>
          <w:lang w:val="pt-BR"/>
        </w:rPr>
        <w:t xml:space="preserve"> dos </w:t>
      </w:r>
      <w:r w:rsidR="00417BE8" w:rsidRPr="006D1C74">
        <w:rPr>
          <w:rFonts w:asciiTheme="majorHAnsi" w:hAnsiTheme="majorHAnsi"/>
          <w:sz w:val="20"/>
          <w:szCs w:val="20"/>
          <w:lang w:val="pt-BR"/>
        </w:rPr>
        <w:t>direito</w:t>
      </w:r>
      <w:r w:rsidR="002649F0" w:rsidRPr="006D1C74">
        <w:rPr>
          <w:rFonts w:asciiTheme="majorHAnsi" w:hAnsiTheme="majorHAnsi"/>
          <w:sz w:val="20"/>
          <w:szCs w:val="20"/>
          <w:lang w:val="pt-BR"/>
        </w:rPr>
        <w:t>s</w:t>
      </w:r>
      <w:r w:rsidR="00030019" w:rsidRPr="006D1C74">
        <w:rPr>
          <w:rFonts w:asciiTheme="majorHAnsi" w:hAnsiTheme="majorHAnsi"/>
          <w:sz w:val="20"/>
          <w:szCs w:val="20"/>
          <w:lang w:val="pt-BR"/>
        </w:rPr>
        <w:t xml:space="preserve"> à </w:t>
      </w:r>
      <w:r w:rsidR="002649F0" w:rsidRPr="006D1C74">
        <w:rPr>
          <w:rFonts w:asciiTheme="majorHAnsi" w:hAnsiTheme="majorHAnsi"/>
          <w:sz w:val="20"/>
          <w:szCs w:val="20"/>
          <w:lang w:val="pt-BR"/>
        </w:rPr>
        <w:t>vida</w:t>
      </w:r>
      <w:r w:rsidR="00CF037E" w:rsidRPr="006D1C74">
        <w:rPr>
          <w:rFonts w:asciiTheme="majorHAnsi" w:hAnsiTheme="majorHAnsi"/>
          <w:sz w:val="20"/>
          <w:szCs w:val="20"/>
          <w:lang w:val="pt-BR"/>
        </w:rPr>
        <w:t xml:space="preserve"> e</w:t>
      </w:r>
      <w:r w:rsidR="00030019" w:rsidRPr="006D1C74">
        <w:rPr>
          <w:rFonts w:asciiTheme="majorHAnsi" w:hAnsiTheme="majorHAnsi"/>
          <w:sz w:val="20"/>
          <w:szCs w:val="20"/>
          <w:lang w:val="pt-BR"/>
        </w:rPr>
        <w:t xml:space="preserve"> à </w:t>
      </w:r>
      <w:r w:rsidR="002649F0" w:rsidRPr="006D1C74">
        <w:rPr>
          <w:rFonts w:asciiTheme="majorHAnsi" w:hAnsiTheme="majorHAnsi"/>
          <w:sz w:val="20"/>
          <w:szCs w:val="20"/>
          <w:lang w:val="pt-BR"/>
        </w:rPr>
        <w:t>integri</w:t>
      </w:r>
      <w:r w:rsidR="00F673C7" w:rsidRPr="006D1C74">
        <w:rPr>
          <w:rFonts w:asciiTheme="majorHAnsi" w:hAnsiTheme="majorHAnsi"/>
          <w:sz w:val="20"/>
          <w:szCs w:val="20"/>
          <w:lang w:val="pt-BR"/>
        </w:rPr>
        <w:t xml:space="preserve">dade </w:t>
      </w:r>
      <w:r w:rsidR="00CA7940" w:rsidRPr="006D1C74">
        <w:rPr>
          <w:rFonts w:asciiTheme="majorHAnsi" w:hAnsiTheme="majorHAnsi"/>
          <w:sz w:val="20"/>
          <w:szCs w:val="20"/>
          <w:lang w:val="pt-BR"/>
        </w:rPr>
        <w:t>pessoa</w:t>
      </w:r>
      <w:r w:rsidR="002649F0" w:rsidRPr="006D1C74">
        <w:rPr>
          <w:rFonts w:asciiTheme="majorHAnsi" w:hAnsiTheme="majorHAnsi"/>
          <w:sz w:val="20"/>
          <w:szCs w:val="20"/>
          <w:lang w:val="pt-BR"/>
        </w:rPr>
        <w:t xml:space="preserve">l, </w:t>
      </w:r>
      <w:r w:rsidR="00BF6FE3" w:rsidRPr="006D1C74">
        <w:rPr>
          <w:rFonts w:asciiTheme="majorHAnsi" w:hAnsiTheme="majorHAnsi"/>
          <w:sz w:val="20"/>
          <w:szCs w:val="20"/>
          <w:lang w:val="pt-BR"/>
        </w:rPr>
        <w:t>bens</w:t>
      </w:r>
      <w:r w:rsidR="002649F0" w:rsidRPr="006D1C74">
        <w:rPr>
          <w:rFonts w:asciiTheme="majorHAnsi" w:hAnsiTheme="majorHAnsi"/>
          <w:sz w:val="20"/>
          <w:szCs w:val="20"/>
          <w:lang w:val="pt-BR"/>
        </w:rPr>
        <w:t xml:space="preserve"> jurídicos a</w:t>
      </w:r>
      <w:r w:rsidR="00EC4793" w:rsidRPr="006D1C74">
        <w:rPr>
          <w:rFonts w:asciiTheme="majorHAnsi" w:hAnsiTheme="majorHAnsi"/>
          <w:sz w:val="20"/>
          <w:szCs w:val="20"/>
          <w:lang w:val="pt-BR"/>
        </w:rPr>
        <w:t>lhei</w:t>
      </w:r>
      <w:r w:rsidR="002649F0" w:rsidRPr="006D1C74">
        <w:rPr>
          <w:rFonts w:asciiTheme="majorHAnsi" w:hAnsiTheme="majorHAnsi"/>
          <w:sz w:val="20"/>
          <w:szCs w:val="20"/>
          <w:lang w:val="pt-BR"/>
        </w:rPr>
        <w:t>os</w:t>
      </w:r>
      <w:r w:rsidR="00030019" w:rsidRPr="006D1C74">
        <w:rPr>
          <w:rFonts w:asciiTheme="majorHAnsi" w:hAnsiTheme="majorHAnsi"/>
          <w:sz w:val="20"/>
          <w:szCs w:val="20"/>
          <w:lang w:val="pt-BR"/>
        </w:rPr>
        <w:t xml:space="preserve"> à </w:t>
      </w:r>
      <w:r w:rsidR="002649F0" w:rsidRPr="006D1C74">
        <w:rPr>
          <w:rFonts w:asciiTheme="majorHAnsi" w:hAnsiTheme="majorHAnsi"/>
          <w:sz w:val="20"/>
          <w:szCs w:val="20"/>
          <w:lang w:val="pt-BR"/>
        </w:rPr>
        <w:t>disciplina militar,</w:t>
      </w:r>
      <w:r w:rsidR="00CF037E" w:rsidRPr="006D1C74">
        <w:rPr>
          <w:rFonts w:asciiTheme="majorHAnsi" w:hAnsiTheme="majorHAnsi"/>
          <w:sz w:val="20"/>
          <w:szCs w:val="20"/>
          <w:lang w:val="pt-BR"/>
        </w:rPr>
        <w:t xml:space="preserve"> e </w:t>
      </w:r>
      <w:r w:rsidR="00EC4793" w:rsidRPr="006D1C74">
        <w:rPr>
          <w:rFonts w:asciiTheme="majorHAnsi" w:hAnsiTheme="majorHAnsi"/>
          <w:sz w:val="20"/>
          <w:szCs w:val="20"/>
          <w:lang w:val="pt-BR"/>
        </w:rPr>
        <w:t>leva</w:t>
      </w:r>
      <w:r w:rsidRPr="006D1C74">
        <w:rPr>
          <w:rFonts w:asciiTheme="majorHAnsi" w:hAnsiTheme="majorHAnsi"/>
          <w:sz w:val="20"/>
          <w:szCs w:val="20"/>
          <w:lang w:val="pt-BR"/>
        </w:rPr>
        <w:t>ndo</w:t>
      </w:r>
      <w:r w:rsidR="00F673C7" w:rsidRPr="006D1C74">
        <w:rPr>
          <w:rFonts w:asciiTheme="majorHAnsi" w:hAnsiTheme="majorHAnsi"/>
          <w:sz w:val="20"/>
          <w:szCs w:val="20"/>
          <w:lang w:val="pt-BR"/>
        </w:rPr>
        <w:t xml:space="preserve"> em </w:t>
      </w:r>
      <w:r w:rsidR="00BF6FE3" w:rsidRPr="006D1C74">
        <w:rPr>
          <w:rFonts w:asciiTheme="majorHAnsi" w:hAnsiTheme="majorHAnsi"/>
          <w:sz w:val="20"/>
          <w:szCs w:val="20"/>
          <w:lang w:val="pt-BR"/>
        </w:rPr>
        <w:t>conta</w:t>
      </w:r>
      <w:r w:rsidR="00F673C7" w:rsidRPr="006D1C74">
        <w:rPr>
          <w:rFonts w:asciiTheme="majorHAnsi" w:hAnsiTheme="majorHAnsi"/>
          <w:sz w:val="20"/>
          <w:szCs w:val="20"/>
          <w:lang w:val="pt-BR"/>
        </w:rPr>
        <w:t xml:space="preserve"> em </w:t>
      </w:r>
      <w:r w:rsidRPr="006D1C74">
        <w:rPr>
          <w:rFonts w:asciiTheme="majorHAnsi" w:hAnsiTheme="majorHAnsi"/>
          <w:sz w:val="20"/>
          <w:szCs w:val="20"/>
          <w:lang w:val="pt-BR"/>
        </w:rPr>
        <w:t>particular</w:t>
      </w:r>
      <w:r w:rsidR="00700267" w:rsidRPr="006D1C74">
        <w:rPr>
          <w:rFonts w:asciiTheme="majorHAnsi" w:hAnsiTheme="majorHAnsi"/>
          <w:sz w:val="20"/>
          <w:szCs w:val="20"/>
          <w:lang w:val="pt-BR"/>
        </w:rPr>
        <w:t xml:space="preserve"> </w:t>
      </w:r>
      <w:r w:rsidR="00EC4793" w:rsidRPr="006D1C74">
        <w:rPr>
          <w:rFonts w:asciiTheme="majorHAnsi" w:hAnsiTheme="majorHAnsi"/>
          <w:sz w:val="20"/>
          <w:szCs w:val="20"/>
          <w:lang w:val="pt-BR"/>
        </w:rPr>
        <w:t>a</w:t>
      </w:r>
      <w:r w:rsidR="00700267" w:rsidRPr="006D1C74">
        <w:rPr>
          <w:rFonts w:asciiTheme="majorHAnsi" w:hAnsiTheme="majorHAnsi"/>
          <w:sz w:val="20"/>
          <w:szCs w:val="20"/>
          <w:lang w:val="pt-BR"/>
        </w:rPr>
        <w:t xml:space="preserve">s </w:t>
      </w:r>
      <w:r w:rsidR="002649F0" w:rsidRPr="006D1C74">
        <w:rPr>
          <w:rFonts w:asciiTheme="majorHAnsi" w:hAnsiTheme="majorHAnsi"/>
          <w:sz w:val="20"/>
          <w:szCs w:val="20"/>
          <w:lang w:val="pt-BR"/>
        </w:rPr>
        <w:t>alega</w:t>
      </w:r>
      <w:r w:rsidR="00EC4793" w:rsidRPr="006D1C74">
        <w:rPr>
          <w:rFonts w:asciiTheme="majorHAnsi" w:hAnsiTheme="majorHAnsi"/>
          <w:sz w:val="20"/>
          <w:szCs w:val="20"/>
          <w:lang w:val="pt-BR"/>
        </w:rPr>
        <w:t>çõe</w:t>
      </w:r>
      <w:r w:rsidRPr="006D1C74">
        <w:rPr>
          <w:rFonts w:asciiTheme="majorHAnsi" w:hAnsiTheme="majorHAnsi"/>
          <w:sz w:val="20"/>
          <w:szCs w:val="20"/>
          <w:lang w:val="pt-BR"/>
        </w:rPr>
        <w:t>s</w:t>
      </w:r>
      <w:r w:rsidR="00F673C7" w:rsidRPr="006D1C74">
        <w:rPr>
          <w:rFonts w:asciiTheme="majorHAnsi" w:hAnsiTheme="majorHAnsi"/>
          <w:sz w:val="20"/>
          <w:szCs w:val="20"/>
          <w:lang w:val="pt-BR"/>
        </w:rPr>
        <w:t xml:space="preserve"> não </w:t>
      </w:r>
      <w:r w:rsidR="002649F0" w:rsidRPr="006D1C74">
        <w:rPr>
          <w:rFonts w:asciiTheme="majorHAnsi" w:hAnsiTheme="majorHAnsi"/>
          <w:sz w:val="20"/>
          <w:szCs w:val="20"/>
          <w:lang w:val="pt-BR"/>
        </w:rPr>
        <w:t>impugnad</w:t>
      </w:r>
      <w:r w:rsidR="00EC4793" w:rsidRPr="006D1C74">
        <w:rPr>
          <w:rFonts w:asciiTheme="majorHAnsi" w:hAnsiTheme="majorHAnsi"/>
          <w:sz w:val="20"/>
          <w:szCs w:val="20"/>
          <w:lang w:val="pt-BR"/>
        </w:rPr>
        <w:t>a</w:t>
      </w:r>
      <w:r w:rsidR="002649F0" w:rsidRPr="006D1C74">
        <w:rPr>
          <w:rFonts w:asciiTheme="majorHAnsi" w:hAnsiTheme="majorHAnsi"/>
          <w:sz w:val="20"/>
          <w:szCs w:val="20"/>
          <w:lang w:val="pt-BR"/>
        </w:rPr>
        <w:t>s</w:t>
      </w:r>
      <w:r w:rsidR="00F673C7" w:rsidRPr="006D1C74">
        <w:rPr>
          <w:rFonts w:asciiTheme="majorHAnsi" w:hAnsiTheme="majorHAnsi"/>
          <w:sz w:val="20"/>
          <w:szCs w:val="20"/>
          <w:lang w:val="pt-BR"/>
        </w:rPr>
        <w:t xml:space="preserve"> </w:t>
      </w:r>
      <w:r w:rsidR="003705A2">
        <w:rPr>
          <w:rFonts w:asciiTheme="majorHAnsi" w:hAnsiTheme="majorHAnsi"/>
          <w:sz w:val="20"/>
          <w:szCs w:val="20"/>
          <w:lang w:val="pt-BR"/>
        </w:rPr>
        <w:t>qua</w:t>
      </w:r>
      <w:r w:rsidRPr="006D1C74">
        <w:rPr>
          <w:rFonts w:asciiTheme="majorHAnsi" w:hAnsiTheme="majorHAnsi"/>
          <w:sz w:val="20"/>
          <w:szCs w:val="20"/>
          <w:lang w:val="pt-BR"/>
        </w:rPr>
        <w:t xml:space="preserve">nto a </w:t>
      </w:r>
      <w:r w:rsidR="002649F0" w:rsidRPr="006D1C74">
        <w:rPr>
          <w:rFonts w:asciiTheme="majorHAnsi" w:hAnsiTheme="majorHAnsi"/>
          <w:sz w:val="20"/>
          <w:szCs w:val="20"/>
          <w:lang w:val="pt-BR"/>
        </w:rPr>
        <w:t>que</w:t>
      </w:r>
      <w:r w:rsidR="00700267" w:rsidRPr="006D1C74">
        <w:rPr>
          <w:rFonts w:asciiTheme="majorHAnsi" w:hAnsiTheme="majorHAnsi"/>
          <w:sz w:val="20"/>
          <w:szCs w:val="20"/>
          <w:lang w:val="pt-BR"/>
        </w:rPr>
        <w:t xml:space="preserve"> a </w:t>
      </w:r>
      <w:r w:rsidR="002649F0" w:rsidRPr="006D1C74">
        <w:rPr>
          <w:rFonts w:asciiTheme="majorHAnsi" w:hAnsiTheme="majorHAnsi"/>
          <w:sz w:val="20"/>
          <w:szCs w:val="20"/>
          <w:lang w:val="pt-BR"/>
        </w:rPr>
        <w:t>deci</w:t>
      </w:r>
      <w:r w:rsidR="0094446B" w:rsidRPr="006D1C74">
        <w:rPr>
          <w:rFonts w:asciiTheme="majorHAnsi" w:hAnsiTheme="majorHAnsi"/>
          <w:sz w:val="20"/>
          <w:szCs w:val="20"/>
          <w:lang w:val="pt-BR"/>
        </w:rPr>
        <w:t>são</w:t>
      </w:r>
      <w:r w:rsidR="002649F0" w:rsidRPr="006D1C74">
        <w:rPr>
          <w:rFonts w:asciiTheme="majorHAnsi" w:hAnsiTheme="majorHAnsi"/>
          <w:sz w:val="20"/>
          <w:szCs w:val="20"/>
          <w:lang w:val="pt-BR"/>
        </w:rPr>
        <w:t xml:space="preserve"> emitida</w:t>
      </w:r>
      <w:r w:rsidR="00F37852" w:rsidRPr="006D1C74">
        <w:rPr>
          <w:rFonts w:asciiTheme="majorHAnsi" w:hAnsiTheme="majorHAnsi"/>
          <w:sz w:val="20"/>
          <w:szCs w:val="20"/>
          <w:lang w:val="pt-BR"/>
        </w:rPr>
        <w:t xml:space="preserve"> pela </w:t>
      </w:r>
      <w:r w:rsidR="002649F0" w:rsidRPr="006D1C74">
        <w:rPr>
          <w:rFonts w:asciiTheme="majorHAnsi" w:hAnsiTheme="majorHAnsi"/>
          <w:sz w:val="20"/>
          <w:szCs w:val="20"/>
          <w:lang w:val="pt-BR"/>
        </w:rPr>
        <w:t>jurisdi</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militar</w:t>
      </w:r>
      <w:r w:rsidR="00700267" w:rsidRPr="006D1C74">
        <w:rPr>
          <w:rFonts w:asciiTheme="majorHAnsi" w:hAnsiTheme="majorHAnsi"/>
          <w:sz w:val="20"/>
          <w:szCs w:val="20"/>
          <w:lang w:val="pt-BR"/>
        </w:rPr>
        <w:t xml:space="preserve"> </w:t>
      </w:r>
      <w:r w:rsidR="00EC4793" w:rsidRPr="006D1C74">
        <w:rPr>
          <w:rFonts w:asciiTheme="majorHAnsi" w:hAnsiTheme="majorHAnsi"/>
          <w:sz w:val="20"/>
          <w:szCs w:val="20"/>
          <w:lang w:val="pt-BR"/>
        </w:rPr>
        <w:t>em</w:t>
      </w:r>
      <w:r w:rsidR="00700267" w:rsidRPr="006D1C74">
        <w:rPr>
          <w:rFonts w:asciiTheme="majorHAnsi" w:hAnsiTheme="majorHAnsi"/>
          <w:sz w:val="20"/>
          <w:szCs w:val="20"/>
          <w:lang w:val="pt-BR"/>
        </w:rPr>
        <w:t xml:space="preserve"> </w:t>
      </w:r>
      <w:r w:rsidR="002649F0" w:rsidRPr="006D1C74">
        <w:rPr>
          <w:rFonts w:asciiTheme="majorHAnsi" w:hAnsiTheme="majorHAnsi"/>
          <w:sz w:val="20"/>
          <w:szCs w:val="20"/>
          <w:lang w:val="pt-BR"/>
        </w:rPr>
        <w:t xml:space="preserve">10 de </w:t>
      </w:r>
      <w:r w:rsidR="00055622" w:rsidRPr="006D1C74">
        <w:rPr>
          <w:rFonts w:asciiTheme="majorHAnsi" w:hAnsiTheme="majorHAnsi"/>
          <w:sz w:val="20"/>
          <w:szCs w:val="20"/>
          <w:lang w:val="pt-BR"/>
        </w:rPr>
        <w:t>outubro</w:t>
      </w:r>
      <w:r w:rsidR="002649F0" w:rsidRPr="006D1C74">
        <w:rPr>
          <w:rFonts w:asciiTheme="majorHAnsi" w:hAnsiTheme="majorHAnsi"/>
          <w:sz w:val="20"/>
          <w:szCs w:val="20"/>
          <w:lang w:val="pt-BR"/>
        </w:rPr>
        <w:t xml:space="preserve"> de 2000</w:t>
      </w:r>
      <w:r w:rsidR="00CA7940" w:rsidRPr="006D1C74">
        <w:rPr>
          <w:rFonts w:asciiTheme="majorHAnsi" w:hAnsiTheme="majorHAnsi"/>
          <w:sz w:val="20"/>
          <w:szCs w:val="20"/>
          <w:lang w:val="pt-BR"/>
        </w:rPr>
        <w:t xml:space="preserve"> foi </w:t>
      </w:r>
      <w:r w:rsidR="00700267" w:rsidRPr="006D1C74">
        <w:rPr>
          <w:rFonts w:asciiTheme="majorHAnsi" w:hAnsiTheme="majorHAnsi"/>
          <w:sz w:val="20"/>
          <w:szCs w:val="20"/>
          <w:lang w:val="pt-BR"/>
        </w:rPr>
        <w:t xml:space="preserve">a </w:t>
      </w:r>
      <w:r w:rsidR="002649F0" w:rsidRPr="006D1C74">
        <w:rPr>
          <w:rFonts w:asciiTheme="majorHAnsi" w:hAnsiTheme="majorHAnsi"/>
          <w:sz w:val="20"/>
          <w:szCs w:val="20"/>
          <w:lang w:val="pt-BR"/>
        </w:rPr>
        <w:t>raz</w:t>
      </w:r>
      <w:r w:rsidR="00EC4793" w:rsidRPr="006D1C74">
        <w:rPr>
          <w:rFonts w:asciiTheme="majorHAnsi" w:hAnsiTheme="majorHAnsi"/>
          <w:sz w:val="20"/>
          <w:szCs w:val="20"/>
          <w:lang w:val="pt-BR"/>
        </w:rPr>
        <w:t>ão</w:t>
      </w:r>
      <w:r w:rsidR="002649F0" w:rsidRPr="006D1C74">
        <w:rPr>
          <w:rFonts w:asciiTheme="majorHAnsi" w:hAnsiTheme="majorHAnsi"/>
          <w:sz w:val="20"/>
          <w:szCs w:val="20"/>
          <w:lang w:val="pt-BR"/>
        </w:rPr>
        <w:t xml:space="preserve"> fundamental</w:t>
      </w:r>
      <w:r w:rsidR="00030019" w:rsidRPr="006D1C74">
        <w:rPr>
          <w:rFonts w:asciiTheme="majorHAnsi" w:hAnsiTheme="majorHAnsi"/>
          <w:sz w:val="20"/>
          <w:szCs w:val="20"/>
          <w:lang w:val="pt-BR"/>
        </w:rPr>
        <w:t xml:space="preserve"> d</w:t>
      </w:r>
      <w:r w:rsidR="00EC4793" w:rsidRPr="006D1C74">
        <w:rPr>
          <w:rFonts w:asciiTheme="majorHAnsi" w:hAnsiTheme="majorHAnsi"/>
          <w:sz w:val="20"/>
          <w:szCs w:val="20"/>
          <w:lang w:val="pt-BR"/>
        </w:rPr>
        <w:t>a sentença</w:t>
      </w:r>
      <w:r w:rsidR="002649F0" w:rsidRPr="006D1C74">
        <w:rPr>
          <w:rFonts w:asciiTheme="majorHAnsi" w:hAnsiTheme="majorHAnsi"/>
          <w:sz w:val="20"/>
          <w:szCs w:val="20"/>
          <w:lang w:val="pt-BR"/>
        </w:rPr>
        <w:t xml:space="preserve"> definitiv</w:t>
      </w:r>
      <w:r w:rsidR="00EC4793" w:rsidRPr="006D1C74">
        <w:rPr>
          <w:rFonts w:asciiTheme="majorHAnsi" w:hAnsiTheme="majorHAnsi"/>
          <w:sz w:val="20"/>
          <w:szCs w:val="20"/>
          <w:lang w:val="pt-BR"/>
        </w:rPr>
        <w:t>a</w:t>
      </w:r>
      <w:r w:rsidR="002649F0" w:rsidRPr="006D1C74">
        <w:rPr>
          <w:rFonts w:asciiTheme="majorHAnsi" w:hAnsiTheme="majorHAnsi"/>
          <w:sz w:val="20"/>
          <w:szCs w:val="20"/>
          <w:lang w:val="pt-BR"/>
        </w:rPr>
        <w:t xml:space="preserve"> de sobres</w:t>
      </w:r>
      <w:r w:rsidR="00EC4793" w:rsidRPr="006D1C74">
        <w:rPr>
          <w:rFonts w:asciiTheme="majorHAnsi" w:hAnsiTheme="majorHAnsi"/>
          <w:sz w:val="20"/>
          <w:szCs w:val="20"/>
          <w:lang w:val="pt-BR"/>
        </w:rPr>
        <w:t>ta</w:t>
      </w:r>
      <w:r w:rsidR="00700267" w:rsidRPr="006D1C74">
        <w:rPr>
          <w:rFonts w:asciiTheme="majorHAnsi" w:hAnsiTheme="majorHAnsi"/>
          <w:sz w:val="20"/>
          <w:szCs w:val="20"/>
          <w:lang w:val="pt-BR"/>
        </w:rPr>
        <w:t>mento</w:t>
      </w:r>
      <w:r w:rsidR="00795010" w:rsidRPr="006D1C74">
        <w:rPr>
          <w:rFonts w:asciiTheme="majorHAnsi" w:hAnsiTheme="majorHAnsi"/>
          <w:sz w:val="20"/>
          <w:szCs w:val="20"/>
          <w:lang w:val="pt-BR"/>
        </w:rPr>
        <w:t xml:space="preserve"> da </w:t>
      </w:r>
      <w:r w:rsidR="002649F0" w:rsidRPr="006D1C74">
        <w:rPr>
          <w:rFonts w:asciiTheme="majorHAnsi" w:hAnsiTheme="majorHAnsi"/>
          <w:sz w:val="20"/>
          <w:szCs w:val="20"/>
          <w:lang w:val="pt-BR"/>
        </w:rPr>
        <w:t>a</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penal</w:t>
      </w:r>
      <w:r w:rsidRPr="006D1C74">
        <w:rPr>
          <w:rFonts w:asciiTheme="majorHAnsi" w:hAnsiTheme="majorHAnsi"/>
          <w:sz w:val="20"/>
          <w:szCs w:val="20"/>
          <w:lang w:val="pt-BR"/>
        </w:rPr>
        <w:t>,</w:t>
      </w:r>
      <w:r w:rsidR="002649F0" w:rsidRPr="006D1C74">
        <w:rPr>
          <w:rFonts w:asciiTheme="majorHAnsi" w:hAnsiTheme="majorHAnsi"/>
          <w:sz w:val="20"/>
          <w:szCs w:val="20"/>
          <w:lang w:val="pt-BR"/>
        </w:rPr>
        <w:t xml:space="preserve"> que </w:t>
      </w:r>
      <w:r w:rsidR="00BF6FE3" w:rsidRPr="006D1C74">
        <w:rPr>
          <w:rFonts w:asciiTheme="majorHAnsi" w:hAnsiTheme="majorHAnsi"/>
          <w:sz w:val="20"/>
          <w:szCs w:val="20"/>
          <w:lang w:val="pt-BR"/>
        </w:rPr>
        <w:t>tramitava</w:t>
      </w:r>
      <w:r w:rsidR="002649F0" w:rsidRPr="006D1C74">
        <w:rPr>
          <w:rFonts w:asciiTheme="majorHAnsi" w:hAnsiTheme="majorHAnsi"/>
          <w:sz w:val="20"/>
          <w:szCs w:val="20"/>
          <w:lang w:val="pt-BR"/>
        </w:rPr>
        <w:t xml:space="preserve"> </w:t>
      </w:r>
      <w:r w:rsidR="00EC4793" w:rsidRPr="006D1C74">
        <w:rPr>
          <w:rFonts w:asciiTheme="majorHAnsi" w:hAnsiTheme="majorHAnsi"/>
          <w:sz w:val="20"/>
          <w:szCs w:val="20"/>
          <w:lang w:val="pt-BR"/>
        </w:rPr>
        <w:t>n</w:t>
      </w:r>
      <w:r w:rsidR="00700267" w:rsidRPr="006D1C74">
        <w:rPr>
          <w:rFonts w:asciiTheme="majorHAnsi" w:hAnsiTheme="majorHAnsi"/>
          <w:sz w:val="20"/>
          <w:szCs w:val="20"/>
          <w:lang w:val="pt-BR"/>
        </w:rPr>
        <w:t xml:space="preserve">a </w:t>
      </w:r>
      <w:r w:rsidR="00795010" w:rsidRPr="006D1C74">
        <w:rPr>
          <w:rFonts w:asciiTheme="majorHAnsi" w:hAnsiTheme="majorHAnsi"/>
          <w:sz w:val="20"/>
          <w:szCs w:val="20"/>
          <w:lang w:val="pt-BR"/>
        </w:rPr>
        <w:t>justiça</w:t>
      </w:r>
      <w:r w:rsidR="002649F0" w:rsidRPr="006D1C74">
        <w:rPr>
          <w:rFonts w:asciiTheme="majorHAnsi" w:hAnsiTheme="majorHAnsi"/>
          <w:sz w:val="20"/>
          <w:szCs w:val="20"/>
          <w:lang w:val="pt-BR"/>
        </w:rPr>
        <w:t xml:space="preserve"> </w:t>
      </w:r>
      <w:r w:rsidR="00BE496A" w:rsidRPr="006D1C74">
        <w:rPr>
          <w:rFonts w:asciiTheme="majorHAnsi" w:hAnsiTheme="majorHAnsi"/>
          <w:sz w:val="20"/>
          <w:szCs w:val="20"/>
          <w:lang w:val="pt-BR"/>
        </w:rPr>
        <w:t>comum</w:t>
      </w:r>
      <w:r w:rsidR="002649F0"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002649F0" w:rsidRPr="006D1C74">
        <w:rPr>
          <w:rFonts w:asciiTheme="majorHAnsi" w:hAnsiTheme="majorHAnsi"/>
          <w:sz w:val="20"/>
          <w:szCs w:val="20"/>
          <w:lang w:val="pt-BR"/>
        </w:rPr>
        <w:t xml:space="preserve"> considera que</w:t>
      </w:r>
      <w:r w:rsidR="00700267" w:rsidRPr="006D1C74">
        <w:rPr>
          <w:rFonts w:asciiTheme="majorHAnsi" w:hAnsiTheme="majorHAnsi"/>
          <w:sz w:val="20"/>
          <w:szCs w:val="20"/>
          <w:lang w:val="pt-BR"/>
        </w:rPr>
        <w:t xml:space="preserve"> a </w:t>
      </w:r>
      <w:r w:rsidR="002649F0" w:rsidRPr="006D1C74">
        <w:rPr>
          <w:rFonts w:asciiTheme="majorHAnsi" w:hAnsiTheme="majorHAnsi"/>
          <w:sz w:val="20"/>
          <w:szCs w:val="20"/>
          <w:lang w:val="pt-BR"/>
        </w:rPr>
        <w:t>aplica</w:t>
      </w:r>
      <w:r w:rsidR="00CF037E" w:rsidRPr="006D1C74">
        <w:rPr>
          <w:rFonts w:asciiTheme="majorHAnsi" w:hAnsiTheme="majorHAnsi"/>
          <w:sz w:val="20"/>
          <w:szCs w:val="20"/>
          <w:lang w:val="pt-BR"/>
        </w:rPr>
        <w:t>ção</w:t>
      </w:r>
      <w:r w:rsidR="00795010" w:rsidRPr="006D1C74">
        <w:rPr>
          <w:rFonts w:asciiTheme="majorHAnsi" w:hAnsiTheme="majorHAnsi"/>
          <w:sz w:val="20"/>
          <w:szCs w:val="20"/>
          <w:lang w:val="pt-BR"/>
        </w:rPr>
        <w:t xml:space="preserve"> da justiça</w:t>
      </w:r>
      <w:r w:rsidR="002649F0" w:rsidRPr="006D1C74">
        <w:rPr>
          <w:rFonts w:asciiTheme="majorHAnsi" w:hAnsiTheme="majorHAnsi"/>
          <w:sz w:val="20"/>
          <w:szCs w:val="20"/>
          <w:lang w:val="pt-BR"/>
        </w:rPr>
        <w:t xml:space="preserve"> penal militar</w:t>
      </w:r>
      <w:r w:rsidR="00217759" w:rsidRPr="006D1C74">
        <w:rPr>
          <w:rFonts w:asciiTheme="majorHAnsi" w:hAnsiTheme="majorHAnsi"/>
          <w:sz w:val="20"/>
          <w:szCs w:val="20"/>
          <w:lang w:val="pt-BR"/>
        </w:rPr>
        <w:t xml:space="preserve"> ao </w:t>
      </w:r>
      <w:r w:rsidR="002649F0" w:rsidRPr="006D1C74">
        <w:rPr>
          <w:rFonts w:asciiTheme="majorHAnsi" w:hAnsiTheme="majorHAnsi"/>
          <w:sz w:val="20"/>
          <w:szCs w:val="20"/>
          <w:lang w:val="pt-BR"/>
        </w:rPr>
        <w:t>caso concreto</w:t>
      </w:r>
      <w:r w:rsidR="0048377F" w:rsidRPr="006D1C74">
        <w:rPr>
          <w:rFonts w:asciiTheme="majorHAnsi" w:hAnsiTheme="majorHAnsi"/>
          <w:sz w:val="20"/>
          <w:szCs w:val="20"/>
          <w:lang w:val="pt-BR"/>
        </w:rPr>
        <w:t xml:space="preserve"> </w:t>
      </w:r>
      <w:r w:rsidR="00FB1092" w:rsidRPr="006D1C74">
        <w:rPr>
          <w:rFonts w:asciiTheme="majorHAnsi" w:hAnsiTheme="majorHAnsi"/>
          <w:sz w:val="20"/>
          <w:szCs w:val="20"/>
          <w:lang w:val="pt-BR"/>
        </w:rPr>
        <w:t>constitu</w:t>
      </w:r>
      <w:r w:rsidR="00EC4793" w:rsidRPr="006D1C74">
        <w:rPr>
          <w:rFonts w:asciiTheme="majorHAnsi" w:hAnsiTheme="majorHAnsi"/>
          <w:sz w:val="20"/>
          <w:szCs w:val="20"/>
          <w:lang w:val="pt-BR"/>
        </w:rPr>
        <w:t>iu</w:t>
      </w:r>
      <w:r w:rsidR="00F673C7" w:rsidRPr="006D1C74">
        <w:rPr>
          <w:rFonts w:asciiTheme="majorHAnsi" w:hAnsiTheme="majorHAnsi"/>
          <w:sz w:val="20"/>
          <w:szCs w:val="20"/>
          <w:lang w:val="pt-BR"/>
        </w:rPr>
        <w:t xml:space="preserve"> </w:t>
      </w:r>
      <w:r w:rsidR="00030019" w:rsidRPr="006D1C74">
        <w:rPr>
          <w:rFonts w:asciiTheme="majorHAnsi" w:hAnsiTheme="majorHAnsi"/>
          <w:sz w:val="20"/>
          <w:szCs w:val="20"/>
          <w:lang w:val="pt-BR"/>
        </w:rPr>
        <w:t xml:space="preserve">um </w:t>
      </w:r>
      <w:r w:rsidR="00BF6FE3" w:rsidRPr="006D1C74">
        <w:rPr>
          <w:rFonts w:asciiTheme="majorHAnsi" w:hAnsiTheme="majorHAnsi"/>
          <w:sz w:val="20"/>
          <w:szCs w:val="20"/>
          <w:lang w:val="pt-BR"/>
        </w:rPr>
        <w:t>fator</w:t>
      </w:r>
      <w:r w:rsidR="00FB1092" w:rsidRPr="006D1C74">
        <w:rPr>
          <w:rFonts w:asciiTheme="majorHAnsi" w:hAnsiTheme="majorHAnsi"/>
          <w:sz w:val="20"/>
          <w:szCs w:val="20"/>
          <w:lang w:val="pt-BR"/>
        </w:rPr>
        <w:t xml:space="preserve"> de impuni</w:t>
      </w:r>
      <w:r w:rsidR="00F673C7" w:rsidRPr="006D1C74">
        <w:rPr>
          <w:rFonts w:asciiTheme="majorHAnsi" w:hAnsiTheme="majorHAnsi"/>
          <w:sz w:val="20"/>
          <w:szCs w:val="20"/>
          <w:lang w:val="pt-BR"/>
        </w:rPr>
        <w:t xml:space="preserve">dade </w:t>
      </w:r>
      <w:r w:rsidR="00FB1092" w:rsidRPr="006D1C74">
        <w:rPr>
          <w:rFonts w:asciiTheme="majorHAnsi" w:hAnsiTheme="majorHAnsi"/>
          <w:sz w:val="20"/>
          <w:szCs w:val="20"/>
          <w:lang w:val="pt-BR"/>
        </w:rPr>
        <w:t>para que</w:t>
      </w:r>
      <w:r w:rsidR="00700267" w:rsidRPr="006D1C74">
        <w:rPr>
          <w:rFonts w:asciiTheme="majorHAnsi" w:hAnsiTheme="majorHAnsi"/>
          <w:sz w:val="20"/>
          <w:szCs w:val="20"/>
          <w:lang w:val="pt-BR"/>
        </w:rPr>
        <w:t xml:space="preserve"> as </w:t>
      </w:r>
      <w:r w:rsidR="00795010" w:rsidRPr="006D1C74">
        <w:rPr>
          <w:rFonts w:asciiTheme="majorHAnsi" w:hAnsiTheme="majorHAnsi"/>
          <w:sz w:val="20"/>
          <w:szCs w:val="20"/>
          <w:lang w:val="pt-BR"/>
        </w:rPr>
        <w:t>vítima</w:t>
      </w:r>
      <w:r w:rsidR="00FB1092" w:rsidRPr="006D1C74">
        <w:rPr>
          <w:rFonts w:asciiTheme="majorHAnsi" w:hAnsiTheme="majorHAnsi"/>
          <w:sz w:val="20"/>
          <w:szCs w:val="20"/>
          <w:lang w:val="pt-BR"/>
        </w:rPr>
        <w:t>s pud</w:t>
      </w:r>
      <w:r w:rsidR="00EC4793" w:rsidRPr="006D1C74">
        <w:rPr>
          <w:rFonts w:asciiTheme="majorHAnsi" w:hAnsiTheme="majorHAnsi"/>
          <w:sz w:val="20"/>
          <w:szCs w:val="20"/>
          <w:lang w:val="pt-BR"/>
        </w:rPr>
        <w:t>essem</w:t>
      </w:r>
      <w:r w:rsidR="00FB1092" w:rsidRPr="006D1C74">
        <w:rPr>
          <w:rFonts w:asciiTheme="majorHAnsi" w:hAnsiTheme="majorHAnsi"/>
          <w:sz w:val="20"/>
          <w:szCs w:val="20"/>
          <w:lang w:val="pt-BR"/>
        </w:rPr>
        <w:t xml:space="preserve"> contar</w:t>
      </w:r>
      <w:r w:rsidR="00F673C7" w:rsidRPr="006D1C74">
        <w:rPr>
          <w:rFonts w:asciiTheme="majorHAnsi" w:hAnsiTheme="majorHAnsi"/>
          <w:sz w:val="20"/>
          <w:szCs w:val="20"/>
          <w:lang w:val="pt-BR"/>
        </w:rPr>
        <w:t xml:space="preserve"> com </w:t>
      </w:r>
      <w:r w:rsidR="00030019" w:rsidRPr="006D1C74">
        <w:rPr>
          <w:rFonts w:asciiTheme="majorHAnsi" w:hAnsiTheme="majorHAnsi"/>
          <w:sz w:val="20"/>
          <w:szCs w:val="20"/>
          <w:lang w:val="pt-BR"/>
        </w:rPr>
        <w:t xml:space="preserve">um </w:t>
      </w:r>
      <w:r w:rsidR="00FB1092" w:rsidRPr="006D1C74">
        <w:rPr>
          <w:rFonts w:asciiTheme="majorHAnsi" w:hAnsiTheme="majorHAnsi"/>
          <w:sz w:val="20"/>
          <w:szCs w:val="20"/>
          <w:lang w:val="pt-BR"/>
        </w:rPr>
        <w:t xml:space="preserve">recurso </w:t>
      </w:r>
      <w:r w:rsidR="00BF6FE3" w:rsidRPr="006D1C74">
        <w:rPr>
          <w:rFonts w:asciiTheme="majorHAnsi" w:hAnsiTheme="majorHAnsi"/>
          <w:sz w:val="20"/>
          <w:szCs w:val="20"/>
          <w:lang w:val="pt-BR"/>
        </w:rPr>
        <w:t>efetivo</w:t>
      </w:r>
      <w:r w:rsidR="00FB1092" w:rsidRPr="006D1C74">
        <w:rPr>
          <w:rFonts w:asciiTheme="majorHAnsi" w:hAnsiTheme="majorHAnsi"/>
          <w:sz w:val="20"/>
          <w:szCs w:val="20"/>
          <w:lang w:val="pt-BR"/>
        </w:rPr>
        <w:t xml:space="preserve">, resultando </w:t>
      </w:r>
      <w:r w:rsidR="00EC4793" w:rsidRPr="006D1C74">
        <w:rPr>
          <w:rFonts w:asciiTheme="majorHAnsi" w:hAnsiTheme="majorHAnsi"/>
          <w:sz w:val="20"/>
          <w:szCs w:val="20"/>
          <w:lang w:val="pt-BR"/>
        </w:rPr>
        <w:t>ess</w:t>
      </w:r>
      <w:r w:rsidR="00FB1092" w:rsidRPr="006D1C74">
        <w:rPr>
          <w:rFonts w:asciiTheme="majorHAnsi" w:hAnsiTheme="majorHAnsi"/>
          <w:sz w:val="20"/>
          <w:szCs w:val="20"/>
          <w:lang w:val="pt-BR"/>
        </w:rPr>
        <w:t>a jurisdi</w:t>
      </w:r>
      <w:r w:rsidR="00CF037E" w:rsidRPr="006D1C74">
        <w:rPr>
          <w:rFonts w:asciiTheme="majorHAnsi" w:hAnsiTheme="majorHAnsi"/>
          <w:sz w:val="20"/>
          <w:szCs w:val="20"/>
          <w:lang w:val="pt-BR"/>
        </w:rPr>
        <w:t>ção</w:t>
      </w:r>
      <w:r w:rsidR="00FB1092" w:rsidRPr="006D1C74">
        <w:rPr>
          <w:rFonts w:asciiTheme="majorHAnsi" w:hAnsiTheme="majorHAnsi"/>
          <w:sz w:val="20"/>
          <w:szCs w:val="20"/>
          <w:lang w:val="pt-BR"/>
        </w:rPr>
        <w:t xml:space="preserve"> </w:t>
      </w:r>
      <w:r w:rsidR="002649F0" w:rsidRPr="006D1C74">
        <w:rPr>
          <w:rFonts w:asciiTheme="majorHAnsi" w:hAnsiTheme="majorHAnsi"/>
          <w:sz w:val="20"/>
          <w:szCs w:val="20"/>
          <w:lang w:val="pt-BR"/>
        </w:rPr>
        <w:t>violat</w:t>
      </w:r>
      <w:r w:rsidR="00BF6FE3">
        <w:rPr>
          <w:rFonts w:asciiTheme="majorHAnsi" w:hAnsiTheme="majorHAnsi"/>
          <w:sz w:val="20"/>
          <w:szCs w:val="20"/>
          <w:lang w:val="pt-BR"/>
        </w:rPr>
        <w:t>ó</w:t>
      </w:r>
      <w:r w:rsidR="002649F0" w:rsidRPr="006D1C74">
        <w:rPr>
          <w:rFonts w:asciiTheme="majorHAnsi" w:hAnsiTheme="majorHAnsi"/>
          <w:sz w:val="20"/>
          <w:szCs w:val="20"/>
          <w:lang w:val="pt-BR"/>
        </w:rPr>
        <w:t>ria</w:t>
      </w:r>
      <w:r w:rsidR="00030019" w:rsidRPr="006D1C74">
        <w:rPr>
          <w:rFonts w:asciiTheme="majorHAnsi" w:hAnsiTheme="majorHAnsi"/>
          <w:sz w:val="20"/>
          <w:szCs w:val="20"/>
          <w:lang w:val="pt-BR"/>
        </w:rPr>
        <w:t xml:space="preserve"> do </w:t>
      </w:r>
      <w:r w:rsidR="00417BE8" w:rsidRPr="006D1C74">
        <w:rPr>
          <w:rFonts w:asciiTheme="majorHAnsi" w:hAnsiTheme="majorHAnsi"/>
          <w:sz w:val="20"/>
          <w:szCs w:val="20"/>
          <w:lang w:val="pt-BR"/>
        </w:rPr>
        <w:t>direito</w:t>
      </w:r>
      <w:r w:rsidR="002649F0" w:rsidRPr="006D1C74">
        <w:rPr>
          <w:rFonts w:asciiTheme="majorHAnsi" w:hAnsiTheme="majorHAnsi"/>
          <w:sz w:val="20"/>
          <w:szCs w:val="20"/>
          <w:lang w:val="pt-BR"/>
        </w:rPr>
        <w:t xml:space="preserve"> a contar</w:t>
      </w:r>
      <w:r w:rsidR="00F673C7" w:rsidRPr="006D1C74">
        <w:rPr>
          <w:rFonts w:asciiTheme="majorHAnsi" w:hAnsiTheme="majorHAnsi"/>
          <w:sz w:val="20"/>
          <w:szCs w:val="20"/>
          <w:lang w:val="pt-BR"/>
        </w:rPr>
        <w:t xml:space="preserve"> com </w:t>
      </w:r>
      <w:r w:rsidR="00030019" w:rsidRPr="006D1C74">
        <w:rPr>
          <w:rFonts w:asciiTheme="majorHAnsi" w:hAnsiTheme="majorHAnsi"/>
          <w:sz w:val="20"/>
          <w:szCs w:val="20"/>
          <w:lang w:val="pt-BR"/>
        </w:rPr>
        <w:t xml:space="preserve">uma </w:t>
      </w:r>
      <w:r w:rsidR="002649F0" w:rsidRPr="006D1C74">
        <w:rPr>
          <w:rFonts w:asciiTheme="majorHAnsi" w:hAnsiTheme="majorHAnsi"/>
          <w:sz w:val="20"/>
          <w:szCs w:val="20"/>
          <w:lang w:val="pt-BR"/>
        </w:rPr>
        <w:t>autori</w:t>
      </w:r>
      <w:r w:rsidR="00F673C7" w:rsidRPr="006D1C74">
        <w:rPr>
          <w:rFonts w:asciiTheme="majorHAnsi" w:hAnsiTheme="majorHAnsi"/>
          <w:sz w:val="20"/>
          <w:szCs w:val="20"/>
          <w:lang w:val="pt-BR"/>
        </w:rPr>
        <w:t xml:space="preserve">dade </w:t>
      </w:r>
      <w:r w:rsidR="002649F0" w:rsidRPr="006D1C74">
        <w:rPr>
          <w:rFonts w:asciiTheme="majorHAnsi" w:hAnsiTheme="majorHAnsi"/>
          <w:sz w:val="20"/>
          <w:szCs w:val="20"/>
          <w:lang w:val="pt-BR"/>
        </w:rPr>
        <w:t xml:space="preserve">imparcial para </w:t>
      </w:r>
      <w:r w:rsidR="002649F0" w:rsidRPr="006D1C74">
        <w:rPr>
          <w:rFonts w:asciiTheme="majorHAnsi" w:hAnsiTheme="majorHAnsi"/>
          <w:sz w:val="20"/>
          <w:szCs w:val="20"/>
          <w:lang w:val="pt-BR"/>
        </w:rPr>
        <w:lastRenderedPageBreak/>
        <w:t xml:space="preserve">obter </w:t>
      </w:r>
      <w:r w:rsidR="00795010" w:rsidRPr="006D1C74">
        <w:rPr>
          <w:rFonts w:asciiTheme="majorHAnsi" w:hAnsiTheme="majorHAnsi"/>
          <w:sz w:val="20"/>
          <w:szCs w:val="20"/>
          <w:lang w:val="pt-BR"/>
        </w:rPr>
        <w:t>justiça</w:t>
      </w:r>
      <w:r w:rsidR="00F673C7" w:rsidRPr="006D1C74">
        <w:rPr>
          <w:rFonts w:asciiTheme="majorHAnsi" w:hAnsiTheme="majorHAnsi"/>
          <w:sz w:val="20"/>
          <w:szCs w:val="20"/>
          <w:lang w:val="pt-BR"/>
        </w:rPr>
        <w:t xml:space="preserve"> em </w:t>
      </w:r>
      <w:r w:rsidR="002649F0" w:rsidRPr="006D1C74">
        <w:rPr>
          <w:rFonts w:asciiTheme="majorHAnsi" w:hAnsiTheme="majorHAnsi"/>
          <w:sz w:val="20"/>
          <w:szCs w:val="20"/>
          <w:lang w:val="pt-BR"/>
        </w:rPr>
        <w:t>casos de viola</w:t>
      </w:r>
      <w:r w:rsidR="00CF037E" w:rsidRPr="006D1C74">
        <w:rPr>
          <w:rFonts w:asciiTheme="majorHAnsi" w:hAnsiTheme="majorHAnsi"/>
          <w:sz w:val="20"/>
          <w:szCs w:val="20"/>
          <w:lang w:val="pt-BR"/>
        </w:rPr>
        <w:t>ções</w:t>
      </w:r>
      <w:r w:rsidR="002649F0" w:rsidRPr="006D1C74">
        <w:rPr>
          <w:rFonts w:asciiTheme="majorHAnsi" w:hAnsiTheme="majorHAnsi"/>
          <w:sz w:val="20"/>
          <w:szCs w:val="20"/>
          <w:lang w:val="pt-BR"/>
        </w:rPr>
        <w:t xml:space="preserve"> de </w:t>
      </w:r>
      <w:r w:rsidR="00417BE8" w:rsidRPr="006D1C74">
        <w:rPr>
          <w:rFonts w:asciiTheme="majorHAnsi" w:hAnsiTheme="majorHAnsi"/>
          <w:sz w:val="20"/>
          <w:szCs w:val="20"/>
          <w:lang w:val="pt-BR"/>
        </w:rPr>
        <w:t>direito</w:t>
      </w:r>
      <w:r w:rsidR="002649F0" w:rsidRPr="006D1C74">
        <w:rPr>
          <w:rFonts w:asciiTheme="majorHAnsi" w:hAnsiTheme="majorHAnsi"/>
          <w:sz w:val="20"/>
          <w:szCs w:val="20"/>
          <w:lang w:val="pt-BR"/>
        </w:rPr>
        <w:t xml:space="preserve">s humanos. </w:t>
      </w:r>
      <w:r w:rsidR="00E16B25"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Analogamente</w:t>
      </w:r>
      <w:r w:rsidR="00E16B25" w:rsidRPr="006D1C74">
        <w:rPr>
          <w:rFonts w:asciiTheme="majorHAnsi" w:hAnsiTheme="majorHAnsi"/>
          <w:sz w:val="20"/>
          <w:szCs w:val="20"/>
          <w:lang w:val="pt-BR"/>
        </w:rPr>
        <w:t xml:space="preserve">, tal </w:t>
      </w:r>
      <w:r w:rsidR="00EC4793" w:rsidRPr="006D1C74">
        <w:rPr>
          <w:rFonts w:asciiTheme="majorHAnsi" w:hAnsiTheme="majorHAnsi"/>
          <w:sz w:val="20"/>
          <w:szCs w:val="20"/>
          <w:lang w:val="pt-BR"/>
        </w:rPr>
        <w:t>viol</w:t>
      </w:r>
      <w:r w:rsidR="00E16B25" w:rsidRPr="006D1C74">
        <w:rPr>
          <w:rFonts w:asciiTheme="majorHAnsi" w:hAnsiTheme="majorHAnsi"/>
          <w:sz w:val="20"/>
          <w:szCs w:val="20"/>
          <w:lang w:val="pt-BR"/>
        </w:rPr>
        <w:t>a</w:t>
      </w:r>
      <w:r w:rsidR="00CF037E" w:rsidRPr="006D1C74">
        <w:rPr>
          <w:rFonts w:asciiTheme="majorHAnsi" w:hAnsiTheme="majorHAnsi"/>
          <w:sz w:val="20"/>
          <w:szCs w:val="20"/>
          <w:lang w:val="pt-BR"/>
        </w:rPr>
        <w:t>ção</w:t>
      </w:r>
      <w:r w:rsidR="00F673C7" w:rsidRPr="006D1C74">
        <w:rPr>
          <w:rFonts w:asciiTheme="majorHAnsi" w:hAnsiTheme="majorHAnsi"/>
          <w:sz w:val="20"/>
          <w:szCs w:val="20"/>
          <w:lang w:val="pt-BR"/>
        </w:rPr>
        <w:t xml:space="preserve"> não </w:t>
      </w:r>
      <w:r w:rsidR="00EC4793" w:rsidRPr="006D1C74">
        <w:rPr>
          <w:rFonts w:asciiTheme="majorHAnsi" w:hAnsiTheme="majorHAnsi"/>
          <w:sz w:val="20"/>
          <w:szCs w:val="20"/>
          <w:lang w:val="pt-BR"/>
        </w:rPr>
        <w:t xml:space="preserve">foi </w:t>
      </w:r>
      <w:r w:rsidR="00E16B25" w:rsidRPr="006D1C74">
        <w:rPr>
          <w:rFonts w:asciiTheme="majorHAnsi" w:hAnsiTheme="majorHAnsi"/>
          <w:sz w:val="20"/>
          <w:szCs w:val="20"/>
          <w:lang w:val="pt-BR"/>
        </w:rPr>
        <w:t>s</w:t>
      </w:r>
      <w:r w:rsidR="00EC4793" w:rsidRPr="006D1C74">
        <w:rPr>
          <w:rFonts w:asciiTheme="majorHAnsi" w:hAnsiTheme="majorHAnsi"/>
          <w:sz w:val="20"/>
          <w:szCs w:val="20"/>
          <w:lang w:val="pt-BR"/>
        </w:rPr>
        <w:t>anada</w:t>
      </w:r>
      <w:r w:rsidR="00F673C7" w:rsidRPr="006D1C74">
        <w:rPr>
          <w:rFonts w:asciiTheme="majorHAnsi" w:hAnsiTheme="majorHAnsi"/>
          <w:sz w:val="20"/>
          <w:szCs w:val="20"/>
          <w:lang w:val="pt-BR"/>
        </w:rPr>
        <w:t xml:space="preserve"> na </w:t>
      </w:r>
      <w:r w:rsidR="00E16B25" w:rsidRPr="006D1C74">
        <w:rPr>
          <w:rFonts w:asciiTheme="majorHAnsi" w:hAnsiTheme="majorHAnsi"/>
          <w:sz w:val="20"/>
          <w:szCs w:val="20"/>
          <w:lang w:val="pt-BR"/>
        </w:rPr>
        <w:t>jurisdi</w:t>
      </w:r>
      <w:r w:rsidR="00CF037E" w:rsidRPr="006D1C74">
        <w:rPr>
          <w:rFonts w:asciiTheme="majorHAnsi" w:hAnsiTheme="majorHAnsi"/>
          <w:sz w:val="20"/>
          <w:szCs w:val="20"/>
          <w:lang w:val="pt-BR"/>
        </w:rPr>
        <w:t>ção</w:t>
      </w:r>
      <w:r w:rsidR="00E16B25"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ordinária</w:t>
      </w:r>
      <w:r w:rsidR="00E16B25" w:rsidRPr="006D1C74">
        <w:rPr>
          <w:rFonts w:asciiTheme="majorHAnsi" w:hAnsiTheme="majorHAnsi"/>
          <w:sz w:val="20"/>
          <w:szCs w:val="20"/>
          <w:lang w:val="pt-BR"/>
        </w:rPr>
        <w:t>, p</w:t>
      </w:r>
      <w:r w:rsidR="00EC4793" w:rsidRPr="006D1C74">
        <w:rPr>
          <w:rFonts w:asciiTheme="majorHAnsi" w:hAnsiTheme="majorHAnsi"/>
          <w:sz w:val="20"/>
          <w:szCs w:val="20"/>
          <w:lang w:val="pt-BR"/>
        </w:rPr>
        <w:t>oi</w:t>
      </w:r>
      <w:r w:rsidR="00E16B25" w:rsidRPr="006D1C74">
        <w:rPr>
          <w:rFonts w:asciiTheme="majorHAnsi" w:hAnsiTheme="majorHAnsi"/>
          <w:sz w:val="20"/>
          <w:szCs w:val="20"/>
          <w:lang w:val="pt-BR"/>
        </w:rPr>
        <w:t>s</w:t>
      </w:r>
      <w:r w:rsidR="00700267" w:rsidRPr="006D1C74">
        <w:rPr>
          <w:rFonts w:asciiTheme="majorHAnsi" w:hAnsiTheme="majorHAnsi"/>
          <w:sz w:val="20"/>
          <w:szCs w:val="20"/>
          <w:lang w:val="pt-BR"/>
        </w:rPr>
        <w:t xml:space="preserve"> o </w:t>
      </w:r>
      <w:r w:rsidR="00E16B25" w:rsidRPr="006D1C74">
        <w:rPr>
          <w:rFonts w:asciiTheme="majorHAnsi" w:hAnsiTheme="majorHAnsi"/>
          <w:sz w:val="20"/>
          <w:szCs w:val="20"/>
          <w:lang w:val="pt-BR"/>
        </w:rPr>
        <w:t xml:space="preserve">Tribunal de </w:t>
      </w:r>
      <w:r w:rsidR="00795010" w:rsidRPr="006D1C74">
        <w:rPr>
          <w:rFonts w:asciiTheme="majorHAnsi" w:hAnsiTheme="majorHAnsi"/>
          <w:sz w:val="20"/>
          <w:szCs w:val="20"/>
          <w:lang w:val="pt-BR"/>
        </w:rPr>
        <w:t>Justiça</w:t>
      </w:r>
      <w:r w:rsidR="00E16B25" w:rsidRPr="006D1C74">
        <w:rPr>
          <w:rFonts w:asciiTheme="majorHAnsi" w:hAnsiTheme="majorHAnsi"/>
          <w:sz w:val="20"/>
          <w:szCs w:val="20"/>
          <w:lang w:val="pt-BR"/>
        </w:rPr>
        <w:t xml:space="preserve"> </w:t>
      </w:r>
      <w:r w:rsidR="00622621" w:rsidRPr="006D1C74">
        <w:rPr>
          <w:rFonts w:asciiTheme="majorHAnsi" w:hAnsiTheme="majorHAnsi"/>
          <w:sz w:val="20"/>
          <w:szCs w:val="20"/>
          <w:lang w:val="pt-BR"/>
        </w:rPr>
        <w:t>suspende</w:t>
      </w:r>
      <w:r w:rsidR="00CD31E8" w:rsidRPr="006D1C74">
        <w:rPr>
          <w:rFonts w:asciiTheme="majorHAnsi" w:hAnsiTheme="majorHAnsi"/>
          <w:sz w:val="20"/>
          <w:szCs w:val="20"/>
          <w:lang w:val="pt-BR"/>
        </w:rPr>
        <w:t>u</w:t>
      </w:r>
      <w:r w:rsidR="00700267" w:rsidRPr="006D1C74">
        <w:rPr>
          <w:rFonts w:asciiTheme="majorHAnsi" w:hAnsiTheme="majorHAnsi"/>
          <w:sz w:val="20"/>
          <w:szCs w:val="20"/>
          <w:lang w:val="pt-BR"/>
        </w:rPr>
        <w:t xml:space="preserve"> a </w:t>
      </w:r>
      <w:r w:rsidR="00E16B25" w:rsidRPr="006D1C74">
        <w:rPr>
          <w:rFonts w:asciiTheme="majorHAnsi" w:hAnsiTheme="majorHAnsi"/>
          <w:sz w:val="20"/>
          <w:szCs w:val="20"/>
          <w:lang w:val="pt-BR"/>
        </w:rPr>
        <w:t>a</w:t>
      </w:r>
      <w:r w:rsidR="00CF037E" w:rsidRPr="006D1C74">
        <w:rPr>
          <w:rFonts w:asciiTheme="majorHAnsi" w:hAnsiTheme="majorHAnsi"/>
          <w:sz w:val="20"/>
          <w:szCs w:val="20"/>
          <w:lang w:val="pt-BR"/>
        </w:rPr>
        <w:t>ção</w:t>
      </w:r>
      <w:r w:rsidR="00E16B25" w:rsidRPr="006D1C74">
        <w:rPr>
          <w:rFonts w:asciiTheme="majorHAnsi" w:hAnsiTheme="majorHAnsi"/>
          <w:sz w:val="20"/>
          <w:szCs w:val="20"/>
          <w:lang w:val="pt-BR"/>
        </w:rPr>
        <w:t xml:space="preserve"> penal</w:t>
      </w:r>
      <w:r w:rsidR="00700267" w:rsidRPr="006D1C74">
        <w:rPr>
          <w:rFonts w:asciiTheme="majorHAnsi" w:hAnsiTheme="majorHAnsi"/>
          <w:sz w:val="20"/>
          <w:szCs w:val="20"/>
          <w:lang w:val="pt-BR"/>
        </w:rPr>
        <w:t xml:space="preserve"> pelo </w:t>
      </w:r>
      <w:r w:rsidR="00E16B25" w:rsidRPr="006D1C74">
        <w:rPr>
          <w:rFonts w:asciiTheme="majorHAnsi" w:hAnsiTheme="majorHAnsi"/>
          <w:sz w:val="20"/>
          <w:szCs w:val="20"/>
          <w:lang w:val="pt-BR"/>
        </w:rPr>
        <w:t xml:space="preserve">delito de </w:t>
      </w:r>
      <w:r w:rsidR="003171F3" w:rsidRPr="006D1C74">
        <w:rPr>
          <w:rFonts w:asciiTheme="majorHAnsi" w:hAnsiTheme="majorHAnsi"/>
          <w:sz w:val="20"/>
          <w:szCs w:val="20"/>
          <w:lang w:val="pt-BR"/>
        </w:rPr>
        <w:t>homicídio</w:t>
      </w:r>
      <w:r w:rsidR="00F673C7" w:rsidRPr="006D1C74">
        <w:rPr>
          <w:rFonts w:asciiTheme="majorHAnsi" w:hAnsiTheme="majorHAnsi"/>
          <w:sz w:val="20"/>
          <w:szCs w:val="20"/>
          <w:lang w:val="pt-BR"/>
        </w:rPr>
        <w:t xml:space="preserve"> com </w:t>
      </w:r>
      <w:r w:rsidR="00E16B25" w:rsidRPr="006D1C74">
        <w:rPr>
          <w:rFonts w:asciiTheme="majorHAnsi" w:hAnsiTheme="majorHAnsi"/>
          <w:sz w:val="20"/>
          <w:szCs w:val="20"/>
          <w:lang w:val="pt-BR"/>
        </w:rPr>
        <w:t xml:space="preserve">dolo eventual, </w:t>
      </w:r>
      <w:r w:rsidR="00EC4793" w:rsidRPr="006D1C74">
        <w:rPr>
          <w:rFonts w:asciiTheme="majorHAnsi" w:hAnsiTheme="majorHAnsi"/>
          <w:sz w:val="20"/>
          <w:szCs w:val="20"/>
          <w:lang w:val="pt-BR"/>
        </w:rPr>
        <w:t xml:space="preserve">tomando como </w:t>
      </w:r>
      <w:r w:rsidR="00E16B25" w:rsidRPr="006D1C74">
        <w:rPr>
          <w:rFonts w:asciiTheme="majorHAnsi" w:hAnsiTheme="majorHAnsi"/>
          <w:sz w:val="20"/>
          <w:szCs w:val="20"/>
          <w:lang w:val="pt-BR"/>
        </w:rPr>
        <w:t>base</w:t>
      </w:r>
      <w:r w:rsidR="00700267" w:rsidRPr="006D1C74">
        <w:rPr>
          <w:rFonts w:asciiTheme="majorHAnsi" w:hAnsiTheme="majorHAnsi"/>
          <w:sz w:val="20"/>
          <w:szCs w:val="20"/>
          <w:lang w:val="pt-BR"/>
        </w:rPr>
        <w:t xml:space="preserve"> a </w:t>
      </w:r>
      <w:r w:rsidR="00E16B25" w:rsidRPr="006D1C74">
        <w:rPr>
          <w:rFonts w:asciiTheme="majorHAnsi" w:hAnsiTheme="majorHAnsi"/>
          <w:sz w:val="20"/>
          <w:szCs w:val="20"/>
          <w:lang w:val="pt-BR"/>
        </w:rPr>
        <w:t>deci</w:t>
      </w:r>
      <w:r w:rsidR="0094446B" w:rsidRPr="006D1C74">
        <w:rPr>
          <w:rFonts w:asciiTheme="majorHAnsi" w:hAnsiTheme="majorHAnsi"/>
          <w:sz w:val="20"/>
          <w:szCs w:val="20"/>
          <w:lang w:val="pt-BR"/>
        </w:rPr>
        <w:t>são</w:t>
      </w:r>
      <w:r w:rsidR="00E16B25"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produzida</w:t>
      </w:r>
      <w:r w:rsidR="00F673C7" w:rsidRPr="006D1C74">
        <w:rPr>
          <w:rFonts w:asciiTheme="majorHAnsi" w:hAnsiTheme="majorHAnsi"/>
          <w:sz w:val="20"/>
          <w:szCs w:val="20"/>
          <w:lang w:val="pt-BR"/>
        </w:rPr>
        <w:t xml:space="preserve"> na </w:t>
      </w:r>
      <w:r w:rsidR="00795010" w:rsidRPr="006D1C74">
        <w:rPr>
          <w:rFonts w:asciiTheme="majorHAnsi" w:hAnsiTheme="majorHAnsi"/>
          <w:sz w:val="20"/>
          <w:szCs w:val="20"/>
          <w:lang w:val="pt-BR"/>
        </w:rPr>
        <w:t>justiça</w:t>
      </w:r>
      <w:r w:rsidR="00E16B25" w:rsidRPr="006D1C74">
        <w:rPr>
          <w:rFonts w:asciiTheme="majorHAnsi" w:hAnsiTheme="majorHAnsi"/>
          <w:sz w:val="20"/>
          <w:szCs w:val="20"/>
          <w:lang w:val="pt-BR"/>
        </w:rPr>
        <w:t xml:space="preserve"> penal militar.</w:t>
      </w:r>
    </w:p>
    <w:p w14:paraId="109A42C6" w14:textId="77777777" w:rsidR="00E16B25" w:rsidRPr="006D1C74" w:rsidRDefault="00E16B25" w:rsidP="00E16B25">
      <w:pPr>
        <w:pStyle w:val="ListParagraph"/>
        <w:ind w:left="0"/>
        <w:jc w:val="both"/>
        <w:rPr>
          <w:rFonts w:asciiTheme="majorHAnsi" w:hAnsiTheme="majorHAnsi"/>
          <w:sz w:val="20"/>
          <w:szCs w:val="20"/>
          <w:lang w:val="pt-BR"/>
        </w:rPr>
      </w:pPr>
    </w:p>
    <w:p w14:paraId="0900536A" w14:textId="77777777" w:rsidR="002649F0" w:rsidRPr="006D1C74" w:rsidRDefault="003171F3" w:rsidP="002A2E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Com</w:t>
      </w:r>
      <w:r w:rsidR="002649F0" w:rsidRPr="006D1C74">
        <w:rPr>
          <w:rFonts w:asciiTheme="majorHAnsi" w:hAnsiTheme="majorHAnsi"/>
          <w:sz w:val="20"/>
          <w:szCs w:val="20"/>
          <w:lang w:val="pt-BR"/>
        </w:rPr>
        <w:t xml:space="preserve"> </w:t>
      </w:r>
      <w:r w:rsidR="00156036" w:rsidRPr="006D1C74">
        <w:rPr>
          <w:rFonts w:asciiTheme="majorHAnsi" w:hAnsiTheme="majorHAnsi"/>
          <w:sz w:val="20"/>
          <w:szCs w:val="20"/>
          <w:lang w:val="pt-BR"/>
        </w:rPr>
        <w:t>respeito</w:t>
      </w:r>
      <w:r w:rsidR="00030019" w:rsidRPr="006D1C74">
        <w:rPr>
          <w:rFonts w:asciiTheme="majorHAnsi" w:hAnsiTheme="majorHAnsi"/>
          <w:sz w:val="20"/>
          <w:szCs w:val="20"/>
          <w:lang w:val="pt-BR"/>
        </w:rPr>
        <w:t xml:space="preserve"> às </w:t>
      </w:r>
      <w:r w:rsidR="002649F0" w:rsidRPr="006D1C74">
        <w:rPr>
          <w:rFonts w:asciiTheme="majorHAnsi" w:hAnsiTheme="majorHAnsi"/>
          <w:sz w:val="20"/>
          <w:szCs w:val="20"/>
          <w:lang w:val="pt-BR"/>
        </w:rPr>
        <w:t xml:space="preserve">185 </w:t>
      </w:r>
      <w:r w:rsidR="00795010" w:rsidRPr="006D1C74">
        <w:rPr>
          <w:rFonts w:asciiTheme="majorHAnsi" w:hAnsiTheme="majorHAnsi"/>
          <w:sz w:val="20"/>
          <w:szCs w:val="20"/>
          <w:lang w:val="pt-BR"/>
        </w:rPr>
        <w:t>vítima</w:t>
      </w:r>
      <w:r w:rsidR="002649F0" w:rsidRPr="006D1C74">
        <w:rPr>
          <w:rFonts w:asciiTheme="majorHAnsi" w:hAnsiTheme="majorHAnsi"/>
          <w:sz w:val="20"/>
          <w:szCs w:val="20"/>
          <w:lang w:val="pt-BR"/>
        </w:rPr>
        <w:t>s indicadas</w:t>
      </w:r>
      <w:r w:rsidR="00FC2F62" w:rsidRPr="006D1C74">
        <w:rPr>
          <w:rFonts w:asciiTheme="majorHAnsi" w:hAnsiTheme="majorHAnsi"/>
          <w:sz w:val="20"/>
          <w:szCs w:val="20"/>
          <w:lang w:val="pt-BR"/>
        </w:rPr>
        <w:t xml:space="preserve"> no </w:t>
      </w:r>
      <w:r w:rsidR="00927E16" w:rsidRPr="006D1C74">
        <w:rPr>
          <w:rFonts w:asciiTheme="majorHAnsi" w:hAnsiTheme="majorHAnsi"/>
          <w:sz w:val="20"/>
          <w:szCs w:val="20"/>
          <w:lang w:val="pt-BR"/>
        </w:rPr>
        <w:t>relatório</w:t>
      </w:r>
      <w:r w:rsidR="002649F0" w:rsidRPr="006D1C74">
        <w:rPr>
          <w:rFonts w:asciiTheme="majorHAnsi" w:hAnsiTheme="majorHAnsi"/>
          <w:sz w:val="20"/>
          <w:szCs w:val="20"/>
          <w:lang w:val="pt-BR"/>
        </w:rPr>
        <w:t xml:space="preserve"> de </w:t>
      </w:r>
      <w:r w:rsidRPr="006D1C74">
        <w:rPr>
          <w:rFonts w:asciiTheme="majorHAnsi" w:hAnsiTheme="majorHAnsi"/>
          <w:sz w:val="20"/>
          <w:szCs w:val="20"/>
          <w:lang w:val="pt-BR"/>
        </w:rPr>
        <w:t>admissibilidade</w:t>
      </w:r>
      <w:r w:rsidR="002649F0"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Estado</w:t>
      </w:r>
      <w:r w:rsidR="00F673C7" w:rsidRPr="006D1C74">
        <w:rPr>
          <w:rFonts w:asciiTheme="majorHAnsi" w:hAnsiTheme="majorHAnsi"/>
          <w:sz w:val="20"/>
          <w:szCs w:val="20"/>
          <w:lang w:val="pt-BR"/>
        </w:rPr>
        <w:t xml:space="preserve"> não </w:t>
      </w:r>
      <w:r w:rsidR="002649F0" w:rsidRPr="006D1C74">
        <w:rPr>
          <w:rFonts w:asciiTheme="majorHAnsi" w:hAnsiTheme="majorHAnsi"/>
          <w:sz w:val="20"/>
          <w:szCs w:val="20"/>
          <w:lang w:val="pt-BR"/>
        </w:rPr>
        <w:t>pro</w:t>
      </w:r>
      <w:r w:rsidR="00642AA4" w:rsidRPr="006D1C74">
        <w:rPr>
          <w:rFonts w:asciiTheme="majorHAnsi" w:hAnsiTheme="majorHAnsi"/>
          <w:sz w:val="20"/>
          <w:szCs w:val="20"/>
          <w:lang w:val="pt-BR"/>
        </w:rPr>
        <w:t>vou</w:t>
      </w:r>
      <w:r w:rsidR="002649F0" w:rsidRPr="006D1C74">
        <w:rPr>
          <w:rFonts w:asciiTheme="majorHAnsi" w:hAnsiTheme="majorHAnsi"/>
          <w:sz w:val="20"/>
          <w:szCs w:val="20"/>
          <w:lang w:val="pt-BR"/>
        </w:rPr>
        <w:t xml:space="preserve"> que </w:t>
      </w:r>
      <w:r w:rsidR="00642AA4" w:rsidRPr="006D1C74">
        <w:rPr>
          <w:rFonts w:asciiTheme="majorHAnsi" w:hAnsiTheme="majorHAnsi"/>
          <w:sz w:val="20"/>
          <w:szCs w:val="20"/>
          <w:lang w:val="pt-BR"/>
        </w:rPr>
        <w:t>teria</w:t>
      </w:r>
      <w:r w:rsidR="002649F0" w:rsidRPr="006D1C74">
        <w:rPr>
          <w:rFonts w:asciiTheme="majorHAnsi" w:hAnsiTheme="majorHAnsi"/>
          <w:sz w:val="20"/>
          <w:szCs w:val="20"/>
          <w:lang w:val="pt-BR"/>
        </w:rPr>
        <w:t xml:space="preserve"> </w:t>
      </w:r>
      <w:r w:rsidRPr="006D1C74">
        <w:rPr>
          <w:rFonts w:asciiTheme="majorHAnsi" w:hAnsiTheme="majorHAnsi"/>
          <w:sz w:val="20"/>
          <w:szCs w:val="20"/>
          <w:lang w:val="pt-BR"/>
        </w:rPr>
        <w:t>atuado</w:t>
      </w:r>
      <w:r w:rsidR="00F673C7" w:rsidRPr="006D1C74">
        <w:rPr>
          <w:rFonts w:asciiTheme="majorHAnsi" w:hAnsiTheme="majorHAnsi"/>
          <w:sz w:val="20"/>
          <w:szCs w:val="20"/>
          <w:lang w:val="pt-BR"/>
        </w:rPr>
        <w:t xml:space="preserve"> com </w:t>
      </w:r>
      <w:r w:rsidR="00981A34">
        <w:rPr>
          <w:rFonts w:asciiTheme="majorHAnsi" w:hAnsiTheme="majorHAnsi"/>
          <w:sz w:val="20"/>
          <w:szCs w:val="20"/>
          <w:lang w:val="pt-BR"/>
        </w:rPr>
        <w:t xml:space="preserve">a </w:t>
      </w:r>
      <w:r w:rsidR="00585D35" w:rsidRPr="006D1C74">
        <w:rPr>
          <w:rFonts w:asciiTheme="majorHAnsi" w:hAnsiTheme="majorHAnsi"/>
          <w:sz w:val="20"/>
          <w:szCs w:val="20"/>
          <w:lang w:val="pt-BR"/>
        </w:rPr>
        <w:t>dev</w:t>
      </w:r>
      <w:r w:rsidR="002649F0" w:rsidRPr="006D1C74">
        <w:rPr>
          <w:rFonts w:asciiTheme="majorHAnsi" w:hAnsiTheme="majorHAnsi"/>
          <w:sz w:val="20"/>
          <w:szCs w:val="20"/>
          <w:lang w:val="pt-BR"/>
        </w:rPr>
        <w:t xml:space="preserve">ida </w:t>
      </w:r>
      <w:r w:rsidRPr="006D1C74">
        <w:rPr>
          <w:rFonts w:asciiTheme="majorHAnsi" w:hAnsiTheme="majorHAnsi"/>
          <w:sz w:val="20"/>
          <w:szCs w:val="20"/>
          <w:lang w:val="pt-BR"/>
        </w:rPr>
        <w:t>diligência</w:t>
      </w:r>
      <w:r w:rsidR="002649F0" w:rsidRPr="006D1C74">
        <w:rPr>
          <w:rFonts w:asciiTheme="majorHAnsi" w:hAnsiTheme="majorHAnsi"/>
          <w:sz w:val="20"/>
          <w:szCs w:val="20"/>
          <w:lang w:val="pt-BR"/>
        </w:rPr>
        <w:t xml:space="preserve"> para investigar</w:t>
      </w:r>
      <w:r w:rsidR="00700267" w:rsidRPr="006D1C74">
        <w:rPr>
          <w:rFonts w:asciiTheme="majorHAnsi" w:hAnsiTheme="majorHAnsi"/>
          <w:sz w:val="20"/>
          <w:szCs w:val="20"/>
          <w:lang w:val="pt-BR"/>
        </w:rPr>
        <w:t xml:space="preserve"> as </w:t>
      </w:r>
      <w:r w:rsidR="00D74A93" w:rsidRPr="006D1C74">
        <w:rPr>
          <w:rFonts w:asciiTheme="majorHAnsi" w:hAnsiTheme="majorHAnsi"/>
          <w:sz w:val="20"/>
          <w:szCs w:val="20"/>
          <w:lang w:val="pt-BR"/>
        </w:rPr>
        <w:t>lesões</w:t>
      </w:r>
      <w:r w:rsidR="002649F0" w:rsidRPr="006D1C74">
        <w:rPr>
          <w:rFonts w:asciiTheme="majorHAnsi" w:hAnsiTheme="majorHAnsi"/>
          <w:sz w:val="20"/>
          <w:szCs w:val="20"/>
          <w:lang w:val="pt-BR"/>
        </w:rPr>
        <w:t xml:space="preserve"> e identificar</w:t>
      </w:r>
      <w:r w:rsidR="00135454" w:rsidRPr="006D1C74">
        <w:rPr>
          <w:rFonts w:asciiTheme="majorHAnsi" w:hAnsiTheme="majorHAnsi"/>
          <w:sz w:val="20"/>
          <w:szCs w:val="20"/>
          <w:lang w:val="pt-BR"/>
        </w:rPr>
        <w:t xml:space="preserve"> os ferid</w:t>
      </w:r>
      <w:r w:rsidR="002649F0" w:rsidRPr="006D1C74">
        <w:rPr>
          <w:rFonts w:asciiTheme="majorHAnsi" w:hAnsiTheme="majorHAnsi"/>
          <w:sz w:val="20"/>
          <w:szCs w:val="20"/>
          <w:lang w:val="pt-BR"/>
        </w:rPr>
        <w:t>os. Primero,</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Estado</w:t>
      </w:r>
      <w:r w:rsidR="00F673C7" w:rsidRPr="006D1C74">
        <w:rPr>
          <w:rFonts w:asciiTheme="majorHAnsi" w:hAnsiTheme="majorHAnsi"/>
          <w:sz w:val="20"/>
          <w:szCs w:val="20"/>
          <w:lang w:val="pt-BR"/>
        </w:rPr>
        <w:t xml:space="preserve"> não </w:t>
      </w:r>
      <w:r w:rsidR="002649F0" w:rsidRPr="006D1C74">
        <w:rPr>
          <w:rFonts w:asciiTheme="majorHAnsi" w:hAnsiTheme="majorHAnsi"/>
          <w:sz w:val="20"/>
          <w:szCs w:val="20"/>
          <w:lang w:val="pt-BR"/>
        </w:rPr>
        <w:t>mostr</w:t>
      </w:r>
      <w:r w:rsidR="00642AA4" w:rsidRPr="006D1C74">
        <w:rPr>
          <w:rFonts w:asciiTheme="majorHAnsi" w:hAnsiTheme="majorHAnsi"/>
          <w:sz w:val="20"/>
          <w:szCs w:val="20"/>
          <w:lang w:val="pt-BR"/>
        </w:rPr>
        <w:t>ou</w:t>
      </w:r>
      <w:r w:rsidR="002649F0" w:rsidRPr="006D1C74">
        <w:rPr>
          <w:rFonts w:asciiTheme="majorHAnsi" w:hAnsiTheme="majorHAnsi"/>
          <w:sz w:val="20"/>
          <w:szCs w:val="20"/>
          <w:lang w:val="pt-BR"/>
        </w:rPr>
        <w:t xml:space="preserve"> que,</w:t>
      </w:r>
      <w:r w:rsidR="00F673C7" w:rsidRPr="006D1C74">
        <w:rPr>
          <w:rFonts w:asciiTheme="majorHAnsi" w:hAnsiTheme="majorHAnsi"/>
          <w:sz w:val="20"/>
          <w:szCs w:val="20"/>
          <w:lang w:val="pt-BR"/>
        </w:rPr>
        <w:t xml:space="preserve"> na </w:t>
      </w:r>
      <w:r w:rsidR="002649F0" w:rsidRPr="006D1C74">
        <w:rPr>
          <w:rFonts w:asciiTheme="majorHAnsi" w:hAnsiTheme="majorHAnsi"/>
          <w:sz w:val="20"/>
          <w:szCs w:val="20"/>
          <w:lang w:val="pt-BR"/>
        </w:rPr>
        <w:t>investiga</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realizada</w:t>
      </w:r>
      <w:r w:rsidR="00F37852" w:rsidRPr="006D1C74">
        <w:rPr>
          <w:rFonts w:asciiTheme="majorHAnsi" w:hAnsiTheme="majorHAnsi"/>
          <w:sz w:val="20"/>
          <w:szCs w:val="20"/>
          <w:lang w:val="pt-BR"/>
        </w:rPr>
        <w:t xml:space="preserve"> pela polícia</w:t>
      </w:r>
      <w:r w:rsidR="002649F0" w:rsidRPr="006D1C74">
        <w:rPr>
          <w:rFonts w:asciiTheme="majorHAnsi" w:hAnsiTheme="majorHAnsi"/>
          <w:sz w:val="20"/>
          <w:szCs w:val="20"/>
          <w:lang w:val="pt-BR"/>
        </w:rPr>
        <w:t xml:space="preserve"> militar, </w:t>
      </w:r>
      <w:r w:rsidR="00981A34">
        <w:rPr>
          <w:rFonts w:asciiTheme="majorHAnsi" w:hAnsiTheme="majorHAnsi"/>
          <w:sz w:val="20"/>
          <w:szCs w:val="20"/>
          <w:lang w:val="pt-BR"/>
        </w:rPr>
        <w:t xml:space="preserve">se </w:t>
      </w:r>
      <w:r w:rsidR="00642AA4" w:rsidRPr="006D1C74">
        <w:rPr>
          <w:rFonts w:asciiTheme="majorHAnsi" w:hAnsiTheme="majorHAnsi"/>
          <w:sz w:val="20"/>
          <w:szCs w:val="20"/>
          <w:lang w:val="pt-BR"/>
        </w:rPr>
        <w:t>tenha registrado</w:t>
      </w:r>
      <w:r w:rsidR="000A4A79" w:rsidRPr="006D1C74">
        <w:rPr>
          <w:rFonts w:asciiTheme="majorHAnsi" w:hAnsiTheme="majorHAnsi"/>
          <w:sz w:val="20"/>
          <w:szCs w:val="20"/>
          <w:lang w:val="pt-BR"/>
        </w:rPr>
        <w:t xml:space="preserve"> </w:t>
      </w:r>
      <w:r w:rsidRPr="006D1C74">
        <w:rPr>
          <w:rFonts w:asciiTheme="majorHAnsi" w:hAnsiTheme="majorHAnsi"/>
          <w:sz w:val="20"/>
          <w:szCs w:val="20"/>
          <w:lang w:val="pt-BR"/>
        </w:rPr>
        <w:t>atuação</w:t>
      </w:r>
      <w:r w:rsidR="000A4A79" w:rsidRPr="006D1C74">
        <w:rPr>
          <w:rFonts w:asciiTheme="majorHAnsi" w:hAnsiTheme="majorHAnsi"/>
          <w:sz w:val="20"/>
          <w:szCs w:val="20"/>
          <w:lang w:val="pt-BR"/>
        </w:rPr>
        <w:t xml:space="preserve"> </w:t>
      </w:r>
      <w:r w:rsidR="00F673C7" w:rsidRPr="006D1C74">
        <w:rPr>
          <w:rFonts w:asciiTheme="majorHAnsi" w:hAnsiTheme="majorHAnsi"/>
          <w:sz w:val="20"/>
          <w:szCs w:val="20"/>
          <w:lang w:val="pt-BR"/>
        </w:rPr>
        <w:t xml:space="preserve">com </w:t>
      </w:r>
      <w:r w:rsidRPr="006D1C74">
        <w:rPr>
          <w:rFonts w:asciiTheme="majorHAnsi" w:hAnsiTheme="majorHAnsi"/>
          <w:sz w:val="20"/>
          <w:szCs w:val="20"/>
          <w:lang w:val="pt-BR"/>
        </w:rPr>
        <w:t>esse</w:t>
      </w:r>
      <w:r w:rsidR="000A4A79" w:rsidRPr="006D1C74">
        <w:rPr>
          <w:rFonts w:asciiTheme="majorHAnsi" w:hAnsiTheme="majorHAnsi"/>
          <w:sz w:val="20"/>
          <w:szCs w:val="20"/>
          <w:lang w:val="pt-BR"/>
        </w:rPr>
        <w:t xml:space="preserve"> fin. Segundo,</w:t>
      </w:r>
      <w:r w:rsidR="00700267" w:rsidRPr="006D1C74">
        <w:rPr>
          <w:rFonts w:asciiTheme="majorHAnsi" w:hAnsiTheme="majorHAnsi"/>
          <w:sz w:val="20"/>
          <w:szCs w:val="20"/>
          <w:lang w:val="pt-BR"/>
        </w:rPr>
        <w:t xml:space="preserve"> o </w:t>
      </w:r>
      <w:r w:rsidR="000A4A79" w:rsidRPr="006D1C74">
        <w:rPr>
          <w:rFonts w:asciiTheme="majorHAnsi" w:hAnsiTheme="majorHAnsi"/>
          <w:sz w:val="20"/>
          <w:szCs w:val="20"/>
          <w:lang w:val="pt-BR"/>
        </w:rPr>
        <w:t>Estado</w:t>
      </w:r>
      <w:r w:rsidR="00F673C7" w:rsidRPr="006D1C74">
        <w:rPr>
          <w:rFonts w:asciiTheme="majorHAnsi" w:hAnsiTheme="majorHAnsi"/>
          <w:sz w:val="20"/>
          <w:szCs w:val="20"/>
          <w:lang w:val="pt-BR"/>
        </w:rPr>
        <w:t xml:space="preserve"> não </w:t>
      </w:r>
      <w:r w:rsidR="00642AA4" w:rsidRPr="006D1C74">
        <w:rPr>
          <w:rFonts w:asciiTheme="majorHAnsi" w:hAnsiTheme="majorHAnsi"/>
          <w:sz w:val="20"/>
          <w:szCs w:val="20"/>
          <w:lang w:val="pt-BR"/>
        </w:rPr>
        <w:t>realizou o acompanha</w:t>
      </w:r>
      <w:r w:rsidR="00700267" w:rsidRPr="006D1C74">
        <w:rPr>
          <w:rFonts w:asciiTheme="majorHAnsi" w:hAnsiTheme="majorHAnsi"/>
          <w:sz w:val="20"/>
          <w:szCs w:val="20"/>
          <w:lang w:val="pt-BR"/>
        </w:rPr>
        <w:t>mento</w:t>
      </w:r>
      <w:r w:rsidR="00217759" w:rsidRPr="006D1C74">
        <w:rPr>
          <w:rFonts w:asciiTheme="majorHAnsi" w:hAnsiTheme="majorHAnsi"/>
          <w:sz w:val="20"/>
          <w:szCs w:val="20"/>
          <w:lang w:val="pt-BR"/>
        </w:rPr>
        <w:t xml:space="preserve"> </w:t>
      </w:r>
      <w:r w:rsidR="00642AA4" w:rsidRPr="006D1C74">
        <w:rPr>
          <w:rFonts w:asciiTheme="majorHAnsi" w:hAnsiTheme="majorHAnsi"/>
          <w:sz w:val="20"/>
          <w:szCs w:val="20"/>
          <w:lang w:val="pt-BR"/>
        </w:rPr>
        <w:t>d</w:t>
      </w:r>
      <w:r w:rsidR="00217759" w:rsidRPr="006D1C74">
        <w:rPr>
          <w:rFonts w:asciiTheme="majorHAnsi" w:hAnsiTheme="majorHAnsi"/>
          <w:sz w:val="20"/>
          <w:szCs w:val="20"/>
          <w:lang w:val="pt-BR"/>
        </w:rPr>
        <w:t xml:space="preserve">o </w:t>
      </w:r>
      <w:r w:rsidR="000A4A79" w:rsidRPr="006D1C74">
        <w:rPr>
          <w:rFonts w:asciiTheme="majorHAnsi" w:hAnsiTheme="majorHAnsi"/>
          <w:sz w:val="20"/>
          <w:szCs w:val="20"/>
          <w:lang w:val="pt-BR"/>
        </w:rPr>
        <w:t>r</w:t>
      </w:r>
      <w:r w:rsidR="002649F0" w:rsidRPr="006D1C74">
        <w:rPr>
          <w:rFonts w:asciiTheme="majorHAnsi" w:hAnsiTheme="majorHAnsi"/>
          <w:sz w:val="20"/>
          <w:szCs w:val="20"/>
          <w:lang w:val="pt-BR"/>
        </w:rPr>
        <w:t>esultado</w:t>
      </w:r>
      <w:r w:rsidR="00D74A93" w:rsidRPr="006D1C74">
        <w:rPr>
          <w:rFonts w:asciiTheme="majorHAnsi" w:hAnsiTheme="majorHAnsi"/>
          <w:sz w:val="20"/>
          <w:szCs w:val="20"/>
          <w:lang w:val="pt-BR"/>
        </w:rPr>
        <w:t xml:space="preserve"> das </w:t>
      </w:r>
      <w:r w:rsidRPr="006D1C74">
        <w:rPr>
          <w:rFonts w:asciiTheme="majorHAnsi" w:hAnsiTheme="majorHAnsi"/>
          <w:sz w:val="20"/>
          <w:szCs w:val="20"/>
          <w:lang w:val="pt-BR"/>
        </w:rPr>
        <w:t>diligências</w:t>
      </w:r>
      <w:r w:rsidR="002649F0" w:rsidRPr="006D1C74">
        <w:rPr>
          <w:rFonts w:asciiTheme="majorHAnsi" w:hAnsiTheme="majorHAnsi"/>
          <w:sz w:val="20"/>
          <w:szCs w:val="20"/>
          <w:lang w:val="pt-BR"/>
        </w:rPr>
        <w:t xml:space="preserve"> </w:t>
      </w:r>
      <w:r w:rsidRPr="006D1C74">
        <w:rPr>
          <w:rFonts w:asciiTheme="majorHAnsi" w:hAnsiTheme="majorHAnsi"/>
          <w:sz w:val="20"/>
          <w:szCs w:val="20"/>
          <w:lang w:val="pt-BR"/>
        </w:rPr>
        <w:t>efetuadas</w:t>
      </w:r>
      <w:r w:rsidR="00F673C7" w:rsidRPr="006D1C74">
        <w:rPr>
          <w:rFonts w:asciiTheme="majorHAnsi" w:hAnsiTheme="majorHAnsi"/>
          <w:sz w:val="20"/>
          <w:szCs w:val="20"/>
          <w:lang w:val="pt-BR"/>
        </w:rPr>
        <w:t xml:space="preserve"> na </w:t>
      </w:r>
      <w:r w:rsidR="002649F0" w:rsidRPr="006D1C74">
        <w:rPr>
          <w:rFonts w:asciiTheme="majorHAnsi" w:hAnsiTheme="majorHAnsi"/>
          <w:sz w:val="20"/>
          <w:szCs w:val="20"/>
          <w:lang w:val="pt-BR"/>
        </w:rPr>
        <w:t>investiga</w:t>
      </w:r>
      <w:r w:rsidR="00CF037E" w:rsidRPr="006D1C74">
        <w:rPr>
          <w:rFonts w:asciiTheme="majorHAnsi" w:hAnsiTheme="majorHAnsi"/>
          <w:sz w:val="20"/>
          <w:szCs w:val="20"/>
          <w:lang w:val="pt-BR"/>
        </w:rPr>
        <w:t>ção</w:t>
      </w:r>
      <w:r w:rsidR="00795010" w:rsidRPr="006D1C74">
        <w:rPr>
          <w:rFonts w:asciiTheme="majorHAnsi" w:hAnsiTheme="majorHAnsi"/>
          <w:sz w:val="20"/>
          <w:szCs w:val="20"/>
          <w:lang w:val="pt-BR"/>
        </w:rPr>
        <w:t xml:space="preserve"> da </w:t>
      </w:r>
      <w:r w:rsidR="00F37852" w:rsidRPr="006D1C74">
        <w:rPr>
          <w:rFonts w:asciiTheme="majorHAnsi" w:hAnsiTheme="majorHAnsi"/>
          <w:sz w:val="20"/>
          <w:szCs w:val="20"/>
          <w:lang w:val="pt-BR"/>
        </w:rPr>
        <w:t>polícia</w:t>
      </w:r>
      <w:r w:rsidR="002649F0" w:rsidRPr="006D1C74">
        <w:rPr>
          <w:rFonts w:asciiTheme="majorHAnsi" w:hAnsiTheme="majorHAnsi"/>
          <w:sz w:val="20"/>
          <w:szCs w:val="20"/>
          <w:lang w:val="pt-BR"/>
        </w:rPr>
        <w:t xml:space="preserve"> civil</w:t>
      </w:r>
      <w:r w:rsidR="00847B4A"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com </w:t>
      </w:r>
      <w:r w:rsidR="00700267" w:rsidRPr="006D1C74">
        <w:rPr>
          <w:rFonts w:asciiTheme="majorHAnsi" w:hAnsiTheme="majorHAnsi"/>
          <w:sz w:val="20"/>
          <w:szCs w:val="20"/>
          <w:lang w:val="pt-BR"/>
        </w:rPr>
        <w:t>o</w:t>
      </w:r>
      <w:r w:rsidR="00F673C7" w:rsidRPr="006D1C74">
        <w:rPr>
          <w:rFonts w:asciiTheme="majorHAnsi" w:hAnsiTheme="majorHAnsi"/>
          <w:sz w:val="20"/>
          <w:szCs w:val="20"/>
          <w:lang w:val="pt-BR"/>
        </w:rPr>
        <w:t xml:space="preserve"> fim </w:t>
      </w:r>
      <w:r w:rsidR="002649F0" w:rsidRPr="006D1C74">
        <w:rPr>
          <w:rFonts w:asciiTheme="majorHAnsi" w:hAnsiTheme="majorHAnsi"/>
          <w:sz w:val="20"/>
          <w:szCs w:val="20"/>
          <w:lang w:val="pt-BR"/>
        </w:rPr>
        <w:t>de esclarecer</w:t>
      </w:r>
      <w:r w:rsidR="00700267" w:rsidRPr="006D1C74">
        <w:rPr>
          <w:rFonts w:asciiTheme="majorHAnsi" w:hAnsiTheme="majorHAnsi"/>
          <w:sz w:val="20"/>
          <w:szCs w:val="20"/>
          <w:lang w:val="pt-BR"/>
        </w:rPr>
        <w:t xml:space="preserve"> as </w:t>
      </w:r>
      <w:r w:rsidR="00D74A93" w:rsidRPr="006D1C74">
        <w:rPr>
          <w:rFonts w:asciiTheme="majorHAnsi" w:hAnsiTheme="majorHAnsi"/>
          <w:sz w:val="20"/>
          <w:szCs w:val="20"/>
          <w:lang w:val="pt-BR"/>
        </w:rPr>
        <w:t>lesões</w:t>
      </w:r>
      <w:r w:rsidR="002649F0" w:rsidRPr="006D1C74">
        <w:rPr>
          <w:rFonts w:asciiTheme="majorHAnsi" w:hAnsiTheme="majorHAnsi"/>
          <w:sz w:val="20"/>
          <w:szCs w:val="20"/>
          <w:lang w:val="pt-BR"/>
        </w:rPr>
        <w:t xml:space="preserve"> corpor</w:t>
      </w:r>
      <w:r w:rsidR="00700267" w:rsidRPr="006D1C74">
        <w:rPr>
          <w:rFonts w:asciiTheme="majorHAnsi" w:hAnsiTheme="majorHAnsi"/>
          <w:sz w:val="20"/>
          <w:szCs w:val="20"/>
          <w:lang w:val="pt-BR"/>
        </w:rPr>
        <w:t>ais</w:t>
      </w:r>
      <w:r w:rsidR="002649F0" w:rsidRPr="006D1C74">
        <w:rPr>
          <w:rFonts w:asciiTheme="majorHAnsi" w:hAnsiTheme="majorHAnsi"/>
          <w:sz w:val="20"/>
          <w:szCs w:val="20"/>
          <w:lang w:val="pt-BR"/>
        </w:rPr>
        <w:t xml:space="preserve"> infligidas</w:t>
      </w:r>
      <w:r w:rsidR="00135454" w:rsidRPr="006D1C74">
        <w:rPr>
          <w:rFonts w:asciiTheme="majorHAnsi" w:hAnsiTheme="majorHAnsi"/>
          <w:sz w:val="20"/>
          <w:szCs w:val="20"/>
          <w:lang w:val="pt-BR"/>
        </w:rPr>
        <w:t xml:space="preserve"> aos </w:t>
      </w:r>
      <w:r w:rsidR="00700267" w:rsidRPr="006D1C74">
        <w:rPr>
          <w:rFonts w:asciiTheme="majorHAnsi" w:hAnsiTheme="majorHAnsi"/>
          <w:sz w:val="20"/>
          <w:szCs w:val="20"/>
          <w:lang w:val="pt-BR"/>
        </w:rPr>
        <w:t>trabalh</w:t>
      </w:r>
      <w:r w:rsidR="002649F0" w:rsidRPr="006D1C74">
        <w:rPr>
          <w:rFonts w:asciiTheme="majorHAnsi" w:hAnsiTheme="majorHAnsi"/>
          <w:sz w:val="20"/>
          <w:szCs w:val="20"/>
          <w:lang w:val="pt-BR"/>
        </w:rPr>
        <w:t>adores</w:t>
      </w:r>
      <w:r w:rsidR="000A4A79" w:rsidRPr="006D1C74">
        <w:rPr>
          <w:rFonts w:asciiTheme="majorHAnsi" w:hAnsiTheme="majorHAnsi"/>
          <w:sz w:val="20"/>
          <w:szCs w:val="20"/>
          <w:lang w:val="pt-BR"/>
        </w:rPr>
        <w:t>.</w:t>
      </w:r>
      <w:r w:rsidR="002649F0" w:rsidRPr="006D1C74">
        <w:rPr>
          <w:rFonts w:asciiTheme="majorHAnsi" w:hAnsiTheme="majorHAnsi"/>
          <w:sz w:val="20"/>
          <w:szCs w:val="20"/>
          <w:lang w:val="pt-BR"/>
        </w:rPr>
        <w:t xml:space="preserve"> </w:t>
      </w:r>
      <w:r w:rsidR="00B42161" w:rsidRPr="006D1C74">
        <w:rPr>
          <w:rFonts w:asciiTheme="majorHAnsi" w:hAnsiTheme="majorHAnsi"/>
          <w:sz w:val="20"/>
          <w:szCs w:val="20"/>
          <w:lang w:val="pt-BR"/>
        </w:rPr>
        <w:t>A</w:t>
      </w:r>
      <w:r w:rsidR="002649F0" w:rsidRPr="006D1C74">
        <w:rPr>
          <w:rFonts w:asciiTheme="majorHAnsi" w:hAnsiTheme="majorHAnsi"/>
          <w:sz w:val="20"/>
          <w:szCs w:val="20"/>
          <w:lang w:val="pt-BR"/>
        </w:rPr>
        <w:t xml:space="preserve"> </w:t>
      </w:r>
      <w:r w:rsidR="00417BE8" w:rsidRPr="006D1C74">
        <w:rPr>
          <w:rFonts w:asciiTheme="majorHAnsi" w:hAnsiTheme="majorHAnsi"/>
          <w:sz w:val="20"/>
          <w:szCs w:val="20"/>
          <w:lang w:val="pt-BR"/>
        </w:rPr>
        <w:t>Comissão</w:t>
      </w:r>
      <w:r w:rsidR="002649F0" w:rsidRPr="006D1C74">
        <w:rPr>
          <w:rFonts w:asciiTheme="majorHAnsi" w:hAnsiTheme="majorHAnsi"/>
          <w:sz w:val="20"/>
          <w:szCs w:val="20"/>
          <w:lang w:val="pt-BR"/>
        </w:rPr>
        <w:t xml:space="preserve"> </w:t>
      </w:r>
      <w:r w:rsidRPr="006D1C74">
        <w:rPr>
          <w:rFonts w:asciiTheme="majorHAnsi" w:hAnsiTheme="majorHAnsi"/>
          <w:sz w:val="20"/>
          <w:szCs w:val="20"/>
          <w:lang w:val="pt-BR"/>
        </w:rPr>
        <w:t>assinala</w:t>
      </w:r>
      <w:r w:rsidR="002649F0" w:rsidRPr="006D1C74">
        <w:rPr>
          <w:rFonts w:asciiTheme="majorHAnsi" w:hAnsiTheme="majorHAnsi"/>
          <w:sz w:val="20"/>
          <w:szCs w:val="20"/>
          <w:lang w:val="pt-BR"/>
        </w:rPr>
        <w:t xml:space="preserve"> que, a</w:t>
      </w:r>
      <w:r w:rsidR="00642AA4" w:rsidRPr="006D1C74">
        <w:rPr>
          <w:rFonts w:asciiTheme="majorHAnsi" w:hAnsiTheme="majorHAnsi"/>
          <w:sz w:val="20"/>
          <w:szCs w:val="20"/>
          <w:lang w:val="pt-BR"/>
        </w:rPr>
        <w:t>lém</w:t>
      </w:r>
      <w:r w:rsidR="002649F0" w:rsidRPr="006D1C74">
        <w:rPr>
          <w:rFonts w:asciiTheme="majorHAnsi" w:hAnsiTheme="majorHAnsi"/>
          <w:sz w:val="20"/>
          <w:szCs w:val="20"/>
          <w:lang w:val="pt-BR"/>
        </w:rPr>
        <w:t xml:space="preserve"> de </w:t>
      </w:r>
      <w:r w:rsidR="00700267" w:rsidRPr="006D1C74">
        <w:rPr>
          <w:rFonts w:asciiTheme="majorHAnsi" w:hAnsiTheme="majorHAnsi"/>
          <w:sz w:val="20"/>
          <w:szCs w:val="20"/>
          <w:lang w:val="pt-BR"/>
        </w:rPr>
        <w:t xml:space="preserve">o </w:t>
      </w:r>
      <w:r w:rsidR="002649F0" w:rsidRPr="006D1C74">
        <w:rPr>
          <w:rFonts w:asciiTheme="majorHAnsi" w:hAnsiTheme="majorHAnsi"/>
          <w:sz w:val="20"/>
          <w:szCs w:val="20"/>
          <w:lang w:val="pt-BR"/>
        </w:rPr>
        <w:t>Estado</w:t>
      </w:r>
      <w:r w:rsidR="00F673C7" w:rsidRPr="006D1C74">
        <w:rPr>
          <w:rFonts w:asciiTheme="majorHAnsi" w:hAnsiTheme="majorHAnsi"/>
          <w:sz w:val="20"/>
          <w:szCs w:val="20"/>
          <w:lang w:val="pt-BR"/>
        </w:rPr>
        <w:t xml:space="preserve"> não </w:t>
      </w:r>
      <w:r w:rsidR="00642AA4" w:rsidRPr="006D1C74">
        <w:rPr>
          <w:rFonts w:asciiTheme="majorHAnsi" w:hAnsiTheme="majorHAnsi"/>
          <w:sz w:val="20"/>
          <w:szCs w:val="20"/>
          <w:lang w:val="pt-BR"/>
        </w:rPr>
        <w:t xml:space="preserve">ter provado </w:t>
      </w:r>
      <w:r w:rsidR="002649F0" w:rsidRPr="006D1C74">
        <w:rPr>
          <w:rFonts w:asciiTheme="majorHAnsi" w:hAnsiTheme="majorHAnsi"/>
          <w:sz w:val="20"/>
          <w:szCs w:val="20"/>
          <w:lang w:val="pt-BR"/>
        </w:rPr>
        <w:t xml:space="preserve">que </w:t>
      </w:r>
      <w:r w:rsidR="00642AA4" w:rsidRPr="006D1C74">
        <w:rPr>
          <w:rFonts w:asciiTheme="majorHAnsi" w:hAnsiTheme="majorHAnsi"/>
          <w:sz w:val="20"/>
          <w:szCs w:val="20"/>
          <w:lang w:val="pt-BR"/>
        </w:rPr>
        <w:t xml:space="preserve">tenham sido esgotadas </w:t>
      </w:r>
      <w:r w:rsidR="00700267" w:rsidRPr="006D1C74">
        <w:rPr>
          <w:rFonts w:asciiTheme="majorHAnsi" w:hAnsiTheme="majorHAnsi"/>
          <w:sz w:val="20"/>
          <w:szCs w:val="20"/>
          <w:lang w:val="pt-BR"/>
        </w:rPr>
        <w:t xml:space="preserve">as </w:t>
      </w:r>
      <w:r w:rsidR="002649F0" w:rsidRPr="006D1C74">
        <w:rPr>
          <w:rFonts w:asciiTheme="majorHAnsi" w:hAnsiTheme="majorHAnsi"/>
          <w:sz w:val="20"/>
          <w:szCs w:val="20"/>
          <w:lang w:val="pt-BR"/>
        </w:rPr>
        <w:t>investiga</w:t>
      </w:r>
      <w:r w:rsidR="00CF037E" w:rsidRPr="006D1C74">
        <w:rPr>
          <w:rFonts w:asciiTheme="majorHAnsi" w:hAnsiTheme="majorHAnsi"/>
          <w:sz w:val="20"/>
          <w:szCs w:val="20"/>
          <w:lang w:val="pt-BR"/>
        </w:rPr>
        <w:t>ções</w:t>
      </w:r>
      <w:r w:rsidR="002649F0"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não </w:t>
      </w:r>
      <w:r w:rsidR="002649F0" w:rsidRPr="006D1C74">
        <w:rPr>
          <w:rFonts w:asciiTheme="majorHAnsi" w:hAnsiTheme="majorHAnsi"/>
          <w:sz w:val="20"/>
          <w:szCs w:val="20"/>
          <w:lang w:val="pt-BR"/>
        </w:rPr>
        <w:t xml:space="preserve">se </w:t>
      </w:r>
      <w:r w:rsidR="00642AA4" w:rsidRPr="006D1C74">
        <w:rPr>
          <w:rFonts w:asciiTheme="majorHAnsi" w:hAnsiTheme="majorHAnsi"/>
          <w:sz w:val="20"/>
          <w:szCs w:val="20"/>
          <w:lang w:val="pt-BR"/>
        </w:rPr>
        <w:t>iniciou</w:t>
      </w:r>
      <w:r w:rsidR="002649F0" w:rsidRPr="006D1C74">
        <w:rPr>
          <w:rFonts w:asciiTheme="majorHAnsi" w:hAnsiTheme="majorHAnsi"/>
          <w:sz w:val="20"/>
          <w:szCs w:val="20"/>
          <w:lang w:val="pt-BR"/>
        </w:rPr>
        <w:t xml:space="preserve"> a</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penal</w:t>
      </w:r>
      <w:r w:rsidR="00F673C7" w:rsidRPr="006D1C74">
        <w:rPr>
          <w:rFonts w:asciiTheme="majorHAnsi" w:hAnsiTheme="majorHAnsi"/>
          <w:sz w:val="20"/>
          <w:szCs w:val="20"/>
          <w:lang w:val="pt-BR"/>
        </w:rPr>
        <w:t xml:space="preserve"> com </w:t>
      </w:r>
      <w:r w:rsidR="00156036" w:rsidRPr="006D1C74">
        <w:rPr>
          <w:rFonts w:asciiTheme="majorHAnsi" w:hAnsiTheme="majorHAnsi"/>
          <w:sz w:val="20"/>
          <w:szCs w:val="20"/>
          <w:lang w:val="pt-BR"/>
        </w:rPr>
        <w:t>respeito</w:t>
      </w:r>
      <w:r w:rsidR="00217759" w:rsidRPr="006D1C74">
        <w:rPr>
          <w:rFonts w:asciiTheme="majorHAnsi" w:hAnsiTheme="majorHAnsi"/>
          <w:sz w:val="20"/>
          <w:szCs w:val="20"/>
          <w:lang w:val="pt-BR"/>
        </w:rPr>
        <w:t xml:space="preserve"> ao </w:t>
      </w:r>
      <w:r w:rsidRPr="006D1C74">
        <w:rPr>
          <w:rFonts w:asciiTheme="majorHAnsi" w:hAnsiTheme="majorHAnsi"/>
          <w:sz w:val="20"/>
          <w:szCs w:val="20"/>
          <w:lang w:val="pt-BR"/>
        </w:rPr>
        <w:t>processamento</w:t>
      </w:r>
      <w:r w:rsidR="002649F0" w:rsidRPr="006D1C74">
        <w:rPr>
          <w:rFonts w:asciiTheme="majorHAnsi" w:hAnsiTheme="majorHAnsi"/>
          <w:sz w:val="20"/>
          <w:szCs w:val="20"/>
          <w:lang w:val="pt-BR"/>
        </w:rPr>
        <w:t xml:space="preserve"> judicial</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 xml:space="preserve">delito de </w:t>
      </w:r>
      <w:r w:rsidR="00D74A93" w:rsidRPr="006D1C74">
        <w:rPr>
          <w:rFonts w:asciiTheme="majorHAnsi" w:hAnsiTheme="majorHAnsi"/>
          <w:sz w:val="20"/>
          <w:szCs w:val="20"/>
          <w:lang w:val="pt-BR"/>
        </w:rPr>
        <w:t>lesões</w:t>
      </w:r>
      <w:r w:rsidR="002649F0" w:rsidRPr="006D1C74">
        <w:rPr>
          <w:rFonts w:asciiTheme="majorHAnsi" w:hAnsiTheme="majorHAnsi"/>
          <w:sz w:val="20"/>
          <w:szCs w:val="20"/>
          <w:lang w:val="pt-BR"/>
        </w:rPr>
        <w:t xml:space="preserve"> corpor</w:t>
      </w:r>
      <w:r w:rsidR="00700267" w:rsidRPr="006D1C74">
        <w:rPr>
          <w:rFonts w:asciiTheme="majorHAnsi" w:hAnsiTheme="majorHAnsi"/>
          <w:sz w:val="20"/>
          <w:szCs w:val="20"/>
          <w:lang w:val="pt-BR"/>
        </w:rPr>
        <w:t>ais</w:t>
      </w:r>
      <w:r w:rsidR="002649F0" w:rsidRPr="006D1C74">
        <w:rPr>
          <w:rFonts w:asciiTheme="majorHAnsi" w:hAnsiTheme="majorHAnsi"/>
          <w:sz w:val="20"/>
          <w:szCs w:val="20"/>
          <w:lang w:val="pt-BR"/>
        </w:rPr>
        <w:t>,</w:t>
      </w:r>
      <w:r w:rsidR="00B146A8" w:rsidRPr="006D1C74">
        <w:rPr>
          <w:rFonts w:asciiTheme="majorHAnsi" w:hAnsiTheme="majorHAnsi"/>
          <w:sz w:val="20"/>
          <w:szCs w:val="20"/>
          <w:lang w:val="pt-BR"/>
        </w:rPr>
        <w:t xml:space="preserve"> o </w:t>
      </w:r>
      <w:r w:rsidR="00642AA4" w:rsidRPr="006D1C74">
        <w:rPr>
          <w:rFonts w:asciiTheme="majorHAnsi" w:hAnsiTheme="majorHAnsi"/>
          <w:sz w:val="20"/>
          <w:szCs w:val="20"/>
          <w:lang w:val="pt-BR"/>
        </w:rPr>
        <w:t>que</w:t>
      </w:r>
      <w:r w:rsidR="002649F0" w:rsidRPr="006D1C74">
        <w:rPr>
          <w:rFonts w:asciiTheme="majorHAnsi" w:hAnsiTheme="majorHAnsi"/>
          <w:sz w:val="20"/>
          <w:szCs w:val="20"/>
          <w:lang w:val="pt-BR"/>
        </w:rPr>
        <w:t xml:space="preserve"> m</w:t>
      </w:r>
      <w:r w:rsidR="00642AA4" w:rsidRPr="006D1C74">
        <w:rPr>
          <w:rFonts w:asciiTheme="majorHAnsi" w:hAnsiTheme="majorHAnsi"/>
          <w:sz w:val="20"/>
          <w:szCs w:val="20"/>
          <w:lang w:val="pt-BR"/>
        </w:rPr>
        <w:t>o</w:t>
      </w:r>
      <w:r w:rsidR="002649F0" w:rsidRPr="006D1C74">
        <w:rPr>
          <w:rFonts w:asciiTheme="majorHAnsi" w:hAnsiTheme="majorHAnsi"/>
          <w:sz w:val="20"/>
          <w:szCs w:val="20"/>
          <w:lang w:val="pt-BR"/>
        </w:rPr>
        <w:t>stra que</w:t>
      </w:r>
      <w:r w:rsidR="00700267" w:rsidRPr="006D1C74">
        <w:rPr>
          <w:rFonts w:asciiTheme="majorHAnsi" w:hAnsiTheme="majorHAnsi"/>
          <w:sz w:val="20"/>
          <w:szCs w:val="20"/>
          <w:lang w:val="pt-BR"/>
        </w:rPr>
        <w:t xml:space="preserve"> a </w:t>
      </w:r>
      <w:r w:rsidR="002649F0" w:rsidRPr="006D1C74">
        <w:rPr>
          <w:rFonts w:asciiTheme="majorHAnsi" w:hAnsiTheme="majorHAnsi"/>
          <w:sz w:val="20"/>
          <w:szCs w:val="20"/>
          <w:lang w:val="pt-BR"/>
        </w:rPr>
        <w:t>investiga</w:t>
      </w:r>
      <w:r w:rsidR="00CF037E" w:rsidRPr="006D1C74">
        <w:rPr>
          <w:rFonts w:asciiTheme="majorHAnsi" w:hAnsiTheme="majorHAnsi"/>
          <w:sz w:val="20"/>
          <w:szCs w:val="20"/>
          <w:lang w:val="pt-BR"/>
        </w:rPr>
        <w:t>ção</w:t>
      </w:r>
      <w:r w:rsidR="00F673C7" w:rsidRPr="006D1C74">
        <w:rPr>
          <w:rFonts w:asciiTheme="majorHAnsi" w:hAnsiTheme="majorHAnsi"/>
          <w:sz w:val="20"/>
          <w:szCs w:val="20"/>
          <w:lang w:val="pt-BR"/>
        </w:rPr>
        <w:t xml:space="preserve"> não </w:t>
      </w:r>
      <w:r w:rsidR="00642AA4" w:rsidRPr="006D1C74">
        <w:rPr>
          <w:rFonts w:asciiTheme="majorHAnsi" w:hAnsiTheme="majorHAnsi"/>
          <w:sz w:val="20"/>
          <w:szCs w:val="20"/>
          <w:lang w:val="pt-BR"/>
        </w:rPr>
        <w:t>foi feita</w:t>
      </w:r>
      <w:r w:rsidR="00F673C7" w:rsidRPr="006D1C74">
        <w:rPr>
          <w:rFonts w:asciiTheme="majorHAnsi" w:hAnsiTheme="majorHAnsi"/>
          <w:sz w:val="20"/>
          <w:szCs w:val="20"/>
          <w:lang w:val="pt-BR"/>
        </w:rPr>
        <w:t xml:space="preserve"> com </w:t>
      </w:r>
      <w:r w:rsidR="00700267" w:rsidRPr="006D1C74">
        <w:rPr>
          <w:rFonts w:asciiTheme="majorHAnsi" w:hAnsiTheme="majorHAnsi"/>
          <w:sz w:val="20"/>
          <w:szCs w:val="20"/>
          <w:lang w:val="pt-BR"/>
        </w:rPr>
        <w:t xml:space="preserve">a </w:t>
      </w:r>
      <w:r w:rsidR="002649F0" w:rsidRPr="006D1C74">
        <w:rPr>
          <w:rFonts w:asciiTheme="majorHAnsi" w:hAnsiTheme="majorHAnsi"/>
          <w:sz w:val="20"/>
          <w:szCs w:val="20"/>
          <w:lang w:val="pt-BR"/>
        </w:rPr>
        <w:t>suficiente dilig</w:t>
      </w:r>
      <w:r w:rsidR="00981A34">
        <w:rPr>
          <w:rFonts w:asciiTheme="majorHAnsi" w:hAnsiTheme="majorHAnsi"/>
          <w:sz w:val="20"/>
          <w:szCs w:val="20"/>
          <w:lang w:val="pt-BR"/>
        </w:rPr>
        <w:t>ê</w:t>
      </w:r>
      <w:r w:rsidR="002649F0" w:rsidRPr="006D1C74">
        <w:rPr>
          <w:rFonts w:asciiTheme="majorHAnsi" w:hAnsiTheme="majorHAnsi"/>
          <w:sz w:val="20"/>
          <w:szCs w:val="20"/>
          <w:lang w:val="pt-BR"/>
        </w:rPr>
        <w:t>ncia para obter pr</w:t>
      </w:r>
      <w:r w:rsidR="00642AA4" w:rsidRPr="006D1C74">
        <w:rPr>
          <w:rFonts w:asciiTheme="majorHAnsi" w:hAnsiTheme="majorHAnsi"/>
          <w:sz w:val="20"/>
          <w:szCs w:val="20"/>
          <w:lang w:val="pt-BR"/>
        </w:rPr>
        <w:t>ov</w:t>
      </w:r>
      <w:r w:rsidR="002649F0" w:rsidRPr="006D1C74">
        <w:rPr>
          <w:rFonts w:asciiTheme="majorHAnsi" w:hAnsiTheme="majorHAnsi"/>
          <w:sz w:val="20"/>
          <w:szCs w:val="20"/>
          <w:lang w:val="pt-BR"/>
        </w:rPr>
        <w:t>as</w:t>
      </w:r>
      <w:r w:rsidR="00D74A93" w:rsidRPr="006D1C74">
        <w:rPr>
          <w:rFonts w:asciiTheme="majorHAnsi" w:hAnsiTheme="majorHAnsi"/>
          <w:sz w:val="20"/>
          <w:szCs w:val="20"/>
          <w:lang w:val="pt-BR"/>
        </w:rPr>
        <w:t xml:space="preserve"> das lesões</w:t>
      </w:r>
      <w:r w:rsidR="002649F0" w:rsidRPr="006D1C74">
        <w:rPr>
          <w:rFonts w:asciiTheme="majorHAnsi" w:hAnsiTheme="majorHAnsi"/>
          <w:sz w:val="20"/>
          <w:szCs w:val="20"/>
          <w:lang w:val="pt-BR"/>
        </w:rPr>
        <w:t xml:space="preserve">, </w:t>
      </w:r>
      <w:r w:rsidR="00642AA4" w:rsidRPr="006D1C74">
        <w:rPr>
          <w:rFonts w:asciiTheme="majorHAnsi" w:hAnsiTheme="majorHAnsi"/>
          <w:sz w:val="20"/>
          <w:szCs w:val="20"/>
          <w:lang w:val="pt-BR"/>
        </w:rPr>
        <w:t>a</w:t>
      </w:r>
      <w:r w:rsidR="002649F0" w:rsidRPr="006D1C74">
        <w:rPr>
          <w:rFonts w:asciiTheme="majorHAnsi" w:hAnsiTheme="majorHAnsi"/>
          <w:sz w:val="20"/>
          <w:szCs w:val="20"/>
          <w:lang w:val="pt-BR"/>
        </w:rPr>
        <w:t xml:space="preserve">pesar de </w:t>
      </w:r>
      <w:r w:rsidRPr="006D1C74">
        <w:rPr>
          <w:rFonts w:asciiTheme="majorHAnsi" w:hAnsiTheme="majorHAnsi"/>
          <w:sz w:val="20"/>
          <w:szCs w:val="20"/>
          <w:lang w:val="pt-BR"/>
        </w:rPr>
        <w:t>alguns</w:t>
      </w:r>
      <w:r w:rsidR="002649F0" w:rsidRPr="006D1C74">
        <w:rPr>
          <w:rFonts w:asciiTheme="majorHAnsi" w:hAnsiTheme="majorHAnsi"/>
          <w:sz w:val="20"/>
          <w:szCs w:val="20"/>
          <w:lang w:val="pt-BR"/>
        </w:rPr>
        <w:t xml:space="preserve"> </w:t>
      </w:r>
      <w:r w:rsidR="00135454" w:rsidRPr="006D1C74">
        <w:rPr>
          <w:rFonts w:asciiTheme="majorHAnsi" w:hAnsiTheme="majorHAnsi"/>
          <w:sz w:val="20"/>
          <w:szCs w:val="20"/>
          <w:lang w:val="pt-BR"/>
        </w:rPr>
        <w:t>ferid</w:t>
      </w:r>
      <w:r w:rsidR="002649F0" w:rsidRPr="006D1C74">
        <w:rPr>
          <w:rFonts w:asciiTheme="majorHAnsi" w:hAnsiTheme="majorHAnsi"/>
          <w:sz w:val="20"/>
          <w:szCs w:val="20"/>
          <w:lang w:val="pt-BR"/>
        </w:rPr>
        <w:t xml:space="preserve">os </w:t>
      </w:r>
      <w:r w:rsidR="00642AA4" w:rsidRPr="006D1C74">
        <w:rPr>
          <w:rFonts w:asciiTheme="majorHAnsi" w:hAnsiTheme="majorHAnsi"/>
          <w:sz w:val="20"/>
          <w:szCs w:val="20"/>
          <w:lang w:val="pt-BR"/>
        </w:rPr>
        <w:t>terem sido encaminhados</w:t>
      </w:r>
      <w:r w:rsidR="00217759" w:rsidRPr="006D1C74">
        <w:rPr>
          <w:rFonts w:asciiTheme="majorHAnsi" w:hAnsiTheme="majorHAnsi"/>
          <w:sz w:val="20"/>
          <w:szCs w:val="20"/>
          <w:lang w:val="pt-BR"/>
        </w:rPr>
        <w:t xml:space="preserve"> ao </w:t>
      </w:r>
      <w:r w:rsidR="002649F0" w:rsidRPr="006D1C74">
        <w:rPr>
          <w:rFonts w:asciiTheme="majorHAnsi" w:hAnsiTheme="majorHAnsi"/>
          <w:sz w:val="20"/>
          <w:szCs w:val="20"/>
          <w:lang w:val="pt-BR"/>
        </w:rPr>
        <w:t>Instituto Médico Legal para</w:t>
      </w:r>
      <w:r w:rsidR="00030019" w:rsidRPr="006D1C74">
        <w:rPr>
          <w:rFonts w:asciiTheme="majorHAnsi" w:hAnsiTheme="majorHAnsi"/>
          <w:sz w:val="20"/>
          <w:szCs w:val="20"/>
          <w:lang w:val="pt-BR"/>
        </w:rPr>
        <w:t xml:space="preserve"> um </w:t>
      </w:r>
      <w:r w:rsidRPr="006D1C74">
        <w:rPr>
          <w:rFonts w:asciiTheme="majorHAnsi" w:hAnsiTheme="majorHAnsi"/>
          <w:sz w:val="20"/>
          <w:szCs w:val="20"/>
          <w:lang w:val="pt-BR"/>
        </w:rPr>
        <w:t>exame</w:t>
      </w:r>
      <w:r w:rsidR="002649F0" w:rsidRPr="006D1C74">
        <w:rPr>
          <w:rFonts w:asciiTheme="majorHAnsi" w:hAnsiTheme="majorHAnsi"/>
          <w:sz w:val="20"/>
          <w:szCs w:val="20"/>
          <w:lang w:val="pt-BR"/>
        </w:rPr>
        <w:t xml:space="preserve"> físico. </w:t>
      </w:r>
    </w:p>
    <w:p w14:paraId="6C8CC6CC" w14:textId="77777777" w:rsidR="002649F0" w:rsidRPr="006D1C74" w:rsidRDefault="002649F0" w:rsidP="002649F0">
      <w:pPr>
        <w:ind w:left="720"/>
        <w:rPr>
          <w:rFonts w:asciiTheme="majorHAnsi" w:eastAsia="Cambria" w:hAnsiTheme="majorHAnsi" w:cs="Cambria"/>
          <w:color w:val="000000"/>
          <w:sz w:val="20"/>
          <w:szCs w:val="20"/>
          <w:u w:color="000000"/>
          <w:lang w:val="pt-BR" w:eastAsia="es-ES"/>
        </w:rPr>
      </w:pPr>
    </w:p>
    <w:p w14:paraId="6FB37046" w14:textId="77777777" w:rsidR="002A2EB3" w:rsidRPr="006D1C74" w:rsidRDefault="002649F0" w:rsidP="00621E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 xml:space="preserve">Por </w:t>
      </w:r>
      <w:r w:rsidR="00CF037E" w:rsidRPr="006D1C74">
        <w:rPr>
          <w:rFonts w:asciiTheme="majorHAnsi" w:hAnsiTheme="majorHAnsi"/>
          <w:sz w:val="20"/>
          <w:szCs w:val="20"/>
          <w:lang w:val="pt-BR"/>
        </w:rPr>
        <w:t>outr</w:t>
      </w:r>
      <w:r w:rsidR="00642AA4" w:rsidRPr="006D1C74">
        <w:rPr>
          <w:rFonts w:asciiTheme="majorHAnsi" w:hAnsiTheme="majorHAnsi"/>
          <w:sz w:val="20"/>
          <w:szCs w:val="20"/>
          <w:lang w:val="pt-BR"/>
        </w:rPr>
        <w:t>o lado</w:t>
      </w:r>
      <w:r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w:t>
      </w:r>
      <w:r w:rsidR="00642AA4" w:rsidRPr="006D1C74">
        <w:rPr>
          <w:rFonts w:asciiTheme="majorHAnsi" w:hAnsiTheme="majorHAnsi"/>
          <w:sz w:val="20"/>
          <w:szCs w:val="20"/>
          <w:lang w:val="pt-BR"/>
        </w:rPr>
        <w:t>q</w:t>
      </w:r>
      <w:r w:rsidRPr="006D1C74">
        <w:rPr>
          <w:rFonts w:asciiTheme="majorHAnsi" w:hAnsiTheme="majorHAnsi"/>
          <w:sz w:val="20"/>
          <w:szCs w:val="20"/>
          <w:lang w:val="pt-BR"/>
        </w:rPr>
        <w:t>uanto</w:t>
      </w:r>
      <w:r w:rsidR="00217759" w:rsidRPr="006D1C74">
        <w:rPr>
          <w:rFonts w:asciiTheme="majorHAnsi" w:hAnsiTheme="majorHAnsi"/>
          <w:sz w:val="20"/>
          <w:szCs w:val="20"/>
          <w:lang w:val="pt-BR"/>
        </w:rPr>
        <w:t xml:space="preserve"> ao </w:t>
      </w:r>
      <w:r w:rsidR="00AB7F30" w:rsidRPr="006D1C74">
        <w:rPr>
          <w:rFonts w:asciiTheme="majorHAnsi" w:hAnsiTheme="majorHAnsi"/>
          <w:sz w:val="20"/>
          <w:szCs w:val="20"/>
          <w:lang w:val="pt-BR"/>
        </w:rPr>
        <w:t>processo</w:t>
      </w:r>
      <w:r w:rsidRPr="006D1C74">
        <w:rPr>
          <w:rFonts w:asciiTheme="majorHAnsi" w:hAnsiTheme="majorHAnsi"/>
          <w:sz w:val="20"/>
          <w:szCs w:val="20"/>
          <w:lang w:val="pt-BR"/>
        </w:rPr>
        <w:t xml:space="preserve"> de repara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substanciado</w:t>
      </w:r>
      <w:r w:rsidR="00FC2F62" w:rsidRPr="006D1C74">
        <w:rPr>
          <w:rFonts w:asciiTheme="majorHAnsi" w:hAnsiTheme="majorHAnsi"/>
          <w:sz w:val="20"/>
          <w:szCs w:val="20"/>
          <w:lang w:val="pt-BR"/>
        </w:rPr>
        <w:t xml:space="preserve"> no </w:t>
      </w:r>
      <w:r w:rsidR="003171F3" w:rsidRPr="006D1C74">
        <w:rPr>
          <w:rFonts w:asciiTheme="majorHAnsi" w:hAnsiTheme="majorHAnsi"/>
          <w:sz w:val="20"/>
          <w:szCs w:val="20"/>
          <w:lang w:val="pt-BR"/>
        </w:rPr>
        <w:t>âmbito</w:t>
      </w:r>
      <w:r w:rsidRPr="006D1C74">
        <w:rPr>
          <w:rFonts w:asciiTheme="majorHAnsi" w:hAnsiTheme="majorHAnsi"/>
          <w:sz w:val="20"/>
          <w:szCs w:val="20"/>
          <w:lang w:val="pt-BR"/>
        </w:rPr>
        <w:t xml:space="preserve"> civil</w:t>
      </w:r>
      <w:r w:rsidR="00BD3AB3" w:rsidRPr="006D1C74">
        <w:rPr>
          <w:rFonts w:asciiTheme="majorHAnsi" w:hAnsiTheme="majorHAnsi"/>
          <w:sz w:val="20"/>
          <w:szCs w:val="20"/>
          <w:lang w:val="pt-BR"/>
        </w:rPr>
        <w:t xml:space="preserve"> pelos </w:t>
      </w:r>
      <w:r w:rsidR="001E2392" w:rsidRPr="006D1C74">
        <w:rPr>
          <w:rFonts w:asciiTheme="majorHAnsi" w:hAnsiTheme="majorHAnsi"/>
          <w:sz w:val="20"/>
          <w:szCs w:val="20"/>
          <w:lang w:val="pt-BR"/>
        </w:rPr>
        <w:t>familiares</w:t>
      </w:r>
      <w:r w:rsidRPr="006D1C74">
        <w:rPr>
          <w:rFonts w:asciiTheme="majorHAnsi" w:hAnsiTheme="majorHAnsi"/>
          <w:sz w:val="20"/>
          <w:szCs w:val="20"/>
          <w:lang w:val="pt-BR"/>
        </w:rPr>
        <w:t xml:space="preserve"> de Antonio Tavares Pereira,</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007D4C46"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recorda</w:t>
      </w:r>
      <w:r w:rsidR="007D4C46" w:rsidRPr="006D1C74">
        <w:rPr>
          <w:rFonts w:asciiTheme="majorHAnsi" w:hAnsiTheme="majorHAnsi"/>
          <w:sz w:val="20"/>
          <w:szCs w:val="20"/>
          <w:lang w:val="pt-BR"/>
        </w:rPr>
        <w:t xml:space="preserve"> que</w:t>
      </w:r>
      <w:r w:rsidR="00700267" w:rsidRPr="006D1C74">
        <w:rPr>
          <w:rFonts w:asciiTheme="majorHAnsi" w:hAnsiTheme="majorHAnsi"/>
          <w:sz w:val="20"/>
          <w:szCs w:val="20"/>
          <w:lang w:val="pt-BR"/>
        </w:rPr>
        <w:t xml:space="preserve"> o </w:t>
      </w:r>
      <w:r w:rsidR="00585D35" w:rsidRPr="006D1C74">
        <w:rPr>
          <w:rFonts w:asciiTheme="majorHAnsi" w:hAnsiTheme="majorHAnsi"/>
          <w:sz w:val="20"/>
          <w:szCs w:val="20"/>
          <w:lang w:val="pt-BR"/>
        </w:rPr>
        <w:t>dev</w:t>
      </w:r>
      <w:r w:rsidR="007D4C46" w:rsidRPr="006D1C74">
        <w:rPr>
          <w:rFonts w:asciiTheme="majorHAnsi" w:hAnsiTheme="majorHAnsi"/>
          <w:sz w:val="20"/>
          <w:szCs w:val="20"/>
          <w:lang w:val="pt-BR"/>
        </w:rPr>
        <w:t>er de repara</w:t>
      </w:r>
      <w:r w:rsidR="00CF037E" w:rsidRPr="006D1C74">
        <w:rPr>
          <w:rFonts w:asciiTheme="majorHAnsi" w:hAnsiTheme="majorHAnsi"/>
          <w:sz w:val="20"/>
          <w:szCs w:val="20"/>
          <w:lang w:val="pt-BR"/>
        </w:rPr>
        <w:t>ção</w:t>
      </w:r>
      <w:r w:rsidR="00F37852" w:rsidRPr="006D1C74">
        <w:rPr>
          <w:rFonts w:asciiTheme="majorHAnsi" w:hAnsiTheme="majorHAnsi"/>
          <w:sz w:val="20"/>
          <w:szCs w:val="20"/>
          <w:lang w:val="pt-BR"/>
        </w:rPr>
        <w:t xml:space="preserve"> é </w:t>
      </w:r>
      <w:r w:rsidR="003171F3" w:rsidRPr="006D1C74">
        <w:rPr>
          <w:rFonts w:asciiTheme="majorHAnsi" w:hAnsiTheme="majorHAnsi"/>
          <w:sz w:val="20"/>
          <w:szCs w:val="20"/>
          <w:lang w:val="pt-BR"/>
        </w:rPr>
        <w:t>próprio</w:t>
      </w:r>
      <w:r w:rsidR="00030019" w:rsidRPr="006D1C74">
        <w:rPr>
          <w:rFonts w:asciiTheme="majorHAnsi" w:hAnsiTheme="majorHAnsi"/>
          <w:sz w:val="20"/>
          <w:szCs w:val="20"/>
          <w:lang w:val="pt-BR"/>
        </w:rPr>
        <w:t xml:space="preserve"> do </w:t>
      </w:r>
      <w:r w:rsidR="007D4C46" w:rsidRPr="006D1C74">
        <w:rPr>
          <w:rFonts w:asciiTheme="majorHAnsi" w:hAnsiTheme="majorHAnsi"/>
          <w:sz w:val="20"/>
          <w:szCs w:val="20"/>
          <w:lang w:val="pt-BR"/>
        </w:rPr>
        <w:t>Estado</w:t>
      </w:r>
      <w:r w:rsidR="00CF037E" w:rsidRPr="006D1C74">
        <w:rPr>
          <w:rFonts w:asciiTheme="majorHAnsi" w:hAnsiTheme="majorHAnsi"/>
          <w:sz w:val="20"/>
          <w:szCs w:val="20"/>
          <w:lang w:val="pt-BR"/>
        </w:rPr>
        <w:t xml:space="preserve"> e</w:t>
      </w:r>
      <w:r w:rsidR="00700267" w:rsidRPr="006D1C74">
        <w:rPr>
          <w:rFonts w:asciiTheme="majorHAnsi" w:hAnsiTheme="majorHAnsi"/>
          <w:sz w:val="20"/>
          <w:szCs w:val="20"/>
          <w:lang w:val="pt-BR"/>
        </w:rPr>
        <w:t xml:space="preserve"> os </w:t>
      </w:r>
      <w:r w:rsidR="007D4C46" w:rsidRPr="006D1C74">
        <w:rPr>
          <w:rFonts w:asciiTheme="majorHAnsi" w:hAnsiTheme="majorHAnsi"/>
          <w:sz w:val="20"/>
          <w:szCs w:val="20"/>
          <w:lang w:val="pt-BR"/>
        </w:rPr>
        <w:t>recursos que</w:t>
      </w:r>
      <w:r w:rsidR="00F37852" w:rsidRPr="006D1C74">
        <w:rPr>
          <w:rFonts w:asciiTheme="majorHAnsi" w:hAnsiTheme="majorHAnsi"/>
          <w:sz w:val="20"/>
          <w:szCs w:val="20"/>
          <w:lang w:val="pt-BR"/>
        </w:rPr>
        <w:t xml:space="preserve"> são </w:t>
      </w:r>
      <w:r w:rsidR="00642AA4" w:rsidRPr="006D1C74">
        <w:rPr>
          <w:rFonts w:asciiTheme="majorHAnsi" w:hAnsiTheme="majorHAnsi"/>
          <w:sz w:val="20"/>
          <w:szCs w:val="20"/>
          <w:lang w:val="pt-BR"/>
        </w:rPr>
        <w:t>es</w:t>
      </w:r>
      <w:r w:rsidR="007D4C46" w:rsidRPr="006D1C74">
        <w:rPr>
          <w:rFonts w:asciiTheme="majorHAnsi" w:hAnsiTheme="majorHAnsi"/>
          <w:sz w:val="20"/>
          <w:szCs w:val="20"/>
          <w:lang w:val="pt-BR"/>
        </w:rPr>
        <w:t>gotados</w:t>
      </w:r>
      <w:r w:rsidR="00F37852" w:rsidRPr="006D1C74">
        <w:rPr>
          <w:rFonts w:asciiTheme="majorHAnsi" w:hAnsiTheme="majorHAnsi"/>
          <w:sz w:val="20"/>
          <w:szCs w:val="20"/>
          <w:lang w:val="pt-BR"/>
        </w:rPr>
        <w:t xml:space="preserve"> pelas </w:t>
      </w:r>
      <w:r w:rsidR="00795010" w:rsidRPr="006D1C74">
        <w:rPr>
          <w:rFonts w:asciiTheme="majorHAnsi" w:hAnsiTheme="majorHAnsi"/>
          <w:sz w:val="20"/>
          <w:szCs w:val="20"/>
          <w:lang w:val="pt-BR"/>
        </w:rPr>
        <w:t>suposta</w:t>
      </w:r>
      <w:r w:rsidR="007D4C46" w:rsidRPr="006D1C74">
        <w:rPr>
          <w:rFonts w:asciiTheme="majorHAnsi" w:hAnsiTheme="majorHAnsi"/>
          <w:sz w:val="20"/>
          <w:szCs w:val="20"/>
          <w:lang w:val="pt-BR"/>
        </w:rPr>
        <w:t xml:space="preserve">s </w:t>
      </w:r>
      <w:r w:rsidR="00795010" w:rsidRPr="006D1C74">
        <w:rPr>
          <w:rFonts w:asciiTheme="majorHAnsi" w:hAnsiTheme="majorHAnsi"/>
          <w:sz w:val="20"/>
          <w:szCs w:val="20"/>
          <w:lang w:val="pt-BR"/>
        </w:rPr>
        <w:t>vítima</w:t>
      </w:r>
      <w:r w:rsidR="007D4C46" w:rsidRPr="006D1C74">
        <w:rPr>
          <w:rFonts w:asciiTheme="majorHAnsi" w:hAnsiTheme="majorHAnsi"/>
          <w:sz w:val="20"/>
          <w:szCs w:val="20"/>
          <w:lang w:val="pt-BR"/>
        </w:rPr>
        <w:t>s</w:t>
      </w:r>
      <w:r w:rsidR="00D23C1B" w:rsidRPr="006D1C74">
        <w:rPr>
          <w:rFonts w:asciiTheme="majorHAnsi" w:hAnsiTheme="majorHAnsi"/>
          <w:sz w:val="20"/>
          <w:szCs w:val="20"/>
          <w:lang w:val="pt-BR"/>
        </w:rPr>
        <w:t>,</w:t>
      </w:r>
      <w:r w:rsidR="007D4C46" w:rsidRPr="006D1C74">
        <w:rPr>
          <w:rFonts w:asciiTheme="majorHAnsi" w:hAnsiTheme="majorHAnsi"/>
          <w:sz w:val="20"/>
          <w:szCs w:val="20"/>
          <w:lang w:val="pt-BR"/>
        </w:rPr>
        <w:t xml:space="preserve"> por </w:t>
      </w:r>
      <w:r w:rsidR="003171F3" w:rsidRPr="006D1C74">
        <w:rPr>
          <w:rFonts w:asciiTheme="majorHAnsi" w:hAnsiTheme="majorHAnsi"/>
          <w:sz w:val="20"/>
          <w:szCs w:val="20"/>
          <w:lang w:val="pt-BR"/>
        </w:rPr>
        <w:t>exemplo</w:t>
      </w:r>
      <w:r w:rsidR="00D23C1B"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em </w:t>
      </w:r>
      <w:r w:rsidR="007D4C46" w:rsidRPr="006D1C74">
        <w:rPr>
          <w:rFonts w:asciiTheme="majorHAnsi" w:hAnsiTheme="majorHAnsi"/>
          <w:sz w:val="20"/>
          <w:szCs w:val="20"/>
          <w:lang w:val="pt-BR"/>
        </w:rPr>
        <w:t>jurisdi</w:t>
      </w:r>
      <w:r w:rsidR="006E610A" w:rsidRPr="006D1C74">
        <w:rPr>
          <w:rFonts w:asciiTheme="majorHAnsi" w:hAnsiTheme="majorHAnsi"/>
          <w:sz w:val="20"/>
          <w:szCs w:val="20"/>
          <w:lang w:val="pt-BR"/>
        </w:rPr>
        <w:t>ç</w:t>
      </w:r>
      <w:r w:rsidR="00CF037E" w:rsidRPr="006D1C74">
        <w:rPr>
          <w:rFonts w:asciiTheme="majorHAnsi" w:hAnsiTheme="majorHAnsi"/>
          <w:sz w:val="20"/>
          <w:szCs w:val="20"/>
          <w:lang w:val="pt-BR"/>
        </w:rPr>
        <w:t>ões</w:t>
      </w:r>
      <w:r w:rsidR="007D4C46" w:rsidRPr="006D1C74">
        <w:rPr>
          <w:rFonts w:asciiTheme="majorHAnsi" w:hAnsiTheme="majorHAnsi"/>
          <w:sz w:val="20"/>
          <w:szCs w:val="20"/>
          <w:lang w:val="pt-BR"/>
        </w:rPr>
        <w:t xml:space="preserve"> contenciosas administrativas, dirigidas a supervis</w:t>
      </w:r>
      <w:r w:rsidR="00642AA4" w:rsidRPr="006D1C74">
        <w:rPr>
          <w:rFonts w:asciiTheme="majorHAnsi" w:hAnsiTheme="majorHAnsi"/>
          <w:sz w:val="20"/>
          <w:szCs w:val="20"/>
          <w:lang w:val="pt-BR"/>
        </w:rPr>
        <w:t>ion</w:t>
      </w:r>
      <w:r w:rsidR="007D4C46" w:rsidRPr="006D1C74">
        <w:rPr>
          <w:rFonts w:asciiTheme="majorHAnsi" w:hAnsiTheme="majorHAnsi"/>
          <w:sz w:val="20"/>
          <w:szCs w:val="20"/>
          <w:lang w:val="pt-BR"/>
        </w:rPr>
        <w:t>ar</w:t>
      </w:r>
      <w:r w:rsidR="00700267" w:rsidRPr="006D1C74">
        <w:rPr>
          <w:rFonts w:asciiTheme="majorHAnsi" w:hAnsiTheme="majorHAnsi"/>
          <w:sz w:val="20"/>
          <w:szCs w:val="20"/>
          <w:lang w:val="pt-BR"/>
        </w:rPr>
        <w:t xml:space="preserve"> a </w:t>
      </w:r>
      <w:r w:rsidR="003171F3" w:rsidRPr="006D1C74">
        <w:rPr>
          <w:rFonts w:asciiTheme="majorHAnsi" w:hAnsiTheme="majorHAnsi"/>
          <w:sz w:val="20"/>
          <w:szCs w:val="20"/>
          <w:lang w:val="pt-BR"/>
        </w:rPr>
        <w:t>atividade</w:t>
      </w:r>
      <w:r w:rsidR="00F673C7" w:rsidRPr="006D1C74">
        <w:rPr>
          <w:rFonts w:asciiTheme="majorHAnsi" w:hAnsiTheme="majorHAnsi"/>
          <w:sz w:val="20"/>
          <w:szCs w:val="20"/>
          <w:lang w:val="pt-BR"/>
        </w:rPr>
        <w:t xml:space="preserve"> </w:t>
      </w:r>
      <w:r w:rsidR="007D4C46" w:rsidRPr="006D1C74">
        <w:rPr>
          <w:rFonts w:asciiTheme="majorHAnsi" w:hAnsiTheme="majorHAnsi"/>
          <w:sz w:val="20"/>
          <w:szCs w:val="20"/>
          <w:lang w:val="pt-BR"/>
        </w:rPr>
        <w:t>administrativa</w:t>
      </w:r>
      <w:r w:rsidR="00030019" w:rsidRPr="006D1C74">
        <w:rPr>
          <w:rFonts w:asciiTheme="majorHAnsi" w:hAnsiTheme="majorHAnsi"/>
          <w:sz w:val="20"/>
          <w:szCs w:val="20"/>
          <w:lang w:val="pt-BR"/>
        </w:rPr>
        <w:t xml:space="preserve"> do </w:t>
      </w:r>
      <w:r w:rsidR="007D4C46" w:rsidRPr="006D1C74">
        <w:rPr>
          <w:rFonts w:asciiTheme="majorHAnsi" w:hAnsiTheme="majorHAnsi"/>
          <w:sz w:val="20"/>
          <w:szCs w:val="20"/>
          <w:lang w:val="pt-BR"/>
        </w:rPr>
        <w:t>Estado,</w:t>
      </w:r>
      <w:r w:rsidR="00F673C7" w:rsidRPr="006D1C74">
        <w:rPr>
          <w:rFonts w:asciiTheme="majorHAnsi" w:hAnsiTheme="majorHAnsi"/>
          <w:sz w:val="20"/>
          <w:szCs w:val="20"/>
          <w:lang w:val="pt-BR"/>
        </w:rPr>
        <w:t xml:space="preserve"> não </w:t>
      </w:r>
      <w:r w:rsidR="003171F3" w:rsidRPr="006D1C74">
        <w:rPr>
          <w:rFonts w:asciiTheme="majorHAnsi" w:hAnsiTheme="majorHAnsi"/>
          <w:sz w:val="20"/>
          <w:szCs w:val="20"/>
          <w:lang w:val="pt-BR"/>
        </w:rPr>
        <w:t>resultam</w:t>
      </w:r>
      <w:r w:rsidR="007D4C46" w:rsidRPr="006D1C74">
        <w:rPr>
          <w:rFonts w:asciiTheme="majorHAnsi" w:hAnsiTheme="majorHAnsi"/>
          <w:sz w:val="20"/>
          <w:szCs w:val="20"/>
          <w:lang w:val="pt-BR"/>
        </w:rPr>
        <w:t xml:space="preserve"> </w:t>
      </w:r>
      <w:r w:rsidR="007D4C46" w:rsidRPr="006D1C74">
        <w:rPr>
          <w:rFonts w:asciiTheme="majorHAnsi" w:hAnsiTheme="majorHAnsi"/>
          <w:i/>
          <w:sz w:val="20"/>
          <w:szCs w:val="20"/>
          <w:lang w:val="pt-BR"/>
        </w:rPr>
        <w:t>per se</w:t>
      </w:r>
      <w:r w:rsidR="00030019" w:rsidRPr="006D1C74">
        <w:rPr>
          <w:rFonts w:asciiTheme="majorHAnsi" w:hAnsiTheme="majorHAnsi"/>
          <w:i/>
          <w:sz w:val="20"/>
          <w:szCs w:val="20"/>
          <w:lang w:val="pt-BR"/>
        </w:rPr>
        <w:t xml:space="preserve"> </w:t>
      </w:r>
      <w:r w:rsidR="00642AA4" w:rsidRPr="006D1C74">
        <w:rPr>
          <w:rFonts w:asciiTheme="majorHAnsi" w:hAnsiTheme="majorHAnsi"/>
          <w:iCs/>
          <w:sz w:val="20"/>
          <w:szCs w:val="20"/>
          <w:lang w:val="pt-BR"/>
        </w:rPr>
        <w:t xml:space="preserve">num </w:t>
      </w:r>
      <w:r w:rsidR="007D4C46" w:rsidRPr="006D1C74">
        <w:rPr>
          <w:rFonts w:asciiTheme="majorHAnsi" w:hAnsiTheme="majorHAnsi"/>
          <w:sz w:val="20"/>
          <w:szCs w:val="20"/>
          <w:lang w:val="pt-BR"/>
        </w:rPr>
        <w:t xml:space="preserve">recurso </w:t>
      </w:r>
      <w:r w:rsidR="003171F3" w:rsidRPr="006D1C74">
        <w:rPr>
          <w:rFonts w:asciiTheme="majorHAnsi" w:hAnsiTheme="majorHAnsi"/>
          <w:sz w:val="20"/>
          <w:szCs w:val="20"/>
          <w:lang w:val="pt-BR"/>
        </w:rPr>
        <w:t>efetivo</w:t>
      </w:r>
      <w:r w:rsidR="00CF037E" w:rsidRPr="006D1C74">
        <w:rPr>
          <w:rFonts w:asciiTheme="majorHAnsi" w:hAnsiTheme="majorHAnsi"/>
          <w:sz w:val="20"/>
          <w:szCs w:val="20"/>
          <w:lang w:val="pt-BR"/>
        </w:rPr>
        <w:t xml:space="preserve"> e </w:t>
      </w:r>
      <w:r w:rsidR="007D4C46" w:rsidRPr="006D1C74">
        <w:rPr>
          <w:rFonts w:asciiTheme="majorHAnsi" w:hAnsiTheme="majorHAnsi"/>
          <w:sz w:val="20"/>
          <w:szCs w:val="20"/>
          <w:lang w:val="pt-BR"/>
        </w:rPr>
        <w:t>ade</w:t>
      </w:r>
      <w:r w:rsidR="003705A2">
        <w:rPr>
          <w:rFonts w:asciiTheme="majorHAnsi" w:hAnsiTheme="majorHAnsi"/>
          <w:sz w:val="20"/>
          <w:szCs w:val="20"/>
          <w:lang w:val="pt-BR"/>
        </w:rPr>
        <w:t>qua</w:t>
      </w:r>
      <w:r w:rsidR="007D4C46" w:rsidRPr="006D1C74">
        <w:rPr>
          <w:rFonts w:asciiTheme="majorHAnsi" w:hAnsiTheme="majorHAnsi"/>
          <w:sz w:val="20"/>
          <w:szCs w:val="20"/>
          <w:lang w:val="pt-BR"/>
        </w:rPr>
        <w:t>do para reparar</w:t>
      </w:r>
      <w:r w:rsidR="00F673C7" w:rsidRPr="006D1C74">
        <w:rPr>
          <w:rFonts w:asciiTheme="majorHAnsi" w:hAnsiTheme="majorHAnsi"/>
          <w:sz w:val="20"/>
          <w:szCs w:val="20"/>
          <w:lang w:val="pt-BR"/>
        </w:rPr>
        <w:t xml:space="preserve"> </w:t>
      </w:r>
      <w:r w:rsidR="00642AA4" w:rsidRPr="006D1C74">
        <w:rPr>
          <w:rFonts w:asciiTheme="majorHAnsi" w:hAnsiTheme="majorHAnsi"/>
          <w:sz w:val="20"/>
          <w:szCs w:val="20"/>
          <w:lang w:val="pt-BR"/>
        </w:rPr>
        <w:t>d</w:t>
      </w:r>
      <w:r w:rsidR="00F673C7" w:rsidRPr="006D1C74">
        <w:rPr>
          <w:rFonts w:asciiTheme="majorHAnsi" w:hAnsiTheme="majorHAnsi"/>
          <w:sz w:val="20"/>
          <w:szCs w:val="20"/>
          <w:lang w:val="pt-BR"/>
        </w:rPr>
        <w:t xml:space="preserve">e </w:t>
      </w:r>
      <w:r w:rsidR="007D4C46" w:rsidRPr="006D1C74">
        <w:rPr>
          <w:rFonts w:asciiTheme="majorHAnsi" w:hAnsiTheme="majorHAnsi"/>
          <w:sz w:val="20"/>
          <w:szCs w:val="20"/>
          <w:lang w:val="pt-BR"/>
        </w:rPr>
        <w:t>forma integral</w:t>
      </w:r>
      <w:r w:rsidR="00030019" w:rsidRPr="006D1C74">
        <w:rPr>
          <w:rFonts w:asciiTheme="majorHAnsi" w:hAnsiTheme="majorHAnsi"/>
          <w:sz w:val="20"/>
          <w:szCs w:val="20"/>
          <w:lang w:val="pt-BR"/>
        </w:rPr>
        <w:t xml:space="preserve"> uma </w:t>
      </w:r>
      <w:r w:rsidR="007D4C46" w:rsidRPr="006D1C74">
        <w:rPr>
          <w:rFonts w:asciiTheme="majorHAnsi" w:hAnsiTheme="majorHAnsi"/>
          <w:sz w:val="20"/>
          <w:szCs w:val="20"/>
          <w:lang w:val="pt-BR"/>
        </w:rPr>
        <w:t>viola</w:t>
      </w:r>
      <w:r w:rsidR="00CF037E" w:rsidRPr="006D1C74">
        <w:rPr>
          <w:rFonts w:asciiTheme="majorHAnsi" w:hAnsiTheme="majorHAnsi"/>
          <w:sz w:val="20"/>
          <w:szCs w:val="20"/>
          <w:lang w:val="pt-BR"/>
        </w:rPr>
        <w:t>ção</w:t>
      </w:r>
      <w:r w:rsidR="007D4C46" w:rsidRPr="006D1C74">
        <w:rPr>
          <w:rStyle w:val="FootnoteReference"/>
          <w:sz w:val="20"/>
          <w:lang w:val="pt-BR"/>
        </w:rPr>
        <w:footnoteReference w:id="104"/>
      </w:r>
      <w:r w:rsidR="007D4C46" w:rsidRPr="006D1C74">
        <w:rPr>
          <w:sz w:val="20"/>
          <w:lang w:val="pt-BR"/>
        </w:rPr>
        <w:t>.</w:t>
      </w:r>
      <w:r w:rsidR="00700267" w:rsidRPr="006D1C74">
        <w:rPr>
          <w:sz w:val="20"/>
          <w:lang w:val="pt-BR"/>
        </w:rPr>
        <w:t xml:space="preserve"> </w:t>
      </w:r>
      <w:r w:rsidR="00642AA4" w:rsidRPr="006D1C74">
        <w:rPr>
          <w:sz w:val="20"/>
          <w:lang w:val="pt-BR"/>
        </w:rPr>
        <w:t>Contudo</w:t>
      </w:r>
      <w:r w:rsidR="007D4C46" w:rsidRPr="006D1C74">
        <w:rPr>
          <w:sz w:val="20"/>
          <w:lang w:val="pt-BR"/>
        </w:rPr>
        <w:t xml:space="preserve">, </w:t>
      </w:r>
      <w:r w:rsidR="007D4C46" w:rsidRPr="006D1C74">
        <w:rPr>
          <w:rFonts w:asciiTheme="majorHAnsi" w:hAnsiTheme="majorHAnsi"/>
          <w:sz w:val="20"/>
          <w:szCs w:val="20"/>
          <w:lang w:val="pt-BR"/>
        </w:rPr>
        <w:t>t</w:t>
      </w:r>
      <w:r w:rsidR="00700267" w:rsidRPr="006D1C74">
        <w:rPr>
          <w:rFonts w:asciiTheme="majorHAnsi" w:hAnsiTheme="majorHAnsi"/>
          <w:sz w:val="20"/>
          <w:szCs w:val="20"/>
          <w:lang w:val="pt-BR"/>
        </w:rPr>
        <w:t>ais</w:t>
      </w:r>
      <w:r w:rsidR="007D4C46" w:rsidRPr="006D1C74">
        <w:rPr>
          <w:rFonts w:asciiTheme="majorHAnsi" w:hAnsiTheme="majorHAnsi"/>
          <w:sz w:val="20"/>
          <w:szCs w:val="20"/>
          <w:lang w:val="pt-BR"/>
        </w:rPr>
        <w:t xml:space="preserve"> recursos p</w:t>
      </w:r>
      <w:r w:rsidR="00642AA4" w:rsidRPr="006D1C74">
        <w:rPr>
          <w:rFonts w:asciiTheme="majorHAnsi" w:hAnsiTheme="majorHAnsi"/>
          <w:sz w:val="20"/>
          <w:szCs w:val="20"/>
          <w:lang w:val="pt-BR"/>
        </w:rPr>
        <w:t xml:space="preserve">odem </w:t>
      </w:r>
      <w:r w:rsidR="007D4C46" w:rsidRPr="006D1C74">
        <w:rPr>
          <w:rFonts w:asciiTheme="majorHAnsi" w:hAnsiTheme="majorHAnsi"/>
          <w:sz w:val="20"/>
          <w:szCs w:val="20"/>
          <w:lang w:val="pt-BR"/>
        </w:rPr>
        <w:t xml:space="preserve">ser </w:t>
      </w:r>
      <w:r w:rsidR="00642AA4" w:rsidRPr="006D1C74">
        <w:rPr>
          <w:rFonts w:asciiTheme="majorHAnsi" w:hAnsiTheme="majorHAnsi"/>
          <w:sz w:val="20"/>
          <w:szCs w:val="20"/>
          <w:lang w:val="pt-BR"/>
        </w:rPr>
        <w:t>lev</w:t>
      </w:r>
      <w:r w:rsidR="007D4C46" w:rsidRPr="006D1C74">
        <w:rPr>
          <w:rFonts w:asciiTheme="majorHAnsi" w:hAnsiTheme="majorHAnsi"/>
          <w:sz w:val="20"/>
          <w:szCs w:val="20"/>
          <w:lang w:val="pt-BR"/>
        </w:rPr>
        <w:t>ados</w:t>
      </w:r>
      <w:r w:rsidR="00F673C7" w:rsidRPr="006D1C74">
        <w:rPr>
          <w:rFonts w:asciiTheme="majorHAnsi" w:hAnsiTheme="majorHAnsi"/>
          <w:sz w:val="20"/>
          <w:szCs w:val="20"/>
          <w:lang w:val="pt-BR"/>
        </w:rPr>
        <w:t xml:space="preserve"> em </w:t>
      </w:r>
      <w:r w:rsidR="007D4C46" w:rsidRPr="006D1C74">
        <w:rPr>
          <w:rFonts w:asciiTheme="majorHAnsi" w:hAnsiTheme="majorHAnsi"/>
          <w:sz w:val="20"/>
          <w:szCs w:val="20"/>
          <w:lang w:val="pt-BR"/>
        </w:rPr>
        <w:t>c</w:t>
      </w:r>
      <w:r w:rsidR="00642AA4" w:rsidRPr="006D1C74">
        <w:rPr>
          <w:rFonts w:asciiTheme="majorHAnsi" w:hAnsiTheme="majorHAnsi"/>
          <w:sz w:val="20"/>
          <w:szCs w:val="20"/>
          <w:lang w:val="pt-BR"/>
        </w:rPr>
        <w:t>o</w:t>
      </w:r>
      <w:r w:rsidR="007D4C46" w:rsidRPr="006D1C74">
        <w:rPr>
          <w:rFonts w:asciiTheme="majorHAnsi" w:hAnsiTheme="majorHAnsi"/>
          <w:sz w:val="20"/>
          <w:szCs w:val="20"/>
          <w:lang w:val="pt-BR"/>
        </w:rPr>
        <w:t>nta</w:t>
      </w:r>
      <w:r w:rsidR="00F673C7" w:rsidRPr="006D1C74">
        <w:rPr>
          <w:rFonts w:asciiTheme="majorHAnsi" w:hAnsiTheme="majorHAnsi"/>
          <w:sz w:val="20"/>
          <w:szCs w:val="20"/>
          <w:lang w:val="pt-BR"/>
        </w:rPr>
        <w:t xml:space="preserve"> na </w:t>
      </w:r>
      <w:r w:rsidR="00642AA4" w:rsidRPr="006D1C74">
        <w:rPr>
          <w:rFonts w:asciiTheme="majorHAnsi" w:hAnsiTheme="majorHAnsi"/>
          <w:sz w:val="20"/>
          <w:szCs w:val="20"/>
          <w:lang w:val="pt-BR"/>
        </w:rPr>
        <w:t>qu</w:t>
      </w:r>
      <w:r w:rsidR="007D4C46" w:rsidRPr="006D1C74">
        <w:rPr>
          <w:rFonts w:asciiTheme="majorHAnsi" w:hAnsiTheme="majorHAnsi"/>
          <w:sz w:val="20"/>
          <w:szCs w:val="20"/>
          <w:lang w:val="pt-BR"/>
        </w:rPr>
        <w:t>alifica</w:t>
      </w:r>
      <w:r w:rsidR="00CF037E" w:rsidRPr="006D1C74">
        <w:rPr>
          <w:rFonts w:asciiTheme="majorHAnsi" w:hAnsiTheme="majorHAnsi"/>
          <w:sz w:val="20"/>
          <w:szCs w:val="20"/>
          <w:lang w:val="pt-BR"/>
        </w:rPr>
        <w:t xml:space="preserve">ção e </w:t>
      </w:r>
      <w:r w:rsidR="007D4C46" w:rsidRPr="006D1C74">
        <w:rPr>
          <w:rFonts w:asciiTheme="majorHAnsi" w:hAnsiTheme="majorHAnsi"/>
          <w:sz w:val="20"/>
          <w:szCs w:val="20"/>
          <w:lang w:val="pt-BR"/>
        </w:rPr>
        <w:t>defini</w:t>
      </w:r>
      <w:r w:rsidR="00CF037E" w:rsidRPr="006D1C74">
        <w:rPr>
          <w:rFonts w:asciiTheme="majorHAnsi" w:hAnsiTheme="majorHAnsi"/>
          <w:sz w:val="20"/>
          <w:szCs w:val="20"/>
          <w:lang w:val="pt-BR"/>
        </w:rPr>
        <w:t>ção</w:t>
      </w:r>
      <w:r w:rsidR="007D4C46" w:rsidRPr="006D1C74">
        <w:rPr>
          <w:rFonts w:asciiTheme="majorHAnsi" w:hAnsiTheme="majorHAnsi"/>
          <w:sz w:val="20"/>
          <w:szCs w:val="20"/>
          <w:lang w:val="pt-BR"/>
        </w:rPr>
        <w:t xml:space="preserve"> de determinados aspectos o</w:t>
      </w:r>
      <w:r w:rsidR="00642AA4" w:rsidRPr="006D1C74">
        <w:rPr>
          <w:rFonts w:asciiTheme="majorHAnsi" w:hAnsiTheme="majorHAnsi"/>
          <w:sz w:val="20"/>
          <w:szCs w:val="20"/>
          <w:lang w:val="pt-BR"/>
        </w:rPr>
        <w:t>u</w:t>
      </w:r>
      <w:r w:rsidR="007D4C46" w:rsidRPr="006D1C74">
        <w:rPr>
          <w:rFonts w:asciiTheme="majorHAnsi" w:hAnsiTheme="majorHAnsi"/>
          <w:sz w:val="20"/>
          <w:szCs w:val="20"/>
          <w:lang w:val="pt-BR"/>
        </w:rPr>
        <w:t xml:space="preserve"> alcances</w:t>
      </w:r>
      <w:r w:rsidR="00795010" w:rsidRPr="006D1C74">
        <w:rPr>
          <w:rFonts w:asciiTheme="majorHAnsi" w:hAnsiTheme="majorHAnsi"/>
          <w:sz w:val="20"/>
          <w:szCs w:val="20"/>
          <w:lang w:val="pt-BR"/>
        </w:rPr>
        <w:t xml:space="preserve"> da </w:t>
      </w:r>
      <w:r w:rsidR="007D4C46" w:rsidRPr="006D1C74">
        <w:rPr>
          <w:rFonts w:asciiTheme="majorHAnsi" w:hAnsiTheme="majorHAnsi"/>
          <w:sz w:val="20"/>
          <w:szCs w:val="20"/>
          <w:lang w:val="pt-BR"/>
        </w:rPr>
        <w:t>responsabili</w:t>
      </w:r>
      <w:r w:rsidR="00F673C7" w:rsidRPr="006D1C74">
        <w:rPr>
          <w:rFonts w:asciiTheme="majorHAnsi" w:hAnsiTheme="majorHAnsi"/>
          <w:sz w:val="20"/>
          <w:szCs w:val="20"/>
          <w:lang w:val="pt-BR"/>
        </w:rPr>
        <w:t xml:space="preserve">dade </w:t>
      </w:r>
      <w:r w:rsidR="007D4C46" w:rsidRPr="006D1C74">
        <w:rPr>
          <w:rFonts w:asciiTheme="majorHAnsi" w:hAnsiTheme="majorHAnsi"/>
          <w:sz w:val="20"/>
          <w:szCs w:val="20"/>
          <w:lang w:val="pt-BR"/>
        </w:rPr>
        <w:t xml:space="preserve">estatal, </w:t>
      </w:r>
      <w:r w:rsidR="00642AA4" w:rsidRPr="006D1C74">
        <w:rPr>
          <w:rFonts w:asciiTheme="majorHAnsi" w:hAnsiTheme="majorHAnsi"/>
          <w:sz w:val="20"/>
          <w:szCs w:val="20"/>
          <w:lang w:val="pt-BR"/>
        </w:rPr>
        <w:t>bem</w:t>
      </w:r>
      <w:r w:rsidR="007D4C46" w:rsidRPr="006D1C74">
        <w:rPr>
          <w:rFonts w:asciiTheme="majorHAnsi" w:hAnsiTheme="majorHAnsi"/>
          <w:sz w:val="20"/>
          <w:szCs w:val="20"/>
          <w:lang w:val="pt-BR"/>
        </w:rPr>
        <w:t xml:space="preserve"> como</w:t>
      </w:r>
      <w:r w:rsidR="00F673C7" w:rsidRPr="006D1C74">
        <w:rPr>
          <w:rFonts w:asciiTheme="majorHAnsi" w:hAnsiTheme="majorHAnsi"/>
          <w:sz w:val="20"/>
          <w:szCs w:val="20"/>
          <w:lang w:val="pt-BR"/>
        </w:rPr>
        <w:t xml:space="preserve"> na </w:t>
      </w:r>
      <w:r w:rsidR="007D4C46" w:rsidRPr="006D1C74">
        <w:rPr>
          <w:rFonts w:asciiTheme="majorHAnsi" w:hAnsiTheme="majorHAnsi"/>
          <w:sz w:val="20"/>
          <w:szCs w:val="20"/>
          <w:lang w:val="pt-BR"/>
        </w:rPr>
        <w:t>satisfa</w:t>
      </w:r>
      <w:r w:rsidR="00CF037E" w:rsidRPr="006D1C74">
        <w:rPr>
          <w:rFonts w:asciiTheme="majorHAnsi" w:hAnsiTheme="majorHAnsi"/>
          <w:sz w:val="20"/>
          <w:szCs w:val="20"/>
          <w:lang w:val="pt-BR"/>
        </w:rPr>
        <w:t>ção</w:t>
      </w:r>
      <w:r w:rsidR="007D4C46" w:rsidRPr="006D1C74">
        <w:rPr>
          <w:rFonts w:asciiTheme="majorHAnsi" w:hAnsiTheme="majorHAnsi"/>
          <w:sz w:val="20"/>
          <w:szCs w:val="20"/>
          <w:lang w:val="pt-BR"/>
        </w:rPr>
        <w:t xml:space="preserve"> de </w:t>
      </w:r>
      <w:r w:rsidR="003171F3" w:rsidRPr="006D1C74">
        <w:rPr>
          <w:rFonts w:asciiTheme="majorHAnsi" w:hAnsiTheme="majorHAnsi"/>
          <w:sz w:val="20"/>
          <w:szCs w:val="20"/>
          <w:lang w:val="pt-BR"/>
        </w:rPr>
        <w:t>certas</w:t>
      </w:r>
      <w:r w:rsidR="007D4C46" w:rsidRPr="006D1C74">
        <w:rPr>
          <w:rFonts w:asciiTheme="majorHAnsi" w:hAnsiTheme="majorHAnsi"/>
          <w:sz w:val="20"/>
          <w:szCs w:val="20"/>
          <w:lang w:val="pt-BR"/>
        </w:rPr>
        <w:t xml:space="preserve"> pretens</w:t>
      </w:r>
      <w:r w:rsidR="00642AA4" w:rsidRPr="006D1C74">
        <w:rPr>
          <w:rFonts w:asciiTheme="majorHAnsi" w:hAnsiTheme="majorHAnsi"/>
          <w:sz w:val="20"/>
          <w:szCs w:val="20"/>
          <w:lang w:val="pt-BR"/>
        </w:rPr>
        <w:t>õ</w:t>
      </w:r>
      <w:r w:rsidR="007D4C46" w:rsidRPr="006D1C74">
        <w:rPr>
          <w:rFonts w:asciiTheme="majorHAnsi" w:hAnsiTheme="majorHAnsi"/>
          <w:sz w:val="20"/>
          <w:szCs w:val="20"/>
          <w:lang w:val="pt-BR"/>
        </w:rPr>
        <w:t>es</w:t>
      </w:r>
      <w:r w:rsidR="00FC2F62" w:rsidRPr="006D1C74">
        <w:rPr>
          <w:rFonts w:asciiTheme="majorHAnsi" w:hAnsiTheme="majorHAnsi"/>
          <w:sz w:val="20"/>
          <w:szCs w:val="20"/>
          <w:lang w:val="pt-BR"/>
        </w:rPr>
        <w:t xml:space="preserve"> no </w:t>
      </w:r>
      <w:r w:rsidR="00642AA4" w:rsidRPr="006D1C74">
        <w:rPr>
          <w:rFonts w:asciiTheme="majorHAnsi" w:hAnsiTheme="majorHAnsi"/>
          <w:sz w:val="20"/>
          <w:szCs w:val="20"/>
          <w:lang w:val="pt-BR"/>
        </w:rPr>
        <w:t>âmbito</w:t>
      </w:r>
      <w:r w:rsidR="007D4C46" w:rsidRPr="006D1C74">
        <w:rPr>
          <w:rFonts w:asciiTheme="majorHAnsi" w:hAnsiTheme="majorHAnsi"/>
          <w:sz w:val="20"/>
          <w:szCs w:val="20"/>
          <w:lang w:val="pt-BR"/>
        </w:rPr>
        <w:t xml:space="preserve"> de</w:t>
      </w:r>
      <w:r w:rsidR="00030019" w:rsidRPr="006D1C74">
        <w:rPr>
          <w:rFonts w:asciiTheme="majorHAnsi" w:hAnsiTheme="majorHAnsi"/>
          <w:sz w:val="20"/>
          <w:szCs w:val="20"/>
          <w:lang w:val="pt-BR"/>
        </w:rPr>
        <w:t xml:space="preserve"> uma </w:t>
      </w:r>
      <w:r w:rsidR="007D4C46" w:rsidRPr="006D1C74">
        <w:rPr>
          <w:rFonts w:asciiTheme="majorHAnsi" w:hAnsiTheme="majorHAnsi"/>
          <w:sz w:val="20"/>
          <w:szCs w:val="20"/>
          <w:lang w:val="pt-BR"/>
        </w:rPr>
        <w:t>repara</w:t>
      </w:r>
      <w:r w:rsidR="00CF037E" w:rsidRPr="006D1C74">
        <w:rPr>
          <w:rFonts w:asciiTheme="majorHAnsi" w:hAnsiTheme="majorHAnsi"/>
          <w:sz w:val="20"/>
          <w:szCs w:val="20"/>
          <w:lang w:val="pt-BR"/>
        </w:rPr>
        <w:t>ção</w:t>
      </w:r>
      <w:r w:rsidR="007D4C46" w:rsidRPr="006D1C74">
        <w:rPr>
          <w:rFonts w:asciiTheme="majorHAnsi" w:hAnsiTheme="majorHAnsi"/>
          <w:sz w:val="20"/>
          <w:szCs w:val="20"/>
          <w:lang w:val="pt-BR"/>
        </w:rPr>
        <w:t xml:space="preserve"> integral.</w:t>
      </w:r>
      <w:r w:rsidR="00D23C1B" w:rsidRPr="006D1C74">
        <w:rPr>
          <w:rFonts w:asciiTheme="majorHAnsi" w:hAnsiTheme="majorHAnsi"/>
          <w:sz w:val="20"/>
          <w:szCs w:val="20"/>
          <w:lang w:val="pt-BR"/>
        </w:rPr>
        <w:t xml:space="preserve"> </w:t>
      </w:r>
    </w:p>
    <w:p w14:paraId="51E72A7C" w14:textId="77777777" w:rsidR="002A2EB3" w:rsidRPr="006D1C74" w:rsidRDefault="002A2EB3" w:rsidP="002A2EB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pt-BR"/>
        </w:rPr>
      </w:pPr>
    </w:p>
    <w:p w14:paraId="2C55B708" w14:textId="77777777" w:rsidR="00D23C1B" w:rsidRPr="006D1C74" w:rsidRDefault="004B4493" w:rsidP="00621E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N</w:t>
      </w:r>
      <w:r w:rsidR="00700267" w:rsidRPr="006D1C74">
        <w:rPr>
          <w:rFonts w:asciiTheme="majorHAnsi" w:hAnsiTheme="majorHAnsi"/>
          <w:sz w:val="20"/>
          <w:szCs w:val="20"/>
          <w:lang w:val="pt-BR"/>
        </w:rPr>
        <w:t xml:space="preserve">o </w:t>
      </w:r>
      <w:r w:rsidR="00D23C1B" w:rsidRPr="006D1C74">
        <w:rPr>
          <w:rFonts w:asciiTheme="majorHAnsi" w:hAnsiTheme="majorHAnsi"/>
          <w:sz w:val="20"/>
          <w:szCs w:val="20"/>
          <w:lang w:val="pt-BR"/>
        </w:rPr>
        <w:t>presente caso,</w:t>
      </w:r>
      <w:r w:rsidR="00700267" w:rsidRPr="006D1C74">
        <w:rPr>
          <w:rFonts w:asciiTheme="majorHAnsi" w:hAnsiTheme="majorHAnsi"/>
          <w:sz w:val="20"/>
          <w:szCs w:val="20"/>
          <w:lang w:val="pt-BR"/>
        </w:rPr>
        <w:t xml:space="preserve"> os </w:t>
      </w:r>
      <w:r w:rsidR="001E2392" w:rsidRPr="006D1C74">
        <w:rPr>
          <w:rFonts w:asciiTheme="majorHAnsi" w:hAnsiTheme="majorHAnsi"/>
          <w:sz w:val="20"/>
          <w:szCs w:val="20"/>
          <w:lang w:val="pt-BR"/>
        </w:rPr>
        <w:t>familiares</w:t>
      </w:r>
      <w:r w:rsidR="00D23C1B" w:rsidRPr="006D1C74">
        <w:rPr>
          <w:rFonts w:asciiTheme="majorHAnsi" w:hAnsiTheme="majorHAnsi"/>
          <w:sz w:val="20"/>
          <w:szCs w:val="20"/>
          <w:lang w:val="pt-BR"/>
        </w:rPr>
        <w:t xml:space="preserve"> </w:t>
      </w:r>
      <w:r w:rsidRPr="006D1C74">
        <w:rPr>
          <w:rFonts w:asciiTheme="majorHAnsi" w:hAnsiTheme="majorHAnsi"/>
          <w:sz w:val="20"/>
          <w:szCs w:val="20"/>
          <w:lang w:val="pt-BR"/>
        </w:rPr>
        <w:t>propuseram</w:t>
      </w:r>
      <w:r w:rsidR="00030019" w:rsidRPr="006D1C74">
        <w:rPr>
          <w:rFonts w:asciiTheme="majorHAnsi" w:hAnsiTheme="majorHAnsi"/>
          <w:sz w:val="20"/>
          <w:szCs w:val="20"/>
          <w:lang w:val="pt-BR"/>
        </w:rPr>
        <w:t xml:space="preserve"> uma </w:t>
      </w:r>
      <w:r w:rsidR="002D14E9" w:rsidRPr="006D1C74">
        <w:rPr>
          <w:rFonts w:asciiTheme="majorHAnsi" w:hAnsiTheme="majorHAnsi"/>
          <w:sz w:val="20"/>
          <w:szCs w:val="20"/>
          <w:lang w:val="pt-BR"/>
        </w:rPr>
        <w:t>a</w:t>
      </w:r>
      <w:r w:rsidR="00CF037E" w:rsidRPr="006D1C74">
        <w:rPr>
          <w:rFonts w:asciiTheme="majorHAnsi" w:hAnsiTheme="majorHAnsi"/>
          <w:sz w:val="20"/>
          <w:szCs w:val="20"/>
          <w:lang w:val="pt-BR"/>
        </w:rPr>
        <w:t>ção</w:t>
      </w:r>
      <w:r w:rsidR="002D14E9" w:rsidRPr="006D1C74">
        <w:rPr>
          <w:rFonts w:asciiTheme="majorHAnsi" w:hAnsiTheme="majorHAnsi"/>
          <w:sz w:val="20"/>
          <w:szCs w:val="20"/>
          <w:lang w:val="pt-BR"/>
        </w:rPr>
        <w:t xml:space="preserve"> de </w:t>
      </w:r>
      <w:r w:rsidR="00B83D48" w:rsidRPr="006D1C74">
        <w:rPr>
          <w:rFonts w:asciiTheme="majorHAnsi" w:hAnsiTheme="majorHAnsi"/>
          <w:sz w:val="20"/>
          <w:szCs w:val="20"/>
          <w:lang w:val="pt-BR"/>
        </w:rPr>
        <w:t xml:space="preserve">indenização por </w:t>
      </w:r>
      <w:r w:rsidRPr="006D1C74">
        <w:rPr>
          <w:rFonts w:asciiTheme="majorHAnsi" w:hAnsiTheme="majorHAnsi"/>
          <w:sz w:val="20"/>
          <w:szCs w:val="20"/>
          <w:lang w:val="pt-BR"/>
        </w:rPr>
        <w:t xml:space="preserve">perdas e </w:t>
      </w:r>
      <w:r w:rsidR="003171F3" w:rsidRPr="006D1C74">
        <w:rPr>
          <w:rFonts w:asciiTheme="majorHAnsi" w:hAnsiTheme="majorHAnsi"/>
          <w:sz w:val="20"/>
          <w:szCs w:val="20"/>
          <w:lang w:val="pt-BR"/>
        </w:rPr>
        <w:t>danos</w:t>
      </w:r>
      <w:r w:rsidR="00D23C1B" w:rsidRPr="006D1C74">
        <w:rPr>
          <w:rFonts w:asciiTheme="majorHAnsi" w:hAnsiTheme="majorHAnsi"/>
          <w:sz w:val="20"/>
          <w:szCs w:val="20"/>
          <w:lang w:val="pt-BR"/>
        </w:rPr>
        <w:t>, que</w:t>
      </w:r>
      <w:r w:rsidR="00CA7940" w:rsidRPr="006D1C74">
        <w:rPr>
          <w:rFonts w:asciiTheme="majorHAnsi" w:hAnsiTheme="majorHAnsi"/>
          <w:sz w:val="20"/>
          <w:szCs w:val="20"/>
          <w:lang w:val="pt-BR"/>
        </w:rPr>
        <w:t xml:space="preserve"> foi </w:t>
      </w:r>
      <w:r w:rsidR="00D23C1B" w:rsidRPr="006D1C74">
        <w:rPr>
          <w:rFonts w:asciiTheme="majorHAnsi" w:hAnsiTheme="majorHAnsi"/>
          <w:sz w:val="20"/>
          <w:szCs w:val="20"/>
          <w:lang w:val="pt-BR"/>
        </w:rPr>
        <w:t>declarada procedente</w:t>
      </w:r>
      <w:r w:rsidR="00FC2F62" w:rsidRPr="006D1C74">
        <w:rPr>
          <w:rFonts w:asciiTheme="majorHAnsi" w:hAnsiTheme="majorHAnsi"/>
          <w:sz w:val="20"/>
          <w:szCs w:val="20"/>
          <w:lang w:val="pt-BR"/>
        </w:rPr>
        <w:t xml:space="preserve"> </w:t>
      </w:r>
      <w:r w:rsidRPr="006D1C74">
        <w:rPr>
          <w:rFonts w:asciiTheme="majorHAnsi" w:hAnsiTheme="majorHAnsi"/>
          <w:sz w:val="20"/>
          <w:szCs w:val="20"/>
          <w:lang w:val="pt-BR"/>
        </w:rPr>
        <w:t>em</w:t>
      </w:r>
      <w:r w:rsidR="00D23C1B" w:rsidRPr="006D1C74">
        <w:rPr>
          <w:rFonts w:asciiTheme="majorHAnsi" w:hAnsiTheme="majorHAnsi"/>
          <w:sz w:val="20"/>
          <w:szCs w:val="20"/>
          <w:lang w:val="pt-BR"/>
        </w:rPr>
        <w:t xml:space="preserve"> 2010</w:t>
      </w:r>
      <w:r w:rsidR="002D14E9"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w:t>
      </w:r>
      <w:r w:rsidR="00B83D48" w:rsidRPr="006D1C74">
        <w:rPr>
          <w:rFonts w:asciiTheme="majorHAnsi" w:hAnsiTheme="majorHAnsi"/>
          <w:sz w:val="20"/>
          <w:szCs w:val="20"/>
          <w:lang w:val="pt-BR"/>
        </w:rPr>
        <w:t>contudo</w:t>
      </w:r>
      <w:r w:rsidR="00D23C1B"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00F673C7" w:rsidRPr="006D1C74">
        <w:rPr>
          <w:rFonts w:asciiTheme="majorHAnsi" w:hAnsiTheme="majorHAnsi"/>
          <w:sz w:val="20"/>
          <w:szCs w:val="20"/>
          <w:lang w:val="pt-BR"/>
        </w:rPr>
        <w:t xml:space="preserve"> não </w:t>
      </w:r>
      <w:r w:rsidR="003171F3" w:rsidRPr="006D1C74">
        <w:rPr>
          <w:rFonts w:asciiTheme="majorHAnsi" w:hAnsiTheme="majorHAnsi"/>
          <w:sz w:val="20"/>
          <w:szCs w:val="20"/>
          <w:lang w:val="pt-BR"/>
        </w:rPr>
        <w:t>conta</w:t>
      </w:r>
      <w:r w:rsidR="00F673C7" w:rsidRPr="006D1C74">
        <w:rPr>
          <w:rFonts w:asciiTheme="majorHAnsi" w:hAnsiTheme="majorHAnsi"/>
          <w:sz w:val="20"/>
          <w:szCs w:val="20"/>
          <w:lang w:val="pt-BR"/>
        </w:rPr>
        <w:t xml:space="preserve"> com </w:t>
      </w:r>
      <w:r w:rsidR="00D23C1B" w:rsidRPr="006D1C74">
        <w:rPr>
          <w:rFonts w:asciiTheme="majorHAnsi" w:hAnsiTheme="majorHAnsi"/>
          <w:sz w:val="20"/>
          <w:szCs w:val="20"/>
          <w:lang w:val="pt-BR"/>
        </w:rPr>
        <w:t>informa</w:t>
      </w:r>
      <w:r w:rsidR="00CF037E" w:rsidRPr="006D1C74">
        <w:rPr>
          <w:rFonts w:asciiTheme="majorHAnsi" w:hAnsiTheme="majorHAnsi"/>
          <w:sz w:val="20"/>
          <w:szCs w:val="20"/>
          <w:lang w:val="pt-BR"/>
        </w:rPr>
        <w:t>ção</w:t>
      </w:r>
      <w:r w:rsidR="00D23C1B" w:rsidRPr="006D1C74">
        <w:rPr>
          <w:rFonts w:asciiTheme="majorHAnsi" w:hAnsiTheme="majorHAnsi"/>
          <w:sz w:val="20"/>
          <w:szCs w:val="20"/>
          <w:lang w:val="pt-BR"/>
        </w:rPr>
        <w:t xml:space="preserve"> que indique que</w:t>
      </w:r>
      <w:r w:rsidR="00700267" w:rsidRPr="006D1C74">
        <w:rPr>
          <w:rFonts w:asciiTheme="majorHAnsi" w:hAnsiTheme="majorHAnsi"/>
          <w:sz w:val="20"/>
          <w:szCs w:val="20"/>
          <w:lang w:val="pt-BR"/>
        </w:rPr>
        <w:t xml:space="preserve"> os </w:t>
      </w:r>
      <w:r w:rsidR="00D23C1B" w:rsidRPr="006D1C74">
        <w:rPr>
          <w:rFonts w:asciiTheme="majorHAnsi" w:hAnsiTheme="majorHAnsi"/>
          <w:sz w:val="20"/>
          <w:szCs w:val="20"/>
          <w:lang w:val="pt-BR"/>
        </w:rPr>
        <w:t>pag</w:t>
      </w:r>
      <w:r w:rsidR="00B83D48" w:rsidRPr="006D1C74">
        <w:rPr>
          <w:rFonts w:asciiTheme="majorHAnsi" w:hAnsiTheme="majorHAnsi"/>
          <w:sz w:val="20"/>
          <w:szCs w:val="20"/>
          <w:lang w:val="pt-BR"/>
        </w:rPr>
        <w:t>ament</w:t>
      </w:r>
      <w:r w:rsidR="00D23C1B" w:rsidRPr="006D1C74">
        <w:rPr>
          <w:rFonts w:asciiTheme="majorHAnsi" w:hAnsiTheme="majorHAnsi"/>
          <w:sz w:val="20"/>
          <w:szCs w:val="20"/>
          <w:lang w:val="pt-BR"/>
        </w:rPr>
        <w:t xml:space="preserve">os </w:t>
      </w:r>
      <w:r w:rsidR="00585D35" w:rsidRPr="006D1C74">
        <w:rPr>
          <w:rFonts w:asciiTheme="majorHAnsi" w:hAnsiTheme="majorHAnsi"/>
          <w:sz w:val="20"/>
          <w:szCs w:val="20"/>
          <w:lang w:val="pt-BR"/>
        </w:rPr>
        <w:t>orde</w:t>
      </w:r>
      <w:r w:rsidR="00B83D48" w:rsidRPr="006D1C74">
        <w:rPr>
          <w:rFonts w:asciiTheme="majorHAnsi" w:hAnsiTheme="majorHAnsi"/>
          <w:sz w:val="20"/>
          <w:szCs w:val="20"/>
          <w:lang w:val="pt-BR"/>
        </w:rPr>
        <w:t>n</w:t>
      </w:r>
      <w:r w:rsidR="00D23C1B" w:rsidRPr="006D1C74">
        <w:rPr>
          <w:rFonts w:asciiTheme="majorHAnsi" w:hAnsiTheme="majorHAnsi"/>
          <w:sz w:val="20"/>
          <w:szCs w:val="20"/>
          <w:lang w:val="pt-BR"/>
        </w:rPr>
        <w:t xml:space="preserve">ados </w:t>
      </w:r>
      <w:r w:rsidR="00B83D48" w:rsidRPr="006D1C74">
        <w:rPr>
          <w:rFonts w:asciiTheme="majorHAnsi" w:hAnsiTheme="majorHAnsi"/>
          <w:sz w:val="20"/>
          <w:szCs w:val="20"/>
          <w:lang w:val="pt-BR"/>
        </w:rPr>
        <w:t xml:space="preserve">foram </w:t>
      </w:r>
      <w:r w:rsidR="003171F3" w:rsidRPr="006D1C74">
        <w:rPr>
          <w:rFonts w:asciiTheme="majorHAnsi" w:hAnsiTheme="majorHAnsi"/>
          <w:sz w:val="20"/>
          <w:szCs w:val="20"/>
          <w:lang w:val="pt-BR"/>
        </w:rPr>
        <w:t>efetivamente</w:t>
      </w:r>
      <w:r w:rsidR="00D23C1B" w:rsidRPr="006D1C74">
        <w:rPr>
          <w:rFonts w:asciiTheme="majorHAnsi" w:hAnsiTheme="majorHAnsi"/>
          <w:sz w:val="20"/>
          <w:szCs w:val="20"/>
          <w:lang w:val="pt-BR"/>
        </w:rPr>
        <w:t xml:space="preserve"> </w:t>
      </w:r>
      <w:r w:rsidR="00B83D48" w:rsidRPr="006D1C74">
        <w:rPr>
          <w:rFonts w:asciiTheme="majorHAnsi" w:hAnsiTheme="majorHAnsi"/>
          <w:sz w:val="20"/>
          <w:szCs w:val="20"/>
          <w:lang w:val="pt-BR"/>
        </w:rPr>
        <w:t>efetuados, apesar de se terem esgotado</w:t>
      </w:r>
      <w:r w:rsidR="00D23C1B" w:rsidRPr="006D1C74">
        <w:rPr>
          <w:rFonts w:asciiTheme="majorHAnsi" w:hAnsiTheme="majorHAnsi"/>
          <w:sz w:val="20"/>
          <w:szCs w:val="20"/>
          <w:lang w:val="pt-BR"/>
        </w:rPr>
        <w:t xml:space="preserve"> diversos recursos ten</w:t>
      </w:r>
      <w:r w:rsidR="000D2A81" w:rsidRPr="006D1C74">
        <w:rPr>
          <w:rFonts w:asciiTheme="majorHAnsi" w:hAnsiTheme="majorHAnsi"/>
          <w:sz w:val="20"/>
          <w:szCs w:val="20"/>
          <w:lang w:val="pt-BR"/>
        </w:rPr>
        <w:t>dente</w:t>
      </w:r>
      <w:r w:rsidR="00D23C1B" w:rsidRPr="006D1C74">
        <w:rPr>
          <w:rFonts w:asciiTheme="majorHAnsi" w:hAnsiTheme="majorHAnsi"/>
          <w:sz w:val="20"/>
          <w:szCs w:val="20"/>
          <w:lang w:val="pt-BR"/>
        </w:rPr>
        <w:t xml:space="preserve">s a </w:t>
      </w:r>
      <w:r w:rsidR="00B83D48" w:rsidRPr="006D1C74">
        <w:rPr>
          <w:rFonts w:asciiTheme="majorHAnsi" w:hAnsiTheme="majorHAnsi"/>
          <w:sz w:val="20"/>
          <w:szCs w:val="20"/>
          <w:lang w:val="pt-BR"/>
        </w:rPr>
        <w:t>obter</w:t>
      </w:r>
      <w:r w:rsidR="00700267" w:rsidRPr="006D1C74">
        <w:rPr>
          <w:rFonts w:asciiTheme="majorHAnsi" w:hAnsiTheme="majorHAnsi"/>
          <w:sz w:val="20"/>
          <w:szCs w:val="20"/>
          <w:lang w:val="pt-BR"/>
        </w:rPr>
        <w:t xml:space="preserve"> a </w:t>
      </w:r>
      <w:r w:rsidR="003171F3" w:rsidRPr="006D1C74">
        <w:rPr>
          <w:rFonts w:asciiTheme="majorHAnsi" w:hAnsiTheme="majorHAnsi"/>
          <w:sz w:val="20"/>
          <w:szCs w:val="20"/>
          <w:lang w:val="pt-BR"/>
        </w:rPr>
        <w:t>execução</w:t>
      </w:r>
      <w:r w:rsidR="00D23C1B" w:rsidRPr="006D1C74">
        <w:rPr>
          <w:rFonts w:asciiTheme="majorHAnsi" w:hAnsiTheme="majorHAnsi"/>
          <w:sz w:val="20"/>
          <w:szCs w:val="20"/>
          <w:lang w:val="pt-BR"/>
        </w:rPr>
        <w:t xml:space="preserve"> de</w:t>
      </w:r>
      <w:r w:rsidR="00B83D48" w:rsidRPr="006D1C74">
        <w:rPr>
          <w:rFonts w:asciiTheme="majorHAnsi" w:hAnsiTheme="majorHAnsi"/>
          <w:sz w:val="20"/>
          <w:szCs w:val="20"/>
          <w:lang w:val="pt-BR"/>
        </w:rPr>
        <w:t>ssa sentença</w:t>
      </w:r>
      <w:r w:rsidR="00D23C1B"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w:t>
      </w:r>
      <w:r w:rsidR="00B83D48" w:rsidRPr="006D1C74">
        <w:rPr>
          <w:rFonts w:asciiTheme="majorHAnsi" w:hAnsiTheme="majorHAnsi"/>
          <w:sz w:val="20"/>
          <w:szCs w:val="20"/>
          <w:lang w:val="pt-BR"/>
        </w:rPr>
        <w:t>E</w:t>
      </w:r>
      <w:r w:rsidR="00F673C7" w:rsidRPr="006D1C74">
        <w:rPr>
          <w:rFonts w:asciiTheme="majorHAnsi" w:hAnsiTheme="majorHAnsi"/>
          <w:sz w:val="20"/>
          <w:szCs w:val="20"/>
          <w:lang w:val="pt-BR"/>
        </w:rPr>
        <w:t xml:space="preserve">m </w:t>
      </w:r>
      <w:r w:rsidR="00D23C1B" w:rsidRPr="006D1C74">
        <w:rPr>
          <w:rFonts w:asciiTheme="majorHAnsi" w:hAnsiTheme="majorHAnsi"/>
          <w:sz w:val="20"/>
          <w:szCs w:val="20"/>
          <w:lang w:val="pt-BR"/>
        </w:rPr>
        <w:t>vista d</w:t>
      </w:r>
      <w:r w:rsidR="00B83D48" w:rsidRPr="006D1C74">
        <w:rPr>
          <w:rFonts w:asciiTheme="majorHAnsi" w:hAnsiTheme="majorHAnsi"/>
          <w:sz w:val="20"/>
          <w:szCs w:val="20"/>
          <w:lang w:val="pt-BR"/>
        </w:rPr>
        <w:t>iss</w:t>
      </w:r>
      <w:r w:rsidR="00D23C1B" w:rsidRPr="006D1C74">
        <w:rPr>
          <w:rFonts w:asciiTheme="majorHAnsi" w:hAnsiTheme="majorHAnsi"/>
          <w:sz w:val="20"/>
          <w:szCs w:val="20"/>
          <w:lang w:val="pt-BR"/>
        </w:rPr>
        <w:t xml:space="preserve">o, </w:t>
      </w:r>
      <w:r w:rsidR="00B83D48" w:rsidRPr="006D1C74">
        <w:rPr>
          <w:rFonts w:asciiTheme="majorHAnsi" w:hAnsiTheme="majorHAnsi"/>
          <w:sz w:val="20"/>
          <w:szCs w:val="20"/>
          <w:lang w:val="pt-BR"/>
        </w:rPr>
        <w:t xml:space="preserve">embora </w:t>
      </w:r>
      <w:r w:rsidR="00700267" w:rsidRPr="006D1C74">
        <w:rPr>
          <w:rFonts w:asciiTheme="majorHAnsi" w:hAnsiTheme="majorHAnsi"/>
          <w:sz w:val="20"/>
          <w:szCs w:val="20"/>
          <w:lang w:val="pt-BR"/>
        </w:rPr>
        <w:t xml:space="preserve">a </w:t>
      </w:r>
      <w:r w:rsidR="00417BE8" w:rsidRPr="006D1C74">
        <w:rPr>
          <w:rFonts w:asciiTheme="majorHAnsi" w:hAnsiTheme="majorHAnsi"/>
          <w:sz w:val="20"/>
          <w:szCs w:val="20"/>
          <w:lang w:val="pt-BR"/>
        </w:rPr>
        <w:t>Comissão</w:t>
      </w:r>
      <w:r w:rsidR="00D23C1B" w:rsidRPr="006D1C74">
        <w:rPr>
          <w:rFonts w:asciiTheme="majorHAnsi" w:hAnsiTheme="majorHAnsi"/>
          <w:sz w:val="20"/>
          <w:szCs w:val="20"/>
          <w:lang w:val="pt-BR"/>
        </w:rPr>
        <w:t xml:space="preserve"> recon</w:t>
      </w:r>
      <w:r w:rsidR="00B83D48" w:rsidRPr="006D1C74">
        <w:rPr>
          <w:rFonts w:asciiTheme="majorHAnsi" w:hAnsiTheme="majorHAnsi"/>
          <w:sz w:val="20"/>
          <w:szCs w:val="20"/>
          <w:lang w:val="pt-BR"/>
        </w:rPr>
        <w:t xml:space="preserve">heça </w:t>
      </w:r>
      <w:r w:rsidR="00700267" w:rsidRPr="006D1C74">
        <w:rPr>
          <w:rFonts w:asciiTheme="majorHAnsi" w:hAnsiTheme="majorHAnsi"/>
          <w:sz w:val="20"/>
          <w:szCs w:val="20"/>
          <w:lang w:val="pt-BR"/>
        </w:rPr>
        <w:t xml:space="preserve">os </w:t>
      </w:r>
      <w:r w:rsidR="003171F3" w:rsidRPr="006D1C74">
        <w:rPr>
          <w:rFonts w:asciiTheme="majorHAnsi" w:hAnsiTheme="majorHAnsi"/>
          <w:sz w:val="20"/>
          <w:szCs w:val="20"/>
          <w:lang w:val="pt-BR"/>
        </w:rPr>
        <w:t>esforços</w:t>
      </w:r>
      <w:r w:rsidR="00D23C1B" w:rsidRPr="006D1C74">
        <w:rPr>
          <w:rFonts w:asciiTheme="majorHAnsi" w:hAnsiTheme="majorHAnsi"/>
          <w:sz w:val="20"/>
          <w:szCs w:val="20"/>
          <w:lang w:val="pt-BR"/>
        </w:rPr>
        <w:t xml:space="preserve"> realizados para reparar</w:t>
      </w:r>
      <w:r w:rsidR="00700267" w:rsidRPr="006D1C74">
        <w:rPr>
          <w:rFonts w:asciiTheme="majorHAnsi" w:hAnsiTheme="majorHAnsi"/>
          <w:sz w:val="20"/>
          <w:szCs w:val="20"/>
          <w:lang w:val="pt-BR"/>
        </w:rPr>
        <w:t xml:space="preserve"> o</w:t>
      </w:r>
      <w:r w:rsidR="00B83D48" w:rsidRPr="006D1C74">
        <w:rPr>
          <w:rFonts w:asciiTheme="majorHAnsi" w:hAnsiTheme="majorHAnsi"/>
          <w:sz w:val="20"/>
          <w:szCs w:val="20"/>
          <w:lang w:val="pt-BR"/>
        </w:rPr>
        <w:t>s</w:t>
      </w:r>
      <w:r w:rsidR="00700267"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danos</w:t>
      </w:r>
      <w:r w:rsidR="00D23C1B" w:rsidRPr="006D1C74">
        <w:rPr>
          <w:rFonts w:asciiTheme="majorHAnsi" w:hAnsiTheme="majorHAnsi"/>
          <w:sz w:val="20"/>
          <w:szCs w:val="20"/>
          <w:lang w:val="pt-BR"/>
        </w:rPr>
        <w:t xml:space="preserve"> causado</w:t>
      </w:r>
      <w:r w:rsidR="00B83D48" w:rsidRPr="006D1C74">
        <w:rPr>
          <w:rFonts w:asciiTheme="majorHAnsi" w:hAnsiTheme="majorHAnsi"/>
          <w:sz w:val="20"/>
          <w:szCs w:val="20"/>
          <w:lang w:val="pt-BR"/>
        </w:rPr>
        <w:t>s</w:t>
      </w:r>
      <w:r w:rsidR="00D23C1B" w:rsidRPr="006D1C74">
        <w:rPr>
          <w:rFonts w:asciiTheme="majorHAnsi" w:hAnsiTheme="majorHAnsi"/>
          <w:sz w:val="20"/>
          <w:szCs w:val="20"/>
          <w:lang w:val="pt-BR"/>
        </w:rPr>
        <w:t xml:space="preserve"> </w:t>
      </w:r>
      <w:r w:rsidR="00B83D48" w:rsidRPr="006D1C74">
        <w:rPr>
          <w:rFonts w:asciiTheme="majorHAnsi" w:hAnsiTheme="majorHAnsi"/>
          <w:sz w:val="20"/>
          <w:szCs w:val="20"/>
          <w:lang w:val="pt-BR"/>
        </w:rPr>
        <w:t>e</w:t>
      </w:r>
      <w:r w:rsidR="00D23C1B" w:rsidRPr="006D1C74">
        <w:rPr>
          <w:rFonts w:asciiTheme="majorHAnsi" w:hAnsiTheme="majorHAnsi"/>
          <w:sz w:val="20"/>
          <w:szCs w:val="20"/>
          <w:lang w:val="pt-BR"/>
        </w:rPr>
        <w:t>,</w:t>
      </w:r>
      <w:r w:rsidR="00F673C7" w:rsidRPr="006D1C74">
        <w:rPr>
          <w:rFonts w:asciiTheme="majorHAnsi" w:hAnsiTheme="majorHAnsi"/>
          <w:sz w:val="20"/>
          <w:szCs w:val="20"/>
          <w:lang w:val="pt-BR"/>
        </w:rPr>
        <w:t xml:space="preserve"> em </w:t>
      </w:r>
      <w:r w:rsidR="00D23C1B" w:rsidRPr="006D1C74">
        <w:rPr>
          <w:rFonts w:asciiTheme="majorHAnsi" w:hAnsiTheme="majorHAnsi"/>
          <w:sz w:val="20"/>
          <w:szCs w:val="20"/>
          <w:lang w:val="pt-BR"/>
        </w:rPr>
        <w:t>particular, que</w:t>
      </w:r>
      <w:r w:rsidR="00700267" w:rsidRPr="006D1C74">
        <w:rPr>
          <w:rFonts w:asciiTheme="majorHAnsi" w:hAnsiTheme="majorHAnsi"/>
          <w:sz w:val="20"/>
          <w:szCs w:val="20"/>
          <w:lang w:val="pt-BR"/>
        </w:rPr>
        <w:t xml:space="preserve"> o </w:t>
      </w:r>
      <w:r w:rsidR="00D23C1B" w:rsidRPr="006D1C74">
        <w:rPr>
          <w:rFonts w:asciiTheme="majorHAnsi" w:hAnsiTheme="majorHAnsi"/>
          <w:sz w:val="20"/>
          <w:szCs w:val="20"/>
          <w:lang w:val="pt-BR"/>
        </w:rPr>
        <w:t xml:space="preserve">Tribunal de </w:t>
      </w:r>
      <w:r w:rsidR="00795010" w:rsidRPr="006D1C74">
        <w:rPr>
          <w:rFonts w:asciiTheme="majorHAnsi" w:hAnsiTheme="majorHAnsi"/>
          <w:sz w:val="20"/>
          <w:szCs w:val="20"/>
          <w:lang w:val="pt-BR"/>
        </w:rPr>
        <w:t>Justiça</w:t>
      </w:r>
      <w:r w:rsidR="00030019" w:rsidRPr="006D1C74">
        <w:rPr>
          <w:rFonts w:asciiTheme="majorHAnsi" w:hAnsiTheme="majorHAnsi"/>
          <w:sz w:val="20"/>
          <w:szCs w:val="20"/>
          <w:lang w:val="pt-BR"/>
        </w:rPr>
        <w:t xml:space="preserve"> do </w:t>
      </w:r>
      <w:r w:rsidR="00D23C1B" w:rsidRPr="006D1C74">
        <w:rPr>
          <w:rFonts w:asciiTheme="majorHAnsi" w:hAnsiTheme="majorHAnsi"/>
          <w:sz w:val="20"/>
          <w:szCs w:val="20"/>
          <w:lang w:val="pt-BR"/>
        </w:rPr>
        <w:t xml:space="preserve">Estado </w:t>
      </w:r>
      <w:r w:rsidR="000D2A81" w:rsidRPr="006D1C74">
        <w:rPr>
          <w:rFonts w:asciiTheme="majorHAnsi" w:hAnsiTheme="majorHAnsi"/>
          <w:sz w:val="20"/>
          <w:szCs w:val="20"/>
          <w:lang w:val="pt-BR"/>
        </w:rPr>
        <w:t>do Paraná</w:t>
      </w:r>
      <w:r w:rsidR="00D23C1B" w:rsidRPr="006D1C74">
        <w:rPr>
          <w:rFonts w:asciiTheme="majorHAnsi" w:hAnsiTheme="majorHAnsi"/>
          <w:sz w:val="20"/>
          <w:szCs w:val="20"/>
          <w:lang w:val="pt-BR"/>
        </w:rPr>
        <w:t xml:space="preserve"> </w:t>
      </w:r>
      <w:r w:rsidR="00B83D48" w:rsidRPr="006D1C74">
        <w:rPr>
          <w:rFonts w:asciiTheme="majorHAnsi" w:hAnsiTheme="majorHAnsi"/>
          <w:sz w:val="20"/>
          <w:szCs w:val="20"/>
          <w:lang w:val="pt-BR"/>
        </w:rPr>
        <w:t xml:space="preserve">tenha reconhecido </w:t>
      </w:r>
      <w:r w:rsidR="00700267" w:rsidRPr="006D1C74">
        <w:rPr>
          <w:rFonts w:asciiTheme="majorHAnsi" w:hAnsiTheme="majorHAnsi"/>
          <w:sz w:val="20"/>
          <w:szCs w:val="20"/>
          <w:lang w:val="pt-BR"/>
        </w:rPr>
        <w:t xml:space="preserve">o </w:t>
      </w:r>
      <w:r w:rsidR="00417BE8" w:rsidRPr="006D1C74">
        <w:rPr>
          <w:rFonts w:asciiTheme="majorHAnsi" w:hAnsiTheme="majorHAnsi"/>
          <w:sz w:val="20"/>
          <w:szCs w:val="20"/>
          <w:lang w:val="pt-BR"/>
        </w:rPr>
        <w:t>direito</w:t>
      </w:r>
      <w:r w:rsidR="00700267" w:rsidRPr="006D1C74">
        <w:rPr>
          <w:rFonts w:asciiTheme="majorHAnsi" w:hAnsiTheme="majorHAnsi"/>
          <w:sz w:val="20"/>
          <w:szCs w:val="20"/>
          <w:lang w:val="pt-BR"/>
        </w:rPr>
        <w:t xml:space="preserve"> dos </w:t>
      </w:r>
      <w:r w:rsidR="001E2392" w:rsidRPr="006D1C74">
        <w:rPr>
          <w:rFonts w:asciiTheme="majorHAnsi" w:hAnsiTheme="majorHAnsi"/>
          <w:sz w:val="20"/>
          <w:szCs w:val="20"/>
          <w:lang w:val="pt-BR"/>
        </w:rPr>
        <w:t>familiares</w:t>
      </w:r>
      <w:r w:rsidR="00621ECB" w:rsidRPr="006D1C74">
        <w:rPr>
          <w:rFonts w:asciiTheme="majorHAnsi" w:hAnsiTheme="majorHAnsi"/>
          <w:sz w:val="20"/>
          <w:szCs w:val="20"/>
          <w:lang w:val="pt-BR"/>
        </w:rPr>
        <w:t xml:space="preserve"> a obter</w:t>
      </w:r>
      <w:r w:rsidR="00030019" w:rsidRPr="006D1C74">
        <w:rPr>
          <w:rFonts w:asciiTheme="majorHAnsi" w:hAnsiTheme="majorHAnsi"/>
          <w:sz w:val="20"/>
          <w:szCs w:val="20"/>
          <w:lang w:val="pt-BR"/>
        </w:rPr>
        <w:t xml:space="preserve"> uma </w:t>
      </w:r>
      <w:r w:rsidR="00621ECB" w:rsidRPr="006D1C74">
        <w:rPr>
          <w:rFonts w:asciiTheme="majorHAnsi" w:hAnsiTheme="majorHAnsi"/>
          <w:sz w:val="20"/>
          <w:szCs w:val="20"/>
          <w:lang w:val="pt-BR"/>
        </w:rPr>
        <w:t>repara</w:t>
      </w:r>
      <w:r w:rsidR="00CF037E" w:rsidRPr="006D1C74">
        <w:rPr>
          <w:rFonts w:asciiTheme="majorHAnsi" w:hAnsiTheme="majorHAnsi"/>
          <w:sz w:val="20"/>
          <w:szCs w:val="20"/>
          <w:lang w:val="pt-BR"/>
        </w:rPr>
        <w:t>ção</w:t>
      </w:r>
      <w:r w:rsidR="00F673C7" w:rsidRPr="006D1C74">
        <w:rPr>
          <w:rFonts w:asciiTheme="majorHAnsi" w:hAnsiTheme="majorHAnsi"/>
          <w:sz w:val="20"/>
          <w:szCs w:val="20"/>
          <w:lang w:val="pt-BR"/>
        </w:rPr>
        <w:t xml:space="preserve"> </w:t>
      </w:r>
      <w:r w:rsidR="00B83D48" w:rsidRPr="006D1C74">
        <w:rPr>
          <w:rFonts w:asciiTheme="majorHAnsi" w:hAnsiTheme="majorHAnsi"/>
          <w:sz w:val="20"/>
          <w:szCs w:val="20"/>
          <w:lang w:val="pt-BR"/>
        </w:rPr>
        <w:t>pel</w:t>
      </w:r>
      <w:r w:rsidR="00795010" w:rsidRPr="006D1C74">
        <w:rPr>
          <w:rFonts w:asciiTheme="majorHAnsi" w:hAnsiTheme="majorHAnsi"/>
          <w:sz w:val="20"/>
          <w:szCs w:val="20"/>
          <w:lang w:val="pt-BR"/>
        </w:rPr>
        <w:t xml:space="preserve">a </w:t>
      </w:r>
      <w:r w:rsidR="00FC2F62" w:rsidRPr="006D1C74">
        <w:rPr>
          <w:rFonts w:asciiTheme="majorHAnsi" w:hAnsiTheme="majorHAnsi"/>
          <w:sz w:val="20"/>
          <w:szCs w:val="20"/>
          <w:lang w:val="pt-BR"/>
        </w:rPr>
        <w:t>morte</w:t>
      </w:r>
      <w:r w:rsidR="00621ECB"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produzida</w:t>
      </w:r>
      <w:r w:rsidR="00F37852" w:rsidRPr="006D1C74">
        <w:rPr>
          <w:rFonts w:asciiTheme="majorHAnsi" w:hAnsiTheme="majorHAnsi"/>
          <w:sz w:val="20"/>
          <w:szCs w:val="20"/>
          <w:lang w:val="pt-BR"/>
        </w:rPr>
        <w:t xml:space="preserve"> pela </w:t>
      </w:r>
      <w:r w:rsidR="003171F3" w:rsidRPr="006D1C74">
        <w:rPr>
          <w:rFonts w:asciiTheme="majorHAnsi" w:hAnsiTheme="majorHAnsi"/>
          <w:sz w:val="20"/>
          <w:szCs w:val="20"/>
          <w:lang w:val="pt-BR"/>
        </w:rPr>
        <w:t>atuação</w:t>
      </w:r>
      <w:r w:rsidR="00621ECB" w:rsidRPr="006D1C74">
        <w:rPr>
          <w:rFonts w:asciiTheme="majorHAnsi" w:hAnsiTheme="majorHAnsi"/>
          <w:sz w:val="20"/>
          <w:szCs w:val="20"/>
          <w:lang w:val="pt-BR"/>
        </w:rPr>
        <w:t xml:space="preserve"> de</w:t>
      </w:r>
      <w:r w:rsidR="00030019" w:rsidRPr="006D1C74">
        <w:rPr>
          <w:rFonts w:asciiTheme="majorHAnsi" w:hAnsiTheme="majorHAnsi"/>
          <w:sz w:val="20"/>
          <w:szCs w:val="20"/>
          <w:lang w:val="pt-BR"/>
        </w:rPr>
        <w:t xml:space="preserve"> um </w:t>
      </w:r>
      <w:r w:rsidR="00621ECB" w:rsidRPr="006D1C74">
        <w:rPr>
          <w:rFonts w:asciiTheme="majorHAnsi" w:hAnsiTheme="majorHAnsi"/>
          <w:sz w:val="20"/>
          <w:szCs w:val="20"/>
          <w:lang w:val="pt-BR"/>
        </w:rPr>
        <w:t xml:space="preserve">agente estatal, </w:t>
      </w:r>
      <w:r w:rsidR="00B83D48" w:rsidRPr="006D1C74">
        <w:rPr>
          <w:rFonts w:asciiTheme="majorHAnsi" w:hAnsiTheme="majorHAnsi"/>
          <w:sz w:val="20"/>
          <w:szCs w:val="20"/>
          <w:lang w:val="pt-BR"/>
        </w:rPr>
        <w:t>esse</w:t>
      </w:r>
      <w:r w:rsidR="00621ECB" w:rsidRPr="006D1C74">
        <w:rPr>
          <w:rFonts w:asciiTheme="majorHAnsi" w:hAnsiTheme="majorHAnsi"/>
          <w:sz w:val="20"/>
          <w:szCs w:val="20"/>
          <w:lang w:val="pt-BR"/>
        </w:rPr>
        <w:t xml:space="preserve"> recurso</w:t>
      </w:r>
      <w:r w:rsidR="00F673C7" w:rsidRPr="006D1C74">
        <w:rPr>
          <w:rFonts w:asciiTheme="majorHAnsi" w:hAnsiTheme="majorHAnsi"/>
          <w:sz w:val="20"/>
          <w:szCs w:val="20"/>
          <w:lang w:val="pt-BR"/>
        </w:rPr>
        <w:t xml:space="preserve"> não </w:t>
      </w:r>
      <w:r w:rsidR="00B83D48" w:rsidRPr="006D1C74">
        <w:rPr>
          <w:rFonts w:asciiTheme="majorHAnsi" w:hAnsiTheme="majorHAnsi"/>
          <w:sz w:val="20"/>
          <w:szCs w:val="20"/>
          <w:lang w:val="pt-BR"/>
        </w:rPr>
        <w:t>foi</w:t>
      </w:r>
      <w:r w:rsidR="00621ECB"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efetivo</w:t>
      </w:r>
      <w:r w:rsidR="00621ECB" w:rsidRPr="006D1C74">
        <w:rPr>
          <w:rFonts w:asciiTheme="majorHAnsi" w:hAnsiTheme="majorHAnsi"/>
          <w:sz w:val="20"/>
          <w:szCs w:val="20"/>
          <w:lang w:val="pt-BR"/>
        </w:rPr>
        <w:t xml:space="preserve"> para </w:t>
      </w:r>
      <w:r w:rsidR="00B83D48" w:rsidRPr="006D1C74">
        <w:rPr>
          <w:rFonts w:asciiTheme="majorHAnsi" w:hAnsiTheme="majorHAnsi"/>
          <w:sz w:val="20"/>
          <w:szCs w:val="20"/>
          <w:lang w:val="pt-BR"/>
        </w:rPr>
        <w:t xml:space="preserve">obter </w:t>
      </w:r>
      <w:r w:rsidR="00030019" w:rsidRPr="006D1C74">
        <w:rPr>
          <w:rFonts w:asciiTheme="majorHAnsi" w:hAnsiTheme="majorHAnsi"/>
          <w:sz w:val="20"/>
          <w:szCs w:val="20"/>
          <w:lang w:val="pt-BR"/>
        </w:rPr>
        <w:t xml:space="preserve">uma </w:t>
      </w:r>
      <w:r w:rsidR="00621ECB" w:rsidRPr="006D1C74">
        <w:rPr>
          <w:rFonts w:asciiTheme="majorHAnsi" w:hAnsiTheme="majorHAnsi"/>
          <w:sz w:val="20"/>
          <w:szCs w:val="20"/>
          <w:lang w:val="pt-BR"/>
        </w:rPr>
        <w:t>repara</w:t>
      </w:r>
      <w:r w:rsidR="00CF037E" w:rsidRPr="006D1C74">
        <w:rPr>
          <w:rFonts w:asciiTheme="majorHAnsi" w:hAnsiTheme="majorHAnsi"/>
          <w:sz w:val="20"/>
          <w:szCs w:val="20"/>
          <w:lang w:val="pt-BR"/>
        </w:rPr>
        <w:t>ção</w:t>
      </w:r>
      <w:r w:rsidR="00621ECB"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pecuniária</w:t>
      </w:r>
      <w:r w:rsidR="00030019" w:rsidRPr="006D1C74">
        <w:rPr>
          <w:rFonts w:asciiTheme="majorHAnsi" w:hAnsiTheme="majorHAnsi"/>
          <w:sz w:val="20"/>
          <w:szCs w:val="20"/>
          <w:lang w:val="pt-BR"/>
        </w:rPr>
        <w:t xml:space="preserve"> </w:t>
      </w:r>
      <w:r w:rsidR="00B83D48" w:rsidRPr="006D1C74">
        <w:rPr>
          <w:rFonts w:asciiTheme="majorHAnsi" w:hAnsiTheme="majorHAnsi"/>
          <w:sz w:val="20"/>
          <w:szCs w:val="20"/>
          <w:lang w:val="pt-BR"/>
        </w:rPr>
        <w:t>para a</w:t>
      </w:r>
      <w:r w:rsidR="00030019" w:rsidRPr="006D1C74">
        <w:rPr>
          <w:rFonts w:asciiTheme="majorHAnsi" w:hAnsiTheme="majorHAnsi"/>
          <w:sz w:val="20"/>
          <w:szCs w:val="20"/>
          <w:lang w:val="pt-BR"/>
        </w:rPr>
        <w:t xml:space="preserve">s </w:t>
      </w:r>
      <w:r w:rsidR="00795010" w:rsidRPr="006D1C74">
        <w:rPr>
          <w:rFonts w:asciiTheme="majorHAnsi" w:hAnsiTheme="majorHAnsi"/>
          <w:sz w:val="20"/>
          <w:szCs w:val="20"/>
          <w:lang w:val="pt-BR"/>
        </w:rPr>
        <w:t>vítima</w:t>
      </w:r>
      <w:r w:rsidR="002D14E9" w:rsidRPr="006D1C74">
        <w:rPr>
          <w:rFonts w:asciiTheme="majorHAnsi" w:hAnsiTheme="majorHAnsi"/>
          <w:sz w:val="20"/>
          <w:szCs w:val="20"/>
          <w:lang w:val="pt-BR"/>
        </w:rPr>
        <w:t>s</w:t>
      </w:r>
      <w:r w:rsidR="00621ECB" w:rsidRPr="006D1C74">
        <w:rPr>
          <w:rFonts w:asciiTheme="majorHAnsi" w:hAnsiTheme="majorHAnsi"/>
          <w:sz w:val="20"/>
          <w:szCs w:val="20"/>
          <w:lang w:val="pt-BR"/>
        </w:rPr>
        <w:t xml:space="preserve">, </w:t>
      </w:r>
      <w:r w:rsidR="00B83D48" w:rsidRPr="006D1C74">
        <w:rPr>
          <w:rFonts w:asciiTheme="majorHAnsi" w:hAnsiTheme="majorHAnsi"/>
          <w:sz w:val="20"/>
          <w:szCs w:val="20"/>
          <w:lang w:val="pt-BR"/>
        </w:rPr>
        <w:t xml:space="preserve">quase </w:t>
      </w:r>
      <w:r w:rsidR="00621ECB" w:rsidRPr="006D1C74">
        <w:rPr>
          <w:rFonts w:asciiTheme="majorHAnsi" w:hAnsiTheme="majorHAnsi"/>
          <w:sz w:val="20"/>
          <w:szCs w:val="20"/>
          <w:lang w:val="pt-BR"/>
        </w:rPr>
        <w:t xml:space="preserve">20 </w:t>
      </w:r>
      <w:r w:rsidR="003171F3" w:rsidRPr="006D1C74">
        <w:rPr>
          <w:rFonts w:asciiTheme="majorHAnsi" w:hAnsiTheme="majorHAnsi"/>
          <w:sz w:val="20"/>
          <w:szCs w:val="20"/>
          <w:lang w:val="pt-BR"/>
        </w:rPr>
        <w:t>anos</w:t>
      </w:r>
      <w:r w:rsidR="00621ECB" w:rsidRPr="006D1C74">
        <w:rPr>
          <w:rFonts w:asciiTheme="majorHAnsi" w:hAnsiTheme="majorHAnsi"/>
          <w:sz w:val="20"/>
          <w:szCs w:val="20"/>
          <w:lang w:val="pt-BR"/>
        </w:rPr>
        <w:t xml:space="preserve"> </w:t>
      </w:r>
      <w:r w:rsidR="00B83D48" w:rsidRPr="006D1C74">
        <w:rPr>
          <w:rFonts w:asciiTheme="majorHAnsi" w:hAnsiTheme="majorHAnsi"/>
          <w:sz w:val="20"/>
          <w:szCs w:val="20"/>
          <w:lang w:val="pt-BR"/>
        </w:rPr>
        <w:t xml:space="preserve">depois </w:t>
      </w:r>
      <w:r w:rsidR="00621ECB" w:rsidRPr="006D1C74">
        <w:rPr>
          <w:rFonts w:asciiTheme="majorHAnsi" w:hAnsiTheme="majorHAnsi"/>
          <w:sz w:val="20"/>
          <w:szCs w:val="20"/>
          <w:lang w:val="pt-BR"/>
        </w:rPr>
        <w:t xml:space="preserve">de </w:t>
      </w:r>
      <w:r w:rsidR="003171F3" w:rsidRPr="006D1C74">
        <w:rPr>
          <w:rFonts w:asciiTheme="majorHAnsi" w:hAnsiTheme="majorHAnsi"/>
          <w:sz w:val="20"/>
          <w:szCs w:val="20"/>
          <w:lang w:val="pt-BR"/>
        </w:rPr>
        <w:t>ocorrida</w:t>
      </w:r>
      <w:r w:rsidR="00700267" w:rsidRPr="006D1C74">
        <w:rPr>
          <w:rFonts w:asciiTheme="majorHAnsi" w:hAnsiTheme="majorHAnsi"/>
          <w:sz w:val="20"/>
          <w:szCs w:val="20"/>
          <w:lang w:val="pt-BR"/>
        </w:rPr>
        <w:t xml:space="preserve"> a </w:t>
      </w:r>
      <w:r w:rsidR="00FC2F62" w:rsidRPr="006D1C74">
        <w:rPr>
          <w:rFonts w:asciiTheme="majorHAnsi" w:hAnsiTheme="majorHAnsi"/>
          <w:sz w:val="20"/>
          <w:szCs w:val="20"/>
          <w:lang w:val="pt-BR"/>
        </w:rPr>
        <w:t>morte</w:t>
      </w:r>
      <w:r w:rsidR="002D14E9" w:rsidRPr="006D1C74">
        <w:rPr>
          <w:rFonts w:asciiTheme="majorHAnsi" w:hAnsiTheme="majorHAnsi"/>
          <w:sz w:val="20"/>
          <w:szCs w:val="20"/>
          <w:lang w:val="pt-BR"/>
        </w:rPr>
        <w:t xml:space="preserve"> de Antonio Tavares Pereira</w:t>
      </w:r>
      <w:r w:rsidR="00621ECB" w:rsidRPr="006D1C74">
        <w:rPr>
          <w:rFonts w:asciiTheme="majorHAnsi" w:hAnsiTheme="majorHAnsi"/>
          <w:sz w:val="20"/>
          <w:szCs w:val="20"/>
          <w:lang w:val="pt-BR"/>
        </w:rPr>
        <w:t>.</w:t>
      </w:r>
      <w:r w:rsidR="00D23C1B" w:rsidRPr="006D1C74">
        <w:rPr>
          <w:rFonts w:asciiTheme="majorHAnsi" w:hAnsiTheme="majorHAnsi"/>
          <w:sz w:val="20"/>
          <w:szCs w:val="20"/>
          <w:lang w:val="pt-BR"/>
        </w:rPr>
        <w:t xml:space="preserve"> </w:t>
      </w:r>
    </w:p>
    <w:p w14:paraId="6F5B7B88" w14:textId="77777777" w:rsidR="00D23C1B" w:rsidRPr="006D1C74" w:rsidRDefault="00D23C1B" w:rsidP="000D17B7">
      <w:pPr>
        <w:rPr>
          <w:rFonts w:asciiTheme="majorHAnsi" w:hAnsiTheme="majorHAnsi"/>
          <w:sz w:val="20"/>
          <w:szCs w:val="20"/>
          <w:lang w:val="pt-BR"/>
        </w:rPr>
      </w:pPr>
    </w:p>
    <w:p w14:paraId="239EF124" w14:textId="77777777" w:rsidR="002649F0" w:rsidRPr="006D1C74" w:rsidRDefault="00D5460A" w:rsidP="000D17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Finalmente,</w:t>
      </w:r>
      <w:r w:rsidR="00995C01" w:rsidRPr="006D1C74">
        <w:rPr>
          <w:rFonts w:asciiTheme="majorHAnsi" w:hAnsiTheme="majorHAnsi"/>
          <w:sz w:val="20"/>
          <w:szCs w:val="20"/>
          <w:lang w:val="pt-BR"/>
        </w:rPr>
        <w:t xml:space="preserve"> no </w:t>
      </w:r>
      <w:r w:rsidR="00B83D48" w:rsidRPr="006D1C74">
        <w:rPr>
          <w:rFonts w:asciiTheme="majorHAnsi" w:hAnsiTheme="majorHAnsi"/>
          <w:sz w:val="20"/>
          <w:szCs w:val="20"/>
          <w:lang w:val="pt-BR"/>
        </w:rPr>
        <w:t xml:space="preserve">que se </w:t>
      </w:r>
      <w:r w:rsidRPr="006D1C74">
        <w:rPr>
          <w:rFonts w:asciiTheme="majorHAnsi" w:hAnsiTheme="majorHAnsi"/>
          <w:sz w:val="20"/>
          <w:szCs w:val="20"/>
          <w:lang w:val="pt-BR"/>
        </w:rPr>
        <w:t>refere</w:t>
      </w:r>
      <w:r w:rsidR="00030019" w:rsidRPr="006D1C74">
        <w:rPr>
          <w:rFonts w:asciiTheme="majorHAnsi" w:hAnsiTheme="majorHAnsi"/>
          <w:sz w:val="20"/>
          <w:szCs w:val="20"/>
          <w:lang w:val="pt-BR"/>
        </w:rPr>
        <w:t xml:space="preserve"> à </w:t>
      </w:r>
      <w:r w:rsidRPr="006D1C74">
        <w:rPr>
          <w:rFonts w:asciiTheme="majorHAnsi" w:hAnsiTheme="majorHAnsi"/>
          <w:sz w:val="20"/>
          <w:szCs w:val="20"/>
          <w:lang w:val="pt-BR"/>
        </w:rPr>
        <w:t>garant</w:t>
      </w:r>
      <w:r w:rsidR="00055622" w:rsidRPr="006D1C74">
        <w:rPr>
          <w:rFonts w:asciiTheme="majorHAnsi" w:hAnsiTheme="majorHAnsi"/>
          <w:sz w:val="20"/>
          <w:szCs w:val="20"/>
          <w:lang w:val="pt-BR"/>
        </w:rPr>
        <w:t>ia</w:t>
      </w:r>
      <w:r w:rsidR="00030019" w:rsidRPr="006D1C74">
        <w:rPr>
          <w:rFonts w:asciiTheme="majorHAnsi" w:hAnsiTheme="majorHAnsi"/>
          <w:sz w:val="20"/>
          <w:szCs w:val="20"/>
          <w:lang w:val="pt-BR"/>
        </w:rPr>
        <w:t xml:space="preserve"> do </w:t>
      </w:r>
      <w:r w:rsidR="00D74A93" w:rsidRPr="006D1C74">
        <w:rPr>
          <w:rFonts w:asciiTheme="majorHAnsi" w:hAnsiTheme="majorHAnsi"/>
          <w:sz w:val="20"/>
          <w:szCs w:val="20"/>
          <w:lang w:val="pt-BR"/>
        </w:rPr>
        <w:t>prazo</w:t>
      </w:r>
      <w:r w:rsidRPr="006D1C74">
        <w:rPr>
          <w:rFonts w:asciiTheme="majorHAnsi" w:hAnsiTheme="majorHAnsi"/>
          <w:sz w:val="20"/>
          <w:szCs w:val="20"/>
          <w:lang w:val="pt-BR"/>
        </w:rPr>
        <w:t xml:space="preserve"> razo</w:t>
      </w:r>
      <w:r w:rsidR="00B83D48" w:rsidRPr="006D1C74">
        <w:rPr>
          <w:rFonts w:asciiTheme="majorHAnsi" w:hAnsiTheme="majorHAnsi"/>
          <w:sz w:val="20"/>
          <w:szCs w:val="20"/>
          <w:lang w:val="pt-BR"/>
        </w:rPr>
        <w:t>ável</w:t>
      </w:r>
      <w:r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002649F0" w:rsidRPr="006D1C74">
        <w:rPr>
          <w:rFonts w:asciiTheme="majorHAnsi" w:hAnsiTheme="majorHAnsi"/>
          <w:sz w:val="20"/>
          <w:szCs w:val="20"/>
          <w:lang w:val="pt-BR"/>
        </w:rPr>
        <w:t xml:space="preserve"> </w:t>
      </w:r>
      <w:r w:rsidR="00CD132F" w:rsidRPr="006D1C74">
        <w:rPr>
          <w:rFonts w:asciiTheme="majorHAnsi" w:hAnsiTheme="majorHAnsi"/>
          <w:sz w:val="20"/>
          <w:szCs w:val="20"/>
          <w:lang w:val="pt-BR"/>
        </w:rPr>
        <w:t>considera pertinente pronunciar</w:t>
      </w:r>
      <w:r w:rsidR="00B83D48" w:rsidRPr="006D1C74">
        <w:rPr>
          <w:rFonts w:asciiTheme="majorHAnsi" w:hAnsiTheme="majorHAnsi"/>
          <w:sz w:val="20"/>
          <w:szCs w:val="20"/>
          <w:lang w:val="pt-BR"/>
        </w:rPr>
        <w:t>-</w:t>
      </w:r>
      <w:r w:rsidR="00CD132F" w:rsidRPr="006D1C74">
        <w:rPr>
          <w:rFonts w:asciiTheme="majorHAnsi" w:hAnsiTheme="majorHAnsi"/>
          <w:sz w:val="20"/>
          <w:szCs w:val="20"/>
          <w:lang w:val="pt-BR"/>
        </w:rPr>
        <w:t xml:space="preserve">se </w:t>
      </w:r>
      <w:r w:rsidR="00B83D48" w:rsidRPr="006D1C74">
        <w:rPr>
          <w:rFonts w:asciiTheme="majorHAnsi" w:hAnsiTheme="majorHAnsi"/>
          <w:sz w:val="20"/>
          <w:szCs w:val="20"/>
          <w:lang w:val="pt-BR"/>
        </w:rPr>
        <w:t xml:space="preserve">a </w:t>
      </w:r>
      <w:r w:rsidR="00156036" w:rsidRPr="006D1C74">
        <w:rPr>
          <w:rFonts w:asciiTheme="majorHAnsi" w:hAnsiTheme="majorHAnsi"/>
          <w:sz w:val="20"/>
          <w:szCs w:val="20"/>
          <w:lang w:val="pt-BR"/>
        </w:rPr>
        <w:t>respeito</w:t>
      </w:r>
      <w:r w:rsidR="00030019" w:rsidRPr="006D1C74">
        <w:rPr>
          <w:rFonts w:asciiTheme="majorHAnsi" w:hAnsiTheme="majorHAnsi"/>
          <w:sz w:val="20"/>
          <w:szCs w:val="20"/>
          <w:lang w:val="pt-BR"/>
        </w:rPr>
        <w:t xml:space="preserve"> </w:t>
      </w:r>
      <w:r w:rsidR="00B83D48" w:rsidRPr="006D1C74">
        <w:rPr>
          <w:rFonts w:asciiTheme="majorHAnsi" w:hAnsiTheme="majorHAnsi"/>
          <w:sz w:val="20"/>
          <w:szCs w:val="20"/>
          <w:lang w:val="pt-BR"/>
        </w:rPr>
        <w:t xml:space="preserve">tanto </w:t>
      </w:r>
      <w:r w:rsidR="00030019" w:rsidRPr="006D1C74">
        <w:rPr>
          <w:rFonts w:asciiTheme="majorHAnsi" w:hAnsiTheme="majorHAnsi"/>
          <w:sz w:val="20"/>
          <w:szCs w:val="20"/>
          <w:lang w:val="pt-BR"/>
        </w:rPr>
        <w:t xml:space="preserve">do </w:t>
      </w:r>
      <w:r w:rsidR="00AB7F30" w:rsidRPr="006D1C74">
        <w:rPr>
          <w:rFonts w:asciiTheme="majorHAnsi" w:hAnsiTheme="majorHAnsi"/>
          <w:sz w:val="20"/>
          <w:szCs w:val="20"/>
          <w:lang w:val="pt-BR"/>
        </w:rPr>
        <w:t>processo</w:t>
      </w:r>
      <w:r w:rsidR="00CD132F" w:rsidRPr="006D1C74">
        <w:rPr>
          <w:rFonts w:asciiTheme="majorHAnsi" w:hAnsiTheme="majorHAnsi"/>
          <w:sz w:val="20"/>
          <w:szCs w:val="20"/>
          <w:lang w:val="pt-BR"/>
        </w:rPr>
        <w:t xml:space="preserve"> penal como</w:t>
      </w:r>
      <w:r w:rsidR="00700267" w:rsidRPr="006D1C74">
        <w:rPr>
          <w:rFonts w:asciiTheme="majorHAnsi" w:hAnsiTheme="majorHAnsi"/>
          <w:sz w:val="20"/>
          <w:szCs w:val="20"/>
          <w:lang w:val="pt-BR"/>
        </w:rPr>
        <w:t xml:space="preserve"> </w:t>
      </w:r>
      <w:r w:rsidR="00B83D48" w:rsidRPr="006D1C74">
        <w:rPr>
          <w:rFonts w:asciiTheme="majorHAnsi" w:hAnsiTheme="majorHAnsi"/>
          <w:sz w:val="20"/>
          <w:szCs w:val="20"/>
          <w:lang w:val="pt-BR"/>
        </w:rPr>
        <w:t>d</w:t>
      </w:r>
      <w:r w:rsidR="00F37852" w:rsidRPr="006D1C74">
        <w:rPr>
          <w:rFonts w:asciiTheme="majorHAnsi" w:hAnsiTheme="majorHAnsi"/>
          <w:sz w:val="20"/>
          <w:szCs w:val="20"/>
          <w:lang w:val="pt-BR"/>
        </w:rPr>
        <w:t xml:space="preserve">a </w:t>
      </w:r>
      <w:r w:rsidR="00CD132F" w:rsidRPr="006D1C74">
        <w:rPr>
          <w:rFonts w:asciiTheme="majorHAnsi" w:hAnsiTheme="majorHAnsi"/>
          <w:sz w:val="20"/>
          <w:szCs w:val="20"/>
          <w:lang w:val="pt-BR"/>
        </w:rPr>
        <w:t>a</w:t>
      </w:r>
      <w:r w:rsidR="00CF037E" w:rsidRPr="006D1C74">
        <w:rPr>
          <w:rFonts w:asciiTheme="majorHAnsi" w:hAnsiTheme="majorHAnsi"/>
          <w:sz w:val="20"/>
          <w:szCs w:val="20"/>
          <w:lang w:val="pt-BR"/>
        </w:rPr>
        <w:t>ção</w:t>
      </w:r>
      <w:r w:rsidR="00CD132F" w:rsidRPr="006D1C74">
        <w:rPr>
          <w:rFonts w:asciiTheme="majorHAnsi" w:hAnsiTheme="majorHAnsi"/>
          <w:sz w:val="20"/>
          <w:szCs w:val="20"/>
          <w:lang w:val="pt-BR"/>
        </w:rPr>
        <w:t xml:space="preserve"> </w:t>
      </w:r>
      <w:r w:rsidR="00B83D48" w:rsidRPr="006D1C74">
        <w:rPr>
          <w:rFonts w:asciiTheme="majorHAnsi" w:hAnsiTheme="majorHAnsi"/>
          <w:sz w:val="20"/>
          <w:szCs w:val="20"/>
          <w:lang w:val="pt-BR"/>
        </w:rPr>
        <w:t xml:space="preserve">de indenização </w:t>
      </w:r>
      <w:r w:rsidR="00CD132F" w:rsidRPr="006D1C74">
        <w:rPr>
          <w:rFonts w:asciiTheme="majorHAnsi" w:hAnsiTheme="majorHAnsi"/>
          <w:sz w:val="20"/>
          <w:szCs w:val="20"/>
          <w:lang w:val="pt-BR"/>
        </w:rPr>
        <w:t xml:space="preserve">por </w:t>
      </w:r>
      <w:r w:rsidR="00B83D48" w:rsidRPr="006D1C74">
        <w:rPr>
          <w:rFonts w:asciiTheme="majorHAnsi" w:hAnsiTheme="majorHAnsi"/>
          <w:sz w:val="20"/>
          <w:szCs w:val="20"/>
          <w:lang w:val="pt-BR"/>
        </w:rPr>
        <w:t xml:space="preserve">perdas e </w:t>
      </w:r>
      <w:r w:rsidR="003171F3" w:rsidRPr="006D1C74">
        <w:rPr>
          <w:rFonts w:asciiTheme="majorHAnsi" w:hAnsiTheme="majorHAnsi"/>
          <w:sz w:val="20"/>
          <w:szCs w:val="20"/>
          <w:lang w:val="pt-BR"/>
        </w:rPr>
        <w:t>danos</w:t>
      </w:r>
      <w:r w:rsidR="00CF037E" w:rsidRPr="006D1C74">
        <w:rPr>
          <w:rFonts w:asciiTheme="majorHAnsi" w:hAnsiTheme="majorHAnsi"/>
          <w:sz w:val="20"/>
          <w:szCs w:val="20"/>
          <w:lang w:val="pt-BR"/>
        </w:rPr>
        <w:t xml:space="preserve"> </w:t>
      </w:r>
      <w:r w:rsidR="00B83D48" w:rsidRPr="006D1C74">
        <w:rPr>
          <w:rFonts w:asciiTheme="majorHAnsi" w:hAnsiTheme="majorHAnsi"/>
          <w:sz w:val="20"/>
          <w:szCs w:val="20"/>
          <w:lang w:val="pt-BR"/>
        </w:rPr>
        <w:t>a</w:t>
      </w:r>
      <w:r w:rsidR="00CD132F" w:rsidRPr="006D1C74">
        <w:rPr>
          <w:rFonts w:asciiTheme="majorHAnsi" w:hAnsiTheme="majorHAnsi"/>
          <w:sz w:val="20"/>
          <w:szCs w:val="20"/>
          <w:lang w:val="pt-BR"/>
        </w:rPr>
        <w:t>presentada</w:t>
      </w:r>
      <w:r w:rsidR="00BD3AB3" w:rsidRPr="006D1C74">
        <w:rPr>
          <w:rFonts w:asciiTheme="majorHAnsi" w:hAnsiTheme="majorHAnsi"/>
          <w:sz w:val="20"/>
          <w:szCs w:val="20"/>
          <w:lang w:val="pt-BR"/>
        </w:rPr>
        <w:t xml:space="preserve"> pelos </w:t>
      </w:r>
      <w:r w:rsidR="001E2392" w:rsidRPr="006D1C74">
        <w:rPr>
          <w:rFonts w:asciiTheme="majorHAnsi" w:hAnsiTheme="majorHAnsi"/>
          <w:sz w:val="20"/>
          <w:szCs w:val="20"/>
          <w:lang w:val="pt-BR"/>
        </w:rPr>
        <w:t>familiares</w:t>
      </w:r>
      <w:r w:rsidR="00030019" w:rsidRPr="006D1C74">
        <w:rPr>
          <w:rFonts w:asciiTheme="majorHAnsi" w:hAnsiTheme="majorHAnsi"/>
          <w:sz w:val="20"/>
          <w:szCs w:val="20"/>
          <w:lang w:val="pt-BR"/>
        </w:rPr>
        <w:t xml:space="preserve"> do </w:t>
      </w:r>
      <w:r w:rsidR="003171F3" w:rsidRPr="006D1C74">
        <w:rPr>
          <w:rFonts w:asciiTheme="majorHAnsi" w:hAnsiTheme="majorHAnsi"/>
          <w:sz w:val="20"/>
          <w:szCs w:val="20"/>
          <w:lang w:val="pt-BR"/>
        </w:rPr>
        <w:t>senhor</w:t>
      </w:r>
      <w:r w:rsidR="00C54DFE" w:rsidRPr="006D1C74">
        <w:rPr>
          <w:rFonts w:asciiTheme="majorHAnsi" w:hAnsiTheme="majorHAnsi"/>
          <w:sz w:val="20"/>
          <w:szCs w:val="20"/>
          <w:lang w:val="pt-BR"/>
        </w:rPr>
        <w:t xml:space="preserve"> Tavares</w:t>
      </w:r>
      <w:r w:rsidR="00CD132F" w:rsidRPr="006D1C74">
        <w:rPr>
          <w:rFonts w:asciiTheme="majorHAnsi" w:hAnsiTheme="majorHAnsi"/>
          <w:sz w:val="20"/>
          <w:szCs w:val="20"/>
          <w:lang w:val="pt-BR"/>
        </w:rPr>
        <w:t xml:space="preserve">. </w:t>
      </w:r>
      <w:r w:rsidR="00705E2B" w:rsidRPr="006D1C74">
        <w:rPr>
          <w:rFonts w:asciiTheme="majorHAnsi" w:hAnsiTheme="majorHAnsi"/>
          <w:sz w:val="20"/>
          <w:szCs w:val="20"/>
          <w:lang w:val="pt-BR"/>
        </w:rPr>
        <w:t xml:space="preserve">Para </w:t>
      </w:r>
      <w:r w:rsidR="009940F9" w:rsidRPr="006D1C74">
        <w:rPr>
          <w:rFonts w:asciiTheme="majorHAnsi" w:hAnsiTheme="majorHAnsi"/>
          <w:sz w:val="20"/>
          <w:szCs w:val="20"/>
          <w:lang w:val="pt-BR"/>
        </w:rPr>
        <w:t>iss</w:t>
      </w:r>
      <w:r w:rsidR="00705E2B" w:rsidRPr="006D1C74">
        <w:rPr>
          <w:rFonts w:asciiTheme="majorHAnsi" w:hAnsiTheme="majorHAnsi"/>
          <w:sz w:val="20"/>
          <w:szCs w:val="20"/>
          <w:lang w:val="pt-BR"/>
        </w:rPr>
        <w:t xml:space="preserve">o, </w:t>
      </w:r>
      <w:r w:rsidR="009940F9" w:rsidRPr="006D1C74">
        <w:rPr>
          <w:rFonts w:asciiTheme="majorHAnsi" w:hAnsiTheme="majorHAnsi"/>
          <w:sz w:val="20"/>
          <w:szCs w:val="20"/>
          <w:lang w:val="pt-BR"/>
        </w:rPr>
        <w:t>lev</w:t>
      </w:r>
      <w:r w:rsidR="002649F0" w:rsidRPr="006D1C74">
        <w:rPr>
          <w:rFonts w:asciiTheme="majorHAnsi" w:hAnsiTheme="majorHAnsi"/>
          <w:sz w:val="20"/>
          <w:szCs w:val="20"/>
          <w:lang w:val="pt-BR"/>
        </w:rPr>
        <w:t>a</w:t>
      </w:r>
      <w:r w:rsidR="00F673C7" w:rsidRPr="006D1C74">
        <w:rPr>
          <w:rFonts w:asciiTheme="majorHAnsi" w:hAnsiTheme="majorHAnsi"/>
          <w:sz w:val="20"/>
          <w:szCs w:val="20"/>
          <w:lang w:val="pt-BR"/>
        </w:rPr>
        <w:t xml:space="preserve"> em </w:t>
      </w:r>
      <w:r w:rsidR="003171F3" w:rsidRPr="006D1C74">
        <w:rPr>
          <w:rFonts w:asciiTheme="majorHAnsi" w:hAnsiTheme="majorHAnsi"/>
          <w:sz w:val="20"/>
          <w:szCs w:val="20"/>
          <w:lang w:val="pt-BR"/>
        </w:rPr>
        <w:t>conta</w:t>
      </w:r>
      <w:r w:rsidR="00700267" w:rsidRPr="006D1C74">
        <w:rPr>
          <w:rFonts w:asciiTheme="majorHAnsi" w:hAnsiTheme="majorHAnsi"/>
          <w:sz w:val="20"/>
          <w:szCs w:val="20"/>
          <w:lang w:val="pt-BR"/>
        </w:rPr>
        <w:t xml:space="preserve"> os </w:t>
      </w:r>
      <w:r w:rsidR="003705A2">
        <w:rPr>
          <w:rFonts w:asciiTheme="majorHAnsi" w:hAnsiTheme="majorHAnsi"/>
          <w:sz w:val="20"/>
          <w:szCs w:val="20"/>
          <w:lang w:val="pt-BR"/>
        </w:rPr>
        <w:t>qua</w:t>
      </w:r>
      <w:r w:rsidR="002649F0" w:rsidRPr="006D1C74">
        <w:rPr>
          <w:rFonts w:asciiTheme="majorHAnsi" w:hAnsiTheme="majorHAnsi"/>
          <w:sz w:val="20"/>
          <w:szCs w:val="20"/>
          <w:lang w:val="pt-BR"/>
        </w:rPr>
        <w:t>tro elementos que</w:t>
      </w:r>
      <w:r w:rsidR="00700267" w:rsidRPr="006D1C74">
        <w:rPr>
          <w:rFonts w:asciiTheme="majorHAnsi" w:hAnsiTheme="majorHAnsi"/>
          <w:sz w:val="20"/>
          <w:szCs w:val="20"/>
          <w:lang w:val="pt-BR"/>
        </w:rPr>
        <w:t xml:space="preserve"> a </w:t>
      </w:r>
      <w:r w:rsidR="003171F3" w:rsidRPr="006D1C74">
        <w:rPr>
          <w:rFonts w:asciiTheme="majorHAnsi" w:hAnsiTheme="majorHAnsi"/>
          <w:sz w:val="20"/>
          <w:szCs w:val="20"/>
          <w:lang w:val="pt-BR"/>
        </w:rPr>
        <w:t>jurisprudência</w:t>
      </w:r>
      <w:r w:rsidR="002649F0"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estabeleceu</w:t>
      </w:r>
      <w:r w:rsidR="002649F0" w:rsidRPr="006D1C74">
        <w:rPr>
          <w:rFonts w:asciiTheme="majorHAnsi" w:hAnsiTheme="majorHAnsi"/>
          <w:sz w:val="20"/>
          <w:szCs w:val="20"/>
          <w:lang w:val="pt-BR"/>
        </w:rPr>
        <w:t xml:space="preserve"> para determinar</w:t>
      </w:r>
      <w:r w:rsidR="00700267" w:rsidRPr="006D1C74">
        <w:rPr>
          <w:rFonts w:asciiTheme="majorHAnsi" w:hAnsiTheme="majorHAnsi"/>
          <w:sz w:val="20"/>
          <w:szCs w:val="20"/>
          <w:lang w:val="pt-BR"/>
        </w:rPr>
        <w:t xml:space="preserve"> a </w:t>
      </w:r>
      <w:r w:rsidR="002649F0" w:rsidRPr="006D1C74">
        <w:rPr>
          <w:rFonts w:asciiTheme="majorHAnsi" w:hAnsiTheme="majorHAnsi"/>
          <w:sz w:val="20"/>
          <w:szCs w:val="20"/>
          <w:lang w:val="pt-BR"/>
        </w:rPr>
        <w:t>razoabili</w:t>
      </w:r>
      <w:r w:rsidR="00F673C7" w:rsidRPr="006D1C74">
        <w:rPr>
          <w:rFonts w:asciiTheme="majorHAnsi" w:hAnsiTheme="majorHAnsi"/>
          <w:sz w:val="20"/>
          <w:szCs w:val="20"/>
          <w:lang w:val="pt-BR"/>
        </w:rPr>
        <w:t xml:space="preserve">dade </w:t>
      </w:r>
      <w:r w:rsidR="00030019" w:rsidRPr="006D1C74">
        <w:rPr>
          <w:rFonts w:asciiTheme="majorHAnsi" w:hAnsiTheme="majorHAnsi"/>
          <w:sz w:val="20"/>
          <w:szCs w:val="20"/>
          <w:lang w:val="pt-BR"/>
        </w:rPr>
        <w:t xml:space="preserve">do </w:t>
      </w:r>
      <w:r w:rsidR="00D74A93" w:rsidRPr="006D1C74">
        <w:rPr>
          <w:rFonts w:asciiTheme="majorHAnsi" w:hAnsiTheme="majorHAnsi"/>
          <w:sz w:val="20"/>
          <w:szCs w:val="20"/>
          <w:lang w:val="pt-BR"/>
        </w:rPr>
        <w:t>prazo</w:t>
      </w:r>
      <w:r w:rsidR="002649F0" w:rsidRPr="006D1C74">
        <w:rPr>
          <w:rFonts w:asciiTheme="majorHAnsi" w:hAnsiTheme="majorHAnsi"/>
          <w:sz w:val="20"/>
          <w:szCs w:val="20"/>
          <w:lang w:val="pt-BR"/>
        </w:rPr>
        <w:t>: a)</w:t>
      </w:r>
      <w:r w:rsidR="00700267" w:rsidRPr="006D1C74">
        <w:rPr>
          <w:rFonts w:asciiTheme="majorHAnsi" w:hAnsiTheme="majorHAnsi"/>
          <w:sz w:val="20"/>
          <w:szCs w:val="20"/>
          <w:lang w:val="pt-BR"/>
        </w:rPr>
        <w:t xml:space="preserve"> a </w:t>
      </w:r>
      <w:r w:rsidR="003171F3" w:rsidRPr="006D1C74">
        <w:rPr>
          <w:rFonts w:asciiTheme="majorHAnsi" w:hAnsiTheme="majorHAnsi"/>
          <w:sz w:val="20"/>
          <w:szCs w:val="20"/>
          <w:lang w:val="pt-BR"/>
        </w:rPr>
        <w:t>complexidade</w:t>
      </w:r>
      <w:r w:rsidR="00F673C7" w:rsidRPr="006D1C74">
        <w:rPr>
          <w:rFonts w:asciiTheme="majorHAnsi" w:hAnsiTheme="majorHAnsi"/>
          <w:sz w:val="20"/>
          <w:szCs w:val="20"/>
          <w:lang w:val="pt-BR"/>
        </w:rPr>
        <w:t xml:space="preserve"> </w:t>
      </w:r>
      <w:r w:rsidR="00030019" w:rsidRPr="006D1C74">
        <w:rPr>
          <w:rFonts w:asciiTheme="majorHAnsi" w:hAnsiTheme="majorHAnsi"/>
          <w:sz w:val="20"/>
          <w:szCs w:val="20"/>
          <w:lang w:val="pt-BR"/>
        </w:rPr>
        <w:t xml:space="preserve">do </w:t>
      </w:r>
      <w:r w:rsidR="003171F3" w:rsidRPr="006D1C74">
        <w:rPr>
          <w:rFonts w:asciiTheme="majorHAnsi" w:hAnsiTheme="majorHAnsi"/>
          <w:sz w:val="20"/>
          <w:szCs w:val="20"/>
          <w:lang w:val="pt-BR"/>
        </w:rPr>
        <w:t>assunto</w:t>
      </w:r>
      <w:r w:rsidR="002649F0" w:rsidRPr="006D1C74">
        <w:rPr>
          <w:rFonts w:asciiTheme="majorHAnsi" w:hAnsiTheme="majorHAnsi"/>
          <w:sz w:val="20"/>
          <w:szCs w:val="20"/>
          <w:lang w:val="pt-BR"/>
        </w:rPr>
        <w:t>; b)</w:t>
      </w:r>
      <w:r w:rsidR="00700267" w:rsidRPr="006D1C74">
        <w:rPr>
          <w:rFonts w:asciiTheme="majorHAnsi" w:hAnsiTheme="majorHAnsi"/>
          <w:sz w:val="20"/>
          <w:szCs w:val="20"/>
          <w:lang w:val="pt-BR"/>
        </w:rPr>
        <w:t xml:space="preserve"> a </w:t>
      </w:r>
      <w:r w:rsidR="003171F3" w:rsidRPr="006D1C74">
        <w:rPr>
          <w:rFonts w:asciiTheme="majorHAnsi" w:hAnsiTheme="majorHAnsi"/>
          <w:sz w:val="20"/>
          <w:szCs w:val="20"/>
          <w:lang w:val="pt-BR"/>
        </w:rPr>
        <w:t>atividade</w:t>
      </w:r>
      <w:r w:rsidR="00F673C7" w:rsidRPr="006D1C74">
        <w:rPr>
          <w:rFonts w:asciiTheme="majorHAnsi" w:hAnsiTheme="majorHAnsi"/>
          <w:sz w:val="20"/>
          <w:szCs w:val="20"/>
          <w:lang w:val="pt-BR"/>
        </w:rPr>
        <w:t xml:space="preserve"> </w:t>
      </w:r>
      <w:r w:rsidR="002649F0" w:rsidRPr="006D1C74">
        <w:rPr>
          <w:rFonts w:asciiTheme="majorHAnsi" w:hAnsiTheme="majorHAnsi"/>
          <w:sz w:val="20"/>
          <w:szCs w:val="20"/>
          <w:lang w:val="pt-BR"/>
        </w:rPr>
        <w:t>proces</w:t>
      </w:r>
      <w:r w:rsidR="009940F9" w:rsidRPr="006D1C74">
        <w:rPr>
          <w:rFonts w:asciiTheme="majorHAnsi" w:hAnsiTheme="majorHAnsi"/>
          <w:sz w:val="20"/>
          <w:szCs w:val="20"/>
          <w:lang w:val="pt-BR"/>
        </w:rPr>
        <w:t>su</w:t>
      </w:r>
      <w:r w:rsidR="002649F0" w:rsidRPr="006D1C74">
        <w:rPr>
          <w:rFonts w:asciiTheme="majorHAnsi" w:hAnsiTheme="majorHAnsi"/>
          <w:sz w:val="20"/>
          <w:szCs w:val="20"/>
          <w:lang w:val="pt-BR"/>
        </w:rPr>
        <w:t>al</w:t>
      </w:r>
      <w:r w:rsidR="00030019" w:rsidRPr="006D1C74">
        <w:rPr>
          <w:rFonts w:asciiTheme="majorHAnsi" w:hAnsiTheme="majorHAnsi"/>
          <w:sz w:val="20"/>
          <w:szCs w:val="20"/>
          <w:lang w:val="pt-BR"/>
        </w:rPr>
        <w:t xml:space="preserve"> do </w:t>
      </w:r>
      <w:r w:rsidR="003171F3" w:rsidRPr="006D1C74">
        <w:rPr>
          <w:rFonts w:asciiTheme="majorHAnsi" w:hAnsiTheme="majorHAnsi"/>
          <w:sz w:val="20"/>
          <w:szCs w:val="20"/>
          <w:lang w:val="pt-BR"/>
        </w:rPr>
        <w:t>interessado</w:t>
      </w:r>
      <w:r w:rsidR="002649F0" w:rsidRPr="006D1C74">
        <w:rPr>
          <w:rFonts w:asciiTheme="majorHAnsi" w:hAnsiTheme="majorHAnsi"/>
          <w:sz w:val="20"/>
          <w:szCs w:val="20"/>
          <w:lang w:val="pt-BR"/>
        </w:rPr>
        <w:t>; c)</w:t>
      </w:r>
      <w:r w:rsidR="00700267" w:rsidRPr="006D1C74">
        <w:rPr>
          <w:rFonts w:asciiTheme="majorHAnsi" w:hAnsiTheme="majorHAnsi"/>
          <w:sz w:val="20"/>
          <w:szCs w:val="20"/>
          <w:lang w:val="pt-BR"/>
        </w:rPr>
        <w:t xml:space="preserve"> a </w:t>
      </w:r>
      <w:r w:rsidR="003171F3" w:rsidRPr="006D1C74">
        <w:rPr>
          <w:rFonts w:asciiTheme="majorHAnsi" w:hAnsiTheme="majorHAnsi"/>
          <w:sz w:val="20"/>
          <w:szCs w:val="20"/>
          <w:lang w:val="pt-BR"/>
        </w:rPr>
        <w:t>conduta</w:t>
      </w:r>
      <w:r w:rsidR="00D74A93" w:rsidRPr="006D1C74">
        <w:rPr>
          <w:rFonts w:asciiTheme="majorHAnsi" w:hAnsiTheme="majorHAnsi"/>
          <w:sz w:val="20"/>
          <w:szCs w:val="20"/>
          <w:lang w:val="pt-BR"/>
        </w:rPr>
        <w:t xml:space="preserve"> das </w:t>
      </w:r>
      <w:r w:rsidR="002649F0" w:rsidRPr="006D1C74">
        <w:rPr>
          <w:rFonts w:asciiTheme="majorHAnsi" w:hAnsiTheme="majorHAnsi"/>
          <w:sz w:val="20"/>
          <w:szCs w:val="20"/>
          <w:lang w:val="pt-BR"/>
        </w:rPr>
        <w:t>autoridades judici</w:t>
      </w:r>
      <w:r w:rsidR="00700267" w:rsidRPr="006D1C74">
        <w:rPr>
          <w:rFonts w:asciiTheme="majorHAnsi" w:hAnsiTheme="majorHAnsi"/>
          <w:sz w:val="20"/>
          <w:szCs w:val="20"/>
          <w:lang w:val="pt-BR"/>
        </w:rPr>
        <w:t>ais</w:t>
      </w:r>
      <w:bookmarkStart w:id="33" w:name="_Ref199852023"/>
      <w:r w:rsidR="002649F0" w:rsidRPr="006D1C74">
        <w:rPr>
          <w:rFonts w:asciiTheme="majorHAnsi" w:hAnsiTheme="majorHAnsi" w:cs="Verdana"/>
          <w:sz w:val="20"/>
          <w:szCs w:val="20"/>
          <w:vertAlign w:val="superscript"/>
          <w:lang w:val="pt-BR"/>
        </w:rPr>
        <w:footnoteReference w:id="105"/>
      </w:r>
      <w:bookmarkEnd w:id="33"/>
      <w:r w:rsidR="00981A34">
        <w:rPr>
          <w:rFonts w:asciiTheme="majorHAnsi" w:hAnsiTheme="majorHAnsi"/>
          <w:sz w:val="20"/>
          <w:szCs w:val="20"/>
          <w:lang w:val="pt-BR"/>
        </w:rPr>
        <w:t>;</w:t>
      </w:r>
      <w:r w:rsidR="00CF037E" w:rsidRPr="006D1C74">
        <w:rPr>
          <w:rFonts w:asciiTheme="majorHAnsi" w:hAnsiTheme="majorHAnsi"/>
          <w:sz w:val="20"/>
          <w:szCs w:val="20"/>
          <w:lang w:val="pt-BR"/>
        </w:rPr>
        <w:t xml:space="preserve"> e </w:t>
      </w:r>
      <w:r w:rsidR="002649F0" w:rsidRPr="006D1C74">
        <w:rPr>
          <w:rFonts w:asciiTheme="majorHAnsi" w:hAnsiTheme="majorHAnsi"/>
          <w:sz w:val="20"/>
          <w:szCs w:val="20"/>
          <w:lang w:val="pt-BR"/>
        </w:rPr>
        <w:t>d)</w:t>
      </w:r>
      <w:r w:rsidR="00700267" w:rsidRPr="006D1C74">
        <w:rPr>
          <w:rFonts w:asciiTheme="majorHAnsi" w:hAnsiTheme="majorHAnsi"/>
          <w:sz w:val="20"/>
          <w:szCs w:val="20"/>
          <w:lang w:val="pt-BR"/>
        </w:rPr>
        <w:t xml:space="preserve"> </w:t>
      </w:r>
      <w:r w:rsidR="009940F9" w:rsidRPr="006D1C74">
        <w:rPr>
          <w:rFonts w:asciiTheme="majorHAnsi" w:hAnsiTheme="majorHAnsi"/>
          <w:sz w:val="20"/>
          <w:szCs w:val="20"/>
          <w:lang w:val="pt-BR"/>
        </w:rPr>
        <w:t>os efeitos</w:t>
      </w:r>
      <w:r w:rsidR="002649F0" w:rsidRPr="006D1C74">
        <w:rPr>
          <w:rFonts w:asciiTheme="majorHAnsi" w:hAnsiTheme="majorHAnsi"/>
          <w:sz w:val="20"/>
          <w:szCs w:val="20"/>
          <w:lang w:val="pt-BR"/>
        </w:rPr>
        <w:t xml:space="preserve"> gerad</w:t>
      </w:r>
      <w:r w:rsidR="009940F9" w:rsidRPr="006D1C74">
        <w:rPr>
          <w:rFonts w:asciiTheme="majorHAnsi" w:hAnsiTheme="majorHAnsi"/>
          <w:sz w:val="20"/>
          <w:szCs w:val="20"/>
          <w:lang w:val="pt-BR"/>
        </w:rPr>
        <w:t>os</w:t>
      </w:r>
      <w:r w:rsidR="00F37852" w:rsidRPr="006D1C74">
        <w:rPr>
          <w:rFonts w:asciiTheme="majorHAnsi" w:hAnsiTheme="majorHAnsi"/>
          <w:sz w:val="20"/>
          <w:szCs w:val="20"/>
          <w:lang w:val="pt-BR"/>
        </w:rPr>
        <w:t xml:space="preserve"> pela </w:t>
      </w:r>
      <w:r w:rsidR="002649F0" w:rsidRPr="006D1C74">
        <w:rPr>
          <w:rFonts w:asciiTheme="majorHAnsi" w:hAnsiTheme="majorHAnsi"/>
          <w:sz w:val="20"/>
          <w:szCs w:val="20"/>
          <w:lang w:val="pt-BR"/>
        </w:rPr>
        <w:t>dura</w:t>
      </w:r>
      <w:r w:rsidR="00CF037E" w:rsidRPr="006D1C74">
        <w:rPr>
          <w:rFonts w:asciiTheme="majorHAnsi" w:hAnsiTheme="majorHAnsi"/>
          <w:sz w:val="20"/>
          <w:szCs w:val="20"/>
          <w:lang w:val="pt-BR"/>
        </w:rPr>
        <w:t>ção</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procedi</w:t>
      </w:r>
      <w:r w:rsidR="00700267" w:rsidRPr="006D1C74">
        <w:rPr>
          <w:rFonts w:asciiTheme="majorHAnsi" w:hAnsiTheme="majorHAnsi"/>
          <w:sz w:val="20"/>
          <w:szCs w:val="20"/>
          <w:lang w:val="pt-BR"/>
        </w:rPr>
        <w:t>mento</w:t>
      </w:r>
      <w:r w:rsidR="00F673C7" w:rsidRPr="006D1C74">
        <w:rPr>
          <w:rFonts w:asciiTheme="majorHAnsi" w:hAnsiTheme="majorHAnsi"/>
          <w:sz w:val="20"/>
          <w:szCs w:val="20"/>
          <w:lang w:val="pt-BR"/>
        </w:rPr>
        <w:t xml:space="preserve"> na </w:t>
      </w:r>
      <w:r w:rsidR="002649F0" w:rsidRPr="006D1C74">
        <w:rPr>
          <w:rFonts w:asciiTheme="majorHAnsi" w:hAnsiTheme="majorHAnsi"/>
          <w:sz w:val="20"/>
          <w:szCs w:val="20"/>
          <w:lang w:val="pt-BR"/>
        </w:rPr>
        <w:t>situa</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jurídica</w:t>
      </w:r>
      <w:r w:rsidR="00795010" w:rsidRPr="006D1C74">
        <w:rPr>
          <w:rFonts w:asciiTheme="majorHAnsi" w:hAnsiTheme="majorHAnsi"/>
          <w:sz w:val="20"/>
          <w:szCs w:val="20"/>
          <w:lang w:val="pt-BR"/>
        </w:rPr>
        <w:t xml:space="preserve"> da </w:t>
      </w:r>
      <w:r w:rsidR="00CA7940" w:rsidRPr="006D1C74">
        <w:rPr>
          <w:rFonts w:asciiTheme="majorHAnsi" w:hAnsiTheme="majorHAnsi"/>
          <w:sz w:val="20"/>
          <w:szCs w:val="20"/>
          <w:lang w:val="pt-BR"/>
        </w:rPr>
        <w:t>pessoa</w:t>
      </w:r>
      <w:r w:rsidR="002649F0" w:rsidRPr="006D1C74">
        <w:rPr>
          <w:rFonts w:asciiTheme="majorHAnsi" w:hAnsiTheme="majorHAnsi"/>
          <w:sz w:val="20"/>
          <w:szCs w:val="20"/>
          <w:lang w:val="pt-BR"/>
        </w:rPr>
        <w:t xml:space="preserve"> </w:t>
      </w:r>
      <w:r w:rsidR="009940F9" w:rsidRPr="006D1C74">
        <w:rPr>
          <w:rFonts w:asciiTheme="majorHAnsi" w:hAnsiTheme="majorHAnsi"/>
          <w:sz w:val="20"/>
          <w:szCs w:val="20"/>
          <w:lang w:val="pt-BR"/>
        </w:rPr>
        <w:t>envolvida</w:t>
      </w:r>
      <w:r w:rsidR="00FC2F62" w:rsidRPr="006D1C74">
        <w:rPr>
          <w:rFonts w:asciiTheme="majorHAnsi" w:hAnsiTheme="majorHAnsi"/>
          <w:sz w:val="20"/>
          <w:szCs w:val="20"/>
          <w:lang w:val="pt-BR"/>
        </w:rPr>
        <w:t xml:space="preserve"> no </w:t>
      </w:r>
      <w:r w:rsidR="003171F3" w:rsidRPr="006D1C74">
        <w:rPr>
          <w:rFonts w:asciiTheme="majorHAnsi" w:hAnsiTheme="majorHAnsi"/>
          <w:sz w:val="20"/>
          <w:szCs w:val="20"/>
          <w:lang w:val="pt-BR"/>
        </w:rPr>
        <w:t>mesmo</w:t>
      </w:r>
      <w:r w:rsidR="002649F0" w:rsidRPr="006D1C74">
        <w:rPr>
          <w:rFonts w:asciiTheme="majorHAnsi" w:hAnsiTheme="majorHAnsi" w:cs="Verdana"/>
          <w:sz w:val="20"/>
          <w:szCs w:val="20"/>
          <w:vertAlign w:val="superscript"/>
          <w:lang w:val="pt-BR"/>
        </w:rPr>
        <w:footnoteReference w:id="106"/>
      </w:r>
      <w:r w:rsidR="002649F0" w:rsidRPr="006D1C74">
        <w:rPr>
          <w:rFonts w:asciiTheme="majorHAnsi" w:hAnsiTheme="majorHAnsi"/>
          <w:sz w:val="20"/>
          <w:szCs w:val="20"/>
          <w:lang w:val="pt-BR"/>
        </w:rPr>
        <w:t>.</w:t>
      </w:r>
    </w:p>
    <w:p w14:paraId="2395B8BD" w14:textId="77777777" w:rsidR="002649F0" w:rsidRPr="006D1C74" w:rsidRDefault="002649F0" w:rsidP="002649F0">
      <w:pPr>
        <w:ind w:left="720"/>
        <w:rPr>
          <w:rFonts w:asciiTheme="majorHAnsi" w:eastAsia="Cambria" w:hAnsiTheme="majorHAnsi" w:cs="Cambria"/>
          <w:color w:val="000000"/>
          <w:sz w:val="20"/>
          <w:szCs w:val="20"/>
          <w:u w:color="000000"/>
          <w:lang w:val="pt-BR" w:eastAsia="es-ES"/>
        </w:rPr>
      </w:pPr>
    </w:p>
    <w:p w14:paraId="41DCE927" w14:textId="77777777" w:rsidR="002649F0" w:rsidRPr="006D1C74" w:rsidRDefault="009940F9" w:rsidP="00CD132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A r</w:t>
      </w:r>
      <w:r w:rsidR="00156036" w:rsidRPr="006D1C74">
        <w:rPr>
          <w:rFonts w:asciiTheme="majorHAnsi" w:hAnsiTheme="majorHAnsi"/>
          <w:sz w:val="20"/>
          <w:szCs w:val="20"/>
          <w:lang w:val="pt-BR"/>
        </w:rPr>
        <w:t>espeito</w:t>
      </w:r>
      <w:r w:rsidR="00217759" w:rsidRPr="006D1C74">
        <w:rPr>
          <w:rFonts w:asciiTheme="majorHAnsi" w:hAnsiTheme="majorHAnsi"/>
          <w:sz w:val="20"/>
          <w:szCs w:val="20"/>
          <w:lang w:val="pt-BR"/>
        </w:rPr>
        <w:t xml:space="preserve"> </w:t>
      </w:r>
      <w:r w:rsidRPr="006D1C74">
        <w:rPr>
          <w:rFonts w:asciiTheme="majorHAnsi" w:hAnsiTheme="majorHAnsi"/>
          <w:sz w:val="20"/>
          <w:szCs w:val="20"/>
          <w:lang w:val="pt-BR"/>
        </w:rPr>
        <w:t>d</w:t>
      </w:r>
      <w:r w:rsidR="00217759" w:rsidRPr="006D1C74">
        <w:rPr>
          <w:rFonts w:asciiTheme="majorHAnsi" w:hAnsiTheme="majorHAnsi"/>
          <w:sz w:val="20"/>
          <w:szCs w:val="20"/>
          <w:lang w:val="pt-BR"/>
        </w:rPr>
        <w:t xml:space="preserve">o </w:t>
      </w:r>
      <w:r w:rsidR="00AB7F30" w:rsidRPr="006D1C74">
        <w:rPr>
          <w:rFonts w:asciiTheme="majorHAnsi" w:hAnsiTheme="majorHAnsi"/>
          <w:sz w:val="20"/>
          <w:szCs w:val="20"/>
          <w:lang w:val="pt-BR"/>
        </w:rPr>
        <w:t>processo</w:t>
      </w:r>
      <w:r w:rsidR="00745CBD" w:rsidRPr="006D1C74">
        <w:rPr>
          <w:rFonts w:asciiTheme="majorHAnsi" w:hAnsiTheme="majorHAnsi"/>
          <w:sz w:val="20"/>
          <w:szCs w:val="20"/>
          <w:lang w:val="pt-BR"/>
        </w:rPr>
        <w:t xml:space="preserve"> civil por </w:t>
      </w:r>
      <w:r w:rsidRPr="006D1C74">
        <w:rPr>
          <w:rFonts w:asciiTheme="majorHAnsi" w:hAnsiTheme="majorHAnsi"/>
          <w:sz w:val="20"/>
          <w:szCs w:val="20"/>
          <w:lang w:val="pt-BR"/>
        </w:rPr>
        <w:t xml:space="preserve">perdas e </w:t>
      </w:r>
      <w:r w:rsidR="003171F3" w:rsidRPr="006D1C74">
        <w:rPr>
          <w:rFonts w:asciiTheme="majorHAnsi" w:hAnsiTheme="majorHAnsi"/>
          <w:sz w:val="20"/>
          <w:szCs w:val="20"/>
          <w:lang w:val="pt-BR"/>
        </w:rPr>
        <w:t>danos</w:t>
      </w:r>
      <w:r w:rsidR="002649F0"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002649F0" w:rsidRPr="006D1C74">
        <w:rPr>
          <w:rFonts w:asciiTheme="majorHAnsi" w:hAnsiTheme="majorHAnsi"/>
          <w:sz w:val="20"/>
          <w:szCs w:val="20"/>
          <w:lang w:val="pt-BR"/>
        </w:rPr>
        <w:t xml:space="preserve"> observa que</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caso</w:t>
      </w:r>
      <w:r w:rsidR="00F673C7" w:rsidRPr="006D1C74">
        <w:rPr>
          <w:rFonts w:asciiTheme="majorHAnsi" w:hAnsiTheme="majorHAnsi"/>
          <w:sz w:val="20"/>
          <w:szCs w:val="20"/>
          <w:lang w:val="pt-BR"/>
        </w:rPr>
        <w:t xml:space="preserve"> não </w:t>
      </w:r>
      <w:r w:rsidR="002649F0" w:rsidRPr="006D1C74">
        <w:rPr>
          <w:rFonts w:asciiTheme="majorHAnsi" w:hAnsiTheme="majorHAnsi"/>
          <w:sz w:val="20"/>
          <w:szCs w:val="20"/>
          <w:lang w:val="pt-BR"/>
        </w:rPr>
        <w:t>rev</w:t>
      </w:r>
      <w:r w:rsidR="00981A34">
        <w:rPr>
          <w:rFonts w:asciiTheme="majorHAnsi" w:hAnsiTheme="majorHAnsi"/>
          <w:sz w:val="20"/>
          <w:szCs w:val="20"/>
          <w:lang w:val="pt-BR"/>
        </w:rPr>
        <w:t>e</w:t>
      </w:r>
      <w:r w:rsidR="002649F0" w:rsidRPr="006D1C74">
        <w:rPr>
          <w:rFonts w:asciiTheme="majorHAnsi" w:hAnsiTheme="majorHAnsi"/>
          <w:sz w:val="20"/>
          <w:szCs w:val="20"/>
          <w:lang w:val="pt-BR"/>
        </w:rPr>
        <w:t>ste gran</w:t>
      </w:r>
      <w:r w:rsidRPr="006D1C74">
        <w:rPr>
          <w:rFonts w:asciiTheme="majorHAnsi" w:hAnsiTheme="majorHAnsi"/>
          <w:sz w:val="20"/>
          <w:szCs w:val="20"/>
          <w:lang w:val="pt-BR"/>
        </w:rPr>
        <w:t>de</w:t>
      </w:r>
      <w:r w:rsidR="002649F0"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complexidade</w:t>
      </w:r>
      <w:r w:rsidR="00F673C7" w:rsidRPr="006D1C74">
        <w:rPr>
          <w:rFonts w:asciiTheme="majorHAnsi" w:hAnsiTheme="majorHAnsi"/>
          <w:sz w:val="20"/>
          <w:szCs w:val="20"/>
          <w:lang w:val="pt-BR"/>
        </w:rPr>
        <w:t xml:space="preserve"> </w:t>
      </w:r>
      <w:r w:rsidR="002649F0" w:rsidRPr="006D1C74">
        <w:rPr>
          <w:rFonts w:asciiTheme="majorHAnsi" w:hAnsiTheme="majorHAnsi"/>
          <w:sz w:val="20"/>
          <w:szCs w:val="20"/>
          <w:lang w:val="pt-BR"/>
        </w:rPr>
        <w:t>porque so</w:t>
      </w:r>
      <w:r w:rsidRPr="006D1C74">
        <w:rPr>
          <w:rFonts w:asciiTheme="majorHAnsi" w:hAnsiTheme="majorHAnsi"/>
          <w:sz w:val="20"/>
          <w:szCs w:val="20"/>
          <w:lang w:val="pt-BR"/>
        </w:rPr>
        <w:t>mente era preciso</w:t>
      </w:r>
      <w:r w:rsidR="002649F0" w:rsidRPr="006D1C74">
        <w:rPr>
          <w:rFonts w:asciiTheme="majorHAnsi" w:hAnsiTheme="majorHAnsi"/>
          <w:sz w:val="20"/>
          <w:szCs w:val="20"/>
          <w:lang w:val="pt-BR"/>
        </w:rPr>
        <w:t xml:space="preserve"> determinar</w:t>
      </w:r>
      <w:r w:rsidR="00700267" w:rsidRPr="006D1C74">
        <w:rPr>
          <w:rFonts w:asciiTheme="majorHAnsi" w:hAnsiTheme="majorHAnsi"/>
          <w:sz w:val="20"/>
          <w:szCs w:val="20"/>
          <w:lang w:val="pt-BR"/>
        </w:rPr>
        <w:t xml:space="preserve"> a </w:t>
      </w:r>
      <w:r w:rsidR="003171F3" w:rsidRPr="006D1C74">
        <w:rPr>
          <w:rFonts w:asciiTheme="majorHAnsi" w:hAnsiTheme="majorHAnsi"/>
          <w:sz w:val="20"/>
          <w:szCs w:val="20"/>
          <w:lang w:val="pt-BR"/>
        </w:rPr>
        <w:t>existência</w:t>
      </w:r>
      <w:r w:rsidR="00030019" w:rsidRPr="006D1C74">
        <w:rPr>
          <w:rFonts w:asciiTheme="majorHAnsi" w:hAnsiTheme="majorHAnsi"/>
          <w:sz w:val="20"/>
          <w:szCs w:val="20"/>
          <w:lang w:val="pt-BR"/>
        </w:rPr>
        <w:t xml:space="preserve"> do</w:t>
      </w:r>
      <w:r w:rsidRPr="006D1C74">
        <w:rPr>
          <w:rFonts w:asciiTheme="majorHAnsi" w:hAnsiTheme="majorHAnsi"/>
          <w:sz w:val="20"/>
          <w:szCs w:val="20"/>
          <w:lang w:val="pt-BR"/>
        </w:rPr>
        <w:t>s</w:t>
      </w:r>
      <w:r w:rsidR="00030019"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danos</w:t>
      </w:r>
      <w:r w:rsidR="002649F0"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sofridos</w:t>
      </w:r>
      <w:r w:rsidR="002649F0" w:rsidRPr="006D1C74">
        <w:rPr>
          <w:rFonts w:asciiTheme="majorHAnsi" w:hAnsiTheme="majorHAnsi"/>
          <w:sz w:val="20"/>
          <w:szCs w:val="20"/>
          <w:lang w:val="pt-BR"/>
        </w:rPr>
        <w:t xml:space="preserve"> por</w:t>
      </w:r>
      <w:r w:rsidR="00030019" w:rsidRPr="006D1C74">
        <w:rPr>
          <w:rFonts w:asciiTheme="majorHAnsi" w:hAnsiTheme="majorHAnsi"/>
          <w:sz w:val="20"/>
          <w:szCs w:val="20"/>
          <w:lang w:val="pt-BR"/>
        </w:rPr>
        <w:t xml:space="preserve"> uma </w:t>
      </w:r>
      <w:r w:rsidR="00CA7940" w:rsidRPr="006D1C74">
        <w:rPr>
          <w:rFonts w:asciiTheme="majorHAnsi" w:hAnsiTheme="majorHAnsi"/>
          <w:sz w:val="20"/>
          <w:szCs w:val="20"/>
          <w:lang w:val="pt-BR"/>
        </w:rPr>
        <w:t>pessoa</w:t>
      </w:r>
      <w:r w:rsidR="002649F0" w:rsidRPr="006D1C74">
        <w:rPr>
          <w:rFonts w:asciiTheme="majorHAnsi" w:hAnsiTheme="majorHAnsi"/>
          <w:sz w:val="20"/>
          <w:szCs w:val="20"/>
          <w:lang w:val="pt-BR"/>
        </w:rPr>
        <w:t xml:space="preserve"> —Antonio Tavares Pereira</w:t>
      </w:r>
      <w:r w:rsidRPr="006D1C74">
        <w:rPr>
          <w:rFonts w:asciiTheme="majorHAnsi" w:hAnsiTheme="majorHAnsi"/>
          <w:sz w:val="20"/>
          <w:szCs w:val="20"/>
          <w:lang w:val="pt-BR"/>
        </w:rPr>
        <w:t xml:space="preserve"> </w:t>
      </w:r>
      <w:r w:rsidR="002649F0" w:rsidRPr="006D1C74">
        <w:rPr>
          <w:rFonts w:asciiTheme="majorHAnsi" w:hAnsiTheme="majorHAnsi"/>
          <w:sz w:val="20"/>
          <w:szCs w:val="20"/>
          <w:lang w:val="pt-BR"/>
        </w:rPr>
        <w:t>—</w:t>
      </w:r>
      <w:r w:rsidR="00CF037E" w:rsidRPr="006D1C74">
        <w:rPr>
          <w:rFonts w:asciiTheme="majorHAnsi" w:hAnsiTheme="majorHAnsi"/>
          <w:sz w:val="20"/>
          <w:szCs w:val="20"/>
          <w:lang w:val="pt-BR"/>
        </w:rPr>
        <w:t xml:space="preserve"> e</w:t>
      </w:r>
      <w:r w:rsidR="00700267" w:rsidRPr="006D1C74">
        <w:rPr>
          <w:rFonts w:asciiTheme="majorHAnsi" w:hAnsiTheme="majorHAnsi"/>
          <w:sz w:val="20"/>
          <w:szCs w:val="20"/>
          <w:lang w:val="pt-BR"/>
        </w:rPr>
        <w:t xml:space="preserve"> a </w:t>
      </w:r>
      <w:r w:rsidR="003171F3" w:rsidRPr="006D1C74">
        <w:rPr>
          <w:rFonts w:asciiTheme="majorHAnsi" w:hAnsiTheme="majorHAnsi"/>
          <w:sz w:val="20"/>
          <w:szCs w:val="20"/>
          <w:lang w:val="pt-BR"/>
        </w:rPr>
        <w:t>atribuição</w:t>
      </w:r>
      <w:r w:rsidR="002649F0" w:rsidRPr="006D1C74">
        <w:rPr>
          <w:rFonts w:asciiTheme="majorHAnsi" w:hAnsiTheme="majorHAnsi"/>
          <w:sz w:val="20"/>
          <w:szCs w:val="20"/>
          <w:lang w:val="pt-BR"/>
        </w:rPr>
        <w:t xml:space="preserve"> de</w:t>
      </w:r>
      <w:r w:rsidRPr="006D1C74">
        <w:rPr>
          <w:rFonts w:asciiTheme="majorHAnsi" w:hAnsiTheme="majorHAnsi"/>
          <w:sz w:val="20"/>
          <w:szCs w:val="20"/>
          <w:lang w:val="pt-BR"/>
        </w:rPr>
        <w:t>sses</w:t>
      </w:r>
      <w:r w:rsidR="002649F0"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danos</w:t>
      </w:r>
      <w:r w:rsidR="00217759" w:rsidRPr="006D1C74">
        <w:rPr>
          <w:rFonts w:asciiTheme="majorHAnsi" w:hAnsiTheme="majorHAnsi"/>
          <w:sz w:val="20"/>
          <w:szCs w:val="20"/>
          <w:lang w:val="pt-BR"/>
        </w:rPr>
        <w:t xml:space="preserve"> ao </w:t>
      </w:r>
      <w:r w:rsidR="002649F0" w:rsidRPr="006D1C74">
        <w:rPr>
          <w:rFonts w:asciiTheme="majorHAnsi" w:hAnsiTheme="majorHAnsi"/>
          <w:sz w:val="20"/>
          <w:szCs w:val="20"/>
          <w:lang w:val="pt-BR"/>
        </w:rPr>
        <w:t xml:space="preserve">Estado por </w:t>
      </w:r>
      <w:r w:rsidRPr="006D1C74">
        <w:rPr>
          <w:rFonts w:asciiTheme="majorHAnsi" w:hAnsiTheme="majorHAnsi"/>
          <w:sz w:val="20"/>
          <w:szCs w:val="20"/>
          <w:lang w:val="pt-BR"/>
        </w:rPr>
        <w:t>intermédio</w:t>
      </w:r>
      <w:r w:rsidR="00700267" w:rsidRPr="006D1C74">
        <w:rPr>
          <w:rFonts w:asciiTheme="majorHAnsi" w:hAnsiTheme="majorHAnsi"/>
          <w:sz w:val="20"/>
          <w:szCs w:val="20"/>
          <w:lang w:val="pt-BR"/>
        </w:rPr>
        <w:t xml:space="preserve"> dos </w:t>
      </w:r>
      <w:r w:rsidR="002649F0" w:rsidRPr="006D1C74">
        <w:rPr>
          <w:rFonts w:asciiTheme="majorHAnsi" w:hAnsiTheme="majorHAnsi"/>
          <w:sz w:val="20"/>
          <w:szCs w:val="20"/>
          <w:lang w:val="pt-BR"/>
        </w:rPr>
        <w:t>integrantes</w:t>
      </w:r>
      <w:r w:rsidR="00795010" w:rsidRPr="006D1C74">
        <w:rPr>
          <w:rFonts w:asciiTheme="majorHAnsi" w:hAnsiTheme="majorHAnsi"/>
          <w:sz w:val="20"/>
          <w:szCs w:val="20"/>
          <w:lang w:val="pt-BR"/>
        </w:rPr>
        <w:t xml:space="preserve"> da </w:t>
      </w:r>
      <w:r w:rsidR="00F37852" w:rsidRPr="006D1C74">
        <w:rPr>
          <w:rFonts w:asciiTheme="majorHAnsi" w:hAnsiTheme="majorHAnsi"/>
          <w:sz w:val="20"/>
          <w:szCs w:val="20"/>
          <w:lang w:val="pt-BR"/>
        </w:rPr>
        <w:t>polícia</w:t>
      </w:r>
      <w:r w:rsidR="002649F0" w:rsidRPr="006D1C74">
        <w:rPr>
          <w:rFonts w:asciiTheme="majorHAnsi" w:hAnsiTheme="majorHAnsi"/>
          <w:sz w:val="20"/>
          <w:szCs w:val="20"/>
          <w:lang w:val="pt-BR"/>
        </w:rPr>
        <w:t xml:space="preserve"> militar. </w:t>
      </w:r>
      <w:r w:rsidR="00B42161" w:rsidRPr="006D1C74">
        <w:rPr>
          <w:rFonts w:asciiTheme="majorHAnsi" w:hAnsiTheme="majorHAnsi"/>
          <w:sz w:val="20"/>
          <w:szCs w:val="20"/>
          <w:lang w:val="pt-BR"/>
        </w:rPr>
        <w:t>A</w:t>
      </w:r>
      <w:r w:rsidR="002649F0" w:rsidRPr="006D1C74">
        <w:rPr>
          <w:rFonts w:asciiTheme="majorHAnsi" w:hAnsiTheme="majorHAnsi"/>
          <w:sz w:val="20"/>
          <w:szCs w:val="20"/>
          <w:lang w:val="pt-BR"/>
        </w:rPr>
        <w:t xml:space="preserve"> </w:t>
      </w:r>
      <w:r w:rsidR="00417BE8" w:rsidRPr="006D1C74">
        <w:rPr>
          <w:rFonts w:asciiTheme="majorHAnsi" w:hAnsiTheme="majorHAnsi"/>
          <w:sz w:val="20"/>
          <w:szCs w:val="20"/>
          <w:lang w:val="pt-BR"/>
        </w:rPr>
        <w:t>Comissão</w:t>
      </w:r>
      <w:r w:rsidR="002649F0" w:rsidRPr="006D1C74">
        <w:rPr>
          <w:rFonts w:asciiTheme="majorHAnsi" w:hAnsiTheme="majorHAnsi"/>
          <w:sz w:val="20"/>
          <w:szCs w:val="20"/>
          <w:lang w:val="pt-BR"/>
        </w:rPr>
        <w:t xml:space="preserve"> considera que</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caso</w:t>
      </w:r>
      <w:r w:rsidR="00F673C7" w:rsidRPr="006D1C74">
        <w:rPr>
          <w:rFonts w:asciiTheme="majorHAnsi" w:hAnsiTheme="majorHAnsi"/>
          <w:sz w:val="20"/>
          <w:szCs w:val="20"/>
          <w:lang w:val="pt-BR"/>
        </w:rPr>
        <w:t xml:space="preserve"> não </w:t>
      </w:r>
      <w:r w:rsidR="003171F3" w:rsidRPr="006D1C74">
        <w:rPr>
          <w:rFonts w:asciiTheme="majorHAnsi" w:hAnsiTheme="majorHAnsi"/>
          <w:sz w:val="20"/>
          <w:szCs w:val="20"/>
          <w:lang w:val="pt-BR"/>
        </w:rPr>
        <w:t>implicava</w:t>
      </w:r>
      <w:r w:rsidR="002649F0" w:rsidRPr="006D1C74">
        <w:rPr>
          <w:rFonts w:asciiTheme="majorHAnsi" w:hAnsiTheme="majorHAnsi"/>
          <w:sz w:val="20"/>
          <w:szCs w:val="20"/>
          <w:lang w:val="pt-BR"/>
        </w:rPr>
        <w:t xml:space="preserve"> aspectos o</w:t>
      </w:r>
      <w:r w:rsidRPr="006D1C74">
        <w:rPr>
          <w:rFonts w:asciiTheme="majorHAnsi" w:hAnsiTheme="majorHAnsi"/>
          <w:sz w:val="20"/>
          <w:szCs w:val="20"/>
          <w:lang w:val="pt-BR"/>
        </w:rPr>
        <w:t>u</w:t>
      </w:r>
      <w:r w:rsidR="002649F0"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debates</w:t>
      </w:r>
      <w:r w:rsidR="002649F0" w:rsidRPr="006D1C74">
        <w:rPr>
          <w:rFonts w:asciiTheme="majorHAnsi" w:hAnsiTheme="majorHAnsi"/>
          <w:sz w:val="20"/>
          <w:szCs w:val="20"/>
          <w:lang w:val="pt-BR"/>
        </w:rPr>
        <w:t xml:space="preserve"> jurídicos o</w:t>
      </w:r>
      <w:r w:rsidRPr="006D1C74">
        <w:rPr>
          <w:rFonts w:asciiTheme="majorHAnsi" w:hAnsiTheme="majorHAnsi"/>
          <w:sz w:val="20"/>
          <w:szCs w:val="20"/>
          <w:lang w:val="pt-BR"/>
        </w:rPr>
        <w:t>u</w:t>
      </w:r>
      <w:r w:rsidR="002649F0"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probatórios</w:t>
      </w:r>
      <w:r w:rsidR="002649F0" w:rsidRPr="006D1C74">
        <w:rPr>
          <w:rFonts w:asciiTheme="majorHAnsi" w:hAnsiTheme="majorHAnsi"/>
          <w:sz w:val="20"/>
          <w:szCs w:val="20"/>
          <w:lang w:val="pt-BR"/>
        </w:rPr>
        <w:t xml:space="preserve"> que l</w:t>
      </w:r>
      <w:r w:rsidRPr="006D1C74">
        <w:rPr>
          <w:rFonts w:asciiTheme="majorHAnsi" w:hAnsiTheme="majorHAnsi"/>
          <w:sz w:val="20"/>
          <w:szCs w:val="20"/>
          <w:lang w:val="pt-BR"/>
        </w:rPr>
        <w:t>h</w:t>
      </w:r>
      <w:r w:rsidR="002649F0" w:rsidRPr="006D1C74">
        <w:rPr>
          <w:rFonts w:asciiTheme="majorHAnsi" w:hAnsiTheme="majorHAnsi"/>
          <w:sz w:val="20"/>
          <w:szCs w:val="20"/>
          <w:lang w:val="pt-BR"/>
        </w:rPr>
        <w:t>e imprimi</w:t>
      </w:r>
      <w:r w:rsidRPr="006D1C74">
        <w:rPr>
          <w:rFonts w:asciiTheme="majorHAnsi" w:hAnsiTheme="majorHAnsi"/>
          <w:sz w:val="20"/>
          <w:szCs w:val="20"/>
          <w:lang w:val="pt-BR"/>
        </w:rPr>
        <w:t>ssem</w:t>
      </w:r>
      <w:r w:rsidR="00030019" w:rsidRPr="006D1C74">
        <w:rPr>
          <w:rFonts w:asciiTheme="majorHAnsi" w:hAnsiTheme="majorHAnsi"/>
          <w:sz w:val="20"/>
          <w:szCs w:val="20"/>
          <w:lang w:val="pt-BR"/>
        </w:rPr>
        <w:t xml:space="preserve"> uma </w:t>
      </w:r>
      <w:r w:rsidR="003171F3" w:rsidRPr="006D1C74">
        <w:rPr>
          <w:rFonts w:asciiTheme="majorHAnsi" w:hAnsiTheme="majorHAnsi"/>
          <w:sz w:val="20"/>
          <w:szCs w:val="20"/>
          <w:lang w:val="pt-BR"/>
        </w:rPr>
        <w:t>complexidade</w:t>
      </w:r>
      <w:r w:rsidR="00F673C7"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cuja</w:t>
      </w:r>
      <w:r w:rsidR="002649F0"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resposta</w:t>
      </w:r>
      <w:r w:rsidR="002649F0" w:rsidRPr="006D1C74">
        <w:rPr>
          <w:rFonts w:asciiTheme="majorHAnsi" w:hAnsiTheme="majorHAnsi"/>
          <w:sz w:val="20"/>
          <w:szCs w:val="20"/>
          <w:lang w:val="pt-BR"/>
        </w:rPr>
        <w:t xml:space="preserve"> </w:t>
      </w:r>
      <w:r w:rsidRPr="006D1C74">
        <w:rPr>
          <w:rFonts w:asciiTheme="majorHAnsi" w:hAnsiTheme="majorHAnsi"/>
          <w:sz w:val="20"/>
          <w:szCs w:val="20"/>
          <w:lang w:val="pt-BR"/>
        </w:rPr>
        <w:t>exigisse</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transcurso de o</w:t>
      </w:r>
      <w:r w:rsidRPr="006D1C74">
        <w:rPr>
          <w:rFonts w:asciiTheme="majorHAnsi" w:hAnsiTheme="majorHAnsi"/>
          <w:sz w:val="20"/>
          <w:szCs w:val="20"/>
          <w:lang w:val="pt-BR"/>
        </w:rPr>
        <w:t>it</w:t>
      </w:r>
      <w:r w:rsidR="002649F0" w:rsidRPr="006D1C74">
        <w:rPr>
          <w:rFonts w:asciiTheme="majorHAnsi" w:hAnsiTheme="majorHAnsi"/>
          <w:sz w:val="20"/>
          <w:szCs w:val="20"/>
          <w:lang w:val="pt-BR"/>
        </w:rPr>
        <w:t xml:space="preserve">o </w:t>
      </w:r>
      <w:r w:rsidR="003171F3" w:rsidRPr="006D1C74">
        <w:rPr>
          <w:rFonts w:asciiTheme="majorHAnsi" w:hAnsiTheme="majorHAnsi"/>
          <w:sz w:val="20"/>
          <w:szCs w:val="20"/>
          <w:lang w:val="pt-BR"/>
        </w:rPr>
        <w:t>anos</w:t>
      </w:r>
      <w:r w:rsidR="002649F0" w:rsidRPr="006D1C74">
        <w:rPr>
          <w:rFonts w:asciiTheme="majorHAnsi" w:hAnsiTheme="majorHAnsi"/>
          <w:sz w:val="20"/>
          <w:szCs w:val="20"/>
          <w:lang w:val="pt-BR"/>
        </w:rPr>
        <w:t xml:space="preserve"> entre</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a</w:t>
      </w:r>
      <w:r w:rsidR="002649F0" w:rsidRPr="006D1C74">
        <w:rPr>
          <w:rFonts w:asciiTheme="majorHAnsi" w:hAnsiTheme="majorHAnsi"/>
          <w:sz w:val="20"/>
          <w:szCs w:val="20"/>
          <w:lang w:val="pt-BR"/>
        </w:rPr>
        <w:t>presenta</w:t>
      </w:r>
      <w:r w:rsidR="00CF037E" w:rsidRPr="006D1C74">
        <w:rPr>
          <w:rFonts w:asciiTheme="majorHAnsi" w:hAnsiTheme="majorHAnsi"/>
          <w:sz w:val="20"/>
          <w:szCs w:val="20"/>
          <w:lang w:val="pt-BR"/>
        </w:rPr>
        <w:t>ção</w:t>
      </w:r>
      <w:r w:rsidR="00795010" w:rsidRPr="006D1C74">
        <w:rPr>
          <w:rFonts w:asciiTheme="majorHAnsi" w:hAnsiTheme="majorHAnsi"/>
          <w:sz w:val="20"/>
          <w:szCs w:val="20"/>
          <w:lang w:val="pt-BR"/>
        </w:rPr>
        <w:t xml:space="preserve"> da </w:t>
      </w:r>
      <w:r w:rsidR="002649F0" w:rsidRPr="006D1C74">
        <w:rPr>
          <w:rFonts w:asciiTheme="majorHAnsi" w:hAnsiTheme="majorHAnsi"/>
          <w:sz w:val="20"/>
          <w:szCs w:val="20"/>
          <w:lang w:val="pt-BR"/>
        </w:rPr>
        <w:t>a</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indenizatória</w:t>
      </w:r>
      <w:r w:rsidR="00CF037E" w:rsidRPr="006D1C74">
        <w:rPr>
          <w:rFonts w:asciiTheme="majorHAnsi" w:hAnsiTheme="majorHAnsi"/>
          <w:sz w:val="20"/>
          <w:szCs w:val="20"/>
          <w:lang w:val="pt-BR"/>
        </w:rPr>
        <w:t xml:space="preserve"> e</w:t>
      </w:r>
      <w:r w:rsidR="00700267" w:rsidRPr="006D1C74">
        <w:rPr>
          <w:rFonts w:asciiTheme="majorHAnsi" w:hAnsiTheme="majorHAnsi"/>
          <w:sz w:val="20"/>
          <w:szCs w:val="20"/>
          <w:lang w:val="pt-BR"/>
        </w:rPr>
        <w:t xml:space="preserve"> a </w:t>
      </w:r>
      <w:r w:rsidR="00F673C7" w:rsidRPr="006D1C74">
        <w:rPr>
          <w:rFonts w:asciiTheme="majorHAnsi" w:hAnsiTheme="majorHAnsi"/>
          <w:sz w:val="20"/>
          <w:szCs w:val="20"/>
          <w:lang w:val="pt-BR"/>
        </w:rPr>
        <w:t>sentença</w:t>
      </w:r>
      <w:r w:rsidR="002649F0" w:rsidRPr="006D1C74">
        <w:rPr>
          <w:rFonts w:asciiTheme="majorHAnsi" w:hAnsiTheme="majorHAnsi"/>
          <w:sz w:val="20"/>
          <w:szCs w:val="20"/>
          <w:lang w:val="pt-BR"/>
        </w:rPr>
        <w:t xml:space="preserve"> de </w:t>
      </w:r>
      <w:r w:rsidR="003171F3" w:rsidRPr="006D1C74">
        <w:rPr>
          <w:rFonts w:asciiTheme="majorHAnsi" w:hAnsiTheme="majorHAnsi"/>
          <w:sz w:val="20"/>
          <w:szCs w:val="20"/>
          <w:lang w:val="pt-BR"/>
        </w:rPr>
        <w:t>primeira</w:t>
      </w:r>
      <w:r w:rsidR="002649F0" w:rsidRPr="006D1C74">
        <w:rPr>
          <w:rFonts w:asciiTheme="majorHAnsi" w:hAnsiTheme="majorHAnsi"/>
          <w:sz w:val="20"/>
          <w:szCs w:val="20"/>
          <w:lang w:val="pt-BR"/>
        </w:rPr>
        <w:t xml:space="preserve"> inst</w:t>
      </w:r>
      <w:r w:rsidR="00981A34">
        <w:rPr>
          <w:rFonts w:asciiTheme="majorHAnsi" w:hAnsiTheme="majorHAnsi"/>
          <w:sz w:val="20"/>
          <w:szCs w:val="20"/>
          <w:lang w:val="pt-BR"/>
        </w:rPr>
        <w:t>â</w:t>
      </w:r>
      <w:r w:rsidR="002649F0" w:rsidRPr="006D1C74">
        <w:rPr>
          <w:rFonts w:asciiTheme="majorHAnsi" w:hAnsiTheme="majorHAnsi"/>
          <w:sz w:val="20"/>
          <w:szCs w:val="20"/>
          <w:lang w:val="pt-BR"/>
        </w:rPr>
        <w:t xml:space="preserve">ncia. </w:t>
      </w:r>
    </w:p>
    <w:p w14:paraId="52E94360" w14:textId="77777777" w:rsidR="002649F0" w:rsidRPr="006D1C74" w:rsidRDefault="002649F0" w:rsidP="002649F0">
      <w:pPr>
        <w:ind w:left="720"/>
        <w:rPr>
          <w:rFonts w:asciiTheme="majorHAnsi" w:eastAsia="Cambria" w:hAnsiTheme="majorHAnsi" w:cs="Cambria"/>
          <w:color w:val="000000"/>
          <w:sz w:val="20"/>
          <w:szCs w:val="20"/>
          <w:u w:color="000000"/>
          <w:lang w:val="pt-BR" w:eastAsia="es-ES"/>
        </w:rPr>
      </w:pPr>
    </w:p>
    <w:p w14:paraId="59CA9B48" w14:textId="77777777" w:rsidR="002649F0" w:rsidRPr="006D1C74" w:rsidRDefault="009940F9" w:rsidP="000D17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Q</w:t>
      </w:r>
      <w:r w:rsidR="002649F0" w:rsidRPr="006D1C74">
        <w:rPr>
          <w:rFonts w:asciiTheme="majorHAnsi" w:hAnsiTheme="majorHAnsi"/>
          <w:sz w:val="20"/>
          <w:szCs w:val="20"/>
          <w:lang w:val="pt-BR"/>
        </w:rPr>
        <w:t>uanto</w:t>
      </w:r>
      <w:r w:rsidR="00030019" w:rsidRPr="006D1C74">
        <w:rPr>
          <w:rFonts w:asciiTheme="majorHAnsi" w:hAnsiTheme="majorHAnsi"/>
          <w:sz w:val="20"/>
          <w:szCs w:val="20"/>
          <w:lang w:val="pt-BR"/>
        </w:rPr>
        <w:t xml:space="preserve"> à </w:t>
      </w:r>
      <w:r w:rsidR="003171F3" w:rsidRPr="006D1C74">
        <w:rPr>
          <w:rFonts w:asciiTheme="majorHAnsi" w:hAnsiTheme="majorHAnsi"/>
          <w:sz w:val="20"/>
          <w:szCs w:val="20"/>
          <w:lang w:val="pt-BR"/>
        </w:rPr>
        <w:t>atividade</w:t>
      </w:r>
      <w:r w:rsidR="00F673C7" w:rsidRPr="006D1C74">
        <w:rPr>
          <w:rFonts w:asciiTheme="majorHAnsi" w:hAnsiTheme="majorHAnsi"/>
          <w:sz w:val="20"/>
          <w:szCs w:val="20"/>
          <w:lang w:val="pt-BR"/>
        </w:rPr>
        <w:t xml:space="preserve"> </w:t>
      </w:r>
      <w:r w:rsidR="002649F0" w:rsidRPr="006D1C74">
        <w:rPr>
          <w:rFonts w:asciiTheme="majorHAnsi" w:hAnsiTheme="majorHAnsi"/>
          <w:sz w:val="20"/>
          <w:szCs w:val="20"/>
          <w:lang w:val="pt-BR"/>
        </w:rPr>
        <w:t>proces</w:t>
      </w:r>
      <w:r w:rsidRPr="006D1C74">
        <w:rPr>
          <w:rFonts w:asciiTheme="majorHAnsi" w:hAnsiTheme="majorHAnsi"/>
          <w:sz w:val="20"/>
          <w:szCs w:val="20"/>
          <w:lang w:val="pt-BR"/>
        </w:rPr>
        <w:t>su</w:t>
      </w:r>
      <w:r w:rsidR="002649F0" w:rsidRPr="006D1C74">
        <w:rPr>
          <w:rFonts w:asciiTheme="majorHAnsi" w:hAnsiTheme="majorHAnsi"/>
          <w:sz w:val="20"/>
          <w:szCs w:val="20"/>
          <w:lang w:val="pt-BR"/>
        </w:rPr>
        <w:t>al,</w:t>
      </w:r>
      <w:r w:rsidR="00700267" w:rsidRPr="006D1C74">
        <w:rPr>
          <w:rFonts w:asciiTheme="majorHAnsi" w:hAnsiTheme="majorHAnsi"/>
          <w:sz w:val="20"/>
          <w:szCs w:val="20"/>
          <w:lang w:val="pt-BR"/>
        </w:rPr>
        <w:t xml:space="preserve"> a </w:t>
      </w:r>
      <w:r w:rsidR="002649F0" w:rsidRPr="006D1C74">
        <w:rPr>
          <w:rFonts w:asciiTheme="majorHAnsi" w:hAnsiTheme="majorHAnsi" w:cs="Helvetica"/>
          <w:sz w:val="20"/>
          <w:szCs w:val="20"/>
          <w:lang w:val="pt-BR"/>
        </w:rPr>
        <w:t xml:space="preserve">Corte </w:t>
      </w:r>
      <w:r w:rsidRPr="006D1C74">
        <w:rPr>
          <w:rFonts w:asciiTheme="majorHAnsi" w:hAnsiTheme="majorHAnsi" w:cs="Helvetica"/>
          <w:sz w:val="20"/>
          <w:szCs w:val="20"/>
          <w:lang w:val="pt-BR"/>
        </w:rPr>
        <w:t>assinalou</w:t>
      </w:r>
      <w:r w:rsidR="002649F0" w:rsidRPr="006D1C74">
        <w:rPr>
          <w:rFonts w:asciiTheme="majorHAnsi" w:hAnsiTheme="majorHAnsi" w:cs="Helvetica"/>
          <w:sz w:val="20"/>
          <w:szCs w:val="20"/>
          <w:lang w:val="pt-BR"/>
        </w:rPr>
        <w:t xml:space="preserve"> que</w:t>
      </w:r>
      <w:r w:rsidR="00700267" w:rsidRPr="006D1C74">
        <w:rPr>
          <w:rFonts w:asciiTheme="majorHAnsi" w:hAnsiTheme="majorHAnsi" w:cs="Helvetica"/>
          <w:sz w:val="20"/>
          <w:szCs w:val="20"/>
          <w:lang w:val="pt-BR"/>
        </w:rPr>
        <w:t xml:space="preserve"> o </w:t>
      </w:r>
      <w:r w:rsidR="002649F0" w:rsidRPr="006D1C74">
        <w:rPr>
          <w:rFonts w:asciiTheme="majorHAnsi" w:hAnsiTheme="majorHAnsi" w:cs="Helvetica"/>
          <w:sz w:val="20"/>
          <w:szCs w:val="20"/>
          <w:lang w:val="pt-BR"/>
        </w:rPr>
        <w:t>Estado,</w:t>
      </w:r>
      <w:r w:rsidR="00F673C7" w:rsidRPr="006D1C74">
        <w:rPr>
          <w:rFonts w:asciiTheme="majorHAnsi" w:hAnsiTheme="majorHAnsi" w:cs="Helvetica"/>
          <w:sz w:val="20"/>
          <w:szCs w:val="20"/>
          <w:lang w:val="pt-BR"/>
        </w:rPr>
        <w:t xml:space="preserve"> </w:t>
      </w:r>
      <w:r w:rsidRPr="006D1C74">
        <w:rPr>
          <w:rFonts w:asciiTheme="majorHAnsi" w:hAnsiTheme="majorHAnsi" w:cs="Helvetica"/>
          <w:sz w:val="20"/>
          <w:szCs w:val="20"/>
          <w:lang w:val="pt-BR"/>
        </w:rPr>
        <w:t>no</w:t>
      </w:r>
      <w:r w:rsidR="00F673C7" w:rsidRPr="006D1C74">
        <w:rPr>
          <w:rFonts w:asciiTheme="majorHAnsi" w:hAnsiTheme="majorHAnsi" w:cs="Helvetica"/>
          <w:sz w:val="20"/>
          <w:szCs w:val="20"/>
          <w:lang w:val="pt-BR"/>
        </w:rPr>
        <w:t xml:space="preserve"> </w:t>
      </w:r>
      <w:r w:rsidR="003171F3">
        <w:rPr>
          <w:rFonts w:asciiTheme="majorHAnsi" w:hAnsiTheme="majorHAnsi" w:cs="Helvetica"/>
          <w:sz w:val="20"/>
          <w:szCs w:val="20"/>
          <w:lang w:val="pt-BR"/>
        </w:rPr>
        <w:t>exerc</w:t>
      </w:r>
      <w:r w:rsidR="003171F3" w:rsidRPr="006D1C74">
        <w:rPr>
          <w:rFonts w:asciiTheme="majorHAnsi" w:hAnsiTheme="majorHAnsi" w:cs="Helvetica"/>
          <w:sz w:val="20"/>
          <w:szCs w:val="20"/>
          <w:lang w:val="pt-BR"/>
        </w:rPr>
        <w:t>ício</w:t>
      </w:r>
      <w:r w:rsidR="002649F0" w:rsidRPr="006D1C74">
        <w:rPr>
          <w:rFonts w:asciiTheme="majorHAnsi" w:hAnsiTheme="majorHAnsi" w:cs="Helvetica"/>
          <w:sz w:val="20"/>
          <w:szCs w:val="20"/>
          <w:lang w:val="pt-BR"/>
        </w:rPr>
        <w:t xml:space="preserve"> de </w:t>
      </w:r>
      <w:r w:rsidR="003171F3" w:rsidRPr="006D1C74">
        <w:rPr>
          <w:rFonts w:asciiTheme="majorHAnsi" w:hAnsiTheme="majorHAnsi" w:cs="Helvetica"/>
          <w:sz w:val="20"/>
          <w:szCs w:val="20"/>
          <w:lang w:val="pt-BR"/>
        </w:rPr>
        <w:t>sua</w:t>
      </w:r>
      <w:r w:rsidR="002649F0" w:rsidRPr="006D1C74">
        <w:rPr>
          <w:rFonts w:asciiTheme="majorHAnsi" w:hAnsiTheme="majorHAnsi" w:cs="Helvetica"/>
          <w:sz w:val="20"/>
          <w:szCs w:val="20"/>
          <w:lang w:val="pt-BR"/>
        </w:rPr>
        <w:t xml:space="preserve"> fun</w:t>
      </w:r>
      <w:r w:rsidR="00CF037E" w:rsidRPr="006D1C74">
        <w:rPr>
          <w:rFonts w:asciiTheme="majorHAnsi" w:hAnsiTheme="majorHAnsi" w:cs="Helvetica"/>
          <w:sz w:val="20"/>
          <w:szCs w:val="20"/>
          <w:lang w:val="pt-BR"/>
        </w:rPr>
        <w:t>ção</w:t>
      </w:r>
      <w:r w:rsidR="002649F0" w:rsidRPr="006D1C74">
        <w:rPr>
          <w:rFonts w:asciiTheme="majorHAnsi" w:hAnsiTheme="majorHAnsi" w:cs="Helvetica"/>
          <w:sz w:val="20"/>
          <w:szCs w:val="20"/>
          <w:lang w:val="pt-BR"/>
        </w:rPr>
        <w:t xml:space="preserve"> judicial, t</w:t>
      </w:r>
      <w:r w:rsidRPr="006D1C74">
        <w:rPr>
          <w:rFonts w:asciiTheme="majorHAnsi" w:hAnsiTheme="majorHAnsi" w:cs="Helvetica"/>
          <w:sz w:val="20"/>
          <w:szCs w:val="20"/>
          <w:lang w:val="pt-BR"/>
        </w:rPr>
        <w:t>em</w:t>
      </w:r>
      <w:r w:rsidR="00030019" w:rsidRPr="006D1C74">
        <w:rPr>
          <w:rFonts w:asciiTheme="majorHAnsi" w:hAnsiTheme="majorHAnsi" w:cs="Helvetica"/>
          <w:sz w:val="20"/>
          <w:szCs w:val="20"/>
          <w:lang w:val="pt-BR"/>
        </w:rPr>
        <w:t xml:space="preserve"> um </w:t>
      </w:r>
      <w:r w:rsidR="00585D35" w:rsidRPr="006D1C74">
        <w:rPr>
          <w:rFonts w:asciiTheme="majorHAnsi" w:hAnsiTheme="majorHAnsi" w:cs="Helvetica"/>
          <w:sz w:val="20"/>
          <w:szCs w:val="20"/>
          <w:lang w:val="pt-BR"/>
        </w:rPr>
        <w:t>dev</w:t>
      </w:r>
      <w:r w:rsidR="002649F0" w:rsidRPr="006D1C74">
        <w:rPr>
          <w:rFonts w:asciiTheme="majorHAnsi" w:hAnsiTheme="majorHAnsi" w:cs="Helvetica"/>
          <w:sz w:val="20"/>
          <w:szCs w:val="20"/>
          <w:lang w:val="pt-BR"/>
        </w:rPr>
        <w:t xml:space="preserve">er jurídico </w:t>
      </w:r>
      <w:r w:rsidR="003171F3" w:rsidRPr="006D1C74">
        <w:rPr>
          <w:rFonts w:asciiTheme="majorHAnsi" w:hAnsiTheme="majorHAnsi" w:cs="Helvetica"/>
          <w:sz w:val="20"/>
          <w:szCs w:val="20"/>
          <w:lang w:val="pt-BR"/>
        </w:rPr>
        <w:t>próprio</w:t>
      </w:r>
      <w:r w:rsidR="002649F0" w:rsidRPr="006D1C74">
        <w:rPr>
          <w:rFonts w:asciiTheme="majorHAnsi" w:hAnsiTheme="majorHAnsi" w:cs="Helvetica"/>
          <w:sz w:val="20"/>
          <w:szCs w:val="20"/>
          <w:lang w:val="pt-BR"/>
        </w:rPr>
        <w:t xml:space="preserve">, </w:t>
      </w:r>
      <w:r w:rsidRPr="006D1C74">
        <w:rPr>
          <w:rFonts w:asciiTheme="majorHAnsi" w:hAnsiTheme="majorHAnsi" w:cs="Helvetica"/>
          <w:sz w:val="20"/>
          <w:szCs w:val="20"/>
          <w:lang w:val="pt-BR"/>
        </w:rPr>
        <w:t xml:space="preserve">motivo pelo qual </w:t>
      </w:r>
      <w:r w:rsidR="00700267" w:rsidRPr="006D1C74">
        <w:rPr>
          <w:rFonts w:asciiTheme="majorHAnsi" w:hAnsiTheme="majorHAnsi" w:cs="Helvetica"/>
          <w:sz w:val="20"/>
          <w:szCs w:val="20"/>
          <w:lang w:val="pt-BR"/>
        </w:rPr>
        <w:t xml:space="preserve">a </w:t>
      </w:r>
      <w:r w:rsidR="003171F3" w:rsidRPr="006D1C74">
        <w:rPr>
          <w:rFonts w:asciiTheme="majorHAnsi" w:hAnsiTheme="majorHAnsi" w:cs="Helvetica"/>
          <w:sz w:val="20"/>
          <w:szCs w:val="20"/>
          <w:lang w:val="pt-BR"/>
        </w:rPr>
        <w:t>conduta</w:t>
      </w:r>
      <w:r w:rsidR="00D74A93" w:rsidRPr="006D1C74">
        <w:rPr>
          <w:rFonts w:asciiTheme="majorHAnsi" w:hAnsiTheme="majorHAnsi" w:cs="Helvetica"/>
          <w:sz w:val="20"/>
          <w:szCs w:val="20"/>
          <w:lang w:val="pt-BR"/>
        </w:rPr>
        <w:t xml:space="preserve"> das </w:t>
      </w:r>
      <w:r w:rsidR="002649F0" w:rsidRPr="006D1C74">
        <w:rPr>
          <w:rFonts w:asciiTheme="majorHAnsi" w:hAnsiTheme="majorHAnsi" w:cs="Helvetica"/>
          <w:sz w:val="20"/>
          <w:szCs w:val="20"/>
          <w:lang w:val="pt-BR"/>
        </w:rPr>
        <w:t>autoridades judici</w:t>
      </w:r>
      <w:r w:rsidR="00700267" w:rsidRPr="006D1C74">
        <w:rPr>
          <w:rFonts w:asciiTheme="majorHAnsi" w:hAnsiTheme="majorHAnsi" w:cs="Helvetica"/>
          <w:sz w:val="20"/>
          <w:szCs w:val="20"/>
          <w:lang w:val="pt-BR"/>
        </w:rPr>
        <w:t>ais</w:t>
      </w:r>
      <w:r w:rsidR="00F673C7" w:rsidRPr="006D1C74">
        <w:rPr>
          <w:rFonts w:asciiTheme="majorHAnsi" w:hAnsiTheme="majorHAnsi" w:cs="Helvetica"/>
          <w:sz w:val="20"/>
          <w:szCs w:val="20"/>
          <w:lang w:val="pt-BR"/>
        </w:rPr>
        <w:t xml:space="preserve"> não </w:t>
      </w:r>
      <w:r w:rsidR="00585D35" w:rsidRPr="006D1C74">
        <w:rPr>
          <w:rFonts w:asciiTheme="majorHAnsi" w:hAnsiTheme="majorHAnsi" w:cs="Helvetica"/>
          <w:sz w:val="20"/>
          <w:szCs w:val="20"/>
          <w:lang w:val="pt-BR"/>
        </w:rPr>
        <w:t>dev</w:t>
      </w:r>
      <w:r w:rsidR="002649F0" w:rsidRPr="006D1C74">
        <w:rPr>
          <w:rFonts w:asciiTheme="majorHAnsi" w:hAnsiTheme="majorHAnsi" w:cs="Helvetica"/>
          <w:sz w:val="20"/>
          <w:szCs w:val="20"/>
          <w:lang w:val="pt-BR"/>
        </w:rPr>
        <w:t xml:space="preserve">e depender </w:t>
      </w:r>
      <w:r w:rsidR="002649F0" w:rsidRPr="006D1C74">
        <w:rPr>
          <w:rFonts w:asciiTheme="majorHAnsi" w:hAnsiTheme="majorHAnsi" w:cs="Helvetica"/>
          <w:sz w:val="20"/>
          <w:szCs w:val="20"/>
          <w:lang w:val="pt-BR"/>
        </w:rPr>
        <w:lastRenderedPageBreak/>
        <w:t>exclusivamente</w:t>
      </w:r>
      <w:r w:rsidR="00795010" w:rsidRPr="006D1C74">
        <w:rPr>
          <w:rFonts w:asciiTheme="majorHAnsi" w:hAnsiTheme="majorHAnsi" w:cs="Helvetica"/>
          <w:sz w:val="20"/>
          <w:szCs w:val="20"/>
          <w:lang w:val="pt-BR"/>
        </w:rPr>
        <w:t xml:space="preserve"> da </w:t>
      </w:r>
      <w:r w:rsidR="002649F0" w:rsidRPr="006D1C74">
        <w:rPr>
          <w:rFonts w:asciiTheme="majorHAnsi" w:hAnsiTheme="majorHAnsi" w:cs="Helvetica"/>
          <w:sz w:val="20"/>
          <w:szCs w:val="20"/>
          <w:lang w:val="pt-BR"/>
        </w:rPr>
        <w:t>iniciativa proces</w:t>
      </w:r>
      <w:r w:rsidRPr="006D1C74">
        <w:rPr>
          <w:rFonts w:asciiTheme="majorHAnsi" w:hAnsiTheme="majorHAnsi" w:cs="Helvetica"/>
          <w:sz w:val="20"/>
          <w:szCs w:val="20"/>
          <w:lang w:val="pt-BR"/>
        </w:rPr>
        <w:t>su</w:t>
      </w:r>
      <w:r w:rsidR="002649F0" w:rsidRPr="006D1C74">
        <w:rPr>
          <w:rFonts w:asciiTheme="majorHAnsi" w:hAnsiTheme="majorHAnsi" w:cs="Helvetica"/>
          <w:sz w:val="20"/>
          <w:szCs w:val="20"/>
          <w:lang w:val="pt-BR"/>
        </w:rPr>
        <w:t>al</w:t>
      </w:r>
      <w:r w:rsidR="00795010" w:rsidRPr="006D1C74">
        <w:rPr>
          <w:rFonts w:asciiTheme="majorHAnsi" w:hAnsiTheme="majorHAnsi" w:cs="Helvetica"/>
          <w:sz w:val="20"/>
          <w:szCs w:val="20"/>
          <w:lang w:val="pt-BR"/>
        </w:rPr>
        <w:t xml:space="preserve"> da </w:t>
      </w:r>
      <w:r w:rsidR="002649F0" w:rsidRPr="006D1C74">
        <w:rPr>
          <w:rFonts w:asciiTheme="majorHAnsi" w:hAnsiTheme="majorHAnsi" w:cs="Helvetica"/>
          <w:sz w:val="20"/>
          <w:szCs w:val="20"/>
          <w:lang w:val="pt-BR"/>
        </w:rPr>
        <w:t xml:space="preserve">parte </w:t>
      </w:r>
      <w:r w:rsidR="003171F3" w:rsidRPr="006D1C74">
        <w:rPr>
          <w:rFonts w:asciiTheme="majorHAnsi" w:hAnsiTheme="majorHAnsi" w:cs="Helvetica"/>
          <w:sz w:val="20"/>
          <w:szCs w:val="20"/>
          <w:lang w:val="pt-BR"/>
        </w:rPr>
        <w:t>atora</w:t>
      </w:r>
      <w:r w:rsidR="00217759" w:rsidRPr="006D1C74">
        <w:rPr>
          <w:rFonts w:asciiTheme="majorHAnsi" w:hAnsiTheme="majorHAnsi" w:cs="Helvetica"/>
          <w:sz w:val="20"/>
          <w:szCs w:val="20"/>
          <w:lang w:val="pt-BR"/>
        </w:rPr>
        <w:t xml:space="preserve"> nos </w:t>
      </w:r>
      <w:r w:rsidR="00AB7F30" w:rsidRPr="006D1C74">
        <w:rPr>
          <w:rFonts w:asciiTheme="majorHAnsi" w:hAnsiTheme="majorHAnsi" w:cs="Helvetica"/>
          <w:sz w:val="20"/>
          <w:szCs w:val="20"/>
          <w:lang w:val="pt-BR"/>
        </w:rPr>
        <w:t>processo</w:t>
      </w:r>
      <w:r w:rsidR="002649F0" w:rsidRPr="006D1C74">
        <w:rPr>
          <w:rFonts w:asciiTheme="majorHAnsi" w:hAnsiTheme="majorHAnsi" w:cs="Helvetica"/>
          <w:sz w:val="20"/>
          <w:szCs w:val="20"/>
          <w:lang w:val="pt-BR"/>
        </w:rPr>
        <w:t>s</w:t>
      </w:r>
      <w:r w:rsidR="002649F0" w:rsidRPr="006D1C74">
        <w:rPr>
          <w:rFonts w:asciiTheme="majorHAnsi" w:hAnsiTheme="majorHAnsi"/>
          <w:sz w:val="20"/>
          <w:szCs w:val="20"/>
          <w:vertAlign w:val="superscript"/>
          <w:lang w:val="pt-BR"/>
        </w:rPr>
        <w:footnoteReference w:id="107"/>
      </w:r>
      <w:r w:rsidR="002649F0" w:rsidRPr="006D1C74">
        <w:rPr>
          <w:rFonts w:asciiTheme="majorHAnsi" w:hAnsiTheme="majorHAnsi" w:cs="Helvetica"/>
          <w:sz w:val="20"/>
          <w:szCs w:val="20"/>
          <w:lang w:val="pt-BR"/>
        </w:rPr>
        <w:t>.</w:t>
      </w:r>
      <w:r w:rsidR="00700267" w:rsidRPr="006D1C74">
        <w:rPr>
          <w:rFonts w:asciiTheme="majorHAnsi" w:hAnsiTheme="majorHAnsi" w:cs="Helvetica"/>
          <w:sz w:val="20"/>
          <w:szCs w:val="20"/>
          <w:lang w:val="pt-BR"/>
        </w:rPr>
        <w:t xml:space="preserve"> </w:t>
      </w:r>
      <w:r w:rsidR="00E0138F" w:rsidRPr="006D1C74">
        <w:rPr>
          <w:rFonts w:asciiTheme="majorHAnsi" w:hAnsiTheme="majorHAnsi" w:cs="Helvetica"/>
          <w:sz w:val="20"/>
          <w:szCs w:val="20"/>
          <w:lang w:val="pt-BR"/>
        </w:rPr>
        <w:t>O</w:t>
      </w:r>
      <w:r w:rsidR="00700267" w:rsidRPr="006D1C74">
        <w:rPr>
          <w:rFonts w:asciiTheme="majorHAnsi" w:hAnsiTheme="majorHAnsi" w:cs="Helvetica"/>
          <w:sz w:val="20"/>
          <w:szCs w:val="20"/>
          <w:lang w:val="pt-BR"/>
        </w:rPr>
        <w:t xml:space="preserve"> </w:t>
      </w:r>
      <w:r w:rsidR="002649F0" w:rsidRPr="006D1C74">
        <w:rPr>
          <w:rFonts w:asciiTheme="majorHAnsi" w:hAnsiTheme="majorHAnsi"/>
          <w:sz w:val="20"/>
          <w:szCs w:val="20"/>
          <w:lang w:val="pt-BR"/>
        </w:rPr>
        <w:t>Estado</w:t>
      </w:r>
      <w:r w:rsidR="00F673C7" w:rsidRPr="006D1C74">
        <w:rPr>
          <w:rFonts w:asciiTheme="majorHAnsi" w:hAnsiTheme="majorHAnsi"/>
          <w:sz w:val="20"/>
          <w:szCs w:val="20"/>
          <w:lang w:val="pt-BR"/>
        </w:rPr>
        <w:t xml:space="preserve"> não </w:t>
      </w:r>
      <w:r w:rsidR="00545ED8" w:rsidRPr="006D1C74">
        <w:rPr>
          <w:rFonts w:asciiTheme="majorHAnsi" w:hAnsiTheme="majorHAnsi"/>
          <w:sz w:val="20"/>
          <w:szCs w:val="20"/>
          <w:lang w:val="pt-BR"/>
        </w:rPr>
        <w:t>comprovou</w:t>
      </w:r>
      <w:r w:rsidR="002649F0" w:rsidRPr="006D1C74">
        <w:rPr>
          <w:rFonts w:asciiTheme="majorHAnsi" w:hAnsiTheme="majorHAnsi" w:cs="Helvetica"/>
          <w:sz w:val="20"/>
          <w:szCs w:val="20"/>
          <w:lang w:val="pt-BR"/>
        </w:rPr>
        <w:t xml:space="preserve"> de </w:t>
      </w:r>
      <w:r w:rsidR="003171F3" w:rsidRPr="006D1C74">
        <w:rPr>
          <w:rFonts w:asciiTheme="majorHAnsi" w:hAnsiTheme="majorHAnsi" w:cs="Helvetica"/>
          <w:sz w:val="20"/>
          <w:szCs w:val="20"/>
          <w:lang w:val="pt-BR"/>
        </w:rPr>
        <w:t>que</w:t>
      </w:r>
      <w:r w:rsidR="002649F0" w:rsidRPr="006D1C74">
        <w:rPr>
          <w:rFonts w:asciiTheme="majorHAnsi" w:hAnsiTheme="majorHAnsi" w:cs="Helvetica"/>
          <w:sz w:val="20"/>
          <w:szCs w:val="20"/>
          <w:lang w:val="pt-BR"/>
        </w:rPr>
        <w:t xml:space="preserve"> forma</w:t>
      </w:r>
      <w:r w:rsidR="00700267" w:rsidRPr="006D1C74">
        <w:rPr>
          <w:rFonts w:asciiTheme="majorHAnsi" w:hAnsiTheme="majorHAnsi" w:cs="Helvetica"/>
          <w:sz w:val="20"/>
          <w:szCs w:val="20"/>
          <w:lang w:val="pt-BR"/>
        </w:rPr>
        <w:t xml:space="preserve"> a </w:t>
      </w:r>
      <w:r w:rsidR="003171F3" w:rsidRPr="006D1C74">
        <w:rPr>
          <w:rFonts w:asciiTheme="majorHAnsi" w:hAnsiTheme="majorHAnsi" w:cs="Helvetica"/>
          <w:sz w:val="20"/>
          <w:szCs w:val="20"/>
          <w:lang w:val="pt-BR"/>
        </w:rPr>
        <w:t>atuação</w:t>
      </w:r>
      <w:r w:rsidR="00795010" w:rsidRPr="006D1C74">
        <w:rPr>
          <w:rFonts w:asciiTheme="majorHAnsi" w:hAnsiTheme="majorHAnsi" w:cs="Helvetica"/>
          <w:sz w:val="20"/>
          <w:szCs w:val="20"/>
          <w:lang w:val="pt-BR"/>
        </w:rPr>
        <w:t xml:space="preserve"> da </w:t>
      </w:r>
      <w:r w:rsidR="002649F0" w:rsidRPr="006D1C74">
        <w:rPr>
          <w:rFonts w:asciiTheme="majorHAnsi" w:hAnsiTheme="majorHAnsi" w:cs="Helvetica"/>
          <w:sz w:val="20"/>
          <w:szCs w:val="20"/>
          <w:lang w:val="pt-BR"/>
        </w:rPr>
        <w:t xml:space="preserve">parte </w:t>
      </w:r>
      <w:r w:rsidR="003171F3" w:rsidRPr="006D1C74">
        <w:rPr>
          <w:rFonts w:asciiTheme="majorHAnsi" w:hAnsiTheme="majorHAnsi" w:cs="Helvetica"/>
          <w:sz w:val="20"/>
          <w:szCs w:val="20"/>
          <w:lang w:val="pt-BR"/>
        </w:rPr>
        <w:t>atora</w:t>
      </w:r>
      <w:r w:rsidR="002649F0" w:rsidRPr="006D1C74">
        <w:rPr>
          <w:rFonts w:asciiTheme="majorHAnsi" w:hAnsiTheme="majorHAnsi" w:cs="Helvetica"/>
          <w:sz w:val="20"/>
          <w:szCs w:val="20"/>
          <w:lang w:val="pt-BR"/>
        </w:rPr>
        <w:t xml:space="preserve"> </w:t>
      </w:r>
      <w:r w:rsidR="00545ED8" w:rsidRPr="006D1C74">
        <w:rPr>
          <w:rFonts w:asciiTheme="majorHAnsi" w:hAnsiTheme="majorHAnsi" w:cs="Helvetica"/>
          <w:sz w:val="20"/>
          <w:szCs w:val="20"/>
          <w:lang w:val="pt-BR"/>
        </w:rPr>
        <w:t>te</w:t>
      </w:r>
      <w:r w:rsidR="002649F0" w:rsidRPr="006D1C74">
        <w:rPr>
          <w:rFonts w:asciiTheme="majorHAnsi" w:hAnsiTheme="majorHAnsi" w:cs="Helvetica"/>
          <w:sz w:val="20"/>
          <w:szCs w:val="20"/>
          <w:lang w:val="pt-BR"/>
        </w:rPr>
        <w:t>r</w:t>
      </w:r>
      <w:r w:rsidR="00055622" w:rsidRPr="006D1C74">
        <w:rPr>
          <w:rFonts w:asciiTheme="majorHAnsi" w:hAnsiTheme="majorHAnsi" w:cs="Helvetica"/>
          <w:sz w:val="20"/>
          <w:szCs w:val="20"/>
          <w:lang w:val="pt-BR"/>
        </w:rPr>
        <w:t>ia</w:t>
      </w:r>
      <w:r w:rsidR="002649F0" w:rsidRPr="006D1C74">
        <w:rPr>
          <w:rFonts w:asciiTheme="majorHAnsi" w:hAnsiTheme="majorHAnsi" w:cs="Helvetica"/>
          <w:sz w:val="20"/>
          <w:szCs w:val="20"/>
          <w:lang w:val="pt-BR"/>
        </w:rPr>
        <w:t xml:space="preserve"> </w:t>
      </w:r>
      <w:r w:rsidR="00545ED8" w:rsidRPr="006D1C74">
        <w:rPr>
          <w:rFonts w:asciiTheme="majorHAnsi" w:hAnsiTheme="majorHAnsi" w:cs="Helvetica"/>
          <w:sz w:val="20"/>
          <w:szCs w:val="20"/>
          <w:lang w:val="pt-BR"/>
        </w:rPr>
        <w:t>provoc</w:t>
      </w:r>
      <w:r w:rsidR="002649F0" w:rsidRPr="006D1C74">
        <w:rPr>
          <w:rFonts w:asciiTheme="majorHAnsi" w:hAnsiTheme="majorHAnsi" w:cs="Helvetica"/>
          <w:sz w:val="20"/>
          <w:szCs w:val="20"/>
          <w:lang w:val="pt-BR"/>
        </w:rPr>
        <w:t>ado</w:t>
      </w:r>
      <w:r w:rsidR="00700267" w:rsidRPr="006D1C74">
        <w:rPr>
          <w:rFonts w:asciiTheme="majorHAnsi" w:hAnsiTheme="majorHAnsi" w:cs="Helvetica"/>
          <w:sz w:val="20"/>
          <w:szCs w:val="20"/>
          <w:lang w:val="pt-BR"/>
        </w:rPr>
        <w:t xml:space="preserve"> a </w:t>
      </w:r>
      <w:r w:rsidR="002649F0" w:rsidRPr="006D1C74">
        <w:rPr>
          <w:rFonts w:asciiTheme="majorHAnsi" w:hAnsiTheme="majorHAnsi" w:cs="Helvetica"/>
          <w:sz w:val="20"/>
          <w:szCs w:val="20"/>
          <w:lang w:val="pt-BR"/>
        </w:rPr>
        <w:t>dila</w:t>
      </w:r>
      <w:r w:rsidR="00CF037E" w:rsidRPr="006D1C74">
        <w:rPr>
          <w:rFonts w:asciiTheme="majorHAnsi" w:hAnsiTheme="majorHAnsi" w:cs="Helvetica"/>
          <w:sz w:val="20"/>
          <w:szCs w:val="20"/>
          <w:lang w:val="pt-BR"/>
        </w:rPr>
        <w:t>ção</w:t>
      </w:r>
      <w:r w:rsidR="00FC2F62" w:rsidRPr="006D1C74">
        <w:rPr>
          <w:rFonts w:asciiTheme="majorHAnsi" w:hAnsiTheme="majorHAnsi" w:cs="Helvetica"/>
          <w:sz w:val="20"/>
          <w:szCs w:val="20"/>
          <w:lang w:val="pt-BR"/>
        </w:rPr>
        <w:t xml:space="preserve"> no </w:t>
      </w:r>
      <w:r w:rsidR="00AB7F30" w:rsidRPr="006D1C74">
        <w:rPr>
          <w:rFonts w:asciiTheme="majorHAnsi" w:hAnsiTheme="majorHAnsi" w:cs="Helvetica"/>
          <w:sz w:val="20"/>
          <w:szCs w:val="20"/>
          <w:lang w:val="pt-BR"/>
        </w:rPr>
        <w:t>processo</w:t>
      </w:r>
      <w:r w:rsidR="002649F0" w:rsidRPr="006D1C74">
        <w:rPr>
          <w:rFonts w:asciiTheme="majorHAnsi" w:hAnsiTheme="majorHAnsi" w:cs="Helvetica"/>
          <w:sz w:val="20"/>
          <w:szCs w:val="20"/>
          <w:lang w:val="pt-BR"/>
        </w:rPr>
        <w:t xml:space="preserve"> n</w:t>
      </w:r>
      <w:r w:rsidR="00545ED8" w:rsidRPr="006D1C74">
        <w:rPr>
          <w:rFonts w:asciiTheme="majorHAnsi" w:hAnsiTheme="majorHAnsi" w:cs="Helvetica"/>
          <w:sz w:val="20"/>
          <w:szCs w:val="20"/>
          <w:lang w:val="pt-BR"/>
        </w:rPr>
        <w:t>em</w:t>
      </w:r>
      <w:r w:rsidR="002649F0" w:rsidRPr="006D1C74">
        <w:rPr>
          <w:rFonts w:asciiTheme="majorHAnsi" w:hAnsiTheme="majorHAnsi"/>
          <w:sz w:val="20"/>
          <w:szCs w:val="20"/>
          <w:lang w:val="pt-BR"/>
        </w:rPr>
        <w:t xml:space="preserve"> </w:t>
      </w:r>
      <w:r w:rsidR="00B31E48">
        <w:rPr>
          <w:rFonts w:asciiTheme="majorHAnsi" w:hAnsiTheme="majorHAnsi"/>
          <w:sz w:val="20"/>
          <w:szCs w:val="20"/>
          <w:lang w:val="pt-BR"/>
        </w:rPr>
        <w:t>demons</w:t>
      </w:r>
      <w:r w:rsidR="002649F0" w:rsidRPr="006D1C74">
        <w:rPr>
          <w:rFonts w:asciiTheme="majorHAnsi" w:hAnsiTheme="majorHAnsi"/>
          <w:sz w:val="20"/>
          <w:szCs w:val="20"/>
          <w:lang w:val="pt-BR"/>
        </w:rPr>
        <w:t>tr</w:t>
      </w:r>
      <w:r w:rsidR="00545ED8" w:rsidRPr="006D1C74">
        <w:rPr>
          <w:rFonts w:asciiTheme="majorHAnsi" w:hAnsiTheme="majorHAnsi"/>
          <w:sz w:val="20"/>
          <w:szCs w:val="20"/>
          <w:lang w:val="pt-BR"/>
        </w:rPr>
        <w:t>ou</w:t>
      </w:r>
      <w:r w:rsidR="002649F0" w:rsidRPr="006D1C74">
        <w:rPr>
          <w:rFonts w:asciiTheme="majorHAnsi" w:hAnsiTheme="majorHAnsi"/>
          <w:sz w:val="20"/>
          <w:szCs w:val="20"/>
          <w:lang w:val="pt-BR"/>
        </w:rPr>
        <w:t xml:space="preserve"> </w:t>
      </w:r>
      <w:r w:rsidR="002649F0" w:rsidRPr="006D1C74">
        <w:rPr>
          <w:rFonts w:asciiTheme="majorHAnsi" w:hAnsiTheme="majorHAnsi" w:cs="Helvetica"/>
          <w:sz w:val="20"/>
          <w:szCs w:val="20"/>
          <w:lang w:val="pt-BR"/>
        </w:rPr>
        <w:t>que</w:t>
      </w:r>
      <w:r w:rsidR="00700267" w:rsidRPr="006D1C74">
        <w:rPr>
          <w:rFonts w:asciiTheme="majorHAnsi" w:hAnsiTheme="majorHAnsi" w:cs="Helvetica"/>
          <w:sz w:val="20"/>
          <w:szCs w:val="20"/>
          <w:lang w:val="pt-BR"/>
        </w:rPr>
        <w:t xml:space="preserve"> o </w:t>
      </w:r>
      <w:r w:rsidR="00AB7F30" w:rsidRPr="006D1C74">
        <w:rPr>
          <w:rFonts w:asciiTheme="majorHAnsi" w:hAnsiTheme="majorHAnsi" w:cs="Helvetica"/>
          <w:sz w:val="20"/>
          <w:szCs w:val="20"/>
          <w:lang w:val="pt-BR"/>
        </w:rPr>
        <w:t>processo</w:t>
      </w:r>
      <w:r w:rsidR="002649F0" w:rsidRPr="006D1C74">
        <w:rPr>
          <w:rFonts w:asciiTheme="majorHAnsi" w:hAnsiTheme="majorHAnsi" w:cs="Helvetica"/>
          <w:sz w:val="20"/>
          <w:szCs w:val="20"/>
          <w:lang w:val="pt-BR"/>
        </w:rPr>
        <w:t xml:space="preserve"> </w:t>
      </w:r>
      <w:r w:rsidR="00545ED8" w:rsidRPr="006D1C74">
        <w:rPr>
          <w:rFonts w:asciiTheme="majorHAnsi" w:hAnsiTheme="majorHAnsi" w:cs="Helvetica"/>
          <w:sz w:val="20"/>
          <w:szCs w:val="20"/>
          <w:lang w:val="pt-BR"/>
        </w:rPr>
        <w:t>teria sido resolvido n</w:t>
      </w:r>
      <w:r w:rsidR="00030019" w:rsidRPr="006D1C74">
        <w:rPr>
          <w:rFonts w:asciiTheme="majorHAnsi" w:hAnsiTheme="majorHAnsi" w:cs="Helvetica"/>
          <w:sz w:val="20"/>
          <w:szCs w:val="20"/>
          <w:lang w:val="pt-BR"/>
        </w:rPr>
        <w:t xml:space="preserve">um </w:t>
      </w:r>
      <w:r w:rsidR="00D74A93" w:rsidRPr="006D1C74">
        <w:rPr>
          <w:rFonts w:asciiTheme="majorHAnsi" w:hAnsiTheme="majorHAnsi" w:cs="Helvetica"/>
          <w:sz w:val="20"/>
          <w:szCs w:val="20"/>
          <w:lang w:val="pt-BR"/>
        </w:rPr>
        <w:t>prazo</w:t>
      </w:r>
      <w:r w:rsidR="002649F0" w:rsidRPr="006D1C74">
        <w:rPr>
          <w:rFonts w:asciiTheme="majorHAnsi" w:hAnsiTheme="majorHAnsi" w:cs="Helvetica"/>
          <w:sz w:val="20"/>
          <w:szCs w:val="20"/>
          <w:lang w:val="pt-BR"/>
        </w:rPr>
        <w:t xml:space="preserve"> razo</w:t>
      </w:r>
      <w:r w:rsidR="00545ED8" w:rsidRPr="006D1C74">
        <w:rPr>
          <w:rFonts w:asciiTheme="majorHAnsi" w:hAnsiTheme="majorHAnsi" w:cs="Helvetica"/>
          <w:sz w:val="20"/>
          <w:szCs w:val="20"/>
          <w:lang w:val="pt-BR"/>
        </w:rPr>
        <w:t>ável</w:t>
      </w:r>
      <w:r w:rsidR="002649F0" w:rsidRPr="006D1C74">
        <w:rPr>
          <w:rFonts w:asciiTheme="majorHAnsi" w:hAnsiTheme="majorHAnsi" w:cs="Helvetica"/>
          <w:sz w:val="20"/>
          <w:szCs w:val="20"/>
          <w:lang w:val="pt-BR"/>
        </w:rPr>
        <w:t xml:space="preserve"> s</w:t>
      </w:r>
      <w:r w:rsidR="00545ED8" w:rsidRPr="006D1C74">
        <w:rPr>
          <w:rFonts w:asciiTheme="majorHAnsi" w:hAnsiTheme="majorHAnsi" w:cs="Helvetica"/>
          <w:sz w:val="20"/>
          <w:szCs w:val="20"/>
          <w:lang w:val="pt-BR"/>
        </w:rPr>
        <w:t>e</w:t>
      </w:r>
      <w:r w:rsidR="00700267" w:rsidRPr="006D1C74">
        <w:rPr>
          <w:rFonts w:asciiTheme="majorHAnsi" w:hAnsiTheme="majorHAnsi" w:cs="Helvetica"/>
          <w:sz w:val="20"/>
          <w:szCs w:val="20"/>
          <w:lang w:val="pt-BR"/>
        </w:rPr>
        <w:t xml:space="preserve"> a </w:t>
      </w:r>
      <w:r w:rsidR="002649F0" w:rsidRPr="006D1C74">
        <w:rPr>
          <w:rFonts w:asciiTheme="majorHAnsi" w:hAnsiTheme="majorHAnsi" w:cs="Helvetica"/>
          <w:sz w:val="20"/>
          <w:szCs w:val="20"/>
          <w:lang w:val="pt-BR"/>
        </w:rPr>
        <w:t xml:space="preserve">demandante </w:t>
      </w:r>
      <w:r w:rsidR="00545ED8" w:rsidRPr="006D1C74">
        <w:rPr>
          <w:rFonts w:asciiTheme="majorHAnsi" w:hAnsiTheme="majorHAnsi" w:cs="Helvetica"/>
          <w:sz w:val="20"/>
          <w:szCs w:val="20"/>
          <w:lang w:val="pt-BR"/>
        </w:rPr>
        <w:t xml:space="preserve">houvesse </w:t>
      </w:r>
      <w:r w:rsidR="003171F3" w:rsidRPr="006D1C74">
        <w:rPr>
          <w:rFonts w:asciiTheme="majorHAnsi" w:hAnsiTheme="majorHAnsi" w:cs="Helvetica"/>
          <w:sz w:val="20"/>
          <w:szCs w:val="20"/>
          <w:lang w:val="pt-BR"/>
        </w:rPr>
        <w:t>atuado</w:t>
      </w:r>
      <w:r w:rsidR="002649F0" w:rsidRPr="006D1C74">
        <w:rPr>
          <w:rFonts w:asciiTheme="majorHAnsi" w:hAnsiTheme="majorHAnsi" w:cs="Helvetica"/>
          <w:sz w:val="20"/>
          <w:szCs w:val="20"/>
          <w:lang w:val="pt-BR"/>
        </w:rPr>
        <w:t xml:space="preserve"> de </w:t>
      </w:r>
      <w:r w:rsidR="00CF037E" w:rsidRPr="006D1C74">
        <w:rPr>
          <w:rFonts w:asciiTheme="majorHAnsi" w:hAnsiTheme="majorHAnsi" w:cs="Helvetica"/>
          <w:sz w:val="20"/>
          <w:szCs w:val="20"/>
          <w:lang w:val="pt-BR"/>
        </w:rPr>
        <w:t>outr</w:t>
      </w:r>
      <w:r w:rsidR="002649F0" w:rsidRPr="006D1C74">
        <w:rPr>
          <w:rFonts w:asciiTheme="majorHAnsi" w:hAnsiTheme="majorHAnsi" w:cs="Helvetica"/>
          <w:sz w:val="20"/>
          <w:szCs w:val="20"/>
          <w:lang w:val="pt-BR"/>
        </w:rPr>
        <w:t xml:space="preserve">a </w:t>
      </w:r>
      <w:r w:rsidR="003171F3" w:rsidRPr="006D1C74">
        <w:rPr>
          <w:rFonts w:asciiTheme="majorHAnsi" w:hAnsiTheme="majorHAnsi" w:cs="Helvetica"/>
          <w:sz w:val="20"/>
          <w:szCs w:val="20"/>
          <w:lang w:val="pt-BR"/>
        </w:rPr>
        <w:t>maneira</w:t>
      </w:r>
      <w:r w:rsidR="002649F0" w:rsidRPr="006D1C74">
        <w:rPr>
          <w:rFonts w:asciiTheme="majorHAnsi" w:hAnsiTheme="majorHAnsi" w:cs="Helvetica"/>
          <w:sz w:val="20"/>
          <w:szCs w:val="20"/>
          <w:lang w:val="pt-BR"/>
        </w:rPr>
        <w:t xml:space="preserve">. </w:t>
      </w:r>
      <w:r w:rsidR="00F062CC" w:rsidRPr="006D1C74">
        <w:rPr>
          <w:rFonts w:asciiTheme="majorHAnsi" w:hAnsiTheme="majorHAnsi" w:cs="Helvetica"/>
          <w:sz w:val="20"/>
          <w:szCs w:val="20"/>
          <w:lang w:val="pt-BR"/>
        </w:rPr>
        <w:t>A</w:t>
      </w:r>
      <w:r w:rsidR="00E0138F" w:rsidRPr="006D1C74">
        <w:rPr>
          <w:rFonts w:asciiTheme="majorHAnsi" w:hAnsiTheme="majorHAnsi" w:cs="Helvetica"/>
          <w:sz w:val="20"/>
          <w:szCs w:val="20"/>
          <w:lang w:val="pt-BR"/>
        </w:rPr>
        <w:t>lém disso</w:t>
      </w:r>
      <w:r w:rsidR="002649F0" w:rsidRPr="006D1C74">
        <w:rPr>
          <w:rFonts w:asciiTheme="majorHAnsi" w:hAnsiTheme="majorHAnsi" w:cs="Helvetica"/>
          <w:sz w:val="20"/>
          <w:szCs w:val="20"/>
          <w:lang w:val="pt-BR"/>
        </w:rPr>
        <w:t xml:space="preserve">, </w:t>
      </w:r>
      <w:r w:rsidR="00F062CC" w:rsidRPr="006D1C74">
        <w:rPr>
          <w:rFonts w:asciiTheme="majorHAnsi" w:hAnsiTheme="majorHAnsi" w:cs="Helvetica"/>
          <w:sz w:val="20"/>
          <w:szCs w:val="20"/>
          <w:lang w:val="pt-BR"/>
        </w:rPr>
        <w:t>após</w:t>
      </w:r>
      <w:r w:rsidR="00700267" w:rsidRPr="006D1C74">
        <w:rPr>
          <w:rFonts w:asciiTheme="majorHAnsi" w:hAnsiTheme="majorHAnsi" w:cs="Helvetica"/>
          <w:sz w:val="20"/>
          <w:szCs w:val="20"/>
          <w:lang w:val="pt-BR"/>
        </w:rPr>
        <w:t xml:space="preserve"> o </w:t>
      </w:r>
      <w:r w:rsidR="003171F3" w:rsidRPr="006D1C74">
        <w:rPr>
          <w:rFonts w:asciiTheme="majorHAnsi" w:hAnsiTheme="majorHAnsi" w:cs="Helvetica"/>
          <w:sz w:val="20"/>
          <w:szCs w:val="20"/>
          <w:lang w:val="pt-BR"/>
        </w:rPr>
        <w:t>descumprimento</w:t>
      </w:r>
      <w:r w:rsidR="00795010" w:rsidRPr="006D1C74">
        <w:rPr>
          <w:rFonts w:asciiTheme="majorHAnsi" w:hAnsiTheme="majorHAnsi" w:cs="Helvetica"/>
          <w:sz w:val="20"/>
          <w:szCs w:val="20"/>
          <w:lang w:val="pt-BR"/>
        </w:rPr>
        <w:t xml:space="preserve"> da </w:t>
      </w:r>
      <w:r w:rsidR="00F673C7" w:rsidRPr="006D1C74">
        <w:rPr>
          <w:rFonts w:asciiTheme="majorHAnsi" w:hAnsiTheme="majorHAnsi" w:cs="Helvetica"/>
          <w:sz w:val="20"/>
          <w:szCs w:val="20"/>
          <w:lang w:val="pt-BR"/>
        </w:rPr>
        <w:t>sentença</w:t>
      </w:r>
      <w:r w:rsidR="00CF037E" w:rsidRPr="006D1C74">
        <w:rPr>
          <w:rFonts w:asciiTheme="majorHAnsi" w:hAnsiTheme="majorHAnsi" w:cs="Helvetica"/>
          <w:sz w:val="20"/>
          <w:szCs w:val="20"/>
          <w:lang w:val="pt-BR"/>
        </w:rPr>
        <w:t xml:space="preserve"> e</w:t>
      </w:r>
      <w:r w:rsidR="00030019" w:rsidRPr="006D1C74">
        <w:rPr>
          <w:rFonts w:asciiTheme="majorHAnsi" w:hAnsiTheme="majorHAnsi" w:cs="Helvetica"/>
          <w:sz w:val="20"/>
          <w:szCs w:val="20"/>
          <w:lang w:val="pt-BR"/>
        </w:rPr>
        <w:t xml:space="preserve"> do </w:t>
      </w:r>
      <w:r w:rsidR="002649F0" w:rsidRPr="006D1C74">
        <w:rPr>
          <w:rFonts w:asciiTheme="majorHAnsi" w:hAnsiTheme="majorHAnsi" w:cs="Helvetica"/>
          <w:sz w:val="20"/>
          <w:szCs w:val="20"/>
          <w:lang w:val="pt-BR"/>
        </w:rPr>
        <w:t>pag</w:t>
      </w:r>
      <w:r w:rsidR="00F062CC" w:rsidRPr="006D1C74">
        <w:rPr>
          <w:rFonts w:asciiTheme="majorHAnsi" w:hAnsiTheme="majorHAnsi" w:cs="Helvetica"/>
          <w:sz w:val="20"/>
          <w:szCs w:val="20"/>
          <w:lang w:val="pt-BR"/>
        </w:rPr>
        <w:t>ament</w:t>
      </w:r>
      <w:r w:rsidR="002649F0" w:rsidRPr="006D1C74">
        <w:rPr>
          <w:rFonts w:asciiTheme="majorHAnsi" w:hAnsiTheme="majorHAnsi" w:cs="Helvetica"/>
          <w:sz w:val="20"/>
          <w:szCs w:val="20"/>
          <w:lang w:val="pt-BR"/>
        </w:rPr>
        <w:t>o</w:t>
      </w:r>
      <w:r w:rsidR="00D74A93" w:rsidRPr="006D1C74">
        <w:rPr>
          <w:rFonts w:asciiTheme="majorHAnsi" w:hAnsiTheme="majorHAnsi" w:cs="Helvetica"/>
          <w:sz w:val="20"/>
          <w:szCs w:val="20"/>
          <w:lang w:val="pt-BR"/>
        </w:rPr>
        <w:t xml:space="preserve"> das </w:t>
      </w:r>
      <w:r w:rsidR="002649F0" w:rsidRPr="006D1C74">
        <w:rPr>
          <w:rFonts w:asciiTheme="majorHAnsi" w:hAnsiTheme="majorHAnsi" w:cs="Helvetica"/>
          <w:sz w:val="20"/>
          <w:szCs w:val="20"/>
          <w:lang w:val="pt-BR"/>
        </w:rPr>
        <w:t>pens</w:t>
      </w:r>
      <w:r w:rsidR="00F062CC" w:rsidRPr="006D1C74">
        <w:rPr>
          <w:rFonts w:asciiTheme="majorHAnsi" w:hAnsiTheme="majorHAnsi" w:cs="Helvetica"/>
          <w:sz w:val="20"/>
          <w:szCs w:val="20"/>
          <w:lang w:val="pt-BR"/>
        </w:rPr>
        <w:t>õ</w:t>
      </w:r>
      <w:r w:rsidR="002649F0" w:rsidRPr="006D1C74">
        <w:rPr>
          <w:rFonts w:asciiTheme="majorHAnsi" w:hAnsiTheme="majorHAnsi" w:cs="Helvetica"/>
          <w:sz w:val="20"/>
          <w:szCs w:val="20"/>
          <w:lang w:val="pt-BR"/>
        </w:rPr>
        <w:t xml:space="preserve">es </w:t>
      </w:r>
      <w:r w:rsidR="00585D35" w:rsidRPr="006D1C74">
        <w:rPr>
          <w:rFonts w:asciiTheme="majorHAnsi" w:hAnsiTheme="majorHAnsi" w:cs="Helvetica"/>
          <w:sz w:val="20"/>
          <w:szCs w:val="20"/>
          <w:lang w:val="pt-BR"/>
        </w:rPr>
        <w:t>orde</w:t>
      </w:r>
      <w:r w:rsidR="00F062CC" w:rsidRPr="006D1C74">
        <w:rPr>
          <w:rFonts w:asciiTheme="majorHAnsi" w:hAnsiTheme="majorHAnsi" w:cs="Helvetica"/>
          <w:sz w:val="20"/>
          <w:szCs w:val="20"/>
          <w:lang w:val="pt-BR"/>
        </w:rPr>
        <w:t>n</w:t>
      </w:r>
      <w:r w:rsidR="002649F0" w:rsidRPr="006D1C74">
        <w:rPr>
          <w:rFonts w:asciiTheme="majorHAnsi" w:hAnsiTheme="majorHAnsi" w:cs="Helvetica"/>
          <w:sz w:val="20"/>
          <w:szCs w:val="20"/>
          <w:lang w:val="pt-BR"/>
        </w:rPr>
        <w:t>adas,</w:t>
      </w:r>
      <w:r w:rsidR="00700267" w:rsidRPr="006D1C74">
        <w:rPr>
          <w:rFonts w:asciiTheme="majorHAnsi" w:hAnsiTheme="majorHAnsi" w:cs="Helvetica"/>
          <w:sz w:val="20"/>
          <w:szCs w:val="20"/>
          <w:lang w:val="pt-BR"/>
        </w:rPr>
        <w:t xml:space="preserve"> a </w:t>
      </w:r>
      <w:r w:rsidR="00E327B7" w:rsidRPr="006D1C74">
        <w:rPr>
          <w:rFonts w:asciiTheme="majorHAnsi" w:hAnsiTheme="majorHAnsi" w:cs="Helvetica"/>
          <w:sz w:val="20"/>
          <w:szCs w:val="20"/>
          <w:lang w:val="pt-BR"/>
        </w:rPr>
        <w:t>família</w:t>
      </w:r>
      <w:r w:rsidR="002649F0" w:rsidRPr="006D1C74">
        <w:rPr>
          <w:rFonts w:asciiTheme="majorHAnsi" w:hAnsiTheme="majorHAnsi" w:cs="Helvetica"/>
          <w:sz w:val="20"/>
          <w:szCs w:val="20"/>
          <w:lang w:val="pt-BR"/>
        </w:rPr>
        <w:t xml:space="preserve"> </w:t>
      </w:r>
      <w:r w:rsidR="00F062CC" w:rsidRPr="006D1C74">
        <w:rPr>
          <w:rFonts w:asciiTheme="majorHAnsi" w:hAnsiTheme="majorHAnsi" w:cs="Helvetica"/>
          <w:sz w:val="20"/>
          <w:szCs w:val="20"/>
          <w:lang w:val="pt-BR"/>
        </w:rPr>
        <w:t>propôs</w:t>
      </w:r>
      <w:r w:rsidR="00030019" w:rsidRPr="006D1C74">
        <w:rPr>
          <w:rFonts w:asciiTheme="majorHAnsi" w:hAnsiTheme="majorHAnsi" w:cs="Helvetica"/>
          <w:sz w:val="20"/>
          <w:szCs w:val="20"/>
          <w:lang w:val="pt-BR"/>
        </w:rPr>
        <w:t xml:space="preserve"> uma </w:t>
      </w:r>
      <w:r w:rsidR="002649F0" w:rsidRPr="006D1C74">
        <w:rPr>
          <w:rFonts w:asciiTheme="majorHAnsi" w:hAnsiTheme="majorHAnsi" w:cs="Helvetica"/>
          <w:sz w:val="20"/>
          <w:szCs w:val="20"/>
          <w:lang w:val="pt-BR"/>
        </w:rPr>
        <w:t>a</w:t>
      </w:r>
      <w:r w:rsidR="00CF037E" w:rsidRPr="006D1C74">
        <w:rPr>
          <w:rFonts w:asciiTheme="majorHAnsi" w:hAnsiTheme="majorHAnsi" w:cs="Helvetica"/>
          <w:sz w:val="20"/>
          <w:szCs w:val="20"/>
          <w:lang w:val="pt-BR"/>
        </w:rPr>
        <w:t>ção</w:t>
      </w:r>
      <w:r w:rsidR="002649F0" w:rsidRPr="006D1C74">
        <w:rPr>
          <w:rFonts w:asciiTheme="majorHAnsi" w:hAnsiTheme="majorHAnsi" w:cs="Helvetica"/>
          <w:sz w:val="20"/>
          <w:szCs w:val="20"/>
          <w:lang w:val="pt-BR"/>
        </w:rPr>
        <w:t xml:space="preserve"> de </w:t>
      </w:r>
      <w:r w:rsidR="003171F3" w:rsidRPr="006D1C74">
        <w:rPr>
          <w:rFonts w:asciiTheme="majorHAnsi" w:hAnsiTheme="majorHAnsi" w:cs="Helvetica"/>
          <w:sz w:val="20"/>
          <w:szCs w:val="20"/>
          <w:lang w:val="pt-BR"/>
        </w:rPr>
        <w:t>execução</w:t>
      </w:r>
      <w:r w:rsidR="002649F0" w:rsidRPr="006D1C74">
        <w:rPr>
          <w:rFonts w:asciiTheme="majorHAnsi" w:hAnsiTheme="majorHAnsi" w:cs="Helvetica"/>
          <w:sz w:val="20"/>
          <w:szCs w:val="20"/>
          <w:lang w:val="pt-BR"/>
        </w:rPr>
        <w:t xml:space="preserve"> </w:t>
      </w:r>
      <w:r w:rsidR="00F062CC" w:rsidRPr="006D1C74">
        <w:rPr>
          <w:rFonts w:asciiTheme="majorHAnsi" w:hAnsiTheme="majorHAnsi" w:cs="Helvetica"/>
          <w:sz w:val="20"/>
          <w:szCs w:val="20"/>
          <w:lang w:val="pt-BR"/>
        </w:rPr>
        <w:t>e</w:t>
      </w:r>
      <w:r w:rsidR="002649F0" w:rsidRPr="006D1C74">
        <w:rPr>
          <w:rFonts w:asciiTheme="majorHAnsi" w:hAnsiTheme="majorHAnsi" w:cs="Helvetica"/>
          <w:sz w:val="20"/>
          <w:szCs w:val="20"/>
          <w:lang w:val="pt-BR"/>
        </w:rPr>
        <w:t>, gra</w:t>
      </w:r>
      <w:r w:rsidR="00F062CC" w:rsidRPr="006D1C74">
        <w:rPr>
          <w:rFonts w:asciiTheme="majorHAnsi" w:hAnsiTheme="majorHAnsi" w:cs="Helvetica"/>
          <w:sz w:val="20"/>
          <w:szCs w:val="20"/>
          <w:lang w:val="pt-BR"/>
        </w:rPr>
        <w:t>ç</w:t>
      </w:r>
      <w:r w:rsidR="002649F0" w:rsidRPr="006D1C74">
        <w:rPr>
          <w:rFonts w:asciiTheme="majorHAnsi" w:hAnsiTheme="majorHAnsi" w:cs="Helvetica"/>
          <w:sz w:val="20"/>
          <w:szCs w:val="20"/>
          <w:lang w:val="pt-BR"/>
        </w:rPr>
        <w:t xml:space="preserve">as a </w:t>
      </w:r>
      <w:r w:rsidR="00F062CC" w:rsidRPr="006D1C74">
        <w:rPr>
          <w:rFonts w:asciiTheme="majorHAnsi" w:hAnsiTheme="majorHAnsi" w:cs="Helvetica"/>
          <w:sz w:val="20"/>
          <w:szCs w:val="20"/>
          <w:lang w:val="pt-BR"/>
        </w:rPr>
        <w:t>iss</w:t>
      </w:r>
      <w:r w:rsidR="002649F0" w:rsidRPr="006D1C74">
        <w:rPr>
          <w:rFonts w:asciiTheme="majorHAnsi" w:hAnsiTheme="majorHAnsi" w:cs="Helvetica"/>
          <w:sz w:val="20"/>
          <w:szCs w:val="20"/>
          <w:lang w:val="pt-BR"/>
        </w:rPr>
        <w:t>o,</w:t>
      </w:r>
      <w:r w:rsidR="00700267" w:rsidRPr="006D1C74">
        <w:rPr>
          <w:rFonts w:asciiTheme="majorHAnsi" w:hAnsiTheme="majorHAnsi" w:cs="Helvetica"/>
          <w:sz w:val="20"/>
          <w:szCs w:val="20"/>
          <w:lang w:val="pt-BR"/>
        </w:rPr>
        <w:t xml:space="preserve"> o </w:t>
      </w:r>
      <w:r w:rsidR="002649F0" w:rsidRPr="006D1C74">
        <w:rPr>
          <w:rFonts w:asciiTheme="majorHAnsi" w:hAnsiTheme="majorHAnsi" w:cs="Helvetica"/>
          <w:sz w:val="20"/>
          <w:szCs w:val="20"/>
          <w:lang w:val="pt-BR"/>
        </w:rPr>
        <w:t xml:space="preserve">Estado </w:t>
      </w:r>
      <w:r w:rsidR="003171F3" w:rsidRPr="006D1C74">
        <w:rPr>
          <w:rFonts w:asciiTheme="majorHAnsi" w:hAnsiTheme="majorHAnsi" w:cs="Helvetica"/>
          <w:sz w:val="20"/>
          <w:szCs w:val="20"/>
          <w:lang w:val="pt-BR"/>
        </w:rPr>
        <w:t>iniciou</w:t>
      </w:r>
      <w:r w:rsidR="00700267" w:rsidRPr="006D1C74">
        <w:rPr>
          <w:rFonts w:asciiTheme="majorHAnsi" w:hAnsiTheme="majorHAnsi" w:cs="Helvetica"/>
          <w:sz w:val="20"/>
          <w:szCs w:val="20"/>
          <w:lang w:val="pt-BR"/>
        </w:rPr>
        <w:t xml:space="preserve"> os </w:t>
      </w:r>
      <w:r w:rsidR="002649F0" w:rsidRPr="006D1C74">
        <w:rPr>
          <w:rFonts w:asciiTheme="majorHAnsi" w:hAnsiTheme="majorHAnsi" w:cs="Helvetica"/>
          <w:sz w:val="20"/>
          <w:szCs w:val="20"/>
          <w:lang w:val="pt-BR"/>
        </w:rPr>
        <w:t>pag</w:t>
      </w:r>
      <w:r w:rsidR="00F062CC" w:rsidRPr="006D1C74">
        <w:rPr>
          <w:rFonts w:asciiTheme="majorHAnsi" w:hAnsiTheme="majorHAnsi" w:cs="Helvetica"/>
          <w:sz w:val="20"/>
          <w:szCs w:val="20"/>
          <w:lang w:val="pt-BR"/>
        </w:rPr>
        <w:t>ament</w:t>
      </w:r>
      <w:r w:rsidR="002649F0" w:rsidRPr="006D1C74">
        <w:rPr>
          <w:rFonts w:asciiTheme="majorHAnsi" w:hAnsiTheme="majorHAnsi" w:cs="Helvetica"/>
          <w:sz w:val="20"/>
          <w:szCs w:val="20"/>
          <w:lang w:val="pt-BR"/>
        </w:rPr>
        <w:t>os</w:t>
      </w:r>
      <w:r w:rsidR="00D74A93" w:rsidRPr="006D1C74">
        <w:rPr>
          <w:rFonts w:asciiTheme="majorHAnsi" w:hAnsiTheme="majorHAnsi" w:cs="Helvetica"/>
          <w:sz w:val="20"/>
          <w:szCs w:val="20"/>
          <w:lang w:val="pt-BR"/>
        </w:rPr>
        <w:t xml:space="preserve"> das </w:t>
      </w:r>
      <w:r w:rsidR="002649F0" w:rsidRPr="006D1C74">
        <w:rPr>
          <w:rFonts w:asciiTheme="majorHAnsi" w:hAnsiTheme="majorHAnsi" w:cs="Helvetica"/>
          <w:sz w:val="20"/>
          <w:szCs w:val="20"/>
          <w:lang w:val="pt-BR"/>
        </w:rPr>
        <w:t>pens</w:t>
      </w:r>
      <w:r w:rsidR="00F062CC" w:rsidRPr="006D1C74">
        <w:rPr>
          <w:rFonts w:asciiTheme="majorHAnsi" w:hAnsiTheme="majorHAnsi" w:cs="Helvetica"/>
          <w:sz w:val="20"/>
          <w:szCs w:val="20"/>
          <w:lang w:val="pt-BR"/>
        </w:rPr>
        <w:t>õ</w:t>
      </w:r>
      <w:r w:rsidR="002649F0" w:rsidRPr="006D1C74">
        <w:rPr>
          <w:rFonts w:asciiTheme="majorHAnsi" w:hAnsiTheme="majorHAnsi" w:cs="Helvetica"/>
          <w:sz w:val="20"/>
          <w:szCs w:val="20"/>
          <w:lang w:val="pt-BR"/>
        </w:rPr>
        <w:t>es</w:t>
      </w:r>
      <w:r w:rsidR="00F673C7" w:rsidRPr="006D1C74">
        <w:rPr>
          <w:rFonts w:asciiTheme="majorHAnsi" w:hAnsiTheme="majorHAnsi" w:cs="Helvetica"/>
          <w:sz w:val="20"/>
          <w:szCs w:val="20"/>
          <w:lang w:val="pt-BR"/>
        </w:rPr>
        <w:t xml:space="preserve"> em </w:t>
      </w:r>
      <w:r w:rsidR="003171F3" w:rsidRPr="006D1C74">
        <w:rPr>
          <w:rFonts w:asciiTheme="majorHAnsi" w:hAnsiTheme="majorHAnsi" w:cs="Helvetica"/>
          <w:sz w:val="20"/>
          <w:szCs w:val="20"/>
          <w:lang w:val="pt-BR"/>
        </w:rPr>
        <w:t>novembro</w:t>
      </w:r>
      <w:r w:rsidR="002649F0" w:rsidRPr="006D1C74">
        <w:rPr>
          <w:rFonts w:asciiTheme="majorHAnsi" w:hAnsiTheme="majorHAnsi" w:cs="Helvetica"/>
          <w:sz w:val="20"/>
          <w:szCs w:val="20"/>
          <w:lang w:val="pt-BR"/>
        </w:rPr>
        <w:t xml:space="preserve"> de 2013. </w:t>
      </w:r>
    </w:p>
    <w:p w14:paraId="4CB3F817" w14:textId="77777777" w:rsidR="002649F0" w:rsidRPr="006D1C74" w:rsidRDefault="002649F0" w:rsidP="002649F0">
      <w:pPr>
        <w:ind w:left="720"/>
        <w:rPr>
          <w:rFonts w:asciiTheme="majorHAnsi" w:eastAsia="Cambria" w:hAnsiTheme="majorHAnsi" w:cs="Cambria"/>
          <w:sz w:val="20"/>
          <w:szCs w:val="20"/>
          <w:u w:color="000000"/>
          <w:lang w:val="pt-BR" w:eastAsia="es-ES"/>
        </w:rPr>
      </w:pPr>
    </w:p>
    <w:p w14:paraId="2F416984"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Como</w:t>
      </w:r>
      <w:r w:rsidR="00F673C7" w:rsidRPr="006D1C74">
        <w:rPr>
          <w:rFonts w:asciiTheme="majorHAnsi" w:hAnsiTheme="majorHAnsi"/>
          <w:sz w:val="20"/>
          <w:szCs w:val="20"/>
          <w:lang w:val="pt-BR"/>
        </w:rPr>
        <w:t xml:space="preserve"> em </w:t>
      </w:r>
      <w:r w:rsidRPr="006D1C74">
        <w:rPr>
          <w:rFonts w:asciiTheme="majorHAnsi" w:hAnsiTheme="majorHAnsi"/>
          <w:sz w:val="20"/>
          <w:szCs w:val="20"/>
          <w:lang w:val="pt-BR"/>
        </w:rPr>
        <w:t>casos anteriores,</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Pr="006D1C74">
        <w:rPr>
          <w:rFonts w:asciiTheme="majorHAnsi" w:hAnsiTheme="majorHAnsi"/>
          <w:sz w:val="20"/>
          <w:szCs w:val="20"/>
          <w:lang w:val="pt-BR"/>
        </w:rPr>
        <w:t xml:space="preserve"> observa que</w:t>
      </w:r>
      <w:r w:rsidR="00700267" w:rsidRPr="006D1C74">
        <w:rPr>
          <w:rFonts w:asciiTheme="majorHAnsi" w:hAnsiTheme="majorHAnsi"/>
          <w:sz w:val="20"/>
          <w:szCs w:val="20"/>
          <w:lang w:val="pt-BR"/>
        </w:rPr>
        <w:t xml:space="preserve"> o </w:t>
      </w:r>
      <w:r w:rsidR="003171F3" w:rsidRPr="006D1C74">
        <w:rPr>
          <w:rFonts w:asciiTheme="majorHAnsi" w:hAnsiTheme="majorHAnsi"/>
          <w:sz w:val="20"/>
          <w:szCs w:val="20"/>
          <w:lang w:val="pt-BR"/>
        </w:rPr>
        <w:t>exame</w:t>
      </w:r>
      <w:r w:rsidR="00795010" w:rsidRPr="006D1C74">
        <w:rPr>
          <w:rFonts w:asciiTheme="majorHAnsi" w:hAnsiTheme="majorHAnsi"/>
          <w:sz w:val="20"/>
          <w:szCs w:val="20"/>
          <w:lang w:val="pt-BR"/>
        </w:rPr>
        <w:t xml:space="preserve"> da </w:t>
      </w:r>
      <w:r w:rsidR="003171F3" w:rsidRPr="006D1C74">
        <w:rPr>
          <w:rFonts w:asciiTheme="majorHAnsi" w:hAnsiTheme="majorHAnsi"/>
          <w:sz w:val="20"/>
          <w:szCs w:val="20"/>
          <w:lang w:val="pt-BR"/>
        </w:rPr>
        <w:t>conduta</w:t>
      </w:r>
      <w:r w:rsidR="00D74A93" w:rsidRPr="006D1C74">
        <w:rPr>
          <w:rFonts w:asciiTheme="majorHAnsi" w:hAnsiTheme="majorHAnsi"/>
          <w:sz w:val="20"/>
          <w:szCs w:val="20"/>
          <w:lang w:val="pt-BR"/>
        </w:rPr>
        <w:t xml:space="preserve"> das </w:t>
      </w:r>
      <w:r w:rsidRPr="006D1C74">
        <w:rPr>
          <w:rFonts w:asciiTheme="majorHAnsi" w:hAnsiTheme="majorHAnsi"/>
          <w:sz w:val="20"/>
          <w:szCs w:val="20"/>
          <w:lang w:val="pt-BR"/>
        </w:rPr>
        <w:t>autoridades judici</w:t>
      </w:r>
      <w:r w:rsidR="00700267" w:rsidRPr="006D1C74">
        <w:rPr>
          <w:rFonts w:asciiTheme="majorHAnsi" w:hAnsiTheme="majorHAnsi"/>
          <w:sz w:val="20"/>
          <w:szCs w:val="20"/>
          <w:lang w:val="pt-BR"/>
        </w:rPr>
        <w:t>ais</w:t>
      </w:r>
      <w:r w:rsidRPr="006D1C74">
        <w:rPr>
          <w:rFonts w:asciiTheme="majorHAnsi" w:hAnsiTheme="majorHAnsi"/>
          <w:sz w:val="20"/>
          <w:szCs w:val="20"/>
          <w:lang w:val="pt-BR"/>
        </w:rPr>
        <w:t xml:space="preserve"> está </w:t>
      </w:r>
      <w:r w:rsidR="003171F3" w:rsidRPr="006D1C74">
        <w:rPr>
          <w:rFonts w:asciiTheme="majorHAnsi" w:hAnsiTheme="majorHAnsi"/>
          <w:sz w:val="20"/>
          <w:szCs w:val="20"/>
          <w:lang w:val="pt-BR"/>
        </w:rPr>
        <w:t>intimamente</w:t>
      </w:r>
      <w:r w:rsidRPr="006D1C74">
        <w:rPr>
          <w:rFonts w:asciiTheme="majorHAnsi" w:hAnsiTheme="majorHAnsi"/>
          <w:sz w:val="20"/>
          <w:szCs w:val="20"/>
          <w:lang w:val="pt-BR"/>
        </w:rPr>
        <w:t xml:space="preserve"> vinculado</w:t>
      </w:r>
      <w:r w:rsidR="00030019" w:rsidRPr="006D1C74">
        <w:rPr>
          <w:rFonts w:asciiTheme="majorHAnsi" w:hAnsiTheme="majorHAnsi"/>
          <w:sz w:val="20"/>
          <w:szCs w:val="20"/>
          <w:lang w:val="pt-BR"/>
        </w:rPr>
        <w:t xml:space="preserve"> </w:t>
      </w:r>
      <w:r w:rsidR="00981A34">
        <w:rPr>
          <w:rFonts w:asciiTheme="majorHAnsi" w:hAnsiTheme="majorHAnsi"/>
          <w:sz w:val="20"/>
          <w:szCs w:val="20"/>
          <w:lang w:val="pt-BR"/>
        </w:rPr>
        <w:t>ao</w:t>
      </w:r>
      <w:r w:rsidR="004272C7">
        <w:rPr>
          <w:rFonts w:asciiTheme="majorHAnsi" w:hAnsiTheme="majorHAnsi"/>
          <w:sz w:val="20"/>
          <w:szCs w:val="20"/>
          <w:lang w:val="pt-BR"/>
        </w:rPr>
        <w:t xml:space="preserve"> impacto </w:t>
      </w:r>
      <w:r w:rsidR="00981A34">
        <w:rPr>
          <w:rFonts w:asciiTheme="majorHAnsi" w:hAnsiTheme="majorHAnsi"/>
          <w:sz w:val="20"/>
          <w:szCs w:val="20"/>
          <w:lang w:val="pt-BR"/>
        </w:rPr>
        <w:t>sobre a</w:t>
      </w:r>
      <w:r w:rsidR="00030019" w:rsidRPr="006D1C74">
        <w:rPr>
          <w:rFonts w:asciiTheme="majorHAnsi" w:hAnsiTheme="majorHAnsi"/>
          <w:sz w:val="20"/>
          <w:szCs w:val="20"/>
          <w:lang w:val="pt-BR"/>
        </w:rPr>
        <w:t xml:space="preserve"> </w:t>
      </w:r>
      <w:r w:rsidRPr="006D1C74">
        <w:rPr>
          <w:rFonts w:asciiTheme="majorHAnsi" w:hAnsiTheme="majorHAnsi"/>
          <w:sz w:val="20"/>
          <w:szCs w:val="20"/>
          <w:lang w:val="pt-BR"/>
        </w:rPr>
        <w:t>situa</w:t>
      </w:r>
      <w:r w:rsidR="00CF037E" w:rsidRPr="006D1C74">
        <w:rPr>
          <w:rFonts w:asciiTheme="majorHAnsi" w:hAnsiTheme="majorHAnsi"/>
          <w:sz w:val="20"/>
          <w:szCs w:val="20"/>
          <w:lang w:val="pt-BR"/>
        </w:rPr>
        <w:t>ção</w:t>
      </w:r>
      <w:r w:rsidRPr="006D1C74">
        <w:rPr>
          <w:rFonts w:asciiTheme="majorHAnsi" w:hAnsiTheme="majorHAnsi"/>
          <w:sz w:val="20"/>
          <w:szCs w:val="20"/>
          <w:lang w:val="pt-BR"/>
        </w:rPr>
        <w:t xml:space="preserve"> jurídica</w:t>
      </w:r>
      <w:r w:rsidR="00795010" w:rsidRPr="006D1C74">
        <w:rPr>
          <w:rFonts w:asciiTheme="majorHAnsi" w:hAnsiTheme="majorHAnsi"/>
          <w:sz w:val="20"/>
          <w:szCs w:val="20"/>
          <w:lang w:val="pt-BR"/>
        </w:rPr>
        <w:t xml:space="preserve"> da </w:t>
      </w:r>
      <w:r w:rsidRPr="006D1C74">
        <w:rPr>
          <w:rFonts w:asciiTheme="majorHAnsi" w:hAnsiTheme="majorHAnsi"/>
          <w:sz w:val="20"/>
          <w:szCs w:val="20"/>
          <w:lang w:val="pt-BR"/>
        </w:rPr>
        <w:t xml:space="preserve">parte </w:t>
      </w:r>
      <w:r w:rsidR="003171F3" w:rsidRPr="006D1C74">
        <w:rPr>
          <w:rFonts w:asciiTheme="majorHAnsi" w:hAnsiTheme="majorHAnsi"/>
          <w:sz w:val="20"/>
          <w:szCs w:val="20"/>
          <w:lang w:val="pt-BR"/>
        </w:rPr>
        <w:t>interessada</w:t>
      </w:r>
      <w:r w:rsidRPr="006D1C74">
        <w:rPr>
          <w:rFonts w:asciiTheme="majorHAnsi" w:hAnsiTheme="majorHAnsi"/>
          <w:sz w:val="20"/>
          <w:szCs w:val="20"/>
          <w:vertAlign w:val="superscript"/>
          <w:lang w:val="pt-BR"/>
        </w:rPr>
        <w:footnoteReference w:id="108"/>
      </w:r>
      <w:r w:rsidRPr="006D1C74">
        <w:rPr>
          <w:rFonts w:asciiTheme="majorHAnsi" w:hAnsiTheme="majorHAnsi"/>
          <w:sz w:val="20"/>
          <w:szCs w:val="20"/>
          <w:lang w:val="pt-BR"/>
        </w:rPr>
        <w:t>. As</w:t>
      </w:r>
      <w:r w:rsidR="00E0138F" w:rsidRPr="006D1C74">
        <w:rPr>
          <w:rFonts w:asciiTheme="majorHAnsi" w:hAnsiTheme="majorHAnsi"/>
          <w:sz w:val="20"/>
          <w:szCs w:val="20"/>
          <w:lang w:val="pt-BR"/>
        </w:rPr>
        <w:t>sim</w:t>
      </w:r>
      <w:r w:rsidRPr="006D1C74">
        <w:rPr>
          <w:rFonts w:asciiTheme="majorHAnsi" w:hAnsiTheme="majorHAnsi"/>
          <w:sz w:val="20"/>
          <w:szCs w:val="20"/>
          <w:lang w:val="pt-BR"/>
        </w:rPr>
        <w:t xml:space="preserve">, </w:t>
      </w:r>
      <w:r w:rsidR="00E0138F" w:rsidRPr="006D1C74">
        <w:rPr>
          <w:rFonts w:asciiTheme="majorHAnsi" w:hAnsiTheme="majorHAnsi"/>
          <w:sz w:val="20"/>
          <w:szCs w:val="20"/>
          <w:lang w:val="pt-BR"/>
        </w:rPr>
        <w:t>quase</w:t>
      </w:r>
      <w:r w:rsidRPr="006D1C74">
        <w:rPr>
          <w:rFonts w:asciiTheme="majorHAnsi" w:hAnsiTheme="majorHAnsi"/>
          <w:sz w:val="20"/>
          <w:szCs w:val="20"/>
          <w:lang w:val="pt-BR"/>
        </w:rPr>
        <w:t xml:space="preserve"> 17 </w:t>
      </w:r>
      <w:r w:rsidR="003171F3" w:rsidRPr="006D1C74">
        <w:rPr>
          <w:rFonts w:asciiTheme="majorHAnsi" w:hAnsiTheme="majorHAnsi"/>
          <w:sz w:val="20"/>
          <w:szCs w:val="20"/>
          <w:lang w:val="pt-BR"/>
        </w:rPr>
        <w:t>anos</w:t>
      </w:r>
      <w:r w:rsidRPr="006D1C74">
        <w:rPr>
          <w:rFonts w:asciiTheme="majorHAnsi" w:hAnsiTheme="majorHAnsi"/>
          <w:sz w:val="20"/>
          <w:szCs w:val="20"/>
          <w:lang w:val="pt-BR"/>
        </w:rPr>
        <w:t xml:space="preserve"> </w:t>
      </w:r>
      <w:r w:rsidR="00E0138F" w:rsidRPr="006D1C74">
        <w:rPr>
          <w:rFonts w:asciiTheme="majorHAnsi" w:hAnsiTheme="majorHAnsi"/>
          <w:sz w:val="20"/>
          <w:szCs w:val="20"/>
          <w:lang w:val="pt-BR"/>
        </w:rPr>
        <w:t>após</w:t>
      </w:r>
      <w:r w:rsidRPr="006D1C74">
        <w:rPr>
          <w:rFonts w:asciiTheme="majorHAnsi" w:hAnsiTheme="majorHAnsi"/>
          <w:sz w:val="20"/>
          <w:szCs w:val="20"/>
          <w:lang w:val="pt-BR"/>
        </w:rPr>
        <w:t xml:space="preserve"> </w:t>
      </w:r>
      <w:r w:rsidR="00E0138F" w:rsidRPr="006D1C74">
        <w:rPr>
          <w:rFonts w:asciiTheme="majorHAnsi" w:hAnsiTheme="majorHAnsi"/>
          <w:sz w:val="20"/>
          <w:szCs w:val="20"/>
          <w:lang w:val="pt-BR"/>
        </w:rPr>
        <w:t>a</w:t>
      </w:r>
      <w:r w:rsidRPr="006D1C74">
        <w:rPr>
          <w:rFonts w:asciiTheme="majorHAnsi" w:hAnsiTheme="majorHAnsi"/>
          <w:sz w:val="20"/>
          <w:szCs w:val="20"/>
          <w:lang w:val="pt-BR"/>
        </w:rPr>
        <w:t>presentada</w:t>
      </w:r>
      <w:r w:rsidR="00700267" w:rsidRPr="006D1C74">
        <w:rPr>
          <w:rFonts w:asciiTheme="majorHAnsi" w:hAnsiTheme="majorHAnsi"/>
          <w:sz w:val="20"/>
          <w:szCs w:val="20"/>
          <w:lang w:val="pt-BR"/>
        </w:rPr>
        <w:t xml:space="preserve"> a </w:t>
      </w:r>
      <w:r w:rsidRPr="006D1C74">
        <w:rPr>
          <w:rFonts w:asciiTheme="majorHAnsi" w:hAnsiTheme="majorHAnsi"/>
          <w:sz w:val="20"/>
          <w:szCs w:val="20"/>
          <w:lang w:val="pt-BR"/>
        </w:rPr>
        <w:t>a</w:t>
      </w:r>
      <w:r w:rsidR="00CF037E" w:rsidRPr="006D1C74">
        <w:rPr>
          <w:rFonts w:asciiTheme="majorHAnsi" w:hAnsiTheme="majorHAnsi"/>
          <w:sz w:val="20"/>
          <w:szCs w:val="20"/>
          <w:lang w:val="pt-BR"/>
        </w:rPr>
        <w:t>ção</w:t>
      </w:r>
      <w:r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os </w:t>
      </w:r>
      <w:r w:rsidR="001E2392" w:rsidRPr="006D1C74">
        <w:rPr>
          <w:rFonts w:asciiTheme="majorHAnsi" w:hAnsiTheme="majorHAnsi"/>
          <w:sz w:val="20"/>
          <w:szCs w:val="20"/>
          <w:lang w:val="pt-BR"/>
        </w:rPr>
        <w:t>familiares</w:t>
      </w:r>
      <w:r w:rsidRPr="006D1C74">
        <w:rPr>
          <w:rFonts w:asciiTheme="majorHAnsi" w:hAnsiTheme="majorHAnsi"/>
          <w:sz w:val="20"/>
          <w:szCs w:val="20"/>
          <w:lang w:val="pt-BR"/>
        </w:rPr>
        <w:t xml:space="preserve"> de Antonio Tavares Pereira </w:t>
      </w:r>
      <w:r w:rsidR="003171F3" w:rsidRPr="006D1C74">
        <w:rPr>
          <w:rFonts w:asciiTheme="majorHAnsi" w:hAnsiTheme="majorHAnsi"/>
          <w:sz w:val="20"/>
          <w:szCs w:val="20"/>
          <w:lang w:val="pt-BR"/>
        </w:rPr>
        <w:t>obtiveram</w:t>
      </w:r>
      <w:r w:rsidR="00030019" w:rsidRPr="006D1C74">
        <w:rPr>
          <w:rFonts w:asciiTheme="majorHAnsi" w:hAnsiTheme="majorHAnsi"/>
          <w:sz w:val="20"/>
          <w:szCs w:val="20"/>
          <w:lang w:val="pt-BR"/>
        </w:rPr>
        <w:t xml:space="preserve"> uma </w:t>
      </w:r>
      <w:r w:rsidRPr="006D1C74">
        <w:rPr>
          <w:rFonts w:asciiTheme="majorHAnsi" w:hAnsiTheme="majorHAnsi"/>
          <w:sz w:val="20"/>
          <w:szCs w:val="20"/>
          <w:lang w:val="pt-BR"/>
        </w:rPr>
        <w:t>deci</w:t>
      </w:r>
      <w:r w:rsidR="0094446B" w:rsidRPr="006D1C74">
        <w:rPr>
          <w:rFonts w:asciiTheme="majorHAnsi" w:hAnsiTheme="majorHAnsi"/>
          <w:sz w:val="20"/>
          <w:szCs w:val="20"/>
          <w:lang w:val="pt-BR"/>
        </w:rPr>
        <w:t>são</w:t>
      </w:r>
      <w:r w:rsidRPr="006D1C74">
        <w:rPr>
          <w:rFonts w:asciiTheme="majorHAnsi" w:hAnsiTheme="majorHAnsi"/>
          <w:sz w:val="20"/>
          <w:szCs w:val="20"/>
          <w:lang w:val="pt-BR"/>
        </w:rPr>
        <w:t xml:space="preserve"> definitiva,</w:t>
      </w:r>
      <w:r w:rsidR="00CF037E" w:rsidRPr="006D1C74">
        <w:rPr>
          <w:rFonts w:asciiTheme="majorHAnsi" w:hAnsiTheme="majorHAnsi"/>
          <w:sz w:val="20"/>
          <w:szCs w:val="20"/>
          <w:lang w:val="pt-BR"/>
        </w:rPr>
        <w:t xml:space="preserve"> e </w:t>
      </w:r>
      <w:r w:rsidR="00E0138F" w:rsidRPr="006D1C74">
        <w:rPr>
          <w:rFonts w:asciiTheme="majorHAnsi" w:hAnsiTheme="majorHAnsi"/>
          <w:sz w:val="20"/>
          <w:szCs w:val="20"/>
          <w:lang w:val="pt-BR"/>
        </w:rPr>
        <w:t xml:space="preserve">somente em </w:t>
      </w:r>
      <w:r w:rsidRPr="006D1C74">
        <w:rPr>
          <w:rFonts w:asciiTheme="majorHAnsi" w:hAnsiTheme="majorHAnsi"/>
          <w:sz w:val="20"/>
          <w:szCs w:val="20"/>
          <w:lang w:val="pt-BR"/>
        </w:rPr>
        <w:t>17 de abril de 2019</w:t>
      </w:r>
      <w:r w:rsidR="00700267" w:rsidRPr="006D1C74">
        <w:rPr>
          <w:rFonts w:asciiTheme="majorHAnsi" w:hAnsiTheme="majorHAnsi"/>
          <w:sz w:val="20"/>
          <w:szCs w:val="20"/>
          <w:lang w:val="pt-BR"/>
        </w:rPr>
        <w:t xml:space="preserve"> os </w:t>
      </w:r>
      <w:r w:rsidR="00A75D18" w:rsidRPr="006D1C74">
        <w:rPr>
          <w:rFonts w:asciiTheme="majorHAnsi" w:hAnsiTheme="majorHAnsi"/>
          <w:sz w:val="20"/>
          <w:szCs w:val="20"/>
          <w:lang w:val="pt-BR"/>
        </w:rPr>
        <w:t>cálculos</w:t>
      </w:r>
      <w:r w:rsidR="00795010" w:rsidRPr="006D1C74">
        <w:rPr>
          <w:rFonts w:asciiTheme="majorHAnsi" w:hAnsiTheme="majorHAnsi"/>
          <w:sz w:val="20"/>
          <w:szCs w:val="20"/>
          <w:lang w:val="pt-BR"/>
        </w:rPr>
        <w:t xml:space="preserve"> da </w:t>
      </w:r>
      <w:r w:rsidR="00A75D18" w:rsidRPr="006D1C74">
        <w:rPr>
          <w:rFonts w:asciiTheme="majorHAnsi" w:hAnsiTheme="majorHAnsi"/>
          <w:sz w:val="20"/>
          <w:szCs w:val="20"/>
          <w:lang w:val="pt-BR"/>
        </w:rPr>
        <w:t>indeniza</w:t>
      </w:r>
      <w:r w:rsidR="00CF037E" w:rsidRPr="006D1C74">
        <w:rPr>
          <w:rFonts w:asciiTheme="majorHAnsi" w:hAnsiTheme="majorHAnsi"/>
          <w:sz w:val="20"/>
          <w:szCs w:val="20"/>
          <w:lang w:val="pt-BR"/>
        </w:rPr>
        <w:t>ção</w:t>
      </w:r>
      <w:r w:rsidR="00A75D18" w:rsidRPr="006D1C74">
        <w:rPr>
          <w:rFonts w:asciiTheme="majorHAnsi" w:hAnsiTheme="majorHAnsi"/>
          <w:sz w:val="20"/>
          <w:szCs w:val="20"/>
          <w:lang w:val="pt-BR"/>
        </w:rPr>
        <w:t xml:space="preserve"> </w:t>
      </w:r>
      <w:r w:rsidR="00E0138F" w:rsidRPr="006D1C74">
        <w:rPr>
          <w:rFonts w:asciiTheme="majorHAnsi" w:hAnsiTheme="majorHAnsi"/>
          <w:sz w:val="20"/>
          <w:szCs w:val="20"/>
          <w:lang w:val="pt-BR"/>
        </w:rPr>
        <w:t>foram</w:t>
      </w:r>
      <w:r w:rsidR="00A75D18" w:rsidRPr="006D1C74">
        <w:rPr>
          <w:rFonts w:asciiTheme="majorHAnsi" w:hAnsiTheme="majorHAnsi"/>
          <w:sz w:val="20"/>
          <w:szCs w:val="20"/>
          <w:lang w:val="pt-BR"/>
        </w:rPr>
        <w:t xml:space="preserve"> homologa</w:t>
      </w:r>
      <w:r w:rsidR="00E0138F" w:rsidRPr="006D1C74">
        <w:rPr>
          <w:rFonts w:asciiTheme="majorHAnsi" w:hAnsiTheme="majorHAnsi"/>
          <w:sz w:val="20"/>
          <w:szCs w:val="20"/>
          <w:lang w:val="pt-BR"/>
        </w:rPr>
        <w:t>dos</w:t>
      </w:r>
      <w:r w:rsidR="00A75D18" w:rsidRPr="006D1C74">
        <w:rPr>
          <w:rFonts w:asciiTheme="majorHAnsi" w:hAnsiTheme="majorHAnsi"/>
          <w:sz w:val="20"/>
          <w:szCs w:val="20"/>
          <w:lang w:val="pt-BR"/>
        </w:rPr>
        <w:t>. Se</w:t>
      </w:r>
      <w:r w:rsidR="00585D35" w:rsidRPr="006D1C74">
        <w:rPr>
          <w:rFonts w:asciiTheme="majorHAnsi" w:hAnsiTheme="majorHAnsi"/>
          <w:sz w:val="20"/>
          <w:szCs w:val="20"/>
          <w:lang w:val="pt-BR"/>
        </w:rPr>
        <w:t>gu</w:t>
      </w:r>
      <w:r w:rsidR="00A75D18" w:rsidRPr="006D1C74">
        <w:rPr>
          <w:rFonts w:asciiTheme="majorHAnsi" w:hAnsiTheme="majorHAnsi"/>
          <w:sz w:val="20"/>
          <w:szCs w:val="20"/>
          <w:lang w:val="pt-BR"/>
        </w:rPr>
        <w:t>n</w:t>
      </w:r>
      <w:r w:rsidR="00E0138F" w:rsidRPr="006D1C74">
        <w:rPr>
          <w:rFonts w:asciiTheme="majorHAnsi" w:hAnsiTheme="majorHAnsi"/>
          <w:sz w:val="20"/>
          <w:szCs w:val="20"/>
          <w:lang w:val="pt-BR"/>
        </w:rPr>
        <w:t>do</w:t>
      </w:r>
      <w:r w:rsidR="00700267" w:rsidRPr="006D1C74">
        <w:rPr>
          <w:rFonts w:asciiTheme="majorHAnsi" w:hAnsiTheme="majorHAnsi"/>
          <w:sz w:val="20"/>
          <w:szCs w:val="20"/>
          <w:lang w:val="pt-BR"/>
        </w:rPr>
        <w:t xml:space="preserve"> a </w:t>
      </w:r>
      <w:r w:rsidR="00A75D18" w:rsidRPr="006D1C74">
        <w:rPr>
          <w:rFonts w:asciiTheme="majorHAnsi" w:hAnsiTheme="majorHAnsi"/>
          <w:sz w:val="20"/>
          <w:szCs w:val="20"/>
          <w:lang w:val="pt-BR"/>
        </w:rPr>
        <w:t>informa</w:t>
      </w:r>
      <w:r w:rsidR="00CF037E" w:rsidRPr="006D1C74">
        <w:rPr>
          <w:rFonts w:asciiTheme="majorHAnsi" w:hAnsiTheme="majorHAnsi"/>
          <w:sz w:val="20"/>
          <w:szCs w:val="20"/>
          <w:lang w:val="pt-BR"/>
        </w:rPr>
        <w:t>ção</w:t>
      </w:r>
      <w:r w:rsidR="00F673C7" w:rsidRPr="006D1C74">
        <w:rPr>
          <w:rFonts w:asciiTheme="majorHAnsi" w:hAnsiTheme="majorHAnsi"/>
          <w:sz w:val="20"/>
          <w:szCs w:val="20"/>
          <w:lang w:val="pt-BR"/>
        </w:rPr>
        <w:t xml:space="preserve"> com </w:t>
      </w:r>
      <w:r w:rsidR="00A75D18" w:rsidRPr="006D1C74">
        <w:rPr>
          <w:rFonts w:asciiTheme="majorHAnsi" w:hAnsiTheme="majorHAnsi"/>
          <w:sz w:val="20"/>
          <w:szCs w:val="20"/>
          <w:lang w:val="pt-BR"/>
        </w:rPr>
        <w:t xml:space="preserve">que </w:t>
      </w:r>
      <w:r w:rsidR="003171F3" w:rsidRPr="006D1C74">
        <w:rPr>
          <w:rFonts w:asciiTheme="majorHAnsi" w:hAnsiTheme="majorHAnsi"/>
          <w:sz w:val="20"/>
          <w:szCs w:val="20"/>
          <w:lang w:val="pt-BR"/>
        </w:rPr>
        <w:t>conta</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00A75D18"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esses</w:t>
      </w:r>
      <w:r w:rsidR="00A75D18"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valores</w:t>
      </w:r>
      <w:r w:rsidRPr="006D1C74">
        <w:rPr>
          <w:rFonts w:asciiTheme="majorHAnsi" w:hAnsiTheme="majorHAnsi"/>
          <w:sz w:val="20"/>
          <w:szCs w:val="20"/>
          <w:lang w:val="pt-BR"/>
        </w:rPr>
        <w:t xml:space="preserve"> </w:t>
      </w:r>
      <w:r w:rsidR="00E0138F" w:rsidRPr="006D1C74">
        <w:rPr>
          <w:rFonts w:asciiTheme="majorHAnsi" w:hAnsiTheme="majorHAnsi"/>
          <w:sz w:val="20"/>
          <w:szCs w:val="20"/>
          <w:lang w:val="pt-BR"/>
        </w:rPr>
        <w:t xml:space="preserve">ainda </w:t>
      </w:r>
      <w:r w:rsidR="00F673C7" w:rsidRPr="006D1C74">
        <w:rPr>
          <w:rFonts w:asciiTheme="majorHAnsi" w:hAnsiTheme="majorHAnsi"/>
          <w:sz w:val="20"/>
          <w:szCs w:val="20"/>
          <w:lang w:val="pt-BR"/>
        </w:rPr>
        <w:t xml:space="preserve">não </w:t>
      </w:r>
      <w:r w:rsidR="00E0138F" w:rsidRPr="006D1C74">
        <w:rPr>
          <w:rFonts w:asciiTheme="majorHAnsi" w:hAnsiTheme="majorHAnsi"/>
          <w:sz w:val="20"/>
          <w:szCs w:val="20"/>
          <w:lang w:val="pt-BR"/>
        </w:rPr>
        <w:t xml:space="preserve">foram </w:t>
      </w:r>
      <w:r w:rsidRPr="006D1C74">
        <w:rPr>
          <w:rFonts w:asciiTheme="majorHAnsi" w:hAnsiTheme="majorHAnsi"/>
          <w:sz w:val="20"/>
          <w:szCs w:val="20"/>
          <w:lang w:val="pt-BR"/>
        </w:rPr>
        <w:t>inscrito</w:t>
      </w:r>
      <w:r w:rsidR="00E0138F" w:rsidRPr="006D1C74">
        <w:rPr>
          <w:rFonts w:asciiTheme="majorHAnsi" w:hAnsiTheme="majorHAnsi"/>
          <w:sz w:val="20"/>
          <w:szCs w:val="20"/>
          <w:lang w:val="pt-BR"/>
        </w:rPr>
        <w:t>s</w:t>
      </w:r>
      <w:r w:rsidR="00F673C7" w:rsidRPr="006D1C74">
        <w:rPr>
          <w:rFonts w:asciiTheme="majorHAnsi" w:hAnsiTheme="majorHAnsi"/>
          <w:sz w:val="20"/>
          <w:szCs w:val="20"/>
          <w:lang w:val="pt-BR"/>
        </w:rPr>
        <w:t xml:space="preserve"> em </w:t>
      </w:r>
      <w:r w:rsidR="003171F3" w:rsidRPr="006D1C74">
        <w:rPr>
          <w:rFonts w:asciiTheme="majorHAnsi" w:hAnsiTheme="majorHAnsi"/>
          <w:sz w:val="20"/>
          <w:szCs w:val="20"/>
          <w:lang w:val="pt-BR"/>
        </w:rPr>
        <w:t>ordens</w:t>
      </w:r>
      <w:r w:rsidRPr="006D1C74">
        <w:rPr>
          <w:rFonts w:asciiTheme="majorHAnsi" w:hAnsiTheme="majorHAnsi"/>
          <w:sz w:val="20"/>
          <w:szCs w:val="20"/>
          <w:lang w:val="pt-BR"/>
        </w:rPr>
        <w:t xml:space="preserve"> de pag</w:t>
      </w:r>
      <w:r w:rsidR="00E0138F" w:rsidRPr="006D1C74">
        <w:rPr>
          <w:rFonts w:asciiTheme="majorHAnsi" w:hAnsiTheme="majorHAnsi"/>
          <w:sz w:val="20"/>
          <w:szCs w:val="20"/>
          <w:lang w:val="pt-BR"/>
        </w:rPr>
        <w:t>ament</w:t>
      </w:r>
      <w:r w:rsidRPr="006D1C74">
        <w:rPr>
          <w:rFonts w:asciiTheme="majorHAnsi" w:hAnsiTheme="majorHAnsi"/>
          <w:sz w:val="20"/>
          <w:szCs w:val="20"/>
          <w:lang w:val="pt-BR"/>
        </w:rPr>
        <w:t xml:space="preserve">o. </w:t>
      </w:r>
    </w:p>
    <w:p w14:paraId="7B79BAA7" w14:textId="77777777" w:rsidR="002649F0" w:rsidRPr="006D1C74" w:rsidRDefault="002649F0" w:rsidP="002649F0">
      <w:pPr>
        <w:rPr>
          <w:rFonts w:asciiTheme="majorHAnsi" w:hAnsiTheme="majorHAnsi"/>
          <w:sz w:val="20"/>
          <w:szCs w:val="20"/>
          <w:lang w:val="pt-BR"/>
        </w:rPr>
      </w:pPr>
    </w:p>
    <w:p w14:paraId="07FA805F" w14:textId="77777777" w:rsidR="00745CBD" w:rsidRPr="006D1C74" w:rsidRDefault="00AC57AA"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Q</w:t>
      </w:r>
      <w:r w:rsidR="00745CBD" w:rsidRPr="006D1C74">
        <w:rPr>
          <w:rFonts w:asciiTheme="majorHAnsi" w:hAnsiTheme="majorHAnsi"/>
          <w:sz w:val="20"/>
          <w:szCs w:val="20"/>
          <w:lang w:val="pt-BR"/>
        </w:rPr>
        <w:t>uanto</w:t>
      </w:r>
      <w:r w:rsidR="00217759" w:rsidRPr="006D1C74">
        <w:rPr>
          <w:rFonts w:asciiTheme="majorHAnsi" w:hAnsiTheme="majorHAnsi"/>
          <w:sz w:val="20"/>
          <w:szCs w:val="20"/>
          <w:lang w:val="pt-BR"/>
        </w:rPr>
        <w:t xml:space="preserve"> ao </w:t>
      </w:r>
      <w:r w:rsidR="00AB7F30" w:rsidRPr="006D1C74">
        <w:rPr>
          <w:rFonts w:asciiTheme="majorHAnsi" w:hAnsiTheme="majorHAnsi"/>
          <w:sz w:val="20"/>
          <w:szCs w:val="20"/>
          <w:lang w:val="pt-BR"/>
        </w:rPr>
        <w:t>processo</w:t>
      </w:r>
      <w:r w:rsidR="00745CBD" w:rsidRPr="006D1C74">
        <w:rPr>
          <w:rFonts w:asciiTheme="majorHAnsi" w:hAnsiTheme="majorHAnsi"/>
          <w:sz w:val="20"/>
          <w:szCs w:val="20"/>
          <w:lang w:val="pt-BR"/>
        </w:rPr>
        <w:t xml:space="preserve"> penal</w:t>
      </w:r>
      <w:r w:rsidR="00FC2F62" w:rsidRPr="006D1C74">
        <w:rPr>
          <w:rFonts w:asciiTheme="majorHAnsi" w:hAnsiTheme="majorHAnsi"/>
          <w:sz w:val="20"/>
          <w:szCs w:val="20"/>
          <w:lang w:val="pt-BR"/>
        </w:rPr>
        <w:t xml:space="preserve"> no </w:t>
      </w:r>
      <w:r w:rsidR="002A3BB2" w:rsidRPr="006D1C74">
        <w:rPr>
          <w:rFonts w:asciiTheme="majorHAnsi" w:hAnsiTheme="majorHAnsi"/>
          <w:sz w:val="20"/>
          <w:szCs w:val="20"/>
          <w:lang w:val="pt-BR"/>
        </w:rPr>
        <w:t>f</w:t>
      </w:r>
      <w:r w:rsidRPr="006D1C74">
        <w:rPr>
          <w:rFonts w:asciiTheme="majorHAnsi" w:hAnsiTheme="majorHAnsi"/>
          <w:sz w:val="20"/>
          <w:szCs w:val="20"/>
          <w:lang w:val="pt-BR"/>
        </w:rPr>
        <w:t>o</w:t>
      </w:r>
      <w:r w:rsidR="002A3BB2" w:rsidRPr="006D1C74">
        <w:rPr>
          <w:rFonts w:asciiTheme="majorHAnsi" w:hAnsiTheme="majorHAnsi"/>
          <w:sz w:val="20"/>
          <w:szCs w:val="20"/>
          <w:lang w:val="pt-BR"/>
        </w:rPr>
        <w:t xml:space="preserve">ro </w:t>
      </w:r>
      <w:r w:rsidR="00BE496A" w:rsidRPr="006D1C74">
        <w:rPr>
          <w:rFonts w:asciiTheme="majorHAnsi" w:hAnsiTheme="majorHAnsi"/>
          <w:sz w:val="20"/>
          <w:szCs w:val="20"/>
          <w:lang w:val="pt-BR"/>
        </w:rPr>
        <w:t>comum</w:t>
      </w:r>
      <w:r w:rsidR="00745CBD" w:rsidRPr="006D1C74">
        <w:rPr>
          <w:rFonts w:asciiTheme="majorHAnsi" w:hAnsiTheme="majorHAnsi"/>
          <w:sz w:val="20"/>
          <w:szCs w:val="20"/>
          <w:lang w:val="pt-BR"/>
        </w:rPr>
        <w:t>,</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00745CBD"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adverte</w:t>
      </w:r>
      <w:r w:rsidR="00745CBD" w:rsidRPr="006D1C74">
        <w:rPr>
          <w:rFonts w:asciiTheme="majorHAnsi" w:hAnsiTheme="majorHAnsi"/>
          <w:sz w:val="20"/>
          <w:szCs w:val="20"/>
          <w:lang w:val="pt-BR"/>
        </w:rPr>
        <w:t xml:space="preserve"> </w:t>
      </w:r>
      <w:r w:rsidR="00C54DFE" w:rsidRPr="006D1C74">
        <w:rPr>
          <w:rFonts w:asciiTheme="majorHAnsi" w:hAnsiTheme="majorHAnsi"/>
          <w:sz w:val="20"/>
          <w:szCs w:val="20"/>
          <w:lang w:val="pt-BR"/>
        </w:rPr>
        <w:t>que,</w:t>
      </w:r>
      <w:r w:rsidR="00745CBD" w:rsidRPr="006D1C74">
        <w:rPr>
          <w:rFonts w:asciiTheme="majorHAnsi" w:hAnsiTheme="majorHAnsi"/>
          <w:sz w:val="20"/>
          <w:szCs w:val="20"/>
          <w:lang w:val="pt-BR"/>
        </w:rPr>
        <w:t xml:space="preserve"> </w:t>
      </w:r>
      <w:r w:rsidRPr="006D1C74">
        <w:rPr>
          <w:rFonts w:asciiTheme="majorHAnsi" w:hAnsiTheme="majorHAnsi"/>
          <w:sz w:val="20"/>
          <w:szCs w:val="20"/>
          <w:lang w:val="pt-BR"/>
        </w:rPr>
        <w:t>embora tenha durado três</w:t>
      </w:r>
      <w:r w:rsidR="00745CBD"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anos</w:t>
      </w:r>
      <w:r w:rsidR="00745CBD" w:rsidRPr="006D1C74">
        <w:rPr>
          <w:rFonts w:asciiTheme="majorHAnsi" w:hAnsiTheme="majorHAnsi"/>
          <w:sz w:val="20"/>
          <w:szCs w:val="20"/>
          <w:lang w:val="pt-BR"/>
        </w:rPr>
        <w:t>,</w:t>
      </w:r>
      <w:r w:rsidR="00CA7940" w:rsidRPr="006D1C74">
        <w:rPr>
          <w:rFonts w:asciiTheme="majorHAnsi" w:hAnsiTheme="majorHAnsi"/>
          <w:sz w:val="20"/>
          <w:szCs w:val="20"/>
          <w:lang w:val="pt-BR"/>
        </w:rPr>
        <w:t xml:space="preserve"> foi </w:t>
      </w:r>
      <w:r w:rsidR="003171F3" w:rsidRPr="006D1C74">
        <w:rPr>
          <w:rFonts w:asciiTheme="majorHAnsi" w:hAnsiTheme="majorHAnsi"/>
          <w:sz w:val="20"/>
          <w:szCs w:val="20"/>
          <w:lang w:val="pt-BR"/>
        </w:rPr>
        <w:t>concluído</w:t>
      </w:r>
      <w:r w:rsidR="00F673C7" w:rsidRPr="006D1C74">
        <w:rPr>
          <w:rFonts w:asciiTheme="majorHAnsi" w:hAnsiTheme="majorHAnsi"/>
          <w:sz w:val="20"/>
          <w:szCs w:val="20"/>
          <w:lang w:val="pt-BR"/>
        </w:rPr>
        <w:t xml:space="preserve"> com </w:t>
      </w:r>
      <w:r w:rsidR="002A3BB2" w:rsidRPr="006D1C74">
        <w:rPr>
          <w:rFonts w:asciiTheme="majorHAnsi" w:hAnsiTheme="majorHAnsi"/>
          <w:sz w:val="20"/>
          <w:szCs w:val="20"/>
          <w:lang w:val="pt-BR"/>
        </w:rPr>
        <w:t>base</w:t>
      </w:r>
      <w:r w:rsidR="00F673C7" w:rsidRPr="006D1C74">
        <w:rPr>
          <w:rFonts w:asciiTheme="majorHAnsi" w:hAnsiTheme="majorHAnsi"/>
          <w:sz w:val="20"/>
          <w:szCs w:val="20"/>
          <w:lang w:val="pt-BR"/>
        </w:rPr>
        <w:t xml:space="preserve"> na sentença</w:t>
      </w:r>
      <w:r w:rsidR="00030019" w:rsidRPr="006D1C74">
        <w:rPr>
          <w:rFonts w:asciiTheme="majorHAnsi" w:hAnsiTheme="majorHAnsi"/>
          <w:sz w:val="20"/>
          <w:szCs w:val="20"/>
          <w:lang w:val="pt-BR"/>
        </w:rPr>
        <w:t xml:space="preserve"> do </w:t>
      </w:r>
      <w:r w:rsidR="00AB7F30" w:rsidRPr="006D1C74">
        <w:rPr>
          <w:rFonts w:asciiTheme="majorHAnsi" w:hAnsiTheme="majorHAnsi"/>
          <w:sz w:val="20"/>
          <w:szCs w:val="20"/>
          <w:lang w:val="pt-BR"/>
        </w:rPr>
        <w:t>processo</w:t>
      </w:r>
      <w:r w:rsidR="002A3BB2" w:rsidRPr="006D1C74">
        <w:rPr>
          <w:rFonts w:asciiTheme="majorHAnsi" w:hAnsiTheme="majorHAnsi"/>
          <w:sz w:val="20"/>
          <w:szCs w:val="20"/>
          <w:lang w:val="pt-BR"/>
        </w:rPr>
        <w:t xml:space="preserve"> seguido</w:t>
      </w:r>
      <w:r w:rsidR="00F673C7" w:rsidRPr="006D1C74">
        <w:rPr>
          <w:rFonts w:asciiTheme="majorHAnsi" w:hAnsiTheme="majorHAnsi"/>
          <w:sz w:val="20"/>
          <w:szCs w:val="20"/>
          <w:lang w:val="pt-BR"/>
        </w:rPr>
        <w:t xml:space="preserve"> na </w:t>
      </w:r>
      <w:r w:rsidR="002A3BB2" w:rsidRPr="006D1C74">
        <w:rPr>
          <w:rFonts w:asciiTheme="majorHAnsi" w:hAnsiTheme="majorHAnsi"/>
          <w:sz w:val="20"/>
          <w:szCs w:val="20"/>
          <w:lang w:val="pt-BR"/>
        </w:rPr>
        <w:t>jurisdi</w:t>
      </w:r>
      <w:r w:rsidR="00CF037E" w:rsidRPr="006D1C74">
        <w:rPr>
          <w:rFonts w:asciiTheme="majorHAnsi" w:hAnsiTheme="majorHAnsi"/>
          <w:sz w:val="20"/>
          <w:szCs w:val="20"/>
          <w:lang w:val="pt-BR"/>
        </w:rPr>
        <w:t>ção</w:t>
      </w:r>
      <w:r w:rsidR="002A3BB2" w:rsidRPr="006D1C74">
        <w:rPr>
          <w:rFonts w:asciiTheme="majorHAnsi" w:hAnsiTheme="majorHAnsi"/>
          <w:sz w:val="20"/>
          <w:szCs w:val="20"/>
          <w:lang w:val="pt-BR"/>
        </w:rPr>
        <w:t xml:space="preserve"> militar</w:t>
      </w:r>
      <w:r w:rsidR="00981A34">
        <w:rPr>
          <w:rFonts w:asciiTheme="majorHAnsi" w:hAnsiTheme="majorHAnsi"/>
          <w:sz w:val="20"/>
          <w:szCs w:val="20"/>
          <w:lang w:val="pt-BR"/>
        </w:rPr>
        <w:t>,</w:t>
      </w:r>
      <w:r w:rsidR="002A3BB2" w:rsidRPr="006D1C74">
        <w:rPr>
          <w:rFonts w:asciiTheme="majorHAnsi" w:hAnsiTheme="majorHAnsi"/>
          <w:sz w:val="20"/>
          <w:szCs w:val="20"/>
          <w:lang w:val="pt-BR"/>
        </w:rPr>
        <w:t xml:space="preserve"> que, co</w:t>
      </w:r>
      <w:r w:rsidRPr="006D1C74">
        <w:rPr>
          <w:rFonts w:asciiTheme="majorHAnsi" w:hAnsiTheme="majorHAnsi"/>
          <w:sz w:val="20"/>
          <w:szCs w:val="20"/>
          <w:lang w:val="pt-BR"/>
        </w:rPr>
        <w:t>nforme assinalado</w:t>
      </w:r>
      <w:r w:rsidR="002A3BB2" w:rsidRPr="006D1C74">
        <w:rPr>
          <w:rFonts w:asciiTheme="majorHAnsi" w:hAnsiTheme="majorHAnsi"/>
          <w:sz w:val="20"/>
          <w:szCs w:val="20"/>
          <w:lang w:val="pt-BR"/>
        </w:rPr>
        <w:t>,</w:t>
      </w:r>
      <w:r w:rsidR="00F37852" w:rsidRPr="006D1C74">
        <w:rPr>
          <w:rFonts w:asciiTheme="majorHAnsi" w:hAnsiTheme="majorHAnsi"/>
          <w:sz w:val="20"/>
          <w:szCs w:val="20"/>
          <w:lang w:val="pt-BR"/>
        </w:rPr>
        <w:t xml:space="preserve"> é </w:t>
      </w:r>
      <w:r w:rsidR="00030019" w:rsidRPr="006D1C74">
        <w:rPr>
          <w:rFonts w:asciiTheme="majorHAnsi" w:hAnsiTheme="majorHAnsi"/>
          <w:sz w:val="20"/>
          <w:szCs w:val="20"/>
          <w:lang w:val="pt-BR"/>
        </w:rPr>
        <w:t xml:space="preserve">uma </w:t>
      </w:r>
      <w:r w:rsidR="002A3BB2" w:rsidRPr="006D1C74">
        <w:rPr>
          <w:rFonts w:asciiTheme="majorHAnsi" w:hAnsiTheme="majorHAnsi"/>
          <w:sz w:val="20"/>
          <w:szCs w:val="20"/>
          <w:lang w:val="pt-BR"/>
        </w:rPr>
        <w:t>jurisdi</w:t>
      </w:r>
      <w:r w:rsidR="00CF037E" w:rsidRPr="006D1C74">
        <w:rPr>
          <w:rFonts w:asciiTheme="majorHAnsi" w:hAnsiTheme="majorHAnsi"/>
          <w:sz w:val="20"/>
          <w:szCs w:val="20"/>
          <w:lang w:val="pt-BR"/>
        </w:rPr>
        <w:t>ção</w:t>
      </w:r>
      <w:r w:rsidR="00DB7541" w:rsidRPr="006D1C74">
        <w:rPr>
          <w:rFonts w:asciiTheme="majorHAnsi" w:hAnsiTheme="majorHAnsi"/>
          <w:sz w:val="20"/>
          <w:szCs w:val="20"/>
          <w:lang w:val="pt-BR"/>
        </w:rPr>
        <w:t xml:space="preserve"> incompat</w:t>
      </w:r>
      <w:r w:rsidRPr="006D1C74">
        <w:rPr>
          <w:rFonts w:asciiTheme="majorHAnsi" w:hAnsiTheme="majorHAnsi"/>
          <w:sz w:val="20"/>
          <w:szCs w:val="20"/>
          <w:lang w:val="pt-BR"/>
        </w:rPr>
        <w:t>ível</w:t>
      </w:r>
      <w:r w:rsidR="00F673C7" w:rsidRPr="006D1C74">
        <w:rPr>
          <w:rFonts w:asciiTheme="majorHAnsi" w:hAnsiTheme="majorHAnsi"/>
          <w:sz w:val="20"/>
          <w:szCs w:val="20"/>
          <w:lang w:val="pt-BR"/>
        </w:rPr>
        <w:t xml:space="preserve"> com </w:t>
      </w:r>
      <w:r w:rsidR="00700267" w:rsidRPr="006D1C74">
        <w:rPr>
          <w:rFonts w:asciiTheme="majorHAnsi" w:hAnsiTheme="majorHAnsi"/>
          <w:sz w:val="20"/>
          <w:szCs w:val="20"/>
          <w:lang w:val="pt-BR"/>
        </w:rPr>
        <w:t xml:space="preserve">os </w:t>
      </w:r>
      <w:r w:rsidR="003171F3" w:rsidRPr="006D1C74">
        <w:rPr>
          <w:rFonts w:asciiTheme="majorHAnsi" w:hAnsiTheme="majorHAnsi"/>
          <w:sz w:val="20"/>
          <w:szCs w:val="20"/>
          <w:lang w:val="pt-BR"/>
        </w:rPr>
        <w:t>princípios</w:t>
      </w:r>
      <w:r w:rsidR="00DB7541" w:rsidRPr="006D1C74">
        <w:rPr>
          <w:rFonts w:asciiTheme="majorHAnsi" w:hAnsiTheme="majorHAnsi"/>
          <w:sz w:val="20"/>
          <w:szCs w:val="20"/>
          <w:lang w:val="pt-BR"/>
        </w:rPr>
        <w:t xml:space="preserve"> de </w:t>
      </w:r>
      <w:r w:rsidR="003171F3" w:rsidRPr="006D1C74">
        <w:rPr>
          <w:rFonts w:asciiTheme="majorHAnsi" w:hAnsiTheme="majorHAnsi"/>
          <w:sz w:val="20"/>
          <w:szCs w:val="20"/>
          <w:lang w:val="pt-BR"/>
        </w:rPr>
        <w:t>independência</w:t>
      </w:r>
      <w:r w:rsidR="002A3BB2" w:rsidRPr="006D1C74">
        <w:rPr>
          <w:rFonts w:asciiTheme="majorHAnsi" w:hAnsiTheme="majorHAnsi"/>
          <w:sz w:val="20"/>
          <w:szCs w:val="20"/>
          <w:lang w:val="pt-BR"/>
        </w:rPr>
        <w:t xml:space="preserve"> e </w:t>
      </w:r>
      <w:r w:rsidR="003171F3" w:rsidRPr="006D1C74">
        <w:rPr>
          <w:rFonts w:asciiTheme="majorHAnsi" w:hAnsiTheme="majorHAnsi"/>
          <w:sz w:val="20"/>
          <w:szCs w:val="20"/>
          <w:lang w:val="pt-BR"/>
        </w:rPr>
        <w:t>imparcialidade</w:t>
      </w:r>
      <w:r w:rsidR="002A3BB2" w:rsidRPr="006D1C74">
        <w:rPr>
          <w:rFonts w:asciiTheme="majorHAnsi" w:hAnsiTheme="majorHAnsi"/>
          <w:sz w:val="20"/>
          <w:szCs w:val="20"/>
          <w:lang w:val="pt-BR"/>
        </w:rPr>
        <w:t xml:space="preserve">. </w:t>
      </w:r>
      <w:r w:rsidRPr="006D1C74">
        <w:rPr>
          <w:rFonts w:asciiTheme="majorHAnsi" w:hAnsiTheme="majorHAnsi"/>
          <w:sz w:val="20"/>
          <w:szCs w:val="20"/>
          <w:lang w:val="pt-BR"/>
        </w:rPr>
        <w:t>Assim</w:t>
      </w:r>
      <w:r w:rsidR="00DB7541" w:rsidRPr="006D1C74">
        <w:rPr>
          <w:rFonts w:asciiTheme="majorHAnsi" w:hAnsiTheme="majorHAnsi"/>
          <w:sz w:val="20"/>
          <w:szCs w:val="20"/>
          <w:lang w:val="pt-BR"/>
        </w:rPr>
        <w:t xml:space="preserve">, 20 </w:t>
      </w:r>
      <w:r w:rsidR="003171F3" w:rsidRPr="006D1C74">
        <w:rPr>
          <w:rFonts w:asciiTheme="majorHAnsi" w:hAnsiTheme="majorHAnsi"/>
          <w:sz w:val="20"/>
          <w:szCs w:val="20"/>
          <w:lang w:val="pt-BR"/>
        </w:rPr>
        <w:t>anos</w:t>
      </w:r>
      <w:r w:rsidR="00DB7541" w:rsidRPr="006D1C74">
        <w:rPr>
          <w:rFonts w:asciiTheme="majorHAnsi" w:hAnsiTheme="majorHAnsi"/>
          <w:sz w:val="20"/>
          <w:szCs w:val="20"/>
          <w:lang w:val="pt-BR"/>
        </w:rPr>
        <w:t xml:space="preserve"> </w:t>
      </w:r>
      <w:r w:rsidRPr="006D1C74">
        <w:rPr>
          <w:rFonts w:asciiTheme="majorHAnsi" w:hAnsiTheme="majorHAnsi"/>
          <w:sz w:val="20"/>
          <w:szCs w:val="20"/>
          <w:lang w:val="pt-BR"/>
        </w:rPr>
        <w:t>após</w:t>
      </w:r>
      <w:r w:rsidR="00DB7541"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ocorridos</w:t>
      </w:r>
      <w:r w:rsidR="00700267" w:rsidRPr="006D1C74">
        <w:rPr>
          <w:rFonts w:asciiTheme="majorHAnsi" w:hAnsiTheme="majorHAnsi"/>
          <w:sz w:val="20"/>
          <w:szCs w:val="20"/>
          <w:lang w:val="pt-BR"/>
        </w:rPr>
        <w:t xml:space="preserve"> os </w:t>
      </w:r>
      <w:r w:rsidR="00F37852" w:rsidRPr="006D1C74">
        <w:rPr>
          <w:rFonts w:asciiTheme="majorHAnsi" w:hAnsiTheme="majorHAnsi"/>
          <w:sz w:val="20"/>
          <w:szCs w:val="20"/>
          <w:lang w:val="pt-BR"/>
        </w:rPr>
        <w:t>fato</w:t>
      </w:r>
      <w:r w:rsidR="00DB7541" w:rsidRPr="006D1C74">
        <w:rPr>
          <w:rFonts w:asciiTheme="majorHAnsi" w:hAnsiTheme="majorHAnsi"/>
          <w:sz w:val="20"/>
          <w:szCs w:val="20"/>
          <w:lang w:val="pt-BR"/>
        </w:rPr>
        <w:t>s,</w:t>
      </w:r>
      <w:r w:rsidR="00700267" w:rsidRPr="006D1C74">
        <w:rPr>
          <w:rFonts w:asciiTheme="majorHAnsi" w:hAnsiTheme="majorHAnsi"/>
          <w:sz w:val="20"/>
          <w:szCs w:val="20"/>
          <w:lang w:val="pt-BR"/>
        </w:rPr>
        <w:t xml:space="preserve"> o </w:t>
      </w:r>
      <w:r w:rsidR="00DB7541" w:rsidRPr="006D1C74">
        <w:rPr>
          <w:rFonts w:asciiTheme="majorHAnsi" w:hAnsiTheme="majorHAnsi"/>
          <w:sz w:val="20"/>
          <w:szCs w:val="20"/>
          <w:lang w:val="pt-BR"/>
        </w:rPr>
        <w:t>Estado omiti</w:t>
      </w:r>
      <w:r w:rsidRPr="006D1C74">
        <w:rPr>
          <w:rFonts w:asciiTheme="majorHAnsi" w:hAnsiTheme="majorHAnsi"/>
          <w:sz w:val="20"/>
          <w:szCs w:val="20"/>
          <w:lang w:val="pt-BR"/>
        </w:rPr>
        <w:t>u</w:t>
      </w:r>
      <w:r w:rsidR="00DB7541" w:rsidRPr="006D1C74">
        <w:rPr>
          <w:rFonts w:asciiTheme="majorHAnsi" w:hAnsiTheme="majorHAnsi"/>
          <w:sz w:val="20"/>
          <w:szCs w:val="20"/>
          <w:lang w:val="pt-BR"/>
        </w:rPr>
        <w:t xml:space="preserve"> dispo</w:t>
      </w:r>
      <w:r w:rsidRPr="006D1C74">
        <w:rPr>
          <w:rFonts w:asciiTheme="majorHAnsi" w:hAnsiTheme="majorHAnsi"/>
          <w:sz w:val="20"/>
          <w:szCs w:val="20"/>
          <w:lang w:val="pt-BR"/>
        </w:rPr>
        <w:t>r</w:t>
      </w:r>
      <w:r w:rsidR="00700267" w:rsidRPr="006D1C74">
        <w:rPr>
          <w:rFonts w:asciiTheme="majorHAnsi" w:hAnsiTheme="majorHAnsi"/>
          <w:sz w:val="20"/>
          <w:szCs w:val="20"/>
          <w:lang w:val="pt-BR"/>
        </w:rPr>
        <w:t xml:space="preserve"> dos </w:t>
      </w:r>
      <w:r w:rsidR="00DB7541" w:rsidRPr="006D1C74">
        <w:rPr>
          <w:rFonts w:asciiTheme="majorHAnsi" w:hAnsiTheme="majorHAnsi"/>
          <w:sz w:val="20"/>
          <w:szCs w:val="20"/>
          <w:lang w:val="pt-BR"/>
        </w:rPr>
        <w:t>mecanismos ade</w:t>
      </w:r>
      <w:r w:rsidR="003705A2">
        <w:rPr>
          <w:rFonts w:asciiTheme="majorHAnsi" w:hAnsiTheme="majorHAnsi"/>
          <w:sz w:val="20"/>
          <w:szCs w:val="20"/>
          <w:lang w:val="pt-BR"/>
        </w:rPr>
        <w:t>qua</w:t>
      </w:r>
      <w:r w:rsidR="00DB7541" w:rsidRPr="006D1C74">
        <w:rPr>
          <w:rFonts w:asciiTheme="majorHAnsi" w:hAnsiTheme="majorHAnsi"/>
          <w:sz w:val="20"/>
          <w:szCs w:val="20"/>
          <w:lang w:val="pt-BR"/>
        </w:rPr>
        <w:t>dos para garantir que</w:t>
      </w:r>
      <w:r w:rsidR="00700267" w:rsidRPr="006D1C74">
        <w:rPr>
          <w:rFonts w:asciiTheme="majorHAnsi" w:hAnsiTheme="majorHAnsi"/>
          <w:sz w:val="20"/>
          <w:szCs w:val="20"/>
          <w:lang w:val="pt-BR"/>
        </w:rPr>
        <w:t xml:space="preserve"> os </w:t>
      </w:r>
      <w:r w:rsidR="00F37852" w:rsidRPr="006D1C74">
        <w:rPr>
          <w:rFonts w:asciiTheme="majorHAnsi" w:hAnsiTheme="majorHAnsi"/>
          <w:sz w:val="20"/>
          <w:szCs w:val="20"/>
          <w:lang w:val="pt-BR"/>
        </w:rPr>
        <w:t>fato</w:t>
      </w:r>
      <w:r w:rsidR="00DB7541" w:rsidRPr="006D1C74">
        <w:rPr>
          <w:rFonts w:asciiTheme="majorHAnsi" w:hAnsiTheme="majorHAnsi"/>
          <w:sz w:val="20"/>
          <w:szCs w:val="20"/>
          <w:lang w:val="pt-BR"/>
        </w:rPr>
        <w:t>s f</w:t>
      </w:r>
      <w:r w:rsidRPr="006D1C74">
        <w:rPr>
          <w:rFonts w:asciiTheme="majorHAnsi" w:hAnsiTheme="majorHAnsi"/>
          <w:sz w:val="20"/>
          <w:szCs w:val="20"/>
          <w:lang w:val="pt-BR"/>
        </w:rPr>
        <w:t>ossem</w:t>
      </w:r>
      <w:r w:rsidR="00DB7541" w:rsidRPr="006D1C74">
        <w:rPr>
          <w:rFonts w:asciiTheme="majorHAnsi" w:hAnsiTheme="majorHAnsi"/>
          <w:sz w:val="20"/>
          <w:szCs w:val="20"/>
          <w:lang w:val="pt-BR"/>
        </w:rPr>
        <w:t xml:space="preserve"> investigados</w:t>
      </w:r>
      <w:r w:rsidR="00CF037E" w:rsidRPr="006D1C74">
        <w:rPr>
          <w:rFonts w:asciiTheme="majorHAnsi" w:hAnsiTheme="majorHAnsi"/>
          <w:sz w:val="20"/>
          <w:szCs w:val="20"/>
          <w:lang w:val="pt-BR"/>
        </w:rPr>
        <w:t xml:space="preserve"> e</w:t>
      </w:r>
      <w:r w:rsidR="00700267" w:rsidRPr="006D1C74">
        <w:rPr>
          <w:rFonts w:asciiTheme="majorHAnsi" w:hAnsiTheme="majorHAnsi"/>
          <w:sz w:val="20"/>
          <w:szCs w:val="20"/>
          <w:lang w:val="pt-BR"/>
        </w:rPr>
        <w:t xml:space="preserve"> os </w:t>
      </w:r>
      <w:r w:rsidR="00DB7541" w:rsidRPr="006D1C74">
        <w:rPr>
          <w:rFonts w:asciiTheme="majorHAnsi" w:hAnsiTheme="majorHAnsi"/>
          <w:sz w:val="20"/>
          <w:szCs w:val="20"/>
          <w:lang w:val="pt-BR"/>
        </w:rPr>
        <w:t>respons</w:t>
      </w:r>
      <w:r w:rsidRPr="006D1C74">
        <w:rPr>
          <w:rFonts w:asciiTheme="majorHAnsi" w:hAnsiTheme="majorHAnsi"/>
          <w:sz w:val="20"/>
          <w:szCs w:val="20"/>
          <w:lang w:val="pt-BR"/>
        </w:rPr>
        <w:t>áveis</w:t>
      </w:r>
      <w:r w:rsidR="00DB7541"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julgados</w:t>
      </w:r>
      <w:r w:rsidR="00F673C7" w:rsidRPr="006D1C74">
        <w:rPr>
          <w:rFonts w:asciiTheme="majorHAnsi" w:hAnsiTheme="majorHAnsi"/>
          <w:sz w:val="20"/>
          <w:szCs w:val="20"/>
          <w:lang w:val="pt-BR"/>
        </w:rPr>
        <w:t xml:space="preserve"> na </w:t>
      </w:r>
      <w:r w:rsidR="00795010" w:rsidRPr="006D1C74">
        <w:rPr>
          <w:rFonts w:asciiTheme="majorHAnsi" w:hAnsiTheme="majorHAnsi"/>
          <w:sz w:val="20"/>
          <w:szCs w:val="20"/>
          <w:lang w:val="pt-BR"/>
        </w:rPr>
        <w:t>justiça</w:t>
      </w:r>
      <w:r w:rsidR="00DB7541"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ordinária</w:t>
      </w:r>
      <w:r w:rsidR="00DB7541" w:rsidRPr="006D1C74">
        <w:rPr>
          <w:rFonts w:asciiTheme="majorHAnsi" w:hAnsiTheme="majorHAnsi"/>
          <w:sz w:val="20"/>
          <w:szCs w:val="20"/>
          <w:lang w:val="pt-BR"/>
        </w:rPr>
        <w:t xml:space="preserve"> como corresponder</w:t>
      </w:r>
      <w:r w:rsidR="00055622" w:rsidRPr="006D1C74">
        <w:rPr>
          <w:rFonts w:asciiTheme="majorHAnsi" w:hAnsiTheme="majorHAnsi"/>
          <w:sz w:val="20"/>
          <w:szCs w:val="20"/>
          <w:lang w:val="pt-BR"/>
        </w:rPr>
        <w:t>ia</w:t>
      </w:r>
      <w:r w:rsidR="00DB7541" w:rsidRPr="006D1C74">
        <w:rPr>
          <w:rFonts w:asciiTheme="majorHAnsi" w:hAnsiTheme="majorHAnsi"/>
          <w:sz w:val="20"/>
          <w:szCs w:val="20"/>
          <w:lang w:val="pt-BR"/>
        </w:rPr>
        <w:t xml:space="preserve">.  Esta </w:t>
      </w:r>
      <w:r w:rsidR="003171F3" w:rsidRPr="006D1C74">
        <w:rPr>
          <w:rFonts w:asciiTheme="majorHAnsi" w:hAnsiTheme="majorHAnsi"/>
          <w:sz w:val="20"/>
          <w:szCs w:val="20"/>
          <w:lang w:val="pt-BR"/>
        </w:rPr>
        <w:t>omissão</w:t>
      </w:r>
      <w:r w:rsidR="00DB7541" w:rsidRPr="006D1C74">
        <w:rPr>
          <w:rFonts w:asciiTheme="majorHAnsi" w:hAnsiTheme="majorHAnsi"/>
          <w:sz w:val="20"/>
          <w:szCs w:val="20"/>
          <w:lang w:val="pt-BR"/>
        </w:rPr>
        <w:t xml:space="preserve"> por</w:t>
      </w:r>
      <w:r w:rsidR="00030019" w:rsidRPr="006D1C74">
        <w:rPr>
          <w:rFonts w:asciiTheme="majorHAnsi" w:hAnsiTheme="majorHAnsi"/>
          <w:sz w:val="20"/>
          <w:szCs w:val="20"/>
          <w:lang w:val="pt-BR"/>
        </w:rPr>
        <w:t xml:space="preserve"> um </w:t>
      </w:r>
      <w:r w:rsidR="003171F3" w:rsidRPr="006D1C74">
        <w:rPr>
          <w:rFonts w:asciiTheme="majorHAnsi" w:hAnsiTheme="majorHAnsi"/>
          <w:sz w:val="20"/>
          <w:szCs w:val="20"/>
          <w:lang w:val="pt-BR"/>
        </w:rPr>
        <w:t>período</w:t>
      </w:r>
      <w:r w:rsidR="00DB7541" w:rsidRPr="006D1C74">
        <w:rPr>
          <w:rFonts w:asciiTheme="majorHAnsi" w:hAnsiTheme="majorHAnsi"/>
          <w:sz w:val="20"/>
          <w:szCs w:val="20"/>
          <w:lang w:val="pt-BR"/>
        </w:rPr>
        <w:t xml:space="preserve"> de </w:t>
      </w:r>
      <w:r w:rsidR="003171F3" w:rsidRPr="006D1C74">
        <w:rPr>
          <w:rFonts w:asciiTheme="majorHAnsi" w:hAnsiTheme="majorHAnsi"/>
          <w:sz w:val="20"/>
          <w:szCs w:val="20"/>
          <w:lang w:val="pt-BR"/>
        </w:rPr>
        <w:t>tempo</w:t>
      </w:r>
      <w:r w:rsidR="00DB7541" w:rsidRPr="006D1C74">
        <w:rPr>
          <w:rFonts w:asciiTheme="majorHAnsi" w:hAnsiTheme="majorHAnsi"/>
          <w:sz w:val="20"/>
          <w:szCs w:val="20"/>
          <w:lang w:val="pt-BR"/>
        </w:rPr>
        <w:t xml:space="preserve"> t</w:t>
      </w:r>
      <w:r w:rsidRPr="006D1C74">
        <w:rPr>
          <w:rFonts w:asciiTheme="majorHAnsi" w:hAnsiTheme="majorHAnsi"/>
          <w:sz w:val="20"/>
          <w:szCs w:val="20"/>
          <w:lang w:val="pt-BR"/>
        </w:rPr>
        <w:t>ão</w:t>
      </w:r>
      <w:r w:rsidR="00DB7541" w:rsidRPr="006D1C74">
        <w:rPr>
          <w:rFonts w:asciiTheme="majorHAnsi" w:hAnsiTheme="majorHAnsi"/>
          <w:sz w:val="20"/>
          <w:szCs w:val="20"/>
          <w:lang w:val="pt-BR"/>
        </w:rPr>
        <w:t xml:space="preserve"> prolongado constitui</w:t>
      </w:r>
      <w:r w:rsidR="00030019" w:rsidRPr="006D1C74">
        <w:rPr>
          <w:rFonts w:asciiTheme="majorHAnsi" w:hAnsiTheme="majorHAnsi"/>
          <w:sz w:val="20"/>
          <w:szCs w:val="20"/>
          <w:lang w:val="pt-BR"/>
        </w:rPr>
        <w:t xml:space="preserve"> um </w:t>
      </w:r>
      <w:r w:rsidR="003171F3" w:rsidRPr="006D1C74">
        <w:rPr>
          <w:rFonts w:asciiTheme="majorHAnsi" w:hAnsiTheme="majorHAnsi"/>
          <w:sz w:val="20"/>
          <w:szCs w:val="20"/>
          <w:lang w:val="pt-BR"/>
        </w:rPr>
        <w:t>sério</w:t>
      </w:r>
      <w:r w:rsidR="00DB7541" w:rsidRPr="006D1C74">
        <w:rPr>
          <w:rFonts w:asciiTheme="majorHAnsi" w:hAnsiTheme="majorHAnsi"/>
          <w:sz w:val="20"/>
          <w:szCs w:val="20"/>
          <w:lang w:val="pt-BR"/>
        </w:rPr>
        <w:t xml:space="preserve"> obstáculo </w:t>
      </w:r>
      <w:r w:rsidR="004216F3" w:rsidRPr="006D1C74">
        <w:rPr>
          <w:rFonts w:asciiTheme="majorHAnsi" w:hAnsiTheme="majorHAnsi"/>
          <w:sz w:val="20"/>
          <w:szCs w:val="20"/>
          <w:lang w:val="pt-BR"/>
        </w:rPr>
        <w:t xml:space="preserve">que se </w:t>
      </w:r>
      <w:r w:rsidRPr="006D1C74">
        <w:rPr>
          <w:rFonts w:asciiTheme="majorHAnsi" w:hAnsiTheme="majorHAnsi"/>
          <w:sz w:val="20"/>
          <w:szCs w:val="20"/>
          <w:lang w:val="pt-BR"/>
        </w:rPr>
        <w:t xml:space="preserve">estendeu </w:t>
      </w:r>
      <w:r w:rsidR="004216F3" w:rsidRPr="006D1C74">
        <w:rPr>
          <w:rFonts w:asciiTheme="majorHAnsi" w:hAnsiTheme="majorHAnsi"/>
          <w:sz w:val="20"/>
          <w:szCs w:val="20"/>
          <w:lang w:val="pt-BR"/>
        </w:rPr>
        <w:t>por</w:t>
      </w:r>
      <w:r w:rsidR="00030019" w:rsidRPr="006D1C74">
        <w:rPr>
          <w:rFonts w:asciiTheme="majorHAnsi" w:hAnsiTheme="majorHAnsi"/>
          <w:sz w:val="20"/>
          <w:szCs w:val="20"/>
          <w:lang w:val="pt-BR"/>
        </w:rPr>
        <w:t xml:space="preserve"> um </w:t>
      </w:r>
      <w:r w:rsidR="00D74A93" w:rsidRPr="006D1C74">
        <w:rPr>
          <w:rFonts w:asciiTheme="majorHAnsi" w:hAnsiTheme="majorHAnsi"/>
          <w:sz w:val="20"/>
          <w:szCs w:val="20"/>
          <w:lang w:val="pt-BR"/>
        </w:rPr>
        <w:t>prazo</w:t>
      </w:r>
      <w:r w:rsidR="004216F3" w:rsidRPr="006D1C74">
        <w:rPr>
          <w:rFonts w:asciiTheme="majorHAnsi" w:hAnsiTheme="majorHAnsi"/>
          <w:sz w:val="20"/>
          <w:szCs w:val="20"/>
          <w:lang w:val="pt-BR"/>
        </w:rPr>
        <w:t xml:space="preserve"> irrazo</w:t>
      </w:r>
      <w:r w:rsidRPr="006D1C74">
        <w:rPr>
          <w:rFonts w:asciiTheme="majorHAnsi" w:hAnsiTheme="majorHAnsi"/>
          <w:sz w:val="20"/>
          <w:szCs w:val="20"/>
          <w:lang w:val="pt-BR"/>
        </w:rPr>
        <w:t>ável,</w:t>
      </w:r>
      <w:r w:rsidR="004216F3"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afetando</w:t>
      </w:r>
      <w:r w:rsidR="00700267" w:rsidRPr="006D1C74">
        <w:rPr>
          <w:rFonts w:asciiTheme="majorHAnsi" w:hAnsiTheme="majorHAnsi"/>
          <w:sz w:val="20"/>
          <w:szCs w:val="20"/>
          <w:lang w:val="pt-BR"/>
        </w:rPr>
        <w:t xml:space="preserve"> o </w:t>
      </w:r>
      <w:r w:rsidR="003171F3" w:rsidRPr="006D1C74">
        <w:rPr>
          <w:rFonts w:asciiTheme="majorHAnsi" w:hAnsiTheme="majorHAnsi"/>
          <w:sz w:val="20"/>
          <w:szCs w:val="20"/>
          <w:lang w:val="pt-BR"/>
        </w:rPr>
        <w:t>acesso</w:t>
      </w:r>
      <w:r w:rsidR="00030019" w:rsidRPr="006D1C74">
        <w:rPr>
          <w:rFonts w:asciiTheme="majorHAnsi" w:hAnsiTheme="majorHAnsi"/>
          <w:sz w:val="20"/>
          <w:szCs w:val="20"/>
          <w:lang w:val="pt-BR"/>
        </w:rPr>
        <w:t xml:space="preserve"> à </w:t>
      </w:r>
      <w:r w:rsidR="00795010" w:rsidRPr="006D1C74">
        <w:rPr>
          <w:rFonts w:asciiTheme="majorHAnsi" w:hAnsiTheme="majorHAnsi"/>
          <w:sz w:val="20"/>
          <w:szCs w:val="20"/>
          <w:lang w:val="pt-BR"/>
        </w:rPr>
        <w:t>justiça</w:t>
      </w:r>
      <w:r w:rsidR="00700267" w:rsidRPr="006D1C74">
        <w:rPr>
          <w:rFonts w:asciiTheme="majorHAnsi" w:hAnsiTheme="majorHAnsi"/>
          <w:sz w:val="20"/>
          <w:szCs w:val="20"/>
          <w:lang w:val="pt-BR"/>
        </w:rPr>
        <w:t xml:space="preserve"> dos </w:t>
      </w:r>
      <w:r w:rsidR="001E2392" w:rsidRPr="006D1C74">
        <w:rPr>
          <w:rFonts w:asciiTheme="majorHAnsi" w:hAnsiTheme="majorHAnsi"/>
          <w:sz w:val="20"/>
          <w:szCs w:val="20"/>
          <w:lang w:val="pt-BR"/>
        </w:rPr>
        <w:t>familiares</w:t>
      </w:r>
      <w:r w:rsidR="00DB7541" w:rsidRPr="006D1C74">
        <w:rPr>
          <w:rFonts w:asciiTheme="majorHAnsi" w:hAnsiTheme="majorHAnsi"/>
          <w:sz w:val="20"/>
          <w:szCs w:val="20"/>
          <w:lang w:val="pt-BR"/>
        </w:rPr>
        <w:t xml:space="preserve"> de Antonio Tavares Pereira. </w:t>
      </w:r>
    </w:p>
    <w:p w14:paraId="301B7EF9" w14:textId="77777777" w:rsidR="002A3BB2" w:rsidRPr="006D1C74" w:rsidRDefault="002A3BB2" w:rsidP="002A3BB2">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20"/>
          <w:szCs w:val="20"/>
          <w:lang w:val="pt-BR"/>
        </w:rPr>
      </w:pPr>
    </w:p>
    <w:p w14:paraId="29E2F4B8" w14:textId="77777777" w:rsidR="002649F0" w:rsidRPr="006D1C74" w:rsidRDefault="003171F3"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sz w:val="20"/>
          <w:szCs w:val="20"/>
          <w:lang w:val="pt-BR"/>
        </w:rPr>
      </w:pPr>
      <w:r w:rsidRPr="006D1C74">
        <w:rPr>
          <w:rFonts w:asciiTheme="majorHAnsi" w:hAnsiTheme="majorHAnsi"/>
          <w:sz w:val="20"/>
          <w:szCs w:val="20"/>
          <w:lang w:val="pt-BR"/>
        </w:rPr>
        <w:t>Em</w:t>
      </w:r>
      <w:r w:rsidR="002649F0" w:rsidRPr="006D1C74">
        <w:rPr>
          <w:rFonts w:asciiTheme="majorHAnsi" w:hAnsiTheme="majorHAnsi"/>
          <w:sz w:val="20"/>
          <w:szCs w:val="20"/>
          <w:lang w:val="pt-BR"/>
        </w:rPr>
        <w:t xml:space="preserve"> </w:t>
      </w:r>
      <w:r w:rsidRPr="006D1C74">
        <w:rPr>
          <w:rFonts w:asciiTheme="majorHAnsi" w:hAnsiTheme="majorHAnsi"/>
          <w:sz w:val="20"/>
          <w:szCs w:val="20"/>
          <w:lang w:val="pt-BR"/>
        </w:rPr>
        <w:t>virtude</w:t>
      </w:r>
      <w:r w:rsidR="00D74A93" w:rsidRPr="006D1C74">
        <w:rPr>
          <w:rFonts w:asciiTheme="majorHAnsi" w:hAnsiTheme="majorHAnsi"/>
          <w:sz w:val="20"/>
          <w:szCs w:val="20"/>
          <w:lang w:val="pt-BR"/>
        </w:rPr>
        <w:t xml:space="preserve"> das </w:t>
      </w:r>
      <w:r w:rsidR="002649F0" w:rsidRPr="006D1C74">
        <w:rPr>
          <w:rFonts w:asciiTheme="majorHAnsi" w:hAnsiTheme="majorHAnsi"/>
          <w:sz w:val="20"/>
          <w:szCs w:val="20"/>
          <w:lang w:val="pt-BR"/>
        </w:rPr>
        <w:t>considera</w:t>
      </w:r>
      <w:r w:rsidR="00CF037E" w:rsidRPr="006D1C74">
        <w:rPr>
          <w:rFonts w:asciiTheme="majorHAnsi" w:hAnsiTheme="majorHAnsi"/>
          <w:sz w:val="20"/>
          <w:szCs w:val="20"/>
          <w:lang w:val="pt-BR"/>
        </w:rPr>
        <w:t>ções</w:t>
      </w:r>
      <w:r w:rsidR="002649F0" w:rsidRPr="006D1C74">
        <w:rPr>
          <w:rFonts w:asciiTheme="majorHAnsi" w:hAnsiTheme="majorHAnsi"/>
          <w:sz w:val="20"/>
          <w:szCs w:val="20"/>
          <w:lang w:val="pt-BR"/>
        </w:rPr>
        <w:t xml:space="preserve"> precedentes,</w:t>
      </w:r>
      <w:r w:rsidR="00700267" w:rsidRPr="006D1C74">
        <w:rPr>
          <w:rFonts w:asciiTheme="majorHAnsi" w:hAnsiTheme="majorHAnsi"/>
          <w:sz w:val="20"/>
          <w:szCs w:val="20"/>
          <w:lang w:val="pt-BR"/>
        </w:rPr>
        <w:t xml:space="preserve"> a </w:t>
      </w:r>
      <w:r w:rsidR="00417BE8" w:rsidRPr="006D1C74">
        <w:rPr>
          <w:rFonts w:asciiTheme="majorHAnsi" w:hAnsiTheme="majorHAnsi"/>
          <w:sz w:val="20"/>
          <w:szCs w:val="20"/>
          <w:lang w:val="pt-BR"/>
        </w:rPr>
        <w:t>Comissão</w:t>
      </w:r>
      <w:r w:rsidR="002649F0" w:rsidRPr="006D1C74">
        <w:rPr>
          <w:rFonts w:asciiTheme="majorHAnsi" w:hAnsiTheme="majorHAnsi"/>
          <w:sz w:val="20"/>
          <w:szCs w:val="20"/>
          <w:lang w:val="pt-BR"/>
        </w:rPr>
        <w:t xml:space="preserve"> conclu</w:t>
      </w:r>
      <w:r w:rsidR="0058776B" w:rsidRPr="006D1C74">
        <w:rPr>
          <w:rFonts w:asciiTheme="majorHAnsi" w:hAnsiTheme="majorHAnsi"/>
          <w:sz w:val="20"/>
          <w:szCs w:val="20"/>
          <w:lang w:val="pt-BR"/>
        </w:rPr>
        <w:t>i</w:t>
      </w:r>
      <w:r w:rsidR="002649F0" w:rsidRPr="006D1C74">
        <w:rPr>
          <w:rFonts w:asciiTheme="majorHAnsi" w:hAnsiTheme="majorHAnsi"/>
          <w:sz w:val="20"/>
          <w:szCs w:val="20"/>
          <w:lang w:val="pt-BR"/>
        </w:rPr>
        <w:t xml:space="preserve"> que</w:t>
      </w:r>
      <w:r w:rsidR="00700267" w:rsidRPr="006D1C74">
        <w:rPr>
          <w:rFonts w:asciiTheme="majorHAnsi" w:hAnsiTheme="majorHAnsi"/>
          <w:sz w:val="20"/>
          <w:szCs w:val="20"/>
          <w:lang w:val="pt-BR"/>
        </w:rPr>
        <w:t xml:space="preserve"> o </w:t>
      </w:r>
      <w:r w:rsidR="002649F0" w:rsidRPr="006D1C74">
        <w:rPr>
          <w:rFonts w:asciiTheme="majorHAnsi" w:hAnsiTheme="majorHAnsi"/>
          <w:sz w:val="20"/>
          <w:szCs w:val="20"/>
          <w:lang w:val="pt-BR"/>
        </w:rPr>
        <w:t>Estado</w:t>
      </w:r>
      <w:r w:rsidR="00F37852" w:rsidRPr="006D1C74">
        <w:rPr>
          <w:rFonts w:asciiTheme="majorHAnsi" w:hAnsiTheme="majorHAnsi"/>
          <w:sz w:val="20"/>
          <w:szCs w:val="20"/>
          <w:lang w:val="pt-BR"/>
        </w:rPr>
        <w:t xml:space="preserve"> é </w:t>
      </w:r>
      <w:r w:rsidR="002649F0" w:rsidRPr="006D1C74">
        <w:rPr>
          <w:rFonts w:asciiTheme="majorHAnsi" w:hAnsiTheme="majorHAnsi"/>
          <w:sz w:val="20"/>
          <w:szCs w:val="20"/>
          <w:lang w:val="pt-BR"/>
        </w:rPr>
        <w:t>respons</w:t>
      </w:r>
      <w:r w:rsidR="0058776B" w:rsidRPr="006D1C74">
        <w:rPr>
          <w:rFonts w:asciiTheme="majorHAnsi" w:hAnsiTheme="majorHAnsi"/>
          <w:sz w:val="20"/>
          <w:szCs w:val="20"/>
          <w:lang w:val="pt-BR"/>
        </w:rPr>
        <w:t>ável</w:t>
      </w:r>
      <w:r w:rsidR="00795010" w:rsidRPr="006D1C74">
        <w:rPr>
          <w:rFonts w:asciiTheme="majorHAnsi" w:hAnsiTheme="majorHAnsi"/>
          <w:sz w:val="20"/>
          <w:szCs w:val="20"/>
          <w:lang w:val="pt-BR"/>
        </w:rPr>
        <w:t xml:space="preserve"> </w:t>
      </w:r>
      <w:r w:rsidR="0058776B" w:rsidRPr="006D1C74">
        <w:rPr>
          <w:rFonts w:asciiTheme="majorHAnsi" w:hAnsiTheme="majorHAnsi"/>
          <w:sz w:val="20"/>
          <w:szCs w:val="20"/>
          <w:lang w:val="pt-BR"/>
        </w:rPr>
        <w:t>pel</w:t>
      </w:r>
      <w:r w:rsidR="00795010" w:rsidRPr="006D1C74">
        <w:rPr>
          <w:rFonts w:asciiTheme="majorHAnsi" w:hAnsiTheme="majorHAnsi"/>
          <w:sz w:val="20"/>
          <w:szCs w:val="20"/>
          <w:lang w:val="pt-BR"/>
        </w:rPr>
        <w:t xml:space="preserve">a </w:t>
      </w:r>
      <w:r w:rsidR="002649F0" w:rsidRPr="006D1C74">
        <w:rPr>
          <w:rFonts w:asciiTheme="majorHAnsi" w:hAnsiTheme="majorHAnsi"/>
          <w:sz w:val="20"/>
          <w:szCs w:val="20"/>
          <w:lang w:val="pt-BR"/>
        </w:rPr>
        <w:t>viola</w:t>
      </w:r>
      <w:r w:rsidR="00CF037E" w:rsidRPr="006D1C74">
        <w:rPr>
          <w:rFonts w:asciiTheme="majorHAnsi" w:hAnsiTheme="majorHAnsi"/>
          <w:sz w:val="20"/>
          <w:szCs w:val="20"/>
          <w:lang w:val="pt-BR"/>
        </w:rPr>
        <w:t>ção</w:t>
      </w:r>
      <w:r w:rsidR="00700267" w:rsidRPr="006D1C74">
        <w:rPr>
          <w:rFonts w:asciiTheme="majorHAnsi" w:hAnsiTheme="majorHAnsi"/>
          <w:sz w:val="20"/>
          <w:szCs w:val="20"/>
          <w:lang w:val="pt-BR"/>
        </w:rPr>
        <w:t xml:space="preserve"> dos </w:t>
      </w:r>
      <w:r w:rsidR="00417BE8" w:rsidRPr="006D1C74">
        <w:rPr>
          <w:rFonts w:asciiTheme="majorHAnsi" w:hAnsiTheme="majorHAnsi"/>
          <w:sz w:val="20"/>
          <w:szCs w:val="20"/>
          <w:lang w:val="pt-BR"/>
        </w:rPr>
        <w:t>direito</w:t>
      </w:r>
      <w:r w:rsidR="002649F0" w:rsidRPr="006D1C74">
        <w:rPr>
          <w:rFonts w:asciiTheme="majorHAnsi" w:hAnsiTheme="majorHAnsi"/>
          <w:sz w:val="20"/>
          <w:szCs w:val="20"/>
          <w:lang w:val="pt-BR"/>
        </w:rPr>
        <w:t>s</w:t>
      </w:r>
      <w:r w:rsidR="00030019" w:rsidRPr="006D1C74">
        <w:rPr>
          <w:rFonts w:asciiTheme="majorHAnsi" w:hAnsiTheme="majorHAnsi"/>
          <w:sz w:val="20"/>
          <w:szCs w:val="20"/>
          <w:lang w:val="pt-BR"/>
        </w:rPr>
        <w:t xml:space="preserve"> às </w:t>
      </w:r>
      <w:r w:rsidR="002649F0" w:rsidRPr="006D1C74">
        <w:rPr>
          <w:rFonts w:asciiTheme="majorHAnsi" w:eastAsia="Batang" w:hAnsiTheme="majorHAnsi" w:cs="Arial"/>
          <w:bCs/>
          <w:iCs/>
          <w:sz w:val="20"/>
          <w:szCs w:val="20"/>
          <w:bdr w:val="none" w:sz="0" w:space="0" w:color="auto"/>
          <w:lang w:val="pt-BR"/>
        </w:rPr>
        <w:t>garant</w:t>
      </w:r>
      <w:r w:rsidR="00055622" w:rsidRPr="006D1C74">
        <w:rPr>
          <w:rFonts w:asciiTheme="majorHAnsi" w:eastAsia="Batang" w:hAnsiTheme="majorHAnsi" w:cs="Arial"/>
          <w:bCs/>
          <w:iCs/>
          <w:sz w:val="20"/>
          <w:szCs w:val="20"/>
          <w:bdr w:val="none" w:sz="0" w:space="0" w:color="auto"/>
          <w:lang w:val="pt-BR"/>
        </w:rPr>
        <w:t>ia</w:t>
      </w:r>
      <w:r w:rsidR="002649F0" w:rsidRPr="006D1C74">
        <w:rPr>
          <w:rFonts w:asciiTheme="majorHAnsi" w:eastAsia="Batang" w:hAnsiTheme="majorHAnsi" w:cs="Arial"/>
          <w:bCs/>
          <w:iCs/>
          <w:sz w:val="20"/>
          <w:szCs w:val="20"/>
          <w:bdr w:val="none" w:sz="0" w:space="0" w:color="auto"/>
          <w:lang w:val="pt-BR"/>
        </w:rPr>
        <w:t>s judici</w:t>
      </w:r>
      <w:r w:rsidR="00700267" w:rsidRPr="006D1C74">
        <w:rPr>
          <w:rFonts w:asciiTheme="majorHAnsi" w:eastAsia="Batang" w:hAnsiTheme="majorHAnsi" w:cs="Arial"/>
          <w:bCs/>
          <w:iCs/>
          <w:sz w:val="20"/>
          <w:szCs w:val="20"/>
          <w:bdr w:val="none" w:sz="0" w:space="0" w:color="auto"/>
          <w:lang w:val="pt-BR"/>
        </w:rPr>
        <w:t>ais</w:t>
      </w:r>
      <w:r w:rsidR="00CF037E" w:rsidRPr="006D1C74">
        <w:rPr>
          <w:rFonts w:asciiTheme="majorHAnsi" w:eastAsia="Batang" w:hAnsiTheme="majorHAnsi" w:cs="Arial"/>
          <w:bCs/>
          <w:iCs/>
          <w:sz w:val="20"/>
          <w:szCs w:val="20"/>
          <w:bdr w:val="none" w:sz="0" w:space="0" w:color="auto"/>
          <w:lang w:val="pt-BR"/>
        </w:rPr>
        <w:t xml:space="preserve"> e</w:t>
      </w:r>
      <w:r w:rsidR="00030019" w:rsidRPr="006D1C74">
        <w:rPr>
          <w:rFonts w:asciiTheme="majorHAnsi" w:eastAsia="Batang" w:hAnsiTheme="majorHAnsi" w:cs="Arial"/>
          <w:bCs/>
          <w:iCs/>
          <w:sz w:val="20"/>
          <w:szCs w:val="20"/>
          <w:bdr w:val="none" w:sz="0" w:space="0" w:color="auto"/>
          <w:lang w:val="pt-BR"/>
        </w:rPr>
        <w:t xml:space="preserve"> à </w:t>
      </w:r>
      <w:r w:rsidR="002649F0" w:rsidRPr="006D1C74">
        <w:rPr>
          <w:rFonts w:asciiTheme="majorHAnsi" w:eastAsia="Batang" w:hAnsiTheme="majorHAnsi" w:cs="Arial"/>
          <w:bCs/>
          <w:iCs/>
          <w:sz w:val="20"/>
          <w:szCs w:val="20"/>
          <w:bdr w:val="none" w:sz="0" w:space="0" w:color="auto"/>
          <w:lang w:val="pt-BR"/>
        </w:rPr>
        <w:t>prote</w:t>
      </w:r>
      <w:r w:rsidR="00CF037E" w:rsidRPr="006D1C74">
        <w:rPr>
          <w:rFonts w:asciiTheme="majorHAnsi" w:eastAsia="Batang" w:hAnsiTheme="majorHAnsi" w:cs="Arial"/>
          <w:bCs/>
          <w:iCs/>
          <w:sz w:val="20"/>
          <w:szCs w:val="20"/>
          <w:bdr w:val="none" w:sz="0" w:space="0" w:color="auto"/>
          <w:lang w:val="pt-BR"/>
        </w:rPr>
        <w:t>ção</w:t>
      </w:r>
      <w:r w:rsidR="002649F0" w:rsidRPr="006D1C74">
        <w:rPr>
          <w:rFonts w:asciiTheme="majorHAnsi" w:eastAsia="Batang" w:hAnsiTheme="majorHAnsi" w:cs="Arial"/>
          <w:bCs/>
          <w:iCs/>
          <w:sz w:val="20"/>
          <w:szCs w:val="20"/>
          <w:bdr w:val="none" w:sz="0" w:space="0" w:color="auto"/>
          <w:lang w:val="pt-BR"/>
        </w:rPr>
        <w:t xml:space="preserve"> judicial enunciados</w:t>
      </w:r>
      <w:r w:rsidR="00217759" w:rsidRPr="006D1C74">
        <w:rPr>
          <w:rFonts w:asciiTheme="majorHAnsi" w:eastAsia="Batang" w:hAnsiTheme="majorHAnsi" w:cs="Arial"/>
          <w:bCs/>
          <w:iCs/>
          <w:sz w:val="20"/>
          <w:szCs w:val="20"/>
          <w:bdr w:val="none" w:sz="0" w:space="0" w:color="auto"/>
          <w:lang w:val="pt-BR"/>
        </w:rPr>
        <w:t xml:space="preserve"> nos </w:t>
      </w:r>
      <w:r w:rsidR="00F673C7" w:rsidRPr="006D1C74">
        <w:rPr>
          <w:rFonts w:asciiTheme="majorHAnsi" w:hAnsiTheme="majorHAnsi"/>
          <w:sz w:val="20"/>
          <w:szCs w:val="20"/>
          <w:lang w:val="pt-BR"/>
        </w:rPr>
        <w:t>artigo</w:t>
      </w:r>
      <w:r w:rsidR="002649F0" w:rsidRPr="006D1C74">
        <w:rPr>
          <w:rFonts w:asciiTheme="majorHAnsi" w:hAnsiTheme="majorHAnsi"/>
          <w:sz w:val="20"/>
          <w:szCs w:val="20"/>
          <w:lang w:val="pt-BR"/>
        </w:rPr>
        <w:t>s 8.1</w:t>
      </w:r>
      <w:r w:rsidR="00CF037E" w:rsidRPr="006D1C74">
        <w:rPr>
          <w:rFonts w:asciiTheme="majorHAnsi" w:hAnsiTheme="majorHAnsi"/>
          <w:sz w:val="20"/>
          <w:szCs w:val="20"/>
          <w:lang w:val="pt-BR"/>
        </w:rPr>
        <w:t xml:space="preserve"> e </w:t>
      </w:r>
      <w:r w:rsidR="002649F0" w:rsidRPr="006D1C74">
        <w:rPr>
          <w:rFonts w:asciiTheme="majorHAnsi" w:hAnsiTheme="majorHAnsi"/>
          <w:sz w:val="20"/>
          <w:szCs w:val="20"/>
          <w:lang w:val="pt-BR"/>
        </w:rPr>
        <w:t>25.1</w:t>
      </w:r>
      <w:r w:rsidR="00795010" w:rsidRPr="006D1C74">
        <w:rPr>
          <w:rFonts w:asciiTheme="majorHAnsi" w:hAnsiTheme="majorHAnsi"/>
          <w:sz w:val="20"/>
          <w:szCs w:val="20"/>
          <w:lang w:val="pt-BR"/>
        </w:rPr>
        <w:t xml:space="preserve"> da </w:t>
      </w:r>
      <w:r w:rsidR="002649F0" w:rsidRPr="006D1C74">
        <w:rPr>
          <w:rFonts w:asciiTheme="majorHAnsi" w:hAnsiTheme="majorHAnsi"/>
          <w:sz w:val="20"/>
          <w:szCs w:val="20"/>
          <w:lang w:val="pt-BR"/>
        </w:rPr>
        <w:t>Conven</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Americana,</w:t>
      </w:r>
      <w:r w:rsidR="00F673C7" w:rsidRPr="006D1C74">
        <w:rPr>
          <w:rFonts w:asciiTheme="majorHAnsi" w:hAnsiTheme="majorHAnsi"/>
          <w:sz w:val="20"/>
          <w:szCs w:val="20"/>
          <w:lang w:val="pt-BR"/>
        </w:rPr>
        <w:t xml:space="preserve"> </w:t>
      </w:r>
      <w:r w:rsidR="0058776B" w:rsidRPr="006D1C74">
        <w:rPr>
          <w:rFonts w:asciiTheme="majorHAnsi" w:hAnsiTheme="majorHAnsi"/>
          <w:sz w:val="20"/>
          <w:szCs w:val="20"/>
          <w:lang w:val="pt-BR"/>
        </w:rPr>
        <w:t>co</w:t>
      </w:r>
      <w:r w:rsidR="00F673C7" w:rsidRPr="006D1C74">
        <w:rPr>
          <w:rFonts w:asciiTheme="majorHAnsi" w:hAnsiTheme="majorHAnsi"/>
          <w:sz w:val="20"/>
          <w:szCs w:val="20"/>
          <w:lang w:val="pt-BR"/>
        </w:rPr>
        <w:t xml:space="preserve">m </w:t>
      </w:r>
      <w:r w:rsidR="002649F0" w:rsidRPr="006D1C74">
        <w:rPr>
          <w:rFonts w:asciiTheme="majorHAnsi" w:hAnsiTheme="majorHAnsi"/>
          <w:sz w:val="20"/>
          <w:szCs w:val="20"/>
          <w:lang w:val="pt-BR"/>
        </w:rPr>
        <w:t>rela</w:t>
      </w:r>
      <w:r w:rsidR="00CF037E" w:rsidRPr="006D1C74">
        <w:rPr>
          <w:rFonts w:asciiTheme="majorHAnsi" w:hAnsiTheme="majorHAnsi"/>
          <w:sz w:val="20"/>
          <w:szCs w:val="20"/>
          <w:lang w:val="pt-BR"/>
        </w:rPr>
        <w:t>ção</w:t>
      </w:r>
      <w:r w:rsidR="00F673C7" w:rsidRPr="006D1C74">
        <w:rPr>
          <w:rFonts w:asciiTheme="majorHAnsi" w:hAnsiTheme="majorHAnsi"/>
          <w:sz w:val="20"/>
          <w:szCs w:val="20"/>
          <w:lang w:val="pt-BR"/>
        </w:rPr>
        <w:t xml:space="preserve"> </w:t>
      </w:r>
      <w:r w:rsidR="0058776B" w:rsidRPr="006D1C74">
        <w:rPr>
          <w:rFonts w:asciiTheme="majorHAnsi" w:hAnsiTheme="majorHAnsi"/>
          <w:sz w:val="20"/>
          <w:szCs w:val="20"/>
          <w:lang w:val="pt-BR"/>
        </w:rPr>
        <w:t>a</w:t>
      </w:r>
      <w:r w:rsidR="00700267" w:rsidRPr="006D1C74">
        <w:rPr>
          <w:rFonts w:asciiTheme="majorHAnsi" w:hAnsiTheme="majorHAnsi"/>
          <w:sz w:val="20"/>
          <w:szCs w:val="20"/>
          <w:lang w:val="pt-BR"/>
        </w:rPr>
        <w:t xml:space="preserve">os </w:t>
      </w:r>
      <w:r w:rsidR="00F673C7" w:rsidRPr="006D1C74">
        <w:rPr>
          <w:rFonts w:asciiTheme="majorHAnsi" w:hAnsiTheme="majorHAnsi"/>
          <w:sz w:val="20"/>
          <w:szCs w:val="20"/>
          <w:lang w:val="pt-BR"/>
        </w:rPr>
        <w:t>artigo</w:t>
      </w:r>
      <w:r w:rsidR="002649F0" w:rsidRPr="006D1C74">
        <w:rPr>
          <w:rFonts w:asciiTheme="majorHAnsi" w:hAnsiTheme="majorHAnsi"/>
          <w:sz w:val="20"/>
          <w:szCs w:val="20"/>
          <w:lang w:val="pt-BR"/>
        </w:rPr>
        <w:t>s 1.1</w:t>
      </w:r>
      <w:r w:rsidR="00CF037E" w:rsidRPr="006D1C74">
        <w:rPr>
          <w:rFonts w:asciiTheme="majorHAnsi" w:hAnsiTheme="majorHAnsi"/>
          <w:sz w:val="20"/>
          <w:szCs w:val="20"/>
          <w:lang w:val="pt-BR"/>
        </w:rPr>
        <w:t xml:space="preserve"> e </w:t>
      </w:r>
      <w:r w:rsidR="002A3BB2" w:rsidRPr="006D1C74">
        <w:rPr>
          <w:rFonts w:asciiTheme="majorHAnsi" w:hAnsiTheme="majorHAnsi"/>
          <w:sz w:val="20"/>
          <w:szCs w:val="20"/>
          <w:lang w:val="pt-BR"/>
        </w:rPr>
        <w:t xml:space="preserve">2 </w:t>
      </w:r>
      <w:r w:rsidR="002649F0" w:rsidRPr="006D1C74">
        <w:rPr>
          <w:rFonts w:asciiTheme="majorHAnsi" w:hAnsiTheme="majorHAnsi"/>
          <w:sz w:val="20"/>
          <w:szCs w:val="20"/>
          <w:lang w:val="pt-BR"/>
        </w:rPr>
        <w:t>de</w:t>
      </w:r>
      <w:r w:rsidR="0058776B" w:rsidRPr="006D1C74">
        <w:rPr>
          <w:rFonts w:asciiTheme="majorHAnsi" w:hAnsiTheme="majorHAnsi"/>
          <w:sz w:val="20"/>
          <w:szCs w:val="20"/>
          <w:lang w:val="pt-BR"/>
        </w:rPr>
        <w:t>sse</w:t>
      </w:r>
      <w:r w:rsidR="002649F0" w:rsidRPr="006D1C74">
        <w:rPr>
          <w:rFonts w:asciiTheme="majorHAnsi" w:hAnsiTheme="majorHAnsi"/>
          <w:sz w:val="20"/>
          <w:szCs w:val="20"/>
          <w:lang w:val="pt-BR"/>
        </w:rPr>
        <w:t xml:space="preserve"> instrumento,</w:t>
      </w:r>
      <w:r w:rsidR="00F673C7" w:rsidRPr="006D1C74">
        <w:rPr>
          <w:rFonts w:asciiTheme="majorHAnsi" w:hAnsiTheme="majorHAnsi"/>
          <w:sz w:val="20"/>
          <w:szCs w:val="20"/>
          <w:lang w:val="pt-BR"/>
        </w:rPr>
        <w:t xml:space="preserve"> em </w:t>
      </w:r>
      <w:r w:rsidR="002649F0" w:rsidRPr="006D1C74">
        <w:rPr>
          <w:rFonts w:asciiTheme="majorHAnsi" w:hAnsiTheme="majorHAnsi"/>
          <w:sz w:val="20"/>
          <w:szCs w:val="20"/>
          <w:lang w:val="pt-BR"/>
        </w:rPr>
        <w:t>p</w:t>
      </w:r>
      <w:r w:rsidR="0058776B" w:rsidRPr="006D1C74">
        <w:rPr>
          <w:rFonts w:asciiTheme="majorHAnsi" w:hAnsiTheme="majorHAnsi"/>
          <w:sz w:val="20"/>
          <w:szCs w:val="20"/>
          <w:lang w:val="pt-BR"/>
        </w:rPr>
        <w:t>rejuízo</w:t>
      </w:r>
      <w:r w:rsidR="00700267" w:rsidRPr="006D1C74">
        <w:rPr>
          <w:rFonts w:asciiTheme="majorHAnsi" w:hAnsiTheme="majorHAnsi"/>
          <w:sz w:val="20"/>
          <w:szCs w:val="20"/>
          <w:lang w:val="pt-BR"/>
        </w:rPr>
        <w:t xml:space="preserve"> dos </w:t>
      </w:r>
      <w:r w:rsidR="001E2392" w:rsidRPr="006D1C74">
        <w:rPr>
          <w:rFonts w:asciiTheme="majorHAnsi" w:hAnsiTheme="majorHAnsi"/>
          <w:sz w:val="20"/>
          <w:szCs w:val="20"/>
          <w:lang w:val="pt-BR"/>
        </w:rPr>
        <w:t>familiares</w:t>
      </w:r>
      <w:r w:rsidR="00A75D18" w:rsidRPr="006D1C74">
        <w:rPr>
          <w:rFonts w:asciiTheme="majorHAnsi" w:hAnsiTheme="majorHAnsi"/>
          <w:sz w:val="20"/>
          <w:szCs w:val="20"/>
          <w:lang w:val="pt-BR"/>
        </w:rPr>
        <w:t xml:space="preserve"> de Antonio Tavares, </w:t>
      </w:r>
      <w:r w:rsidR="0058776B" w:rsidRPr="006D1C74">
        <w:rPr>
          <w:rFonts w:asciiTheme="majorHAnsi" w:hAnsiTheme="majorHAnsi"/>
          <w:sz w:val="20"/>
          <w:szCs w:val="20"/>
          <w:lang w:val="pt-BR"/>
        </w:rPr>
        <w:t>bem</w:t>
      </w:r>
      <w:r w:rsidR="00A75D18" w:rsidRPr="006D1C74">
        <w:rPr>
          <w:rFonts w:asciiTheme="majorHAnsi" w:hAnsiTheme="majorHAnsi"/>
          <w:sz w:val="20"/>
          <w:szCs w:val="20"/>
          <w:lang w:val="pt-BR"/>
        </w:rPr>
        <w:t xml:space="preserve"> como</w:t>
      </w:r>
      <w:r w:rsidR="00700267" w:rsidRPr="006D1C74">
        <w:rPr>
          <w:rFonts w:asciiTheme="majorHAnsi" w:hAnsiTheme="majorHAnsi"/>
          <w:sz w:val="20"/>
          <w:szCs w:val="20"/>
          <w:lang w:val="pt-BR"/>
        </w:rPr>
        <w:t xml:space="preserve"> dos </w:t>
      </w:r>
      <w:r w:rsidR="00A75D18" w:rsidRPr="006D1C74">
        <w:rPr>
          <w:rFonts w:asciiTheme="majorHAnsi" w:hAnsiTheme="majorHAnsi"/>
          <w:sz w:val="20"/>
          <w:szCs w:val="20"/>
          <w:lang w:val="pt-BR"/>
        </w:rPr>
        <w:t xml:space="preserve">185 </w:t>
      </w:r>
      <w:r w:rsidR="00700267" w:rsidRPr="006D1C74">
        <w:rPr>
          <w:rFonts w:asciiTheme="majorHAnsi" w:hAnsiTheme="majorHAnsi"/>
          <w:sz w:val="20"/>
          <w:szCs w:val="20"/>
          <w:lang w:val="pt-BR"/>
        </w:rPr>
        <w:t>trabalh</w:t>
      </w:r>
      <w:r w:rsidR="00A75D18" w:rsidRPr="006D1C74">
        <w:rPr>
          <w:rFonts w:asciiTheme="majorHAnsi" w:hAnsiTheme="majorHAnsi"/>
          <w:sz w:val="20"/>
          <w:szCs w:val="20"/>
          <w:lang w:val="pt-BR"/>
        </w:rPr>
        <w:t xml:space="preserve">adores </w:t>
      </w:r>
      <w:r w:rsidR="0058776B" w:rsidRPr="006D1C74">
        <w:rPr>
          <w:rFonts w:asciiTheme="majorHAnsi" w:hAnsiTheme="majorHAnsi"/>
          <w:sz w:val="20"/>
          <w:szCs w:val="20"/>
          <w:lang w:val="pt-BR"/>
        </w:rPr>
        <w:t>feridos</w:t>
      </w:r>
      <w:r w:rsidR="00A75D18" w:rsidRPr="006D1C74">
        <w:rPr>
          <w:rFonts w:asciiTheme="majorHAnsi" w:hAnsiTheme="majorHAnsi"/>
          <w:sz w:val="20"/>
          <w:szCs w:val="20"/>
          <w:lang w:val="pt-BR"/>
        </w:rPr>
        <w:t>, todos individualizados</w:t>
      </w:r>
      <w:r w:rsidR="00FC2F62" w:rsidRPr="006D1C74">
        <w:rPr>
          <w:rFonts w:asciiTheme="majorHAnsi" w:hAnsiTheme="majorHAnsi"/>
          <w:sz w:val="20"/>
          <w:szCs w:val="20"/>
          <w:lang w:val="pt-BR"/>
        </w:rPr>
        <w:t xml:space="preserve"> no </w:t>
      </w:r>
      <w:r w:rsidR="00A75D18" w:rsidRPr="006D1C74">
        <w:rPr>
          <w:rFonts w:asciiTheme="majorHAnsi" w:hAnsiTheme="majorHAnsi"/>
          <w:sz w:val="20"/>
          <w:szCs w:val="20"/>
          <w:lang w:val="pt-BR"/>
        </w:rPr>
        <w:t xml:space="preserve">presente </w:t>
      </w:r>
      <w:r w:rsidR="00927E16" w:rsidRPr="006D1C74">
        <w:rPr>
          <w:rFonts w:asciiTheme="majorHAnsi" w:hAnsiTheme="majorHAnsi"/>
          <w:sz w:val="20"/>
          <w:szCs w:val="20"/>
          <w:lang w:val="pt-BR"/>
        </w:rPr>
        <w:t>relatório</w:t>
      </w:r>
      <w:r w:rsidR="002649F0" w:rsidRPr="006D1C74">
        <w:rPr>
          <w:rFonts w:asciiTheme="majorHAnsi" w:hAnsiTheme="majorHAnsi"/>
          <w:sz w:val="20"/>
          <w:szCs w:val="20"/>
          <w:lang w:val="pt-BR"/>
        </w:rPr>
        <w:t>.</w:t>
      </w:r>
    </w:p>
    <w:p w14:paraId="02D2FDA8" w14:textId="77777777" w:rsidR="00E46227" w:rsidRPr="006D1C74" w:rsidRDefault="00E46227" w:rsidP="00E46227">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20"/>
          <w:szCs w:val="20"/>
          <w:lang w:val="pt-BR"/>
        </w:rPr>
      </w:pPr>
    </w:p>
    <w:p w14:paraId="7359BC18" w14:textId="77777777" w:rsidR="002649F0" w:rsidRPr="006D1C74" w:rsidRDefault="00B42161" w:rsidP="00E46227">
      <w:pPr>
        <w:pStyle w:val="Heading2"/>
        <w:rPr>
          <w:lang w:val="pt-BR"/>
        </w:rPr>
      </w:pPr>
      <w:bookmarkStart w:id="34" w:name="_Toc535405959"/>
      <w:bookmarkStart w:id="35" w:name="_Toc43554279"/>
      <w:r w:rsidRPr="006D1C74">
        <w:rPr>
          <w:lang w:val="pt-BR"/>
        </w:rPr>
        <w:t>O</w:t>
      </w:r>
      <w:r w:rsidR="002649F0" w:rsidRPr="006D1C74">
        <w:rPr>
          <w:lang w:val="pt-BR"/>
        </w:rPr>
        <w:t xml:space="preserve"> </w:t>
      </w:r>
      <w:r w:rsidR="00417BE8" w:rsidRPr="006D1C74">
        <w:rPr>
          <w:lang w:val="pt-BR"/>
        </w:rPr>
        <w:t>direito</w:t>
      </w:r>
      <w:r w:rsidR="00030019" w:rsidRPr="006D1C74">
        <w:rPr>
          <w:lang w:val="pt-BR"/>
        </w:rPr>
        <w:t xml:space="preserve"> à </w:t>
      </w:r>
      <w:r w:rsidR="002649F0" w:rsidRPr="006D1C74">
        <w:rPr>
          <w:lang w:val="pt-BR"/>
        </w:rPr>
        <w:t>integri</w:t>
      </w:r>
      <w:r w:rsidR="00F673C7" w:rsidRPr="006D1C74">
        <w:rPr>
          <w:lang w:val="pt-BR"/>
        </w:rPr>
        <w:t xml:space="preserve">dade </w:t>
      </w:r>
      <w:r w:rsidR="00CA7940" w:rsidRPr="006D1C74">
        <w:rPr>
          <w:lang w:val="pt-BR"/>
        </w:rPr>
        <w:t>pessoa</w:t>
      </w:r>
      <w:r w:rsidR="002649F0" w:rsidRPr="006D1C74">
        <w:rPr>
          <w:lang w:val="pt-BR"/>
        </w:rPr>
        <w:t>l</w:t>
      </w:r>
      <w:r w:rsidR="00700267" w:rsidRPr="006D1C74">
        <w:rPr>
          <w:lang w:val="pt-BR"/>
        </w:rPr>
        <w:t xml:space="preserve"> dos </w:t>
      </w:r>
      <w:r w:rsidR="001E2392" w:rsidRPr="006D1C74">
        <w:rPr>
          <w:lang w:val="pt-BR"/>
        </w:rPr>
        <w:t>familiares</w:t>
      </w:r>
      <w:r w:rsidR="002649F0" w:rsidRPr="006D1C74">
        <w:rPr>
          <w:lang w:val="pt-BR"/>
        </w:rPr>
        <w:t xml:space="preserve"> de Antonio Tavares Pereira (</w:t>
      </w:r>
      <w:r w:rsidR="00F673C7" w:rsidRPr="006D1C74">
        <w:rPr>
          <w:lang w:val="pt-BR"/>
        </w:rPr>
        <w:t>artigo</w:t>
      </w:r>
      <w:r w:rsidR="002649F0" w:rsidRPr="006D1C74">
        <w:rPr>
          <w:lang w:val="pt-BR"/>
        </w:rPr>
        <w:t xml:space="preserve"> 5.1</w:t>
      </w:r>
      <w:r w:rsidR="00A75D18" w:rsidRPr="006D1C74">
        <w:rPr>
          <w:lang w:val="pt-BR"/>
        </w:rPr>
        <w:t>)</w:t>
      </w:r>
      <w:r w:rsidR="00F673C7" w:rsidRPr="006D1C74">
        <w:rPr>
          <w:lang w:val="pt-BR"/>
        </w:rPr>
        <w:t xml:space="preserve"> </w:t>
      </w:r>
      <w:r w:rsidR="0058776B" w:rsidRPr="006D1C74">
        <w:rPr>
          <w:lang w:val="pt-BR"/>
        </w:rPr>
        <w:t>co</w:t>
      </w:r>
      <w:r w:rsidR="00F673C7" w:rsidRPr="006D1C74">
        <w:rPr>
          <w:lang w:val="pt-BR"/>
        </w:rPr>
        <w:t xml:space="preserve">m </w:t>
      </w:r>
      <w:r w:rsidR="002649F0" w:rsidRPr="006D1C74">
        <w:rPr>
          <w:lang w:val="pt-BR"/>
        </w:rPr>
        <w:t>rela</w:t>
      </w:r>
      <w:r w:rsidR="00CF037E" w:rsidRPr="006D1C74">
        <w:rPr>
          <w:lang w:val="pt-BR"/>
        </w:rPr>
        <w:t>ção</w:t>
      </w:r>
      <w:r w:rsidR="00F673C7" w:rsidRPr="006D1C74">
        <w:rPr>
          <w:lang w:val="pt-BR"/>
        </w:rPr>
        <w:t xml:space="preserve"> </w:t>
      </w:r>
      <w:r w:rsidR="0058776B" w:rsidRPr="006D1C74">
        <w:rPr>
          <w:lang w:val="pt-BR"/>
        </w:rPr>
        <w:t>a</w:t>
      </w:r>
      <w:r w:rsidR="00700267" w:rsidRPr="006D1C74">
        <w:rPr>
          <w:lang w:val="pt-BR"/>
        </w:rPr>
        <w:t xml:space="preserve">o </w:t>
      </w:r>
      <w:r w:rsidR="00F673C7" w:rsidRPr="006D1C74">
        <w:rPr>
          <w:lang w:val="pt-BR"/>
        </w:rPr>
        <w:t>artigo</w:t>
      </w:r>
      <w:r w:rsidR="002649F0" w:rsidRPr="006D1C74">
        <w:rPr>
          <w:lang w:val="pt-BR"/>
        </w:rPr>
        <w:t xml:space="preserve"> 1.1</w:t>
      </w:r>
      <w:r w:rsidR="00795010" w:rsidRPr="006D1C74">
        <w:rPr>
          <w:lang w:val="pt-BR"/>
        </w:rPr>
        <w:t xml:space="preserve"> da </w:t>
      </w:r>
      <w:r w:rsidR="002649F0" w:rsidRPr="006D1C74">
        <w:rPr>
          <w:lang w:val="pt-BR"/>
        </w:rPr>
        <w:t>Conven</w:t>
      </w:r>
      <w:r w:rsidR="00CF037E" w:rsidRPr="006D1C74">
        <w:rPr>
          <w:lang w:val="pt-BR"/>
        </w:rPr>
        <w:t>ção</w:t>
      </w:r>
      <w:r w:rsidR="002649F0" w:rsidRPr="006D1C74">
        <w:rPr>
          <w:lang w:val="pt-BR"/>
        </w:rPr>
        <w:t xml:space="preserve"> Americana.</w:t>
      </w:r>
      <w:bookmarkEnd w:id="34"/>
      <w:bookmarkEnd w:id="35"/>
    </w:p>
    <w:p w14:paraId="5491C90D" w14:textId="77777777" w:rsidR="002649F0" w:rsidRPr="006D1C74" w:rsidRDefault="002649F0" w:rsidP="002649F0">
      <w:pPr>
        <w:ind w:left="720"/>
        <w:rPr>
          <w:rFonts w:asciiTheme="majorHAnsi" w:eastAsia="Cambria" w:hAnsiTheme="majorHAnsi" w:cs="Cambria"/>
          <w:color w:val="FF0000"/>
          <w:sz w:val="20"/>
          <w:szCs w:val="20"/>
          <w:u w:color="000000"/>
          <w:lang w:val="pt-BR" w:eastAsia="es-ES"/>
        </w:rPr>
      </w:pPr>
    </w:p>
    <w:p w14:paraId="77DACA84" w14:textId="092083BB" w:rsidR="002649F0" w:rsidRPr="006D1C74" w:rsidRDefault="003171F3"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bCs/>
          <w:sz w:val="20"/>
          <w:szCs w:val="20"/>
          <w:lang w:val="pt-BR"/>
        </w:rPr>
      </w:pPr>
      <w:r w:rsidRPr="006D1C74">
        <w:rPr>
          <w:rFonts w:asciiTheme="majorHAnsi" w:hAnsiTheme="majorHAnsi"/>
          <w:bCs/>
          <w:sz w:val="20"/>
          <w:szCs w:val="20"/>
          <w:lang w:val="pt-BR"/>
        </w:rPr>
        <w:t>Com</w:t>
      </w:r>
      <w:r w:rsidR="002649F0" w:rsidRPr="006D1C74">
        <w:rPr>
          <w:rFonts w:asciiTheme="majorHAnsi" w:hAnsiTheme="majorHAnsi"/>
          <w:bCs/>
          <w:sz w:val="20"/>
          <w:szCs w:val="20"/>
          <w:lang w:val="pt-BR"/>
        </w:rPr>
        <w:t xml:space="preserve"> </w:t>
      </w:r>
      <w:r w:rsidR="00156036" w:rsidRPr="006D1C74">
        <w:rPr>
          <w:rFonts w:asciiTheme="majorHAnsi" w:hAnsiTheme="majorHAnsi"/>
          <w:bCs/>
          <w:sz w:val="20"/>
          <w:szCs w:val="20"/>
          <w:lang w:val="pt-BR"/>
        </w:rPr>
        <w:t>respeito</w:t>
      </w:r>
      <w:r w:rsidR="00135454" w:rsidRPr="006D1C74">
        <w:rPr>
          <w:rFonts w:asciiTheme="majorHAnsi" w:hAnsiTheme="majorHAnsi"/>
          <w:bCs/>
          <w:sz w:val="20"/>
          <w:szCs w:val="20"/>
          <w:lang w:val="pt-BR"/>
        </w:rPr>
        <w:t xml:space="preserve"> aos </w:t>
      </w:r>
      <w:r w:rsidR="001E2392" w:rsidRPr="006D1C74">
        <w:rPr>
          <w:rFonts w:asciiTheme="majorHAnsi" w:hAnsiTheme="majorHAnsi"/>
          <w:bCs/>
          <w:sz w:val="20"/>
          <w:szCs w:val="20"/>
          <w:lang w:val="pt-BR"/>
        </w:rPr>
        <w:t>familiares</w:t>
      </w:r>
      <w:r w:rsidR="002649F0" w:rsidRPr="006D1C74">
        <w:rPr>
          <w:rFonts w:asciiTheme="majorHAnsi" w:hAnsiTheme="majorHAnsi"/>
          <w:bCs/>
          <w:sz w:val="20"/>
          <w:szCs w:val="20"/>
          <w:lang w:val="pt-BR"/>
        </w:rPr>
        <w:t xml:space="preserve"> de </w:t>
      </w:r>
      <w:r w:rsidR="00795010" w:rsidRPr="006D1C74">
        <w:rPr>
          <w:rFonts w:asciiTheme="majorHAnsi" w:hAnsiTheme="majorHAnsi"/>
          <w:bCs/>
          <w:sz w:val="20"/>
          <w:szCs w:val="20"/>
          <w:lang w:val="pt-BR"/>
        </w:rPr>
        <w:t>vítima</w:t>
      </w:r>
      <w:r w:rsidR="002649F0" w:rsidRPr="006D1C74">
        <w:rPr>
          <w:rFonts w:asciiTheme="majorHAnsi" w:hAnsiTheme="majorHAnsi"/>
          <w:bCs/>
          <w:sz w:val="20"/>
          <w:szCs w:val="20"/>
          <w:lang w:val="pt-BR"/>
        </w:rPr>
        <w:t xml:space="preserve">s de </w:t>
      </w:r>
      <w:r w:rsidRPr="006D1C74">
        <w:rPr>
          <w:rFonts w:asciiTheme="majorHAnsi" w:hAnsiTheme="majorHAnsi"/>
          <w:bCs/>
          <w:sz w:val="20"/>
          <w:szCs w:val="20"/>
          <w:lang w:val="pt-BR"/>
        </w:rPr>
        <w:t>certas</w:t>
      </w:r>
      <w:r w:rsidR="002649F0" w:rsidRPr="006D1C74">
        <w:rPr>
          <w:rFonts w:asciiTheme="majorHAnsi" w:hAnsiTheme="majorHAnsi"/>
          <w:bCs/>
          <w:sz w:val="20"/>
          <w:szCs w:val="20"/>
          <w:lang w:val="pt-BR"/>
        </w:rPr>
        <w:t xml:space="preserve"> viola</w:t>
      </w:r>
      <w:r w:rsidR="00CF037E" w:rsidRPr="006D1C74">
        <w:rPr>
          <w:rFonts w:asciiTheme="majorHAnsi" w:hAnsiTheme="majorHAnsi"/>
          <w:bCs/>
          <w:sz w:val="20"/>
          <w:szCs w:val="20"/>
          <w:lang w:val="pt-BR"/>
        </w:rPr>
        <w:t>ções</w:t>
      </w:r>
      <w:r w:rsidR="002649F0" w:rsidRPr="006D1C74">
        <w:rPr>
          <w:rFonts w:asciiTheme="majorHAnsi" w:hAnsiTheme="majorHAnsi"/>
          <w:bCs/>
          <w:sz w:val="20"/>
          <w:szCs w:val="20"/>
          <w:lang w:val="pt-BR"/>
        </w:rPr>
        <w:t xml:space="preserve"> de </w:t>
      </w:r>
      <w:r w:rsidR="00417BE8" w:rsidRPr="006D1C74">
        <w:rPr>
          <w:rFonts w:asciiTheme="majorHAnsi" w:hAnsiTheme="majorHAnsi"/>
          <w:bCs/>
          <w:sz w:val="20"/>
          <w:szCs w:val="20"/>
          <w:lang w:val="pt-BR"/>
        </w:rPr>
        <w:t>direito</w:t>
      </w:r>
      <w:r w:rsidR="002649F0" w:rsidRPr="006D1C74">
        <w:rPr>
          <w:rFonts w:asciiTheme="majorHAnsi" w:hAnsiTheme="majorHAnsi"/>
          <w:bCs/>
          <w:sz w:val="20"/>
          <w:szCs w:val="20"/>
          <w:lang w:val="pt-BR"/>
        </w:rPr>
        <w:t>s humanos,</w:t>
      </w:r>
      <w:r w:rsidR="00700267" w:rsidRPr="006D1C74">
        <w:rPr>
          <w:rFonts w:asciiTheme="majorHAnsi" w:hAnsiTheme="majorHAnsi"/>
          <w:bCs/>
          <w:sz w:val="20"/>
          <w:szCs w:val="20"/>
          <w:lang w:val="pt-BR"/>
        </w:rPr>
        <w:t xml:space="preserve"> a </w:t>
      </w:r>
      <w:r w:rsidR="002649F0" w:rsidRPr="006D1C74">
        <w:rPr>
          <w:rFonts w:asciiTheme="majorHAnsi" w:hAnsiTheme="majorHAnsi"/>
          <w:bCs/>
          <w:sz w:val="20"/>
          <w:szCs w:val="20"/>
          <w:lang w:val="pt-BR"/>
        </w:rPr>
        <w:t>Corte Interamericana indic</w:t>
      </w:r>
      <w:r w:rsidR="0058776B" w:rsidRPr="006D1C74">
        <w:rPr>
          <w:rFonts w:asciiTheme="majorHAnsi" w:hAnsiTheme="majorHAnsi"/>
          <w:bCs/>
          <w:sz w:val="20"/>
          <w:szCs w:val="20"/>
          <w:lang w:val="pt-BR"/>
        </w:rPr>
        <w:t>ou</w:t>
      </w:r>
      <w:r w:rsidR="002649F0" w:rsidRPr="006D1C74">
        <w:rPr>
          <w:rFonts w:asciiTheme="majorHAnsi" w:hAnsiTheme="majorHAnsi"/>
          <w:bCs/>
          <w:sz w:val="20"/>
          <w:szCs w:val="20"/>
          <w:lang w:val="pt-BR"/>
        </w:rPr>
        <w:t xml:space="preserve"> que p</w:t>
      </w:r>
      <w:r w:rsidR="0058776B" w:rsidRPr="006D1C74">
        <w:rPr>
          <w:rFonts w:asciiTheme="majorHAnsi" w:hAnsiTheme="majorHAnsi"/>
          <w:bCs/>
          <w:sz w:val="20"/>
          <w:szCs w:val="20"/>
          <w:lang w:val="pt-BR"/>
        </w:rPr>
        <w:t>odem</w:t>
      </w:r>
      <w:r w:rsidR="002649F0" w:rsidRPr="006D1C74">
        <w:rPr>
          <w:rFonts w:asciiTheme="majorHAnsi" w:hAnsiTheme="majorHAnsi"/>
          <w:bCs/>
          <w:sz w:val="20"/>
          <w:szCs w:val="20"/>
          <w:lang w:val="pt-BR"/>
        </w:rPr>
        <w:t xml:space="preserve"> ser considerados como </w:t>
      </w:r>
      <w:r w:rsidR="00795010" w:rsidRPr="006D1C74">
        <w:rPr>
          <w:rFonts w:asciiTheme="majorHAnsi" w:hAnsiTheme="majorHAnsi"/>
          <w:bCs/>
          <w:sz w:val="20"/>
          <w:szCs w:val="20"/>
          <w:lang w:val="pt-BR"/>
        </w:rPr>
        <w:t>vítima</w:t>
      </w:r>
      <w:r w:rsidR="002649F0" w:rsidRPr="006D1C74">
        <w:rPr>
          <w:rFonts w:asciiTheme="majorHAnsi" w:hAnsiTheme="majorHAnsi"/>
          <w:bCs/>
          <w:sz w:val="20"/>
          <w:szCs w:val="20"/>
          <w:lang w:val="pt-BR"/>
        </w:rPr>
        <w:t>s</w:t>
      </w:r>
      <w:r w:rsidR="002649F0" w:rsidRPr="006D1C74">
        <w:rPr>
          <w:rFonts w:asciiTheme="majorHAnsi" w:hAnsiTheme="majorHAnsi"/>
          <w:bCs/>
          <w:sz w:val="20"/>
          <w:szCs w:val="20"/>
          <w:vertAlign w:val="superscript"/>
          <w:lang w:val="pt-BR"/>
        </w:rPr>
        <w:footnoteReference w:id="109"/>
      </w:r>
      <w:r w:rsidR="002649F0" w:rsidRPr="006D1C74">
        <w:rPr>
          <w:rFonts w:asciiTheme="majorHAnsi" w:hAnsiTheme="majorHAnsi"/>
          <w:bCs/>
          <w:sz w:val="20"/>
          <w:szCs w:val="20"/>
          <w:lang w:val="pt-BR"/>
        </w:rPr>
        <w:t>.</w:t>
      </w:r>
      <w:r w:rsidR="00F673C7" w:rsidRPr="006D1C74">
        <w:rPr>
          <w:rFonts w:asciiTheme="majorHAnsi" w:hAnsiTheme="majorHAnsi"/>
          <w:bCs/>
          <w:sz w:val="20"/>
          <w:szCs w:val="20"/>
          <w:lang w:val="pt-BR"/>
        </w:rPr>
        <w:t xml:space="preserve"> </w:t>
      </w:r>
      <w:r w:rsidR="0058776B" w:rsidRPr="006D1C74">
        <w:rPr>
          <w:rFonts w:asciiTheme="majorHAnsi" w:hAnsiTheme="majorHAnsi"/>
          <w:bCs/>
          <w:sz w:val="20"/>
          <w:szCs w:val="20"/>
          <w:lang w:val="pt-BR"/>
        </w:rPr>
        <w:t>N</w:t>
      </w:r>
      <w:r w:rsidR="002649F0" w:rsidRPr="006D1C74">
        <w:rPr>
          <w:rFonts w:asciiTheme="majorHAnsi" w:hAnsiTheme="majorHAnsi"/>
          <w:bCs/>
          <w:sz w:val="20"/>
          <w:szCs w:val="20"/>
          <w:lang w:val="pt-BR"/>
        </w:rPr>
        <w:t>e</w:t>
      </w:r>
      <w:r w:rsidR="00981A34">
        <w:rPr>
          <w:rFonts w:asciiTheme="majorHAnsi" w:hAnsiTheme="majorHAnsi"/>
          <w:bCs/>
          <w:sz w:val="20"/>
          <w:szCs w:val="20"/>
          <w:lang w:val="pt-BR"/>
        </w:rPr>
        <w:t>s</w:t>
      </w:r>
      <w:r w:rsidR="002649F0" w:rsidRPr="006D1C74">
        <w:rPr>
          <w:rFonts w:asciiTheme="majorHAnsi" w:hAnsiTheme="majorHAnsi"/>
          <w:bCs/>
          <w:sz w:val="20"/>
          <w:szCs w:val="20"/>
          <w:lang w:val="pt-BR"/>
        </w:rPr>
        <w:t>se sentido,</w:t>
      </w:r>
      <w:r w:rsidR="00700267" w:rsidRPr="006D1C74">
        <w:rPr>
          <w:rFonts w:asciiTheme="majorHAnsi" w:hAnsiTheme="majorHAnsi"/>
          <w:bCs/>
          <w:sz w:val="20"/>
          <w:szCs w:val="20"/>
          <w:lang w:val="pt-BR"/>
        </w:rPr>
        <w:t xml:space="preserve"> a </w:t>
      </w:r>
      <w:r w:rsidR="002649F0" w:rsidRPr="006D1C74">
        <w:rPr>
          <w:rFonts w:asciiTheme="majorHAnsi" w:hAnsiTheme="majorHAnsi"/>
          <w:bCs/>
          <w:sz w:val="20"/>
          <w:szCs w:val="20"/>
          <w:lang w:val="pt-BR"/>
        </w:rPr>
        <w:t xml:space="preserve">Corte </w:t>
      </w:r>
      <w:r w:rsidR="0058776B" w:rsidRPr="006D1C74">
        <w:rPr>
          <w:rFonts w:asciiTheme="majorHAnsi" w:hAnsiTheme="majorHAnsi"/>
          <w:bCs/>
          <w:sz w:val="20"/>
          <w:szCs w:val="20"/>
          <w:lang w:val="pt-BR"/>
        </w:rPr>
        <w:t>dispôs</w:t>
      </w:r>
      <w:r w:rsidR="002649F0" w:rsidRPr="006D1C74">
        <w:rPr>
          <w:rFonts w:asciiTheme="majorHAnsi" w:hAnsiTheme="majorHAnsi"/>
          <w:bCs/>
          <w:sz w:val="20"/>
          <w:szCs w:val="20"/>
          <w:lang w:val="pt-BR"/>
        </w:rPr>
        <w:t xml:space="preserve"> que </w:t>
      </w:r>
      <w:r w:rsidR="005F06B1">
        <w:rPr>
          <w:rFonts w:asciiTheme="majorHAnsi" w:hAnsiTheme="majorHAnsi"/>
          <w:bCs/>
          <w:sz w:val="20"/>
          <w:szCs w:val="20"/>
          <w:lang w:val="pt-BR"/>
        </w:rPr>
        <w:t xml:space="preserve">familiares </w:t>
      </w:r>
      <w:r w:rsidR="002649F0" w:rsidRPr="006D1C74">
        <w:rPr>
          <w:rFonts w:asciiTheme="majorHAnsi" w:hAnsiTheme="majorHAnsi"/>
          <w:bCs/>
          <w:sz w:val="20"/>
          <w:szCs w:val="20"/>
          <w:lang w:val="pt-BR"/>
        </w:rPr>
        <w:t>p</w:t>
      </w:r>
      <w:r w:rsidR="0058776B" w:rsidRPr="006D1C74">
        <w:rPr>
          <w:rFonts w:asciiTheme="majorHAnsi" w:hAnsiTheme="majorHAnsi"/>
          <w:bCs/>
          <w:sz w:val="20"/>
          <w:szCs w:val="20"/>
          <w:lang w:val="pt-BR"/>
        </w:rPr>
        <w:t xml:space="preserve">odem ser </w:t>
      </w:r>
      <w:r w:rsidRPr="006D1C74">
        <w:rPr>
          <w:rFonts w:asciiTheme="majorHAnsi" w:hAnsiTheme="majorHAnsi"/>
          <w:bCs/>
          <w:sz w:val="20"/>
          <w:szCs w:val="20"/>
          <w:lang w:val="pt-BR"/>
        </w:rPr>
        <w:t>afetados</w:t>
      </w:r>
      <w:r w:rsidR="00F673C7" w:rsidRPr="006D1C74">
        <w:rPr>
          <w:rFonts w:asciiTheme="majorHAnsi" w:hAnsiTheme="majorHAnsi"/>
          <w:bCs/>
          <w:sz w:val="20"/>
          <w:szCs w:val="20"/>
          <w:lang w:val="pt-BR"/>
        </w:rPr>
        <w:t xml:space="preserve"> em </w:t>
      </w:r>
      <w:r w:rsidRPr="006D1C74">
        <w:rPr>
          <w:rFonts w:asciiTheme="majorHAnsi" w:hAnsiTheme="majorHAnsi"/>
          <w:bCs/>
          <w:sz w:val="20"/>
          <w:szCs w:val="20"/>
          <w:lang w:val="pt-BR"/>
        </w:rPr>
        <w:t>sua</w:t>
      </w:r>
      <w:r w:rsidR="002649F0" w:rsidRPr="006D1C74">
        <w:rPr>
          <w:rFonts w:asciiTheme="majorHAnsi" w:hAnsiTheme="majorHAnsi"/>
          <w:bCs/>
          <w:sz w:val="20"/>
          <w:szCs w:val="20"/>
          <w:lang w:val="pt-BR"/>
        </w:rPr>
        <w:t xml:space="preserve"> integri</w:t>
      </w:r>
      <w:r w:rsidR="00F673C7" w:rsidRPr="006D1C74">
        <w:rPr>
          <w:rFonts w:asciiTheme="majorHAnsi" w:hAnsiTheme="majorHAnsi"/>
          <w:bCs/>
          <w:sz w:val="20"/>
          <w:szCs w:val="20"/>
          <w:lang w:val="pt-BR"/>
        </w:rPr>
        <w:t xml:space="preserve">dade </w:t>
      </w:r>
      <w:r w:rsidR="002649F0" w:rsidRPr="006D1C74">
        <w:rPr>
          <w:rFonts w:asciiTheme="majorHAnsi" w:hAnsiTheme="majorHAnsi"/>
          <w:bCs/>
          <w:sz w:val="20"/>
          <w:szCs w:val="20"/>
          <w:lang w:val="pt-BR"/>
        </w:rPr>
        <w:t>psíquica</w:t>
      </w:r>
      <w:r w:rsidR="00CF037E" w:rsidRPr="006D1C74">
        <w:rPr>
          <w:rFonts w:asciiTheme="majorHAnsi" w:hAnsiTheme="majorHAnsi"/>
          <w:bCs/>
          <w:sz w:val="20"/>
          <w:szCs w:val="20"/>
          <w:lang w:val="pt-BR"/>
        </w:rPr>
        <w:t xml:space="preserve"> e </w:t>
      </w:r>
      <w:r w:rsidR="002649F0" w:rsidRPr="006D1C74">
        <w:rPr>
          <w:rFonts w:asciiTheme="majorHAnsi" w:hAnsiTheme="majorHAnsi"/>
          <w:bCs/>
          <w:sz w:val="20"/>
          <w:szCs w:val="20"/>
          <w:lang w:val="pt-BR"/>
        </w:rPr>
        <w:t xml:space="preserve">moral </w:t>
      </w:r>
      <w:r w:rsidR="0058776B" w:rsidRPr="006D1C74">
        <w:rPr>
          <w:rFonts w:asciiTheme="majorHAnsi" w:hAnsiTheme="majorHAnsi"/>
          <w:bCs/>
          <w:sz w:val="20"/>
          <w:szCs w:val="20"/>
          <w:lang w:val="pt-BR"/>
        </w:rPr>
        <w:t>em</w:t>
      </w:r>
      <w:r w:rsidR="002649F0" w:rsidRPr="006D1C74">
        <w:rPr>
          <w:rFonts w:asciiTheme="majorHAnsi" w:hAnsiTheme="majorHAnsi"/>
          <w:bCs/>
          <w:sz w:val="20"/>
          <w:szCs w:val="20"/>
          <w:lang w:val="pt-BR"/>
        </w:rPr>
        <w:t xml:space="preserve"> </w:t>
      </w:r>
      <w:r w:rsidRPr="006D1C74">
        <w:rPr>
          <w:rFonts w:asciiTheme="majorHAnsi" w:hAnsiTheme="majorHAnsi"/>
          <w:bCs/>
          <w:sz w:val="20"/>
          <w:szCs w:val="20"/>
          <w:lang w:val="pt-BR"/>
        </w:rPr>
        <w:t>consequência</w:t>
      </w:r>
      <w:r w:rsidR="00D74A93" w:rsidRPr="006D1C74">
        <w:rPr>
          <w:rFonts w:asciiTheme="majorHAnsi" w:hAnsiTheme="majorHAnsi"/>
          <w:bCs/>
          <w:sz w:val="20"/>
          <w:szCs w:val="20"/>
          <w:lang w:val="pt-BR"/>
        </w:rPr>
        <w:t xml:space="preserve"> das </w:t>
      </w:r>
      <w:r w:rsidR="002649F0" w:rsidRPr="006D1C74">
        <w:rPr>
          <w:rFonts w:asciiTheme="majorHAnsi" w:hAnsiTheme="majorHAnsi"/>
          <w:bCs/>
          <w:sz w:val="20"/>
          <w:szCs w:val="20"/>
          <w:lang w:val="pt-BR"/>
        </w:rPr>
        <w:t>situa</w:t>
      </w:r>
      <w:r w:rsidR="00CF037E" w:rsidRPr="006D1C74">
        <w:rPr>
          <w:rFonts w:asciiTheme="majorHAnsi" w:hAnsiTheme="majorHAnsi"/>
          <w:bCs/>
          <w:sz w:val="20"/>
          <w:szCs w:val="20"/>
          <w:lang w:val="pt-BR"/>
        </w:rPr>
        <w:t>ções</w:t>
      </w:r>
      <w:r w:rsidR="002649F0" w:rsidRPr="006D1C74">
        <w:rPr>
          <w:rFonts w:asciiTheme="majorHAnsi" w:hAnsiTheme="majorHAnsi"/>
          <w:bCs/>
          <w:sz w:val="20"/>
          <w:szCs w:val="20"/>
          <w:lang w:val="pt-BR"/>
        </w:rPr>
        <w:t xml:space="preserve"> particulares que </w:t>
      </w:r>
      <w:r w:rsidRPr="006D1C74">
        <w:rPr>
          <w:rFonts w:asciiTheme="majorHAnsi" w:hAnsiTheme="majorHAnsi"/>
          <w:bCs/>
          <w:sz w:val="20"/>
          <w:szCs w:val="20"/>
          <w:lang w:val="pt-BR"/>
        </w:rPr>
        <w:t>padeceram</w:t>
      </w:r>
      <w:r w:rsidR="00700267" w:rsidRPr="006D1C74">
        <w:rPr>
          <w:rFonts w:asciiTheme="majorHAnsi" w:hAnsiTheme="majorHAnsi"/>
          <w:bCs/>
          <w:sz w:val="20"/>
          <w:szCs w:val="20"/>
          <w:lang w:val="pt-BR"/>
        </w:rPr>
        <w:t xml:space="preserve"> as </w:t>
      </w:r>
      <w:r w:rsidR="00795010" w:rsidRPr="006D1C74">
        <w:rPr>
          <w:rFonts w:asciiTheme="majorHAnsi" w:hAnsiTheme="majorHAnsi"/>
          <w:bCs/>
          <w:sz w:val="20"/>
          <w:szCs w:val="20"/>
          <w:lang w:val="pt-BR"/>
        </w:rPr>
        <w:t>vítima</w:t>
      </w:r>
      <w:r w:rsidR="002649F0" w:rsidRPr="006D1C74">
        <w:rPr>
          <w:rFonts w:asciiTheme="majorHAnsi" w:hAnsiTheme="majorHAnsi"/>
          <w:bCs/>
          <w:sz w:val="20"/>
          <w:szCs w:val="20"/>
          <w:lang w:val="pt-BR"/>
        </w:rPr>
        <w:t xml:space="preserve">s, </w:t>
      </w:r>
      <w:r w:rsidR="0058776B" w:rsidRPr="006D1C74">
        <w:rPr>
          <w:rFonts w:asciiTheme="majorHAnsi" w:hAnsiTheme="majorHAnsi"/>
          <w:bCs/>
          <w:sz w:val="20"/>
          <w:szCs w:val="20"/>
          <w:lang w:val="pt-BR"/>
        </w:rPr>
        <w:t>bem</w:t>
      </w:r>
      <w:r w:rsidR="002649F0" w:rsidRPr="006D1C74">
        <w:rPr>
          <w:rFonts w:asciiTheme="majorHAnsi" w:hAnsiTheme="majorHAnsi"/>
          <w:bCs/>
          <w:sz w:val="20"/>
          <w:szCs w:val="20"/>
          <w:lang w:val="pt-BR"/>
        </w:rPr>
        <w:t xml:space="preserve"> como</w:t>
      </w:r>
      <w:r w:rsidR="00D74A93" w:rsidRPr="006D1C74">
        <w:rPr>
          <w:rFonts w:asciiTheme="majorHAnsi" w:hAnsiTheme="majorHAnsi"/>
          <w:bCs/>
          <w:sz w:val="20"/>
          <w:szCs w:val="20"/>
          <w:lang w:val="pt-BR"/>
        </w:rPr>
        <w:t xml:space="preserve"> das </w:t>
      </w:r>
      <w:r w:rsidR="002649F0" w:rsidRPr="006D1C74">
        <w:rPr>
          <w:rFonts w:asciiTheme="majorHAnsi" w:hAnsiTheme="majorHAnsi"/>
          <w:bCs/>
          <w:sz w:val="20"/>
          <w:szCs w:val="20"/>
          <w:lang w:val="pt-BR"/>
        </w:rPr>
        <w:t>posteriores a</w:t>
      </w:r>
      <w:r w:rsidR="006E610A" w:rsidRPr="006D1C74">
        <w:rPr>
          <w:rFonts w:asciiTheme="majorHAnsi" w:hAnsiTheme="majorHAnsi"/>
          <w:bCs/>
          <w:sz w:val="20"/>
          <w:szCs w:val="20"/>
          <w:lang w:val="pt-BR"/>
        </w:rPr>
        <w:t>ç</w:t>
      </w:r>
      <w:r w:rsidR="00CF037E" w:rsidRPr="006D1C74">
        <w:rPr>
          <w:rFonts w:asciiTheme="majorHAnsi" w:hAnsiTheme="majorHAnsi"/>
          <w:bCs/>
          <w:sz w:val="20"/>
          <w:szCs w:val="20"/>
          <w:lang w:val="pt-BR"/>
        </w:rPr>
        <w:t>ões</w:t>
      </w:r>
      <w:r w:rsidR="002649F0" w:rsidRPr="006D1C74">
        <w:rPr>
          <w:rFonts w:asciiTheme="majorHAnsi" w:hAnsiTheme="majorHAnsi"/>
          <w:bCs/>
          <w:sz w:val="20"/>
          <w:szCs w:val="20"/>
          <w:lang w:val="pt-BR"/>
        </w:rPr>
        <w:t xml:space="preserve"> </w:t>
      </w:r>
      <w:r w:rsidR="0058776B" w:rsidRPr="006D1C74">
        <w:rPr>
          <w:rFonts w:asciiTheme="majorHAnsi" w:hAnsiTheme="majorHAnsi"/>
          <w:bCs/>
          <w:sz w:val="20"/>
          <w:szCs w:val="20"/>
          <w:lang w:val="pt-BR"/>
        </w:rPr>
        <w:t>o</w:t>
      </w:r>
      <w:r w:rsidR="002649F0" w:rsidRPr="006D1C74">
        <w:rPr>
          <w:rFonts w:asciiTheme="majorHAnsi" w:hAnsiTheme="majorHAnsi"/>
          <w:bCs/>
          <w:sz w:val="20"/>
          <w:szCs w:val="20"/>
          <w:lang w:val="pt-BR"/>
        </w:rPr>
        <w:t>u omis</w:t>
      </w:r>
      <w:r w:rsidR="0058776B" w:rsidRPr="006D1C74">
        <w:rPr>
          <w:rFonts w:asciiTheme="majorHAnsi" w:hAnsiTheme="majorHAnsi"/>
          <w:bCs/>
          <w:sz w:val="20"/>
          <w:szCs w:val="20"/>
          <w:lang w:val="pt-BR"/>
        </w:rPr>
        <w:t>sõ</w:t>
      </w:r>
      <w:r w:rsidR="002649F0" w:rsidRPr="006D1C74">
        <w:rPr>
          <w:rFonts w:asciiTheme="majorHAnsi" w:hAnsiTheme="majorHAnsi"/>
          <w:bCs/>
          <w:sz w:val="20"/>
          <w:szCs w:val="20"/>
          <w:lang w:val="pt-BR"/>
        </w:rPr>
        <w:t>es</w:t>
      </w:r>
      <w:r w:rsidR="00D74A93" w:rsidRPr="006D1C74">
        <w:rPr>
          <w:rFonts w:asciiTheme="majorHAnsi" w:hAnsiTheme="majorHAnsi"/>
          <w:bCs/>
          <w:sz w:val="20"/>
          <w:szCs w:val="20"/>
          <w:lang w:val="pt-BR"/>
        </w:rPr>
        <w:t xml:space="preserve"> das </w:t>
      </w:r>
      <w:r w:rsidR="002649F0" w:rsidRPr="006D1C74">
        <w:rPr>
          <w:rFonts w:asciiTheme="majorHAnsi" w:hAnsiTheme="majorHAnsi"/>
          <w:bCs/>
          <w:sz w:val="20"/>
          <w:szCs w:val="20"/>
          <w:lang w:val="pt-BR"/>
        </w:rPr>
        <w:t>autoridades internas frente a es</w:t>
      </w:r>
      <w:r w:rsidR="0058776B" w:rsidRPr="006D1C74">
        <w:rPr>
          <w:rFonts w:asciiTheme="majorHAnsi" w:hAnsiTheme="majorHAnsi"/>
          <w:bCs/>
          <w:sz w:val="20"/>
          <w:szCs w:val="20"/>
          <w:lang w:val="pt-BR"/>
        </w:rPr>
        <w:t>se</w:t>
      </w:r>
      <w:r w:rsidR="002649F0" w:rsidRPr="006D1C74">
        <w:rPr>
          <w:rFonts w:asciiTheme="majorHAnsi" w:hAnsiTheme="majorHAnsi"/>
          <w:bCs/>
          <w:sz w:val="20"/>
          <w:szCs w:val="20"/>
          <w:lang w:val="pt-BR"/>
        </w:rPr>
        <w:t xml:space="preserve">s </w:t>
      </w:r>
      <w:r w:rsidR="00F37852" w:rsidRPr="006D1C74">
        <w:rPr>
          <w:rFonts w:asciiTheme="majorHAnsi" w:hAnsiTheme="majorHAnsi"/>
          <w:bCs/>
          <w:sz w:val="20"/>
          <w:szCs w:val="20"/>
          <w:lang w:val="pt-BR"/>
        </w:rPr>
        <w:t>fato</w:t>
      </w:r>
      <w:r w:rsidR="002649F0" w:rsidRPr="006D1C74">
        <w:rPr>
          <w:rFonts w:asciiTheme="majorHAnsi" w:hAnsiTheme="majorHAnsi"/>
          <w:bCs/>
          <w:sz w:val="20"/>
          <w:szCs w:val="20"/>
          <w:lang w:val="pt-BR"/>
        </w:rPr>
        <w:t>s</w:t>
      </w:r>
      <w:r w:rsidR="002649F0" w:rsidRPr="006D1C74">
        <w:rPr>
          <w:rFonts w:asciiTheme="majorHAnsi" w:hAnsiTheme="majorHAnsi"/>
          <w:bCs/>
          <w:sz w:val="20"/>
          <w:szCs w:val="20"/>
          <w:vertAlign w:val="superscript"/>
          <w:lang w:val="pt-BR"/>
        </w:rPr>
        <w:footnoteReference w:id="110"/>
      </w:r>
      <w:r w:rsidR="002649F0" w:rsidRPr="006D1C74">
        <w:rPr>
          <w:rFonts w:asciiTheme="majorHAnsi" w:hAnsiTheme="majorHAnsi"/>
          <w:bCs/>
          <w:sz w:val="20"/>
          <w:szCs w:val="20"/>
          <w:lang w:val="pt-BR"/>
        </w:rPr>
        <w:t>.</w:t>
      </w:r>
    </w:p>
    <w:p w14:paraId="1F981F25"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bCs/>
          <w:sz w:val="20"/>
          <w:szCs w:val="20"/>
          <w:lang w:val="pt-BR"/>
        </w:rPr>
      </w:pPr>
    </w:p>
    <w:p w14:paraId="29EF8537" w14:textId="77777777" w:rsidR="002649F0" w:rsidRPr="006D1C74" w:rsidRDefault="005241BB"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bCs/>
          <w:sz w:val="20"/>
          <w:szCs w:val="20"/>
          <w:lang w:val="pt-BR"/>
        </w:rPr>
      </w:pPr>
      <w:r w:rsidRPr="006D1C74">
        <w:rPr>
          <w:rFonts w:ascii="Cambria" w:hAnsi="Cambria"/>
          <w:bCs/>
          <w:sz w:val="20"/>
          <w:szCs w:val="20"/>
          <w:lang w:val="pt-BR"/>
        </w:rPr>
        <w:t>N</w:t>
      </w:r>
      <w:r w:rsidR="00700267" w:rsidRPr="006D1C74">
        <w:rPr>
          <w:rFonts w:ascii="Cambria" w:hAnsi="Cambria"/>
          <w:bCs/>
          <w:sz w:val="20"/>
          <w:szCs w:val="20"/>
          <w:lang w:val="pt-BR"/>
        </w:rPr>
        <w:t xml:space="preserve">o </w:t>
      </w:r>
      <w:r w:rsidR="002649F0" w:rsidRPr="006D1C74">
        <w:rPr>
          <w:rFonts w:ascii="Cambria" w:hAnsi="Cambria"/>
          <w:bCs/>
          <w:sz w:val="20"/>
          <w:szCs w:val="20"/>
          <w:lang w:val="pt-BR"/>
        </w:rPr>
        <w:t xml:space="preserve">caso </w:t>
      </w:r>
      <w:r w:rsidR="00C81014">
        <w:rPr>
          <w:rFonts w:ascii="Cambria" w:hAnsi="Cambria"/>
          <w:bCs/>
          <w:sz w:val="20"/>
          <w:szCs w:val="20"/>
          <w:lang w:val="pt-BR"/>
        </w:rPr>
        <w:t>presente</w:t>
      </w:r>
      <w:r w:rsidR="002649F0" w:rsidRPr="006D1C74">
        <w:rPr>
          <w:rFonts w:ascii="Cambria" w:hAnsi="Cambria"/>
          <w:bCs/>
          <w:sz w:val="20"/>
          <w:szCs w:val="20"/>
          <w:lang w:val="pt-BR"/>
        </w:rPr>
        <w:t>,</w:t>
      </w:r>
      <w:r w:rsidR="00700267" w:rsidRPr="006D1C74">
        <w:rPr>
          <w:rFonts w:ascii="Cambria" w:hAnsi="Cambria"/>
          <w:bCs/>
          <w:sz w:val="20"/>
          <w:szCs w:val="20"/>
          <w:lang w:val="pt-BR"/>
        </w:rPr>
        <w:t xml:space="preserve"> a </w:t>
      </w:r>
      <w:r w:rsidR="00417BE8" w:rsidRPr="006D1C74">
        <w:rPr>
          <w:rFonts w:ascii="Cambria" w:hAnsi="Cambria"/>
          <w:bCs/>
          <w:sz w:val="20"/>
          <w:szCs w:val="20"/>
          <w:lang w:val="pt-BR"/>
        </w:rPr>
        <w:t>Comissão</w:t>
      </w:r>
      <w:r w:rsidR="002649F0" w:rsidRPr="006D1C74">
        <w:rPr>
          <w:rFonts w:ascii="Cambria" w:hAnsi="Cambria"/>
          <w:bCs/>
          <w:sz w:val="20"/>
          <w:szCs w:val="20"/>
          <w:lang w:val="pt-BR"/>
        </w:rPr>
        <w:t xml:space="preserve"> compro</w:t>
      </w:r>
      <w:r w:rsidRPr="006D1C74">
        <w:rPr>
          <w:rFonts w:ascii="Cambria" w:hAnsi="Cambria"/>
          <w:bCs/>
          <w:sz w:val="20"/>
          <w:szCs w:val="20"/>
          <w:lang w:val="pt-BR"/>
        </w:rPr>
        <w:t>vou</w:t>
      </w:r>
      <w:r w:rsidR="002649F0" w:rsidRPr="006D1C74">
        <w:rPr>
          <w:rFonts w:ascii="Cambria" w:hAnsi="Cambria"/>
          <w:bCs/>
          <w:sz w:val="20"/>
          <w:szCs w:val="20"/>
          <w:lang w:val="pt-BR"/>
        </w:rPr>
        <w:t xml:space="preserve"> que Antonio Tavares Pereira perd</w:t>
      </w:r>
      <w:r w:rsidRPr="006D1C74">
        <w:rPr>
          <w:rFonts w:ascii="Cambria" w:hAnsi="Cambria"/>
          <w:bCs/>
          <w:sz w:val="20"/>
          <w:szCs w:val="20"/>
          <w:lang w:val="pt-BR"/>
        </w:rPr>
        <w:t>eu</w:t>
      </w:r>
      <w:r w:rsidR="00700267" w:rsidRPr="006D1C74">
        <w:rPr>
          <w:rFonts w:ascii="Cambria" w:hAnsi="Cambria"/>
          <w:bCs/>
          <w:sz w:val="20"/>
          <w:szCs w:val="20"/>
          <w:lang w:val="pt-BR"/>
        </w:rPr>
        <w:t xml:space="preserve"> a </w:t>
      </w:r>
      <w:r w:rsidR="002649F0" w:rsidRPr="006D1C74">
        <w:rPr>
          <w:rFonts w:ascii="Cambria" w:hAnsi="Cambria"/>
          <w:bCs/>
          <w:sz w:val="20"/>
          <w:szCs w:val="20"/>
          <w:lang w:val="pt-BR"/>
        </w:rPr>
        <w:t>vida</w:t>
      </w:r>
      <w:r w:rsidR="00F673C7" w:rsidRPr="006D1C74">
        <w:rPr>
          <w:rFonts w:ascii="Cambria" w:hAnsi="Cambria"/>
          <w:bCs/>
          <w:sz w:val="20"/>
          <w:szCs w:val="20"/>
          <w:lang w:val="pt-BR"/>
        </w:rPr>
        <w:t xml:space="preserve"> em </w:t>
      </w:r>
      <w:r w:rsidR="003171F3" w:rsidRPr="006D1C74">
        <w:rPr>
          <w:rFonts w:ascii="Cambria" w:hAnsi="Cambria"/>
          <w:bCs/>
          <w:sz w:val="20"/>
          <w:szCs w:val="20"/>
          <w:lang w:val="pt-BR"/>
        </w:rPr>
        <w:t>circunstâncias</w:t>
      </w:r>
      <w:r w:rsidR="00F673C7" w:rsidRPr="006D1C74">
        <w:rPr>
          <w:rFonts w:ascii="Cambria" w:hAnsi="Cambria"/>
          <w:bCs/>
          <w:sz w:val="20"/>
          <w:szCs w:val="20"/>
          <w:lang w:val="pt-BR"/>
        </w:rPr>
        <w:t xml:space="preserve"> </w:t>
      </w:r>
      <w:r w:rsidRPr="006D1C74">
        <w:rPr>
          <w:rFonts w:ascii="Cambria" w:hAnsi="Cambria"/>
          <w:bCs/>
          <w:sz w:val="20"/>
          <w:szCs w:val="20"/>
          <w:lang w:val="pt-BR"/>
        </w:rPr>
        <w:t>n</w:t>
      </w:r>
      <w:r w:rsidR="00700267" w:rsidRPr="006D1C74">
        <w:rPr>
          <w:rFonts w:ascii="Cambria" w:hAnsi="Cambria"/>
          <w:bCs/>
          <w:sz w:val="20"/>
          <w:szCs w:val="20"/>
          <w:lang w:val="pt-BR"/>
        </w:rPr>
        <w:t xml:space="preserve">as </w:t>
      </w:r>
      <w:r w:rsidR="003705A2">
        <w:rPr>
          <w:rFonts w:ascii="Cambria" w:hAnsi="Cambria"/>
          <w:bCs/>
          <w:sz w:val="20"/>
          <w:szCs w:val="20"/>
          <w:lang w:val="pt-BR"/>
        </w:rPr>
        <w:t>qua</w:t>
      </w:r>
      <w:r w:rsidR="00700267" w:rsidRPr="006D1C74">
        <w:rPr>
          <w:rFonts w:ascii="Cambria" w:hAnsi="Cambria"/>
          <w:bCs/>
          <w:sz w:val="20"/>
          <w:szCs w:val="20"/>
          <w:lang w:val="pt-BR"/>
        </w:rPr>
        <w:t>is</w:t>
      </w:r>
      <w:r w:rsidR="002649F0" w:rsidRPr="006D1C74">
        <w:rPr>
          <w:rFonts w:ascii="Cambria" w:hAnsi="Cambria"/>
          <w:bCs/>
          <w:sz w:val="20"/>
          <w:szCs w:val="20"/>
          <w:lang w:val="pt-BR"/>
        </w:rPr>
        <w:t xml:space="preserve"> agentes estat</w:t>
      </w:r>
      <w:r w:rsidR="00700267" w:rsidRPr="006D1C74">
        <w:rPr>
          <w:rFonts w:ascii="Cambria" w:hAnsi="Cambria"/>
          <w:bCs/>
          <w:sz w:val="20"/>
          <w:szCs w:val="20"/>
          <w:lang w:val="pt-BR"/>
        </w:rPr>
        <w:t>ais</w:t>
      </w:r>
      <w:r w:rsidR="002649F0" w:rsidRPr="006D1C74">
        <w:rPr>
          <w:rFonts w:ascii="Cambria" w:hAnsi="Cambria"/>
          <w:bCs/>
          <w:sz w:val="20"/>
          <w:szCs w:val="20"/>
          <w:lang w:val="pt-BR"/>
        </w:rPr>
        <w:t xml:space="preserve"> rec</w:t>
      </w:r>
      <w:r w:rsidRPr="006D1C74">
        <w:rPr>
          <w:rFonts w:ascii="Cambria" w:hAnsi="Cambria"/>
          <w:bCs/>
          <w:sz w:val="20"/>
          <w:szCs w:val="20"/>
          <w:lang w:val="pt-BR"/>
        </w:rPr>
        <w:t>o</w:t>
      </w:r>
      <w:r w:rsidR="002649F0" w:rsidRPr="006D1C74">
        <w:rPr>
          <w:rFonts w:ascii="Cambria" w:hAnsi="Cambria"/>
          <w:bCs/>
          <w:sz w:val="20"/>
          <w:szCs w:val="20"/>
          <w:lang w:val="pt-BR"/>
        </w:rPr>
        <w:t>rr</w:t>
      </w:r>
      <w:r w:rsidRPr="006D1C74">
        <w:rPr>
          <w:rFonts w:ascii="Cambria" w:hAnsi="Cambria"/>
          <w:bCs/>
          <w:sz w:val="20"/>
          <w:szCs w:val="20"/>
          <w:lang w:val="pt-BR"/>
        </w:rPr>
        <w:t>eram</w:t>
      </w:r>
      <w:r w:rsidR="00030019" w:rsidRPr="006D1C74">
        <w:rPr>
          <w:rFonts w:ascii="Cambria" w:hAnsi="Cambria"/>
          <w:bCs/>
          <w:sz w:val="20"/>
          <w:szCs w:val="20"/>
          <w:lang w:val="pt-BR"/>
        </w:rPr>
        <w:t xml:space="preserve"> à </w:t>
      </w:r>
      <w:r w:rsidR="00B146A8" w:rsidRPr="006D1C74">
        <w:rPr>
          <w:rFonts w:ascii="Cambria" w:hAnsi="Cambria"/>
          <w:bCs/>
          <w:sz w:val="20"/>
          <w:szCs w:val="20"/>
          <w:lang w:val="pt-BR"/>
        </w:rPr>
        <w:t>força</w:t>
      </w:r>
      <w:r w:rsidR="002649F0" w:rsidRPr="006D1C74">
        <w:rPr>
          <w:rFonts w:ascii="Cambria" w:hAnsi="Cambria"/>
          <w:bCs/>
          <w:sz w:val="20"/>
          <w:szCs w:val="20"/>
          <w:lang w:val="pt-BR"/>
        </w:rPr>
        <w:t xml:space="preserve"> letal</w:t>
      </w:r>
      <w:r w:rsidR="00700267" w:rsidRPr="006D1C74">
        <w:rPr>
          <w:rFonts w:ascii="Cambria" w:hAnsi="Cambria"/>
          <w:bCs/>
          <w:sz w:val="20"/>
          <w:szCs w:val="20"/>
          <w:lang w:val="pt-BR"/>
        </w:rPr>
        <w:t xml:space="preserve"> sem</w:t>
      </w:r>
      <w:r w:rsidR="00030019" w:rsidRPr="006D1C74">
        <w:rPr>
          <w:rFonts w:ascii="Cambria" w:hAnsi="Cambria"/>
          <w:bCs/>
          <w:sz w:val="20"/>
          <w:szCs w:val="20"/>
          <w:lang w:val="pt-BR"/>
        </w:rPr>
        <w:t xml:space="preserve"> um</w:t>
      </w:r>
      <w:r w:rsidR="00F673C7" w:rsidRPr="006D1C74">
        <w:rPr>
          <w:rFonts w:ascii="Cambria" w:hAnsi="Cambria"/>
          <w:bCs/>
          <w:sz w:val="20"/>
          <w:szCs w:val="20"/>
          <w:lang w:val="pt-BR"/>
        </w:rPr>
        <w:t xml:space="preserve"> fim </w:t>
      </w:r>
      <w:r w:rsidR="002649F0" w:rsidRPr="006D1C74">
        <w:rPr>
          <w:rFonts w:ascii="Cambria" w:hAnsi="Cambria"/>
          <w:bCs/>
          <w:sz w:val="20"/>
          <w:szCs w:val="20"/>
          <w:lang w:val="pt-BR"/>
        </w:rPr>
        <w:t>legítimo</w:t>
      </w:r>
      <w:r w:rsidR="00CF037E" w:rsidRPr="006D1C74">
        <w:rPr>
          <w:rFonts w:ascii="Cambria" w:hAnsi="Cambria"/>
          <w:bCs/>
          <w:sz w:val="20"/>
          <w:szCs w:val="20"/>
          <w:lang w:val="pt-BR"/>
        </w:rPr>
        <w:t xml:space="preserve"> e </w:t>
      </w:r>
      <w:r w:rsidR="002649F0" w:rsidRPr="006D1C74">
        <w:rPr>
          <w:rFonts w:ascii="Cambria" w:hAnsi="Cambria"/>
          <w:bCs/>
          <w:sz w:val="20"/>
          <w:szCs w:val="20"/>
          <w:lang w:val="pt-BR"/>
        </w:rPr>
        <w:t xml:space="preserve">de </w:t>
      </w:r>
      <w:r w:rsidR="003171F3" w:rsidRPr="006D1C74">
        <w:rPr>
          <w:rFonts w:ascii="Cambria" w:hAnsi="Cambria"/>
          <w:bCs/>
          <w:sz w:val="20"/>
          <w:szCs w:val="20"/>
          <w:lang w:val="pt-BR"/>
        </w:rPr>
        <w:t>maneira</w:t>
      </w:r>
      <w:r w:rsidR="002649F0" w:rsidRPr="006D1C74">
        <w:rPr>
          <w:rFonts w:ascii="Cambria" w:hAnsi="Cambria"/>
          <w:bCs/>
          <w:sz w:val="20"/>
          <w:szCs w:val="20"/>
          <w:lang w:val="pt-BR"/>
        </w:rPr>
        <w:t xml:space="preserve"> </w:t>
      </w:r>
      <w:r w:rsidR="003171F3" w:rsidRPr="006D1C74">
        <w:rPr>
          <w:rFonts w:ascii="Cambria" w:hAnsi="Cambria"/>
          <w:bCs/>
          <w:sz w:val="20"/>
          <w:szCs w:val="20"/>
          <w:lang w:val="pt-BR"/>
        </w:rPr>
        <w:t>desnecessária</w:t>
      </w:r>
      <w:r w:rsidR="002649F0" w:rsidRPr="006D1C74">
        <w:rPr>
          <w:rFonts w:ascii="Cambria" w:hAnsi="Cambria"/>
          <w:bCs/>
          <w:sz w:val="20"/>
          <w:szCs w:val="20"/>
          <w:lang w:val="pt-BR"/>
        </w:rPr>
        <w:t>, desproporciona</w:t>
      </w:r>
      <w:r w:rsidRPr="006D1C74">
        <w:rPr>
          <w:rFonts w:ascii="Cambria" w:hAnsi="Cambria"/>
          <w:bCs/>
          <w:sz w:val="20"/>
          <w:szCs w:val="20"/>
          <w:lang w:val="pt-BR"/>
        </w:rPr>
        <w:t>l</w:t>
      </w:r>
      <w:r w:rsidR="002649F0" w:rsidRPr="006D1C74">
        <w:rPr>
          <w:rFonts w:ascii="Cambria" w:hAnsi="Cambria"/>
          <w:bCs/>
          <w:sz w:val="20"/>
          <w:szCs w:val="20"/>
          <w:lang w:val="pt-BR"/>
        </w:rPr>
        <w:t xml:space="preserve"> e injustificada. </w:t>
      </w:r>
    </w:p>
    <w:p w14:paraId="64D6605A" w14:textId="77777777" w:rsidR="002649F0" w:rsidRPr="006D1C74" w:rsidRDefault="002649F0" w:rsidP="002649F0">
      <w:pPr>
        <w:ind w:left="720"/>
        <w:rPr>
          <w:rFonts w:ascii="Cambria" w:eastAsia="Cambria" w:hAnsi="Cambria" w:cs="Cambria"/>
          <w:color w:val="000000"/>
          <w:sz w:val="20"/>
          <w:szCs w:val="20"/>
          <w:u w:color="000000"/>
          <w:lang w:val="pt-BR" w:eastAsia="es-ES"/>
        </w:rPr>
      </w:pPr>
    </w:p>
    <w:p w14:paraId="0F3B4094"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hAnsiTheme="majorHAnsi"/>
          <w:bCs/>
          <w:sz w:val="20"/>
          <w:szCs w:val="20"/>
          <w:lang w:val="pt-BR"/>
        </w:rPr>
      </w:pPr>
      <w:r w:rsidRPr="006D1C74">
        <w:rPr>
          <w:rFonts w:ascii="Cambria" w:hAnsi="Cambria"/>
          <w:sz w:val="20"/>
          <w:szCs w:val="20"/>
          <w:lang w:val="pt-BR"/>
        </w:rPr>
        <w:t>A</w:t>
      </w:r>
      <w:r w:rsidR="005241BB" w:rsidRPr="006D1C74">
        <w:rPr>
          <w:rFonts w:ascii="Cambria" w:hAnsi="Cambria"/>
          <w:sz w:val="20"/>
          <w:szCs w:val="20"/>
          <w:lang w:val="pt-BR"/>
        </w:rPr>
        <w:t xml:space="preserve">lém </w:t>
      </w:r>
      <w:r w:rsidRPr="006D1C74">
        <w:rPr>
          <w:rFonts w:ascii="Cambria" w:hAnsi="Cambria"/>
          <w:sz w:val="20"/>
          <w:szCs w:val="20"/>
          <w:lang w:val="pt-BR"/>
        </w:rPr>
        <w:t xml:space="preserve">destas </w:t>
      </w:r>
      <w:r w:rsidR="003171F3" w:rsidRPr="006D1C74">
        <w:rPr>
          <w:rFonts w:ascii="Cambria" w:hAnsi="Cambria"/>
          <w:sz w:val="20"/>
          <w:szCs w:val="20"/>
          <w:lang w:val="pt-BR"/>
        </w:rPr>
        <w:t>circunstâncias</w:t>
      </w:r>
      <w:r w:rsidRPr="006D1C74">
        <w:rPr>
          <w:rFonts w:ascii="Cambria" w:hAnsi="Cambria"/>
          <w:sz w:val="20"/>
          <w:szCs w:val="20"/>
          <w:lang w:val="pt-BR"/>
        </w:rPr>
        <w:t xml:space="preserve">, que por </w:t>
      </w:r>
      <w:r w:rsidR="003171F3" w:rsidRPr="006D1C74">
        <w:rPr>
          <w:rFonts w:ascii="Cambria" w:hAnsi="Cambria"/>
          <w:sz w:val="20"/>
          <w:szCs w:val="20"/>
          <w:lang w:val="pt-BR"/>
        </w:rPr>
        <w:t>si</w:t>
      </w:r>
      <w:r w:rsidRPr="006D1C74">
        <w:rPr>
          <w:rFonts w:ascii="Cambria" w:hAnsi="Cambria"/>
          <w:sz w:val="20"/>
          <w:szCs w:val="20"/>
          <w:lang w:val="pt-BR"/>
        </w:rPr>
        <w:t xml:space="preserve"> </w:t>
      </w:r>
      <w:r w:rsidR="003171F3" w:rsidRPr="006D1C74">
        <w:rPr>
          <w:rFonts w:ascii="Cambria" w:hAnsi="Cambria"/>
          <w:sz w:val="20"/>
          <w:szCs w:val="20"/>
          <w:lang w:val="pt-BR"/>
        </w:rPr>
        <w:t>constituem</w:t>
      </w:r>
      <w:r w:rsidR="00030019" w:rsidRPr="006D1C74">
        <w:rPr>
          <w:rFonts w:ascii="Cambria" w:hAnsi="Cambria"/>
          <w:sz w:val="20"/>
          <w:szCs w:val="20"/>
          <w:lang w:val="pt-BR"/>
        </w:rPr>
        <w:t xml:space="preserve"> uma </w:t>
      </w:r>
      <w:r w:rsidRPr="006D1C74">
        <w:rPr>
          <w:rFonts w:ascii="Cambria" w:hAnsi="Cambria"/>
          <w:sz w:val="20"/>
          <w:szCs w:val="20"/>
          <w:lang w:val="pt-BR"/>
        </w:rPr>
        <w:t>f</w:t>
      </w:r>
      <w:r w:rsidR="003171F3">
        <w:rPr>
          <w:rFonts w:ascii="Cambria" w:hAnsi="Cambria"/>
          <w:sz w:val="20"/>
          <w:szCs w:val="20"/>
          <w:lang w:val="pt-BR"/>
        </w:rPr>
        <w:t>o</w:t>
      </w:r>
      <w:r w:rsidRPr="006D1C74">
        <w:rPr>
          <w:rFonts w:ascii="Cambria" w:hAnsi="Cambria"/>
          <w:sz w:val="20"/>
          <w:szCs w:val="20"/>
          <w:lang w:val="pt-BR"/>
        </w:rPr>
        <w:t xml:space="preserve">nte de </w:t>
      </w:r>
      <w:r w:rsidR="003171F3" w:rsidRPr="006D1C74">
        <w:rPr>
          <w:rFonts w:ascii="Cambria" w:hAnsi="Cambria"/>
          <w:sz w:val="20"/>
          <w:szCs w:val="20"/>
          <w:lang w:val="pt-BR"/>
        </w:rPr>
        <w:t>sofrimento</w:t>
      </w:r>
      <w:r w:rsidR="00CF037E" w:rsidRPr="006D1C74">
        <w:rPr>
          <w:rFonts w:ascii="Cambria" w:hAnsi="Cambria"/>
          <w:sz w:val="20"/>
          <w:szCs w:val="20"/>
          <w:lang w:val="pt-BR"/>
        </w:rPr>
        <w:t xml:space="preserve"> e </w:t>
      </w:r>
      <w:r w:rsidRPr="006D1C74">
        <w:rPr>
          <w:rFonts w:ascii="Cambria" w:hAnsi="Cambria"/>
          <w:sz w:val="20"/>
          <w:szCs w:val="20"/>
          <w:lang w:val="pt-BR"/>
        </w:rPr>
        <w:t>desamparo,</w:t>
      </w:r>
      <w:r w:rsidR="00700267" w:rsidRPr="006D1C74">
        <w:rPr>
          <w:rFonts w:ascii="Cambria" w:hAnsi="Cambria"/>
          <w:sz w:val="20"/>
          <w:szCs w:val="20"/>
          <w:lang w:val="pt-BR"/>
        </w:rPr>
        <w:t xml:space="preserve"> a </w:t>
      </w:r>
      <w:r w:rsidR="00417BE8" w:rsidRPr="006D1C74">
        <w:rPr>
          <w:rFonts w:ascii="Cambria" w:hAnsi="Cambria"/>
          <w:sz w:val="20"/>
          <w:szCs w:val="20"/>
          <w:lang w:val="pt-BR"/>
        </w:rPr>
        <w:t>Comissão</w:t>
      </w:r>
      <w:r w:rsidRPr="006D1C74">
        <w:rPr>
          <w:rFonts w:ascii="Cambria" w:hAnsi="Cambria"/>
          <w:sz w:val="20"/>
          <w:szCs w:val="20"/>
          <w:lang w:val="pt-BR"/>
        </w:rPr>
        <w:t xml:space="preserve"> conclu</w:t>
      </w:r>
      <w:r w:rsidR="005241BB" w:rsidRPr="006D1C74">
        <w:rPr>
          <w:rFonts w:ascii="Cambria" w:hAnsi="Cambria"/>
          <w:sz w:val="20"/>
          <w:szCs w:val="20"/>
          <w:lang w:val="pt-BR"/>
        </w:rPr>
        <w:t>i</w:t>
      </w:r>
      <w:r w:rsidRPr="006D1C74">
        <w:rPr>
          <w:rFonts w:ascii="Cambria" w:hAnsi="Cambria"/>
          <w:sz w:val="20"/>
          <w:szCs w:val="20"/>
          <w:lang w:val="pt-BR"/>
        </w:rPr>
        <w:t xml:space="preserve"> que,</w:t>
      </w:r>
      <w:r w:rsidR="00FC2F62" w:rsidRPr="006D1C74">
        <w:rPr>
          <w:rFonts w:ascii="Cambria" w:hAnsi="Cambria"/>
          <w:sz w:val="20"/>
          <w:szCs w:val="20"/>
          <w:lang w:val="pt-BR"/>
        </w:rPr>
        <w:t xml:space="preserve"> no </w:t>
      </w:r>
      <w:r w:rsidRPr="006D1C74">
        <w:rPr>
          <w:rFonts w:ascii="Cambria" w:hAnsi="Cambria"/>
          <w:sz w:val="20"/>
          <w:szCs w:val="20"/>
          <w:lang w:val="pt-BR"/>
        </w:rPr>
        <w:t xml:space="preserve">caso </w:t>
      </w:r>
      <w:r w:rsidR="00C81014">
        <w:rPr>
          <w:rFonts w:ascii="Cambria" w:hAnsi="Cambria"/>
          <w:sz w:val="20"/>
          <w:szCs w:val="20"/>
          <w:lang w:val="pt-BR"/>
        </w:rPr>
        <w:t>presente</w:t>
      </w:r>
      <w:r w:rsidRPr="006D1C74">
        <w:rPr>
          <w:rFonts w:ascii="Cambria" w:hAnsi="Cambria"/>
          <w:sz w:val="20"/>
          <w:szCs w:val="20"/>
          <w:lang w:val="pt-BR"/>
        </w:rPr>
        <w:t>,</w:t>
      </w:r>
      <w:r w:rsidR="00F673C7" w:rsidRPr="006D1C74">
        <w:rPr>
          <w:rFonts w:ascii="Cambria" w:hAnsi="Cambria"/>
          <w:sz w:val="20"/>
          <w:szCs w:val="20"/>
          <w:lang w:val="pt-BR"/>
        </w:rPr>
        <w:t xml:space="preserve"> não </w:t>
      </w:r>
      <w:r w:rsidRPr="006D1C74">
        <w:rPr>
          <w:rFonts w:ascii="Cambria" w:hAnsi="Cambria"/>
          <w:sz w:val="20"/>
          <w:szCs w:val="20"/>
          <w:lang w:val="pt-BR"/>
        </w:rPr>
        <w:t>h</w:t>
      </w:r>
      <w:r w:rsidR="005241BB" w:rsidRPr="006D1C74">
        <w:rPr>
          <w:rFonts w:ascii="Cambria" w:hAnsi="Cambria"/>
          <w:sz w:val="20"/>
          <w:szCs w:val="20"/>
          <w:lang w:val="pt-BR"/>
        </w:rPr>
        <w:t>ouve</w:t>
      </w:r>
      <w:r w:rsidR="00030019" w:rsidRPr="006D1C74">
        <w:rPr>
          <w:rFonts w:ascii="Cambria" w:hAnsi="Cambria"/>
          <w:sz w:val="20"/>
          <w:szCs w:val="20"/>
          <w:lang w:val="pt-BR"/>
        </w:rPr>
        <w:t xml:space="preserve"> uma </w:t>
      </w:r>
      <w:r w:rsidRPr="006D1C74">
        <w:rPr>
          <w:rFonts w:ascii="Cambria" w:hAnsi="Cambria"/>
          <w:sz w:val="20"/>
          <w:szCs w:val="20"/>
          <w:lang w:val="pt-BR"/>
        </w:rPr>
        <w:t>investiga</w:t>
      </w:r>
      <w:r w:rsidR="00CF037E" w:rsidRPr="006D1C74">
        <w:rPr>
          <w:rFonts w:ascii="Cambria" w:hAnsi="Cambria"/>
          <w:sz w:val="20"/>
          <w:szCs w:val="20"/>
          <w:lang w:val="pt-BR"/>
        </w:rPr>
        <w:t>ção</w:t>
      </w:r>
      <w:r w:rsidRPr="006D1C74">
        <w:rPr>
          <w:rFonts w:ascii="Cambria" w:hAnsi="Cambria"/>
          <w:sz w:val="20"/>
          <w:szCs w:val="20"/>
          <w:lang w:val="pt-BR"/>
        </w:rPr>
        <w:t xml:space="preserve"> </w:t>
      </w:r>
      <w:r w:rsidRPr="006D1C74">
        <w:rPr>
          <w:rFonts w:ascii="Cambria" w:hAnsi="Cambria"/>
          <w:bCs/>
          <w:sz w:val="20"/>
          <w:szCs w:val="20"/>
          <w:lang w:val="pt-BR"/>
        </w:rPr>
        <w:t>realizada</w:t>
      </w:r>
      <w:r w:rsidRPr="006D1C74">
        <w:rPr>
          <w:rFonts w:ascii="Cambria" w:hAnsi="Cambria"/>
          <w:sz w:val="20"/>
          <w:szCs w:val="20"/>
          <w:lang w:val="pt-BR"/>
        </w:rPr>
        <w:t xml:space="preserve"> por autori</w:t>
      </w:r>
      <w:r w:rsidR="00F673C7" w:rsidRPr="006D1C74">
        <w:rPr>
          <w:rFonts w:ascii="Cambria" w:hAnsi="Cambria"/>
          <w:sz w:val="20"/>
          <w:szCs w:val="20"/>
          <w:lang w:val="pt-BR"/>
        </w:rPr>
        <w:t xml:space="preserve">dade </w:t>
      </w:r>
      <w:r w:rsidRPr="006D1C74">
        <w:rPr>
          <w:rFonts w:ascii="Cambria" w:hAnsi="Cambria"/>
          <w:sz w:val="20"/>
          <w:szCs w:val="20"/>
          <w:lang w:val="pt-BR"/>
        </w:rPr>
        <w:t>competente, indepen</w:t>
      </w:r>
      <w:r w:rsidR="000D2A81" w:rsidRPr="006D1C74">
        <w:rPr>
          <w:rFonts w:ascii="Cambria" w:hAnsi="Cambria"/>
          <w:sz w:val="20"/>
          <w:szCs w:val="20"/>
          <w:lang w:val="pt-BR"/>
        </w:rPr>
        <w:t>dente</w:t>
      </w:r>
      <w:r w:rsidRPr="006D1C74">
        <w:rPr>
          <w:rFonts w:ascii="Cambria" w:hAnsi="Cambria"/>
          <w:sz w:val="20"/>
          <w:szCs w:val="20"/>
          <w:lang w:val="pt-BR"/>
        </w:rPr>
        <w:t xml:space="preserve"> e imparcial.</w:t>
      </w:r>
      <w:r w:rsidR="00F673C7" w:rsidRPr="006D1C74">
        <w:rPr>
          <w:rFonts w:ascii="Cambria" w:hAnsi="Cambria"/>
          <w:sz w:val="20"/>
          <w:szCs w:val="20"/>
          <w:lang w:val="pt-BR"/>
        </w:rPr>
        <w:t xml:space="preserve"> </w:t>
      </w:r>
      <w:r w:rsidR="005241BB" w:rsidRPr="006D1C74">
        <w:rPr>
          <w:rFonts w:ascii="Cambria" w:hAnsi="Cambria"/>
          <w:sz w:val="20"/>
          <w:szCs w:val="20"/>
          <w:lang w:val="pt-BR"/>
        </w:rPr>
        <w:t>N</w:t>
      </w:r>
      <w:r w:rsidRPr="006D1C74">
        <w:rPr>
          <w:rFonts w:ascii="Cambria" w:hAnsi="Cambria"/>
          <w:sz w:val="20"/>
          <w:szCs w:val="20"/>
          <w:lang w:val="pt-BR"/>
        </w:rPr>
        <w:t xml:space="preserve">este tipo de </w:t>
      </w:r>
      <w:r w:rsidR="003171F3" w:rsidRPr="006D1C74">
        <w:rPr>
          <w:rFonts w:ascii="Cambria" w:hAnsi="Cambria"/>
          <w:sz w:val="20"/>
          <w:szCs w:val="20"/>
          <w:lang w:val="pt-BR"/>
        </w:rPr>
        <w:t>circunstâncias</w:t>
      </w:r>
      <w:r w:rsidRPr="006D1C74">
        <w:rPr>
          <w:rFonts w:ascii="Cambria" w:hAnsi="Cambria"/>
          <w:sz w:val="20"/>
          <w:szCs w:val="20"/>
          <w:lang w:val="pt-BR"/>
        </w:rPr>
        <w:t>,</w:t>
      </w:r>
      <w:r w:rsidR="00700267" w:rsidRPr="006D1C74">
        <w:rPr>
          <w:rFonts w:ascii="Cambria" w:hAnsi="Cambria"/>
          <w:sz w:val="20"/>
          <w:szCs w:val="20"/>
          <w:lang w:val="pt-BR"/>
        </w:rPr>
        <w:t xml:space="preserve"> a </w:t>
      </w:r>
      <w:r w:rsidRPr="006D1C74">
        <w:rPr>
          <w:rFonts w:ascii="Cambria" w:hAnsi="Cambria"/>
          <w:sz w:val="20"/>
          <w:szCs w:val="20"/>
          <w:lang w:val="pt-BR"/>
        </w:rPr>
        <w:t>Corte indic</w:t>
      </w:r>
      <w:r w:rsidR="005241BB" w:rsidRPr="006D1C74">
        <w:rPr>
          <w:rFonts w:ascii="Cambria" w:hAnsi="Cambria"/>
          <w:sz w:val="20"/>
          <w:szCs w:val="20"/>
          <w:lang w:val="pt-BR"/>
        </w:rPr>
        <w:t>ou</w:t>
      </w:r>
      <w:r w:rsidRPr="006D1C74">
        <w:rPr>
          <w:rFonts w:ascii="Cambria" w:hAnsi="Cambria"/>
          <w:sz w:val="20"/>
          <w:szCs w:val="20"/>
          <w:lang w:val="pt-BR"/>
        </w:rPr>
        <w:t xml:space="preserve">: </w:t>
      </w:r>
    </w:p>
    <w:p w14:paraId="6F29261C" w14:textId="77777777" w:rsidR="002649F0" w:rsidRPr="006D1C74" w:rsidRDefault="002649F0" w:rsidP="002649F0">
      <w:pPr>
        <w:ind w:left="432" w:right="432"/>
        <w:jc w:val="both"/>
        <w:rPr>
          <w:rFonts w:ascii="Cambria" w:eastAsia="Times New Roman" w:hAnsi="Cambria"/>
          <w:color w:val="000000"/>
          <w:sz w:val="20"/>
          <w:szCs w:val="20"/>
          <w:u w:color="000000"/>
          <w:lang w:val="pt-BR" w:eastAsia="es-ES"/>
        </w:rPr>
      </w:pPr>
    </w:p>
    <w:p w14:paraId="18A7F0CB" w14:textId="77777777" w:rsidR="002649F0" w:rsidRPr="006D1C74" w:rsidRDefault="002649F0" w:rsidP="002649F0">
      <w:pPr>
        <w:ind w:left="432" w:right="432"/>
        <w:jc w:val="both"/>
        <w:rPr>
          <w:rFonts w:ascii="Cambria" w:eastAsia="Times New Roman" w:hAnsi="Cambria"/>
          <w:color w:val="000000"/>
          <w:sz w:val="18"/>
          <w:szCs w:val="18"/>
          <w:u w:color="000000"/>
          <w:lang w:val="pt-BR" w:eastAsia="es-ES"/>
        </w:rPr>
      </w:pPr>
      <w:r w:rsidRPr="006D1C74">
        <w:rPr>
          <w:rFonts w:ascii="Cambria" w:eastAsia="Times New Roman" w:hAnsi="Cambria"/>
          <w:color w:val="000000"/>
          <w:sz w:val="18"/>
          <w:szCs w:val="18"/>
          <w:u w:color="000000"/>
          <w:lang w:val="pt-BR" w:eastAsia="es-ES"/>
        </w:rPr>
        <w:t>[…]</w:t>
      </w:r>
      <w:r w:rsidR="00700267" w:rsidRPr="006D1C74">
        <w:rPr>
          <w:rFonts w:ascii="Cambria" w:eastAsia="Times New Roman" w:hAnsi="Cambria"/>
          <w:color w:val="000000"/>
          <w:sz w:val="18"/>
          <w:szCs w:val="18"/>
          <w:u w:color="000000"/>
          <w:lang w:val="pt-BR" w:eastAsia="es-ES"/>
        </w:rPr>
        <w:t xml:space="preserve"> a </w:t>
      </w:r>
      <w:r w:rsidR="003171F3" w:rsidRPr="006D1C74">
        <w:rPr>
          <w:rFonts w:ascii="Cambria" w:eastAsia="Times New Roman" w:hAnsi="Cambria"/>
          <w:color w:val="000000"/>
          <w:sz w:val="18"/>
          <w:szCs w:val="18"/>
          <w:u w:color="000000"/>
          <w:lang w:val="pt-BR" w:eastAsia="es-ES"/>
        </w:rPr>
        <w:t>ausência</w:t>
      </w:r>
      <w:r w:rsidRPr="006D1C74">
        <w:rPr>
          <w:rFonts w:ascii="Cambria" w:eastAsia="Times New Roman" w:hAnsi="Cambria"/>
          <w:color w:val="000000"/>
          <w:sz w:val="18"/>
          <w:szCs w:val="18"/>
          <w:u w:color="000000"/>
          <w:lang w:val="pt-BR" w:eastAsia="es-ES"/>
        </w:rPr>
        <w:t xml:space="preserve"> de</w:t>
      </w:r>
      <w:r w:rsidR="00030019" w:rsidRPr="006D1C74">
        <w:rPr>
          <w:rFonts w:ascii="Cambria" w:eastAsia="Times New Roman" w:hAnsi="Cambria"/>
          <w:color w:val="000000"/>
          <w:sz w:val="18"/>
          <w:szCs w:val="18"/>
          <w:u w:color="000000"/>
          <w:lang w:val="pt-BR" w:eastAsia="es-ES"/>
        </w:rPr>
        <w:t xml:space="preserve"> uma </w:t>
      </w:r>
      <w:r w:rsidRPr="006D1C74">
        <w:rPr>
          <w:rFonts w:ascii="Cambria" w:eastAsia="Times New Roman" w:hAnsi="Cambria"/>
          <w:color w:val="000000"/>
          <w:sz w:val="18"/>
          <w:szCs w:val="18"/>
          <w:u w:color="000000"/>
          <w:lang w:val="pt-BR" w:eastAsia="es-ES"/>
        </w:rPr>
        <w:t>investiga</w:t>
      </w:r>
      <w:r w:rsidR="00CF037E" w:rsidRPr="006D1C74">
        <w:rPr>
          <w:rFonts w:ascii="Cambria" w:eastAsia="Times New Roman" w:hAnsi="Cambria"/>
          <w:color w:val="000000"/>
          <w:sz w:val="18"/>
          <w:szCs w:val="18"/>
          <w:u w:color="000000"/>
          <w:lang w:val="pt-BR" w:eastAsia="es-ES"/>
        </w:rPr>
        <w:t>ção</w:t>
      </w:r>
      <w:r w:rsidRPr="006D1C74">
        <w:rPr>
          <w:rFonts w:ascii="Cambria" w:eastAsia="Times New Roman" w:hAnsi="Cambria"/>
          <w:color w:val="000000"/>
          <w:sz w:val="18"/>
          <w:szCs w:val="18"/>
          <w:u w:color="000000"/>
          <w:lang w:val="pt-BR" w:eastAsia="es-ES"/>
        </w:rPr>
        <w:t xml:space="preserve"> completa</w:t>
      </w:r>
      <w:r w:rsidR="00CF037E" w:rsidRPr="006D1C74">
        <w:rPr>
          <w:rFonts w:ascii="Cambria" w:eastAsia="Times New Roman" w:hAnsi="Cambria"/>
          <w:color w:val="000000"/>
          <w:sz w:val="18"/>
          <w:szCs w:val="18"/>
          <w:u w:color="000000"/>
          <w:lang w:val="pt-BR" w:eastAsia="es-ES"/>
        </w:rPr>
        <w:t xml:space="preserve"> e </w:t>
      </w:r>
      <w:r w:rsidR="003171F3" w:rsidRPr="006D1C74">
        <w:rPr>
          <w:rFonts w:ascii="Cambria" w:eastAsia="Times New Roman" w:hAnsi="Cambria"/>
          <w:color w:val="000000"/>
          <w:sz w:val="18"/>
          <w:szCs w:val="18"/>
          <w:u w:color="000000"/>
          <w:lang w:val="pt-BR" w:eastAsia="es-ES"/>
        </w:rPr>
        <w:t>efetiva</w:t>
      </w:r>
      <w:r w:rsidRPr="006D1C74">
        <w:rPr>
          <w:rFonts w:ascii="Cambria" w:eastAsia="Times New Roman" w:hAnsi="Cambria"/>
          <w:color w:val="000000"/>
          <w:sz w:val="18"/>
          <w:szCs w:val="18"/>
          <w:u w:color="000000"/>
          <w:lang w:val="pt-BR" w:eastAsia="es-ES"/>
        </w:rPr>
        <w:t xml:space="preserve"> sobre</w:t>
      </w:r>
      <w:r w:rsidR="00700267" w:rsidRPr="006D1C74">
        <w:rPr>
          <w:rFonts w:ascii="Cambria" w:eastAsia="Times New Roman" w:hAnsi="Cambria"/>
          <w:color w:val="000000"/>
          <w:sz w:val="18"/>
          <w:szCs w:val="18"/>
          <w:u w:color="000000"/>
          <w:lang w:val="pt-BR" w:eastAsia="es-ES"/>
        </w:rPr>
        <w:t xml:space="preserve"> os </w:t>
      </w:r>
      <w:r w:rsidR="00F37852" w:rsidRPr="006D1C74">
        <w:rPr>
          <w:rFonts w:ascii="Cambria" w:eastAsia="Times New Roman" w:hAnsi="Cambria"/>
          <w:color w:val="000000"/>
          <w:sz w:val="18"/>
          <w:szCs w:val="18"/>
          <w:u w:color="000000"/>
          <w:lang w:val="pt-BR" w:eastAsia="es-ES"/>
        </w:rPr>
        <w:t>fato</w:t>
      </w:r>
      <w:r w:rsidRPr="006D1C74">
        <w:rPr>
          <w:rFonts w:ascii="Cambria" w:eastAsia="Times New Roman" w:hAnsi="Cambria"/>
          <w:color w:val="000000"/>
          <w:sz w:val="18"/>
          <w:szCs w:val="18"/>
          <w:u w:color="000000"/>
          <w:lang w:val="pt-BR" w:eastAsia="es-ES"/>
        </w:rPr>
        <w:t>s constitu</w:t>
      </w:r>
      <w:r w:rsidR="003171F3">
        <w:rPr>
          <w:rFonts w:ascii="Cambria" w:eastAsia="Times New Roman" w:hAnsi="Cambria"/>
          <w:color w:val="000000"/>
          <w:sz w:val="18"/>
          <w:szCs w:val="18"/>
          <w:u w:color="000000"/>
          <w:lang w:val="pt-BR" w:eastAsia="es-ES"/>
        </w:rPr>
        <w:t>i</w:t>
      </w:r>
      <w:r w:rsidR="00030019" w:rsidRPr="006D1C74">
        <w:rPr>
          <w:rFonts w:ascii="Cambria" w:eastAsia="Times New Roman" w:hAnsi="Cambria"/>
          <w:color w:val="000000"/>
          <w:sz w:val="18"/>
          <w:szCs w:val="18"/>
          <w:u w:color="000000"/>
          <w:lang w:val="pt-BR" w:eastAsia="es-ES"/>
        </w:rPr>
        <w:t xml:space="preserve"> uma </w:t>
      </w:r>
      <w:r w:rsidRPr="006D1C74">
        <w:rPr>
          <w:rFonts w:ascii="Cambria" w:eastAsia="Times New Roman" w:hAnsi="Cambria"/>
          <w:color w:val="000000"/>
          <w:sz w:val="18"/>
          <w:szCs w:val="18"/>
          <w:u w:color="000000"/>
          <w:lang w:val="pt-BR" w:eastAsia="es-ES"/>
        </w:rPr>
        <w:t>f</w:t>
      </w:r>
      <w:r w:rsidR="005241BB" w:rsidRPr="006D1C74">
        <w:rPr>
          <w:rFonts w:ascii="Cambria" w:eastAsia="Times New Roman" w:hAnsi="Cambria"/>
          <w:color w:val="000000"/>
          <w:sz w:val="18"/>
          <w:szCs w:val="18"/>
          <w:u w:color="000000"/>
          <w:lang w:val="pt-BR" w:eastAsia="es-ES"/>
        </w:rPr>
        <w:t>o</w:t>
      </w:r>
      <w:r w:rsidRPr="006D1C74">
        <w:rPr>
          <w:rFonts w:ascii="Cambria" w:eastAsia="Times New Roman" w:hAnsi="Cambria"/>
          <w:color w:val="000000"/>
          <w:sz w:val="18"/>
          <w:szCs w:val="18"/>
          <w:u w:color="000000"/>
          <w:lang w:val="pt-BR" w:eastAsia="es-ES"/>
        </w:rPr>
        <w:t xml:space="preserve">nte de </w:t>
      </w:r>
      <w:r w:rsidR="003171F3" w:rsidRPr="006D1C74">
        <w:rPr>
          <w:rFonts w:ascii="Cambria" w:eastAsia="Times New Roman" w:hAnsi="Cambria"/>
          <w:color w:val="000000"/>
          <w:sz w:val="18"/>
          <w:szCs w:val="18"/>
          <w:u w:color="000000"/>
          <w:lang w:val="pt-BR" w:eastAsia="es-ES"/>
        </w:rPr>
        <w:t>sofrimento</w:t>
      </w:r>
      <w:r w:rsidR="00CF037E" w:rsidRPr="006D1C74">
        <w:rPr>
          <w:rFonts w:ascii="Cambria" w:eastAsia="Times New Roman" w:hAnsi="Cambria"/>
          <w:color w:val="000000"/>
          <w:sz w:val="18"/>
          <w:szCs w:val="18"/>
          <w:u w:color="000000"/>
          <w:lang w:val="pt-BR" w:eastAsia="es-ES"/>
        </w:rPr>
        <w:t xml:space="preserve"> e </w:t>
      </w:r>
      <w:r w:rsidR="003171F3" w:rsidRPr="006D1C74">
        <w:rPr>
          <w:rFonts w:ascii="Cambria" w:eastAsia="Times New Roman" w:hAnsi="Cambria"/>
          <w:color w:val="000000"/>
          <w:sz w:val="18"/>
          <w:szCs w:val="18"/>
          <w:u w:color="000000"/>
          <w:lang w:val="pt-BR" w:eastAsia="es-ES"/>
        </w:rPr>
        <w:t>angústia</w:t>
      </w:r>
      <w:r w:rsidRPr="006D1C74">
        <w:rPr>
          <w:rFonts w:ascii="Cambria" w:eastAsia="Times New Roman" w:hAnsi="Cambria"/>
          <w:color w:val="000000"/>
          <w:sz w:val="18"/>
          <w:szCs w:val="18"/>
          <w:u w:color="000000"/>
          <w:lang w:val="pt-BR" w:eastAsia="es-ES"/>
        </w:rPr>
        <w:t xml:space="preserve"> adicional para</w:t>
      </w:r>
      <w:r w:rsidR="00700267" w:rsidRPr="006D1C74">
        <w:rPr>
          <w:rFonts w:ascii="Cambria" w:eastAsia="Times New Roman" w:hAnsi="Cambria"/>
          <w:color w:val="000000"/>
          <w:sz w:val="18"/>
          <w:szCs w:val="18"/>
          <w:u w:color="000000"/>
          <w:lang w:val="pt-BR" w:eastAsia="es-ES"/>
        </w:rPr>
        <w:t xml:space="preserve"> as </w:t>
      </w:r>
      <w:r w:rsidR="00795010" w:rsidRPr="006D1C74">
        <w:rPr>
          <w:rFonts w:ascii="Cambria" w:eastAsia="Times New Roman" w:hAnsi="Cambria"/>
          <w:color w:val="000000"/>
          <w:sz w:val="18"/>
          <w:szCs w:val="18"/>
          <w:u w:color="000000"/>
          <w:lang w:val="pt-BR" w:eastAsia="es-ES"/>
        </w:rPr>
        <w:t>vítima</w:t>
      </w:r>
      <w:r w:rsidRPr="006D1C74">
        <w:rPr>
          <w:rFonts w:ascii="Cambria" w:eastAsia="Times New Roman" w:hAnsi="Cambria"/>
          <w:color w:val="000000"/>
          <w:sz w:val="18"/>
          <w:szCs w:val="18"/>
          <w:u w:color="000000"/>
          <w:lang w:val="pt-BR" w:eastAsia="es-ES"/>
        </w:rPr>
        <w:t>s</w:t>
      </w:r>
      <w:r w:rsidR="00CF037E" w:rsidRPr="006D1C74">
        <w:rPr>
          <w:rFonts w:ascii="Cambria" w:eastAsia="Times New Roman" w:hAnsi="Cambria"/>
          <w:color w:val="000000"/>
          <w:sz w:val="18"/>
          <w:szCs w:val="18"/>
          <w:u w:color="000000"/>
          <w:lang w:val="pt-BR" w:eastAsia="es-ES"/>
        </w:rPr>
        <w:t xml:space="preserve"> e </w:t>
      </w:r>
      <w:r w:rsidRPr="006D1C74">
        <w:rPr>
          <w:rFonts w:ascii="Cambria" w:eastAsia="Times New Roman" w:hAnsi="Cambria"/>
          <w:color w:val="000000"/>
          <w:sz w:val="18"/>
          <w:szCs w:val="18"/>
          <w:u w:color="000000"/>
          <w:lang w:val="pt-BR" w:eastAsia="es-ES"/>
        </w:rPr>
        <w:t>s</w:t>
      </w:r>
      <w:r w:rsidR="00C81014">
        <w:rPr>
          <w:rFonts w:ascii="Cambria" w:eastAsia="Times New Roman" w:hAnsi="Cambria"/>
          <w:color w:val="000000"/>
          <w:sz w:val="18"/>
          <w:szCs w:val="18"/>
          <w:u w:color="000000"/>
          <w:lang w:val="pt-BR" w:eastAsia="es-ES"/>
        </w:rPr>
        <w:t>e</w:t>
      </w:r>
      <w:r w:rsidRPr="006D1C74">
        <w:rPr>
          <w:rFonts w:ascii="Cambria" w:eastAsia="Times New Roman" w:hAnsi="Cambria"/>
          <w:color w:val="000000"/>
          <w:sz w:val="18"/>
          <w:szCs w:val="18"/>
          <w:u w:color="000000"/>
          <w:lang w:val="pt-BR" w:eastAsia="es-ES"/>
        </w:rPr>
        <w:t xml:space="preserve">us </w:t>
      </w:r>
      <w:r w:rsidR="001E2392" w:rsidRPr="006D1C74">
        <w:rPr>
          <w:rFonts w:ascii="Cambria" w:eastAsia="Times New Roman" w:hAnsi="Cambria"/>
          <w:color w:val="000000"/>
          <w:sz w:val="18"/>
          <w:szCs w:val="18"/>
          <w:u w:color="000000"/>
          <w:lang w:val="pt-BR" w:eastAsia="es-ES"/>
        </w:rPr>
        <w:t>familiares</w:t>
      </w:r>
      <w:r w:rsidRPr="006D1C74">
        <w:rPr>
          <w:rFonts w:ascii="Cambria" w:eastAsia="Times New Roman" w:hAnsi="Cambria"/>
          <w:color w:val="000000"/>
          <w:sz w:val="18"/>
          <w:szCs w:val="18"/>
          <w:u w:color="000000"/>
          <w:lang w:val="pt-BR" w:eastAsia="es-ES"/>
        </w:rPr>
        <w:t>, qu</w:t>
      </w:r>
      <w:r w:rsidR="005241BB" w:rsidRPr="006D1C74">
        <w:rPr>
          <w:rFonts w:ascii="Cambria" w:eastAsia="Times New Roman" w:hAnsi="Cambria"/>
          <w:color w:val="000000"/>
          <w:sz w:val="18"/>
          <w:szCs w:val="18"/>
          <w:u w:color="000000"/>
          <w:lang w:val="pt-BR" w:eastAsia="es-ES"/>
        </w:rPr>
        <w:t>e</w:t>
      </w:r>
      <w:r w:rsidRPr="006D1C74">
        <w:rPr>
          <w:rFonts w:ascii="Cambria" w:eastAsia="Times New Roman" w:hAnsi="Cambria"/>
          <w:color w:val="000000"/>
          <w:sz w:val="18"/>
          <w:szCs w:val="18"/>
          <w:u w:color="000000"/>
          <w:lang w:val="pt-BR" w:eastAsia="es-ES"/>
        </w:rPr>
        <w:t xml:space="preserve"> t</w:t>
      </w:r>
      <w:r w:rsidR="005241BB" w:rsidRPr="006D1C74">
        <w:rPr>
          <w:rFonts w:ascii="Cambria" w:eastAsia="Times New Roman" w:hAnsi="Cambria"/>
          <w:color w:val="000000"/>
          <w:sz w:val="18"/>
          <w:szCs w:val="18"/>
          <w:u w:color="000000"/>
          <w:lang w:val="pt-BR" w:eastAsia="es-ES"/>
        </w:rPr>
        <w:t>êm</w:t>
      </w:r>
      <w:r w:rsidR="00700267" w:rsidRPr="006D1C74">
        <w:rPr>
          <w:rFonts w:ascii="Cambria" w:eastAsia="Times New Roman" w:hAnsi="Cambria"/>
          <w:color w:val="000000"/>
          <w:sz w:val="18"/>
          <w:szCs w:val="18"/>
          <w:u w:color="000000"/>
          <w:lang w:val="pt-BR" w:eastAsia="es-ES"/>
        </w:rPr>
        <w:t xml:space="preserve"> o </w:t>
      </w:r>
      <w:r w:rsidR="00417BE8" w:rsidRPr="006D1C74">
        <w:rPr>
          <w:rFonts w:ascii="Cambria" w:eastAsia="Times New Roman" w:hAnsi="Cambria"/>
          <w:color w:val="000000"/>
          <w:sz w:val="18"/>
          <w:szCs w:val="18"/>
          <w:u w:color="000000"/>
          <w:lang w:val="pt-BR" w:eastAsia="es-ES"/>
        </w:rPr>
        <w:t>direito</w:t>
      </w:r>
      <w:r w:rsidRPr="006D1C74">
        <w:rPr>
          <w:rFonts w:ascii="Cambria" w:eastAsia="Times New Roman" w:hAnsi="Cambria"/>
          <w:color w:val="000000"/>
          <w:sz w:val="18"/>
          <w:szCs w:val="18"/>
          <w:u w:color="000000"/>
          <w:lang w:val="pt-BR" w:eastAsia="es-ES"/>
        </w:rPr>
        <w:t xml:space="preserve"> de con</w:t>
      </w:r>
      <w:r w:rsidR="005241BB" w:rsidRPr="006D1C74">
        <w:rPr>
          <w:rFonts w:ascii="Cambria" w:eastAsia="Times New Roman" w:hAnsi="Cambria"/>
          <w:color w:val="000000"/>
          <w:sz w:val="18"/>
          <w:szCs w:val="18"/>
          <w:u w:color="000000"/>
          <w:lang w:val="pt-BR" w:eastAsia="es-ES"/>
        </w:rPr>
        <w:t>he</w:t>
      </w:r>
      <w:r w:rsidRPr="006D1C74">
        <w:rPr>
          <w:rFonts w:ascii="Cambria" w:eastAsia="Times New Roman" w:hAnsi="Cambria"/>
          <w:color w:val="000000"/>
          <w:sz w:val="18"/>
          <w:szCs w:val="18"/>
          <w:u w:color="000000"/>
          <w:lang w:val="pt-BR" w:eastAsia="es-ES"/>
        </w:rPr>
        <w:t>cer</w:t>
      </w:r>
      <w:r w:rsidR="00700267" w:rsidRPr="006D1C74">
        <w:rPr>
          <w:rFonts w:ascii="Cambria" w:eastAsia="Times New Roman" w:hAnsi="Cambria"/>
          <w:color w:val="000000"/>
          <w:sz w:val="18"/>
          <w:szCs w:val="18"/>
          <w:u w:color="000000"/>
          <w:lang w:val="pt-BR" w:eastAsia="es-ES"/>
        </w:rPr>
        <w:t xml:space="preserve"> a </w:t>
      </w:r>
      <w:r w:rsidRPr="006D1C74">
        <w:rPr>
          <w:rFonts w:ascii="Cambria" w:eastAsia="Times New Roman" w:hAnsi="Cambria"/>
          <w:color w:val="000000"/>
          <w:sz w:val="18"/>
          <w:szCs w:val="18"/>
          <w:u w:color="000000"/>
          <w:lang w:val="pt-BR" w:eastAsia="es-ES"/>
        </w:rPr>
        <w:t>ver</w:t>
      </w:r>
      <w:r w:rsidR="00F673C7" w:rsidRPr="006D1C74">
        <w:rPr>
          <w:rFonts w:ascii="Cambria" w:eastAsia="Times New Roman" w:hAnsi="Cambria"/>
          <w:color w:val="000000"/>
          <w:sz w:val="18"/>
          <w:szCs w:val="18"/>
          <w:u w:color="000000"/>
          <w:lang w:val="pt-BR" w:eastAsia="es-ES"/>
        </w:rPr>
        <w:t>dade</w:t>
      </w:r>
      <w:r w:rsidR="00CA6F81" w:rsidRPr="006D1C74">
        <w:rPr>
          <w:rFonts w:ascii="Cambria" w:eastAsia="Times New Roman" w:hAnsi="Cambria"/>
          <w:color w:val="000000"/>
          <w:sz w:val="18"/>
          <w:szCs w:val="18"/>
          <w:u w:color="000000"/>
          <w:lang w:val="pt-BR" w:eastAsia="es-ES"/>
        </w:rPr>
        <w:t xml:space="preserve"> do </w:t>
      </w:r>
      <w:r w:rsidR="00C81014">
        <w:rPr>
          <w:rFonts w:ascii="Cambria" w:eastAsia="Times New Roman" w:hAnsi="Cambria"/>
          <w:color w:val="000000"/>
          <w:sz w:val="18"/>
          <w:szCs w:val="18"/>
          <w:u w:color="000000"/>
          <w:lang w:val="pt-BR" w:eastAsia="es-ES"/>
        </w:rPr>
        <w:t xml:space="preserve">que </w:t>
      </w:r>
      <w:r w:rsidR="003171F3" w:rsidRPr="006D1C74">
        <w:rPr>
          <w:rFonts w:ascii="Cambria" w:eastAsia="Times New Roman" w:hAnsi="Cambria"/>
          <w:color w:val="000000"/>
          <w:sz w:val="18"/>
          <w:szCs w:val="18"/>
          <w:u w:color="000000"/>
          <w:lang w:val="pt-BR" w:eastAsia="es-ES"/>
        </w:rPr>
        <w:t>ocorr</w:t>
      </w:r>
      <w:r w:rsidR="00C81014">
        <w:rPr>
          <w:rFonts w:ascii="Cambria" w:eastAsia="Times New Roman" w:hAnsi="Cambria"/>
          <w:color w:val="000000"/>
          <w:sz w:val="18"/>
          <w:szCs w:val="18"/>
          <w:u w:color="000000"/>
          <w:lang w:val="pt-BR" w:eastAsia="es-ES"/>
        </w:rPr>
        <w:t>eu</w:t>
      </w:r>
      <w:r w:rsidRPr="006D1C74">
        <w:rPr>
          <w:rFonts w:ascii="Cambria" w:eastAsia="Times New Roman" w:hAnsi="Cambria"/>
          <w:color w:val="000000"/>
          <w:sz w:val="18"/>
          <w:szCs w:val="18"/>
          <w:u w:color="000000"/>
          <w:lang w:val="pt-BR" w:eastAsia="es-ES"/>
        </w:rPr>
        <w:t xml:space="preserve">. </w:t>
      </w:r>
      <w:r w:rsidR="003171F3" w:rsidRPr="006D1C74">
        <w:rPr>
          <w:rFonts w:ascii="Cambria" w:eastAsia="Times New Roman" w:hAnsi="Cambria"/>
          <w:color w:val="000000"/>
          <w:sz w:val="18"/>
          <w:szCs w:val="18"/>
          <w:u w:color="000000"/>
          <w:lang w:val="pt-BR" w:eastAsia="es-ES"/>
        </w:rPr>
        <w:t>Esse</w:t>
      </w:r>
      <w:r w:rsidRPr="006D1C74">
        <w:rPr>
          <w:rFonts w:ascii="Cambria" w:eastAsia="Times New Roman" w:hAnsi="Cambria"/>
          <w:color w:val="000000"/>
          <w:sz w:val="18"/>
          <w:szCs w:val="18"/>
          <w:u w:color="000000"/>
          <w:lang w:val="pt-BR" w:eastAsia="es-ES"/>
        </w:rPr>
        <w:t xml:space="preserve"> </w:t>
      </w:r>
      <w:r w:rsidR="00417BE8" w:rsidRPr="006D1C74">
        <w:rPr>
          <w:rFonts w:ascii="Cambria" w:eastAsia="Times New Roman" w:hAnsi="Cambria"/>
          <w:color w:val="000000"/>
          <w:sz w:val="18"/>
          <w:szCs w:val="18"/>
          <w:u w:color="000000"/>
          <w:lang w:val="pt-BR" w:eastAsia="es-ES"/>
        </w:rPr>
        <w:t>direito</w:t>
      </w:r>
      <w:r w:rsidR="00030019" w:rsidRPr="006D1C74">
        <w:rPr>
          <w:rFonts w:ascii="Cambria" w:eastAsia="Times New Roman" w:hAnsi="Cambria"/>
          <w:color w:val="000000"/>
          <w:sz w:val="18"/>
          <w:szCs w:val="18"/>
          <w:u w:color="000000"/>
          <w:lang w:val="pt-BR" w:eastAsia="es-ES"/>
        </w:rPr>
        <w:t xml:space="preserve"> à </w:t>
      </w:r>
      <w:r w:rsidRPr="006D1C74">
        <w:rPr>
          <w:rFonts w:ascii="Cambria" w:eastAsia="Times New Roman" w:hAnsi="Cambria"/>
          <w:color w:val="000000"/>
          <w:sz w:val="18"/>
          <w:szCs w:val="18"/>
          <w:u w:color="000000"/>
          <w:lang w:val="pt-BR" w:eastAsia="es-ES"/>
        </w:rPr>
        <w:t>ver</w:t>
      </w:r>
      <w:r w:rsidR="00F673C7" w:rsidRPr="006D1C74">
        <w:rPr>
          <w:rFonts w:ascii="Cambria" w:eastAsia="Times New Roman" w:hAnsi="Cambria"/>
          <w:color w:val="000000"/>
          <w:sz w:val="18"/>
          <w:szCs w:val="18"/>
          <w:u w:color="000000"/>
          <w:lang w:val="pt-BR" w:eastAsia="es-ES"/>
        </w:rPr>
        <w:t xml:space="preserve">dade </w:t>
      </w:r>
      <w:r w:rsidRPr="006D1C74">
        <w:rPr>
          <w:rFonts w:ascii="Cambria" w:eastAsia="Times New Roman" w:hAnsi="Cambria"/>
          <w:color w:val="000000"/>
          <w:sz w:val="18"/>
          <w:szCs w:val="18"/>
          <w:u w:color="000000"/>
          <w:lang w:val="pt-BR" w:eastAsia="es-ES"/>
        </w:rPr>
        <w:t>exige</w:t>
      </w:r>
      <w:r w:rsidR="00700267" w:rsidRPr="006D1C74">
        <w:rPr>
          <w:rFonts w:ascii="Cambria" w:eastAsia="Times New Roman" w:hAnsi="Cambria"/>
          <w:color w:val="000000"/>
          <w:sz w:val="18"/>
          <w:szCs w:val="18"/>
          <w:u w:color="000000"/>
          <w:lang w:val="pt-BR" w:eastAsia="es-ES"/>
        </w:rPr>
        <w:t xml:space="preserve"> a </w:t>
      </w:r>
      <w:r w:rsidRPr="006D1C74">
        <w:rPr>
          <w:rFonts w:ascii="Cambria" w:eastAsia="Times New Roman" w:hAnsi="Cambria"/>
          <w:color w:val="000000"/>
          <w:sz w:val="18"/>
          <w:szCs w:val="18"/>
          <w:u w:color="000000"/>
          <w:lang w:val="pt-BR" w:eastAsia="es-ES"/>
        </w:rPr>
        <w:t>determina</w:t>
      </w:r>
      <w:r w:rsidR="00CF037E" w:rsidRPr="006D1C74">
        <w:rPr>
          <w:rFonts w:ascii="Cambria" w:eastAsia="Times New Roman" w:hAnsi="Cambria"/>
          <w:color w:val="000000"/>
          <w:sz w:val="18"/>
          <w:szCs w:val="18"/>
          <w:u w:color="000000"/>
          <w:lang w:val="pt-BR" w:eastAsia="es-ES"/>
        </w:rPr>
        <w:t>ção</w:t>
      </w:r>
      <w:r w:rsidRPr="006D1C74">
        <w:rPr>
          <w:rFonts w:ascii="Cambria" w:eastAsia="Times New Roman" w:hAnsi="Cambria"/>
          <w:color w:val="000000"/>
          <w:sz w:val="18"/>
          <w:szCs w:val="18"/>
          <w:u w:color="000000"/>
          <w:lang w:val="pt-BR" w:eastAsia="es-ES"/>
        </w:rPr>
        <w:t xml:space="preserve"> proces</w:t>
      </w:r>
      <w:r w:rsidR="005241BB" w:rsidRPr="006D1C74">
        <w:rPr>
          <w:rFonts w:ascii="Cambria" w:eastAsia="Times New Roman" w:hAnsi="Cambria"/>
          <w:color w:val="000000"/>
          <w:sz w:val="18"/>
          <w:szCs w:val="18"/>
          <w:u w:color="000000"/>
          <w:lang w:val="pt-BR" w:eastAsia="es-ES"/>
        </w:rPr>
        <w:t>su</w:t>
      </w:r>
      <w:r w:rsidRPr="006D1C74">
        <w:rPr>
          <w:rFonts w:ascii="Cambria" w:eastAsia="Times New Roman" w:hAnsi="Cambria"/>
          <w:color w:val="000000"/>
          <w:sz w:val="18"/>
          <w:szCs w:val="18"/>
          <w:u w:color="000000"/>
          <w:lang w:val="pt-BR" w:eastAsia="es-ES"/>
        </w:rPr>
        <w:t>al</w:t>
      </w:r>
      <w:r w:rsidR="00795010" w:rsidRPr="006D1C74">
        <w:rPr>
          <w:rFonts w:ascii="Cambria" w:eastAsia="Times New Roman" w:hAnsi="Cambria"/>
          <w:color w:val="000000"/>
          <w:sz w:val="18"/>
          <w:szCs w:val="18"/>
          <w:u w:color="000000"/>
          <w:lang w:val="pt-BR" w:eastAsia="es-ES"/>
        </w:rPr>
        <w:t xml:space="preserve"> da </w:t>
      </w:r>
      <w:r w:rsidR="00D74A93" w:rsidRPr="006D1C74">
        <w:rPr>
          <w:rFonts w:ascii="Cambria" w:eastAsia="Times New Roman" w:hAnsi="Cambria"/>
          <w:color w:val="000000"/>
          <w:sz w:val="18"/>
          <w:szCs w:val="18"/>
          <w:u w:color="000000"/>
          <w:lang w:val="pt-BR" w:eastAsia="es-ES"/>
        </w:rPr>
        <w:t>mais</w:t>
      </w:r>
      <w:r w:rsidRPr="006D1C74">
        <w:rPr>
          <w:rFonts w:ascii="Cambria" w:eastAsia="Times New Roman" w:hAnsi="Cambria"/>
          <w:color w:val="000000"/>
          <w:sz w:val="18"/>
          <w:szCs w:val="18"/>
          <w:u w:color="000000"/>
          <w:lang w:val="pt-BR" w:eastAsia="es-ES"/>
        </w:rPr>
        <w:t xml:space="preserve"> completa ver</w:t>
      </w:r>
      <w:r w:rsidR="00F673C7" w:rsidRPr="006D1C74">
        <w:rPr>
          <w:rFonts w:ascii="Cambria" w:eastAsia="Times New Roman" w:hAnsi="Cambria"/>
          <w:color w:val="000000"/>
          <w:sz w:val="18"/>
          <w:szCs w:val="18"/>
          <w:u w:color="000000"/>
          <w:lang w:val="pt-BR" w:eastAsia="es-ES"/>
        </w:rPr>
        <w:t xml:space="preserve">dade </w:t>
      </w:r>
      <w:r w:rsidRPr="006D1C74">
        <w:rPr>
          <w:rFonts w:ascii="Cambria" w:eastAsia="Times New Roman" w:hAnsi="Cambria"/>
          <w:color w:val="000000"/>
          <w:sz w:val="18"/>
          <w:szCs w:val="18"/>
          <w:u w:color="000000"/>
          <w:lang w:val="pt-BR" w:eastAsia="es-ES"/>
        </w:rPr>
        <w:t>histórica pos</w:t>
      </w:r>
      <w:r w:rsidR="005241BB" w:rsidRPr="006D1C74">
        <w:rPr>
          <w:rFonts w:ascii="Cambria" w:eastAsia="Times New Roman" w:hAnsi="Cambria"/>
          <w:color w:val="000000"/>
          <w:sz w:val="18"/>
          <w:szCs w:val="18"/>
          <w:u w:color="000000"/>
          <w:lang w:val="pt-BR" w:eastAsia="es-ES"/>
        </w:rPr>
        <w:t>sível</w:t>
      </w:r>
      <w:r w:rsidRPr="006D1C74">
        <w:rPr>
          <w:rFonts w:ascii="Cambria" w:eastAsia="Times New Roman" w:hAnsi="Cambria"/>
          <w:color w:val="000000"/>
          <w:sz w:val="18"/>
          <w:szCs w:val="18"/>
          <w:u w:color="000000"/>
          <w:lang w:val="pt-BR" w:eastAsia="es-ES"/>
        </w:rPr>
        <w:t>,</w:t>
      </w:r>
      <w:r w:rsidR="00B146A8" w:rsidRPr="006D1C74">
        <w:rPr>
          <w:rFonts w:ascii="Cambria" w:eastAsia="Times New Roman" w:hAnsi="Cambria"/>
          <w:color w:val="000000"/>
          <w:sz w:val="18"/>
          <w:szCs w:val="18"/>
          <w:u w:color="000000"/>
          <w:lang w:val="pt-BR" w:eastAsia="es-ES"/>
        </w:rPr>
        <w:t xml:space="preserve"> o </w:t>
      </w:r>
      <w:r w:rsidR="005241BB" w:rsidRPr="006D1C74">
        <w:rPr>
          <w:rFonts w:ascii="Cambria" w:eastAsia="Times New Roman" w:hAnsi="Cambria"/>
          <w:color w:val="000000"/>
          <w:sz w:val="18"/>
          <w:szCs w:val="18"/>
          <w:u w:color="000000"/>
          <w:lang w:val="pt-BR" w:eastAsia="es-ES"/>
        </w:rPr>
        <w:t>que</w:t>
      </w:r>
      <w:r w:rsidRPr="006D1C74">
        <w:rPr>
          <w:rFonts w:ascii="Cambria" w:eastAsia="Times New Roman" w:hAnsi="Cambria"/>
          <w:color w:val="000000"/>
          <w:sz w:val="18"/>
          <w:szCs w:val="18"/>
          <w:u w:color="000000"/>
          <w:lang w:val="pt-BR" w:eastAsia="es-ES"/>
        </w:rPr>
        <w:t xml:space="preserve"> inclu</w:t>
      </w:r>
      <w:r w:rsidR="005241BB" w:rsidRPr="006D1C74">
        <w:rPr>
          <w:rFonts w:ascii="Cambria" w:eastAsia="Times New Roman" w:hAnsi="Cambria"/>
          <w:color w:val="000000"/>
          <w:sz w:val="18"/>
          <w:szCs w:val="18"/>
          <w:u w:color="000000"/>
          <w:lang w:val="pt-BR" w:eastAsia="es-ES"/>
        </w:rPr>
        <w:t>i</w:t>
      </w:r>
      <w:r w:rsidR="00700267" w:rsidRPr="006D1C74">
        <w:rPr>
          <w:rFonts w:ascii="Cambria" w:eastAsia="Times New Roman" w:hAnsi="Cambria"/>
          <w:color w:val="000000"/>
          <w:sz w:val="18"/>
          <w:szCs w:val="18"/>
          <w:u w:color="000000"/>
          <w:lang w:val="pt-BR" w:eastAsia="es-ES"/>
        </w:rPr>
        <w:t xml:space="preserve"> a </w:t>
      </w:r>
      <w:r w:rsidRPr="006D1C74">
        <w:rPr>
          <w:rFonts w:ascii="Cambria" w:eastAsia="Times New Roman" w:hAnsi="Cambria"/>
          <w:color w:val="000000"/>
          <w:sz w:val="18"/>
          <w:szCs w:val="18"/>
          <w:u w:color="000000"/>
          <w:lang w:val="pt-BR" w:eastAsia="es-ES"/>
        </w:rPr>
        <w:t>determina</w:t>
      </w:r>
      <w:r w:rsidR="00CF037E" w:rsidRPr="006D1C74">
        <w:rPr>
          <w:rFonts w:ascii="Cambria" w:eastAsia="Times New Roman" w:hAnsi="Cambria"/>
          <w:color w:val="000000"/>
          <w:sz w:val="18"/>
          <w:szCs w:val="18"/>
          <w:u w:color="000000"/>
          <w:lang w:val="pt-BR" w:eastAsia="es-ES"/>
        </w:rPr>
        <w:t>ção</w:t>
      </w:r>
      <w:r w:rsidRPr="006D1C74">
        <w:rPr>
          <w:rFonts w:ascii="Cambria" w:eastAsia="Times New Roman" w:hAnsi="Cambria"/>
          <w:color w:val="000000"/>
          <w:sz w:val="18"/>
          <w:szCs w:val="18"/>
          <w:u w:color="000000"/>
          <w:lang w:val="pt-BR" w:eastAsia="es-ES"/>
        </w:rPr>
        <w:t xml:space="preserve"> judicial</w:t>
      </w:r>
      <w:r w:rsidR="00700267" w:rsidRPr="006D1C74">
        <w:rPr>
          <w:rFonts w:ascii="Cambria" w:eastAsia="Times New Roman" w:hAnsi="Cambria"/>
          <w:color w:val="000000"/>
          <w:sz w:val="18"/>
          <w:szCs w:val="18"/>
          <w:u w:color="000000"/>
          <w:lang w:val="pt-BR" w:eastAsia="es-ES"/>
        </w:rPr>
        <w:t xml:space="preserve"> dos </w:t>
      </w:r>
      <w:r w:rsidRPr="006D1C74">
        <w:rPr>
          <w:rFonts w:ascii="Cambria" w:eastAsia="Times New Roman" w:hAnsi="Cambria"/>
          <w:color w:val="000000"/>
          <w:sz w:val="18"/>
          <w:szCs w:val="18"/>
          <w:u w:color="000000"/>
          <w:lang w:val="pt-BR" w:eastAsia="es-ES"/>
        </w:rPr>
        <w:t>pa</w:t>
      </w:r>
      <w:r w:rsidR="005241BB" w:rsidRPr="006D1C74">
        <w:rPr>
          <w:rFonts w:ascii="Cambria" w:eastAsia="Times New Roman" w:hAnsi="Cambria"/>
          <w:color w:val="000000"/>
          <w:sz w:val="18"/>
          <w:szCs w:val="18"/>
          <w:u w:color="000000"/>
          <w:lang w:val="pt-BR" w:eastAsia="es-ES"/>
        </w:rPr>
        <w:t>drões</w:t>
      </w:r>
      <w:r w:rsidRPr="006D1C74">
        <w:rPr>
          <w:rFonts w:ascii="Cambria" w:eastAsia="Times New Roman" w:hAnsi="Cambria"/>
          <w:color w:val="000000"/>
          <w:sz w:val="18"/>
          <w:szCs w:val="18"/>
          <w:u w:color="000000"/>
          <w:lang w:val="pt-BR" w:eastAsia="es-ES"/>
        </w:rPr>
        <w:t xml:space="preserve"> de </w:t>
      </w:r>
      <w:r w:rsidR="003171F3" w:rsidRPr="006D1C74">
        <w:rPr>
          <w:rFonts w:ascii="Cambria" w:eastAsia="Times New Roman" w:hAnsi="Cambria"/>
          <w:color w:val="000000"/>
          <w:sz w:val="18"/>
          <w:szCs w:val="18"/>
          <w:u w:color="000000"/>
          <w:lang w:val="pt-BR" w:eastAsia="es-ES"/>
        </w:rPr>
        <w:t>atuação</w:t>
      </w:r>
      <w:r w:rsidRPr="006D1C74">
        <w:rPr>
          <w:rFonts w:ascii="Cambria" w:eastAsia="Times New Roman" w:hAnsi="Cambria"/>
          <w:color w:val="000000"/>
          <w:sz w:val="18"/>
          <w:szCs w:val="18"/>
          <w:u w:color="000000"/>
          <w:lang w:val="pt-BR" w:eastAsia="es-ES"/>
        </w:rPr>
        <w:t xml:space="preserve"> conjunta</w:t>
      </w:r>
      <w:r w:rsidR="00CF037E" w:rsidRPr="006D1C74">
        <w:rPr>
          <w:rFonts w:ascii="Cambria" w:eastAsia="Times New Roman" w:hAnsi="Cambria"/>
          <w:color w:val="000000"/>
          <w:sz w:val="18"/>
          <w:szCs w:val="18"/>
          <w:u w:color="000000"/>
          <w:lang w:val="pt-BR" w:eastAsia="es-ES"/>
        </w:rPr>
        <w:t xml:space="preserve"> e </w:t>
      </w:r>
      <w:r w:rsidRPr="006D1C74">
        <w:rPr>
          <w:rFonts w:ascii="Cambria" w:eastAsia="Times New Roman" w:hAnsi="Cambria"/>
          <w:color w:val="000000"/>
          <w:sz w:val="18"/>
          <w:szCs w:val="18"/>
          <w:u w:color="000000"/>
          <w:lang w:val="pt-BR" w:eastAsia="es-ES"/>
        </w:rPr>
        <w:t>de todas</w:t>
      </w:r>
      <w:r w:rsidR="00700267" w:rsidRPr="006D1C74">
        <w:rPr>
          <w:rFonts w:ascii="Cambria" w:eastAsia="Times New Roman" w:hAnsi="Cambria"/>
          <w:color w:val="000000"/>
          <w:sz w:val="18"/>
          <w:szCs w:val="18"/>
          <w:u w:color="000000"/>
          <w:lang w:val="pt-BR" w:eastAsia="es-ES"/>
        </w:rPr>
        <w:t xml:space="preserve"> as </w:t>
      </w:r>
      <w:r w:rsidR="00CA7940" w:rsidRPr="006D1C74">
        <w:rPr>
          <w:rFonts w:ascii="Cambria" w:eastAsia="Times New Roman" w:hAnsi="Cambria"/>
          <w:color w:val="000000"/>
          <w:sz w:val="18"/>
          <w:szCs w:val="18"/>
          <w:u w:color="000000"/>
          <w:lang w:val="pt-BR" w:eastAsia="es-ES"/>
        </w:rPr>
        <w:t>pessoa</w:t>
      </w:r>
      <w:r w:rsidRPr="006D1C74">
        <w:rPr>
          <w:rFonts w:ascii="Cambria" w:eastAsia="Times New Roman" w:hAnsi="Cambria"/>
          <w:color w:val="000000"/>
          <w:sz w:val="18"/>
          <w:szCs w:val="18"/>
          <w:u w:color="000000"/>
          <w:lang w:val="pt-BR" w:eastAsia="es-ES"/>
        </w:rPr>
        <w:t xml:space="preserve">s que de diversas formas </w:t>
      </w:r>
      <w:r w:rsidR="003171F3" w:rsidRPr="006D1C74">
        <w:rPr>
          <w:rFonts w:ascii="Cambria" w:eastAsia="Times New Roman" w:hAnsi="Cambria"/>
          <w:color w:val="000000"/>
          <w:sz w:val="18"/>
          <w:szCs w:val="18"/>
          <w:u w:color="000000"/>
          <w:lang w:val="pt-BR" w:eastAsia="es-ES"/>
        </w:rPr>
        <w:t>participaram</w:t>
      </w:r>
      <w:r w:rsidR="00F673C7" w:rsidRPr="006D1C74">
        <w:rPr>
          <w:rFonts w:ascii="Cambria" w:eastAsia="Times New Roman" w:hAnsi="Cambria"/>
          <w:color w:val="000000"/>
          <w:sz w:val="18"/>
          <w:szCs w:val="18"/>
          <w:u w:color="000000"/>
          <w:lang w:val="pt-BR" w:eastAsia="es-ES"/>
        </w:rPr>
        <w:t xml:space="preserve"> </w:t>
      </w:r>
      <w:r w:rsidR="005241BB" w:rsidRPr="006D1C74">
        <w:rPr>
          <w:rFonts w:ascii="Cambria" w:eastAsia="Times New Roman" w:hAnsi="Cambria"/>
          <w:color w:val="000000"/>
          <w:sz w:val="18"/>
          <w:szCs w:val="18"/>
          <w:u w:color="000000"/>
          <w:lang w:val="pt-BR" w:eastAsia="es-ES"/>
        </w:rPr>
        <w:t>nessas</w:t>
      </w:r>
      <w:r w:rsidRPr="006D1C74">
        <w:rPr>
          <w:rFonts w:ascii="Cambria" w:eastAsia="Times New Roman" w:hAnsi="Cambria"/>
          <w:color w:val="000000"/>
          <w:sz w:val="18"/>
          <w:szCs w:val="18"/>
          <w:u w:color="000000"/>
          <w:lang w:val="pt-BR" w:eastAsia="es-ES"/>
        </w:rPr>
        <w:t xml:space="preserve"> viola</w:t>
      </w:r>
      <w:r w:rsidR="00CF037E" w:rsidRPr="006D1C74">
        <w:rPr>
          <w:rFonts w:ascii="Cambria" w:eastAsia="Times New Roman" w:hAnsi="Cambria"/>
          <w:color w:val="000000"/>
          <w:sz w:val="18"/>
          <w:szCs w:val="18"/>
          <w:u w:color="000000"/>
          <w:lang w:val="pt-BR" w:eastAsia="es-ES"/>
        </w:rPr>
        <w:t xml:space="preserve">ções e </w:t>
      </w:r>
      <w:r w:rsidRPr="006D1C74">
        <w:rPr>
          <w:rFonts w:ascii="Cambria" w:eastAsia="Times New Roman" w:hAnsi="Cambria"/>
          <w:color w:val="000000"/>
          <w:sz w:val="18"/>
          <w:szCs w:val="18"/>
          <w:u w:color="000000"/>
          <w:lang w:val="pt-BR" w:eastAsia="es-ES"/>
        </w:rPr>
        <w:t>su</w:t>
      </w:r>
      <w:r w:rsidR="00C81014">
        <w:rPr>
          <w:rFonts w:ascii="Cambria" w:eastAsia="Times New Roman" w:hAnsi="Cambria"/>
          <w:color w:val="000000"/>
          <w:sz w:val="18"/>
          <w:szCs w:val="18"/>
          <w:u w:color="000000"/>
          <w:lang w:val="pt-BR" w:eastAsia="es-ES"/>
        </w:rPr>
        <w:t>a</w:t>
      </w:r>
      <w:r w:rsidRPr="006D1C74">
        <w:rPr>
          <w:rFonts w:ascii="Cambria" w:eastAsia="Times New Roman" w:hAnsi="Cambria"/>
          <w:color w:val="000000"/>
          <w:sz w:val="18"/>
          <w:szCs w:val="18"/>
          <w:u w:color="000000"/>
          <w:lang w:val="pt-BR" w:eastAsia="es-ES"/>
        </w:rPr>
        <w:t>s correspon</w:t>
      </w:r>
      <w:r w:rsidR="000D2A81" w:rsidRPr="006D1C74">
        <w:rPr>
          <w:rFonts w:ascii="Cambria" w:eastAsia="Times New Roman" w:hAnsi="Cambria"/>
          <w:color w:val="000000"/>
          <w:sz w:val="18"/>
          <w:szCs w:val="18"/>
          <w:u w:color="000000"/>
          <w:lang w:val="pt-BR" w:eastAsia="es-ES"/>
        </w:rPr>
        <w:t>dente</w:t>
      </w:r>
      <w:r w:rsidRPr="006D1C74">
        <w:rPr>
          <w:rFonts w:ascii="Cambria" w:eastAsia="Times New Roman" w:hAnsi="Cambria"/>
          <w:color w:val="000000"/>
          <w:sz w:val="18"/>
          <w:szCs w:val="18"/>
          <w:u w:color="000000"/>
          <w:lang w:val="pt-BR" w:eastAsia="es-ES"/>
        </w:rPr>
        <w:t>s responsabilidades</w:t>
      </w:r>
      <w:r w:rsidRPr="006D1C74">
        <w:rPr>
          <w:rFonts w:ascii="Cambria" w:eastAsia="Trebuchet MS" w:hAnsi="Cambria"/>
          <w:color w:val="000000"/>
          <w:sz w:val="18"/>
          <w:szCs w:val="18"/>
          <w:u w:color="000000"/>
          <w:vertAlign w:val="superscript"/>
          <w:lang w:val="pt-BR" w:eastAsia="es-ES"/>
        </w:rPr>
        <w:footnoteReference w:id="111"/>
      </w:r>
      <w:r w:rsidRPr="006D1C74">
        <w:rPr>
          <w:rFonts w:ascii="Cambria" w:eastAsia="Times New Roman" w:hAnsi="Cambria"/>
          <w:color w:val="000000"/>
          <w:sz w:val="18"/>
          <w:szCs w:val="18"/>
          <w:u w:color="000000"/>
          <w:lang w:val="pt-BR" w:eastAsia="es-ES"/>
        </w:rPr>
        <w:t xml:space="preserve">. </w:t>
      </w:r>
    </w:p>
    <w:p w14:paraId="7DCD4F85" w14:textId="77777777" w:rsidR="002649F0" w:rsidRPr="006D1C74" w:rsidRDefault="002649F0" w:rsidP="002649F0">
      <w:pPr>
        <w:ind w:left="2160"/>
        <w:rPr>
          <w:rFonts w:ascii="Cambria" w:eastAsia="Times New Roman" w:hAnsi="Cambria"/>
          <w:color w:val="000000"/>
          <w:sz w:val="20"/>
          <w:szCs w:val="20"/>
          <w:u w:color="000000"/>
          <w:lang w:val="pt-BR" w:eastAsia="es-ES"/>
        </w:rPr>
      </w:pPr>
    </w:p>
    <w:p w14:paraId="48708EDD" w14:textId="77777777" w:rsidR="002649F0" w:rsidRPr="006D1C74" w:rsidRDefault="002649F0"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Cambria" w:hAnsi="Cambria"/>
          <w:sz w:val="20"/>
          <w:szCs w:val="20"/>
          <w:lang w:val="pt-BR"/>
        </w:rPr>
      </w:pPr>
      <w:r w:rsidRPr="006D1C74">
        <w:rPr>
          <w:rFonts w:ascii="Cambria" w:hAnsi="Cambria"/>
          <w:sz w:val="20"/>
          <w:szCs w:val="20"/>
          <w:lang w:val="pt-BR"/>
        </w:rPr>
        <w:t>Por con</w:t>
      </w:r>
      <w:r w:rsidR="00154D0D" w:rsidRPr="006D1C74">
        <w:rPr>
          <w:rFonts w:ascii="Cambria" w:hAnsi="Cambria"/>
          <w:sz w:val="20"/>
          <w:szCs w:val="20"/>
          <w:lang w:val="pt-BR"/>
        </w:rPr>
        <w:t>seguinte</w:t>
      </w:r>
      <w:r w:rsidRPr="006D1C74">
        <w:rPr>
          <w:rFonts w:ascii="Cambria" w:hAnsi="Cambria"/>
          <w:sz w:val="20"/>
          <w:szCs w:val="20"/>
          <w:lang w:val="pt-BR"/>
        </w:rPr>
        <w:t>,</w:t>
      </w:r>
      <w:r w:rsidR="00700267" w:rsidRPr="006D1C74">
        <w:rPr>
          <w:rFonts w:ascii="Cambria" w:hAnsi="Cambria"/>
          <w:sz w:val="20"/>
          <w:szCs w:val="20"/>
          <w:lang w:val="pt-BR"/>
        </w:rPr>
        <w:t xml:space="preserve"> a </w:t>
      </w:r>
      <w:r w:rsidR="00417BE8" w:rsidRPr="006D1C74">
        <w:rPr>
          <w:rFonts w:ascii="Cambria" w:hAnsi="Cambria"/>
          <w:sz w:val="20"/>
          <w:szCs w:val="20"/>
          <w:lang w:val="pt-BR"/>
        </w:rPr>
        <w:t>Comissão</w:t>
      </w:r>
      <w:r w:rsidRPr="006D1C74">
        <w:rPr>
          <w:rFonts w:ascii="Cambria" w:hAnsi="Cambria"/>
          <w:sz w:val="20"/>
          <w:szCs w:val="20"/>
          <w:lang w:val="pt-BR"/>
        </w:rPr>
        <w:t xml:space="preserve"> considera que</w:t>
      </w:r>
      <w:r w:rsidR="00700267" w:rsidRPr="006D1C74">
        <w:rPr>
          <w:rFonts w:ascii="Cambria" w:hAnsi="Cambria"/>
          <w:sz w:val="20"/>
          <w:szCs w:val="20"/>
          <w:lang w:val="pt-BR"/>
        </w:rPr>
        <w:t xml:space="preserve"> a </w:t>
      </w:r>
      <w:r w:rsidR="003171F3" w:rsidRPr="006D1C74">
        <w:rPr>
          <w:rFonts w:ascii="Cambria" w:hAnsi="Cambria"/>
          <w:sz w:val="20"/>
          <w:szCs w:val="20"/>
          <w:lang w:val="pt-BR"/>
        </w:rPr>
        <w:t>perda</w:t>
      </w:r>
      <w:r w:rsidRPr="006D1C74">
        <w:rPr>
          <w:rFonts w:ascii="Cambria" w:hAnsi="Cambria"/>
          <w:sz w:val="20"/>
          <w:szCs w:val="20"/>
          <w:lang w:val="pt-BR"/>
        </w:rPr>
        <w:t xml:space="preserve"> de </w:t>
      </w:r>
      <w:r w:rsidR="003171F3">
        <w:rPr>
          <w:rFonts w:ascii="Cambria" w:hAnsi="Cambria"/>
          <w:sz w:val="20"/>
          <w:szCs w:val="20"/>
          <w:lang w:val="pt-BR"/>
        </w:rPr>
        <w:t>um</w:t>
      </w:r>
      <w:r w:rsidRPr="006D1C74">
        <w:rPr>
          <w:rFonts w:ascii="Cambria" w:hAnsi="Cambria"/>
          <w:sz w:val="20"/>
          <w:szCs w:val="20"/>
          <w:lang w:val="pt-BR"/>
        </w:rPr>
        <w:t xml:space="preserve"> ser querido</w:t>
      </w:r>
      <w:r w:rsidR="00F673C7" w:rsidRPr="006D1C74">
        <w:rPr>
          <w:rFonts w:ascii="Cambria" w:hAnsi="Cambria"/>
          <w:sz w:val="20"/>
          <w:szCs w:val="20"/>
          <w:lang w:val="pt-BR"/>
        </w:rPr>
        <w:t xml:space="preserve"> em </w:t>
      </w:r>
      <w:r w:rsidRPr="006D1C74">
        <w:rPr>
          <w:rFonts w:ascii="Cambria" w:hAnsi="Cambria"/>
          <w:sz w:val="20"/>
          <w:szCs w:val="20"/>
          <w:lang w:val="pt-BR"/>
        </w:rPr>
        <w:t>circunst</w:t>
      </w:r>
      <w:r w:rsidR="00981A34">
        <w:rPr>
          <w:rFonts w:ascii="Cambria" w:hAnsi="Cambria"/>
          <w:sz w:val="20"/>
          <w:szCs w:val="20"/>
          <w:lang w:val="pt-BR"/>
        </w:rPr>
        <w:t>â</w:t>
      </w:r>
      <w:r w:rsidRPr="006D1C74">
        <w:rPr>
          <w:rFonts w:ascii="Cambria" w:hAnsi="Cambria"/>
          <w:sz w:val="20"/>
          <w:szCs w:val="20"/>
          <w:lang w:val="pt-BR"/>
        </w:rPr>
        <w:t>ncias como</w:t>
      </w:r>
      <w:r w:rsidR="00700267" w:rsidRPr="006D1C74">
        <w:rPr>
          <w:rFonts w:ascii="Cambria" w:hAnsi="Cambria"/>
          <w:sz w:val="20"/>
          <w:szCs w:val="20"/>
          <w:lang w:val="pt-BR"/>
        </w:rPr>
        <w:t xml:space="preserve"> as </w:t>
      </w:r>
      <w:r w:rsidRPr="006D1C74">
        <w:rPr>
          <w:rFonts w:ascii="Cambria" w:hAnsi="Cambria"/>
          <w:sz w:val="20"/>
          <w:szCs w:val="20"/>
          <w:lang w:val="pt-BR"/>
        </w:rPr>
        <w:t>descritas</w:t>
      </w:r>
      <w:r w:rsidR="00FC2F62" w:rsidRPr="006D1C74">
        <w:rPr>
          <w:rFonts w:ascii="Cambria" w:hAnsi="Cambria"/>
          <w:sz w:val="20"/>
          <w:szCs w:val="20"/>
          <w:lang w:val="pt-BR"/>
        </w:rPr>
        <w:t xml:space="preserve"> no </w:t>
      </w:r>
      <w:r w:rsidRPr="006D1C74">
        <w:rPr>
          <w:rFonts w:ascii="Cambria" w:hAnsi="Cambria"/>
          <w:sz w:val="20"/>
          <w:szCs w:val="20"/>
          <w:lang w:val="pt-BR"/>
        </w:rPr>
        <w:t xml:space="preserve">presente </w:t>
      </w:r>
      <w:r w:rsidR="00927E16" w:rsidRPr="006D1C74">
        <w:rPr>
          <w:rFonts w:ascii="Cambria" w:hAnsi="Cambria"/>
          <w:sz w:val="20"/>
          <w:szCs w:val="20"/>
          <w:lang w:val="pt-BR"/>
        </w:rPr>
        <w:t>relatório</w:t>
      </w:r>
      <w:r w:rsidR="00C81014">
        <w:rPr>
          <w:rFonts w:ascii="Cambria" w:hAnsi="Cambria"/>
          <w:sz w:val="20"/>
          <w:szCs w:val="20"/>
          <w:lang w:val="pt-BR"/>
        </w:rPr>
        <w:t xml:space="preserve"> e </w:t>
      </w:r>
      <w:r w:rsidR="00700267" w:rsidRPr="006D1C74">
        <w:rPr>
          <w:rFonts w:ascii="Cambria" w:hAnsi="Cambria"/>
          <w:sz w:val="20"/>
          <w:szCs w:val="20"/>
          <w:lang w:val="pt-BR"/>
        </w:rPr>
        <w:t xml:space="preserve">a </w:t>
      </w:r>
      <w:r w:rsidR="003171F3" w:rsidRPr="006D1C74">
        <w:rPr>
          <w:rFonts w:ascii="Cambria" w:hAnsi="Cambria"/>
          <w:sz w:val="20"/>
          <w:szCs w:val="20"/>
          <w:lang w:val="pt-BR"/>
        </w:rPr>
        <w:t>ausência</w:t>
      </w:r>
      <w:r w:rsidRPr="006D1C74">
        <w:rPr>
          <w:rFonts w:ascii="Cambria" w:hAnsi="Cambria"/>
          <w:sz w:val="20"/>
          <w:szCs w:val="20"/>
          <w:lang w:val="pt-BR"/>
        </w:rPr>
        <w:t xml:space="preserve"> de ver</w:t>
      </w:r>
      <w:r w:rsidR="00F673C7" w:rsidRPr="006D1C74">
        <w:rPr>
          <w:rFonts w:ascii="Cambria" w:hAnsi="Cambria"/>
          <w:sz w:val="20"/>
          <w:szCs w:val="20"/>
          <w:lang w:val="pt-BR"/>
        </w:rPr>
        <w:t xml:space="preserve">dade </w:t>
      </w:r>
      <w:r w:rsidR="00CF037E" w:rsidRPr="006D1C74">
        <w:rPr>
          <w:rFonts w:ascii="Cambria" w:hAnsi="Cambria"/>
          <w:sz w:val="20"/>
          <w:szCs w:val="20"/>
          <w:lang w:val="pt-BR"/>
        </w:rPr>
        <w:t xml:space="preserve">e </w:t>
      </w:r>
      <w:r w:rsidR="00795010" w:rsidRPr="006D1C74">
        <w:rPr>
          <w:rFonts w:ascii="Cambria" w:hAnsi="Cambria"/>
          <w:sz w:val="20"/>
          <w:szCs w:val="20"/>
          <w:lang w:val="pt-BR"/>
        </w:rPr>
        <w:t>justiça</w:t>
      </w:r>
      <w:r w:rsidRPr="006D1C74">
        <w:rPr>
          <w:rFonts w:ascii="Cambria" w:hAnsi="Cambria"/>
          <w:sz w:val="20"/>
          <w:szCs w:val="20"/>
          <w:lang w:val="pt-BR"/>
        </w:rPr>
        <w:t xml:space="preserve"> </w:t>
      </w:r>
      <w:r w:rsidR="005241BB" w:rsidRPr="006D1C74">
        <w:rPr>
          <w:rFonts w:ascii="Cambria" w:hAnsi="Cambria"/>
          <w:sz w:val="20"/>
          <w:szCs w:val="20"/>
          <w:lang w:val="pt-BR"/>
        </w:rPr>
        <w:t>provocaram</w:t>
      </w:r>
      <w:r w:rsidRPr="006D1C74">
        <w:rPr>
          <w:rFonts w:ascii="Cambria" w:hAnsi="Cambria"/>
          <w:sz w:val="20"/>
          <w:szCs w:val="20"/>
          <w:lang w:val="pt-BR"/>
        </w:rPr>
        <w:t xml:space="preserve"> </w:t>
      </w:r>
      <w:r w:rsidR="003171F3" w:rsidRPr="006D1C74">
        <w:rPr>
          <w:rFonts w:ascii="Cambria" w:hAnsi="Cambria"/>
          <w:sz w:val="20"/>
          <w:szCs w:val="20"/>
          <w:lang w:val="pt-BR"/>
        </w:rPr>
        <w:t>sofrimento</w:t>
      </w:r>
      <w:r w:rsidR="00CF037E" w:rsidRPr="006D1C74">
        <w:rPr>
          <w:rFonts w:ascii="Cambria" w:hAnsi="Cambria"/>
          <w:sz w:val="20"/>
          <w:szCs w:val="20"/>
          <w:lang w:val="pt-BR"/>
        </w:rPr>
        <w:t xml:space="preserve"> e </w:t>
      </w:r>
      <w:r w:rsidRPr="006D1C74">
        <w:rPr>
          <w:rFonts w:ascii="Cambria" w:hAnsi="Cambria"/>
          <w:sz w:val="20"/>
          <w:szCs w:val="20"/>
          <w:lang w:val="pt-BR"/>
        </w:rPr>
        <w:t>ang</w:t>
      </w:r>
      <w:r w:rsidR="00C81014">
        <w:rPr>
          <w:rFonts w:ascii="Cambria" w:hAnsi="Cambria"/>
          <w:sz w:val="20"/>
          <w:szCs w:val="20"/>
          <w:lang w:val="pt-BR"/>
        </w:rPr>
        <w:t>ú</w:t>
      </w:r>
      <w:r w:rsidRPr="006D1C74">
        <w:rPr>
          <w:rFonts w:ascii="Cambria" w:hAnsi="Cambria"/>
          <w:sz w:val="20"/>
          <w:szCs w:val="20"/>
          <w:lang w:val="pt-BR"/>
        </w:rPr>
        <w:t>stia</w:t>
      </w:r>
      <w:r w:rsidR="00135454" w:rsidRPr="006D1C74">
        <w:rPr>
          <w:rFonts w:ascii="Cambria" w:hAnsi="Cambria"/>
          <w:sz w:val="20"/>
          <w:szCs w:val="20"/>
          <w:lang w:val="pt-BR"/>
        </w:rPr>
        <w:t xml:space="preserve"> </w:t>
      </w:r>
      <w:r w:rsidR="00C81014">
        <w:rPr>
          <w:rFonts w:ascii="Cambria" w:hAnsi="Cambria"/>
          <w:sz w:val="20"/>
          <w:szCs w:val="20"/>
          <w:lang w:val="pt-BR"/>
        </w:rPr>
        <w:t>n</w:t>
      </w:r>
      <w:r w:rsidR="00135454" w:rsidRPr="006D1C74">
        <w:rPr>
          <w:rFonts w:ascii="Cambria" w:hAnsi="Cambria"/>
          <w:sz w:val="20"/>
          <w:szCs w:val="20"/>
          <w:lang w:val="pt-BR"/>
        </w:rPr>
        <w:t xml:space="preserve">os </w:t>
      </w:r>
      <w:r w:rsidR="001E2392" w:rsidRPr="006D1C74">
        <w:rPr>
          <w:rFonts w:ascii="Cambria" w:hAnsi="Cambria"/>
          <w:sz w:val="20"/>
          <w:szCs w:val="20"/>
          <w:lang w:val="pt-BR"/>
        </w:rPr>
        <w:t>familiares</w:t>
      </w:r>
      <w:r w:rsidRPr="006D1C74">
        <w:rPr>
          <w:rFonts w:ascii="Cambria" w:hAnsi="Cambria"/>
          <w:sz w:val="20"/>
          <w:szCs w:val="20"/>
          <w:lang w:val="pt-BR"/>
        </w:rPr>
        <w:t xml:space="preserve"> de Antonio Tavares Pereira,</w:t>
      </w:r>
      <w:r w:rsidR="00F673C7" w:rsidRPr="006D1C74">
        <w:rPr>
          <w:rFonts w:ascii="Cambria" w:hAnsi="Cambria"/>
          <w:sz w:val="20"/>
          <w:szCs w:val="20"/>
          <w:lang w:val="pt-BR"/>
        </w:rPr>
        <w:t xml:space="preserve"> </w:t>
      </w:r>
      <w:r w:rsidRPr="006D1C74">
        <w:rPr>
          <w:rFonts w:ascii="Cambria" w:hAnsi="Cambria"/>
          <w:sz w:val="20"/>
          <w:szCs w:val="20"/>
          <w:lang w:val="pt-BR"/>
        </w:rPr>
        <w:t>viola</w:t>
      </w:r>
      <w:r w:rsidR="005241BB" w:rsidRPr="006D1C74">
        <w:rPr>
          <w:rFonts w:ascii="Cambria" w:hAnsi="Cambria"/>
          <w:sz w:val="20"/>
          <w:szCs w:val="20"/>
          <w:lang w:val="pt-BR"/>
        </w:rPr>
        <w:t>nd</w:t>
      </w:r>
      <w:r w:rsidR="00CF037E" w:rsidRPr="006D1C74">
        <w:rPr>
          <w:rFonts w:ascii="Cambria" w:hAnsi="Cambria"/>
          <w:sz w:val="20"/>
          <w:szCs w:val="20"/>
          <w:lang w:val="pt-BR"/>
        </w:rPr>
        <w:t>o</w:t>
      </w:r>
      <w:r w:rsidRPr="006D1C74">
        <w:rPr>
          <w:rFonts w:ascii="Cambria" w:hAnsi="Cambria"/>
          <w:sz w:val="20"/>
          <w:szCs w:val="20"/>
          <w:lang w:val="pt-BR"/>
        </w:rPr>
        <w:t xml:space="preserve"> </w:t>
      </w:r>
      <w:r w:rsidR="003171F3" w:rsidRPr="006D1C74">
        <w:rPr>
          <w:rFonts w:ascii="Cambria" w:hAnsi="Cambria"/>
          <w:sz w:val="20"/>
          <w:szCs w:val="20"/>
          <w:lang w:val="pt-BR"/>
        </w:rPr>
        <w:t>seu</w:t>
      </w:r>
      <w:r w:rsidRPr="006D1C74">
        <w:rPr>
          <w:rFonts w:ascii="Cambria" w:hAnsi="Cambria"/>
          <w:sz w:val="20"/>
          <w:szCs w:val="20"/>
          <w:lang w:val="pt-BR"/>
        </w:rPr>
        <w:t xml:space="preserve"> </w:t>
      </w:r>
      <w:r w:rsidR="00417BE8" w:rsidRPr="006D1C74">
        <w:rPr>
          <w:rFonts w:ascii="Cambria" w:hAnsi="Cambria"/>
          <w:sz w:val="20"/>
          <w:szCs w:val="20"/>
          <w:lang w:val="pt-BR"/>
        </w:rPr>
        <w:t>direito</w:t>
      </w:r>
      <w:r w:rsidR="00030019" w:rsidRPr="006D1C74">
        <w:rPr>
          <w:rFonts w:ascii="Cambria" w:hAnsi="Cambria"/>
          <w:sz w:val="20"/>
          <w:szCs w:val="20"/>
          <w:lang w:val="pt-BR"/>
        </w:rPr>
        <w:t xml:space="preserve"> à </w:t>
      </w:r>
      <w:r w:rsidRPr="006D1C74">
        <w:rPr>
          <w:rFonts w:ascii="Cambria" w:hAnsi="Cambria"/>
          <w:sz w:val="20"/>
          <w:szCs w:val="20"/>
          <w:lang w:val="pt-BR"/>
        </w:rPr>
        <w:t>integri</w:t>
      </w:r>
      <w:r w:rsidR="00F673C7" w:rsidRPr="006D1C74">
        <w:rPr>
          <w:rFonts w:ascii="Cambria" w:hAnsi="Cambria"/>
          <w:sz w:val="20"/>
          <w:szCs w:val="20"/>
          <w:lang w:val="pt-BR"/>
        </w:rPr>
        <w:t xml:space="preserve">dade </w:t>
      </w:r>
      <w:r w:rsidRPr="006D1C74">
        <w:rPr>
          <w:rFonts w:ascii="Cambria" w:hAnsi="Cambria"/>
          <w:sz w:val="20"/>
          <w:szCs w:val="20"/>
          <w:lang w:val="pt-BR"/>
        </w:rPr>
        <w:t>psíquica</w:t>
      </w:r>
      <w:r w:rsidR="00CF037E" w:rsidRPr="006D1C74">
        <w:rPr>
          <w:rFonts w:ascii="Cambria" w:hAnsi="Cambria"/>
          <w:sz w:val="20"/>
          <w:szCs w:val="20"/>
          <w:lang w:val="pt-BR"/>
        </w:rPr>
        <w:t xml:space="preserve"> e </w:t>
      </w:r>
      <w:r w:rsidRPr="006D1C74">
        <w:rPr>
          <w:rFonts w:ascii="Cambria" w:hAnsi="Cambria"/>
          <w:sz w:val="20"/>
          <w:szCs w:val="20"/>
          <w:lang w:val="pt-BR"/>
        </w:rPr>
        <w:t xml:space="preserve">moral </w:t>
      </w:r>
      <w:r w:rsidR="003171F3" w:rsidRPr="006D1C74">
        <w:rPr>
          <w:rFonts w:ascii="Cambria" w:hAnsi="Cambria"/>
          <w:sz w:val="20"/>
          <w:szCs w:val="20"/>
          <w:lang w:val="pt-BR"/>
        </w:rPr>
        <w:t>estabelecido</w:t>
      </w:r>
      <w:r w:rsidR="00FC2F62" w:rsidRPr="006D1C74">
        <w:rPr>
          <w:rFonts w:ascii="Cambria" w:hAnsi="Cambria"/>
          <w:sz w:val="20"/>
          <w:szCs w:val="20"/>
          <w:lang w:val="pt-BR"/>
        </w:rPr>
        <w:t xml:space="preserve"> no </w:t>
      </w:r>
      <w:r w:rsidR="00F673C7" w:rsidRPr="006D1C74">
        <w:rPr>
          <w:rFonts w:ascii="Cambria" w:hAnsi="Cambria"/>
          <w:sz w:val="20"/>
          <w:szCs w:val="20"/>
          <w:lang w:val="pt-BR"/>
        </w:rPr>
        <w:t>artigo</w:t>
      </w:r>
      <w:r w:rsidRPr="006D1C74">
        <w:rPr>
          <w:rFonts w:ascii="Cambria" w:hAnsi="Cambria"/>
          <w:sz w:val="20"/>
          <w:szCs w:val="20"/>
          <w:lang w:val="pt-BR"/>
        </w:rPr>
        <w:t xml:space="preserve"> 5.1</w:t>
      </w:r>
      <w:r w:rsidR="00795010" w:rsidRPr="006D1C74">
        <w:rPr>
          <w:rFonts w:ascii="Cambria" w:hAnsi="Cambria"/>
          <w:sz w:val="20"/>
          <w:szCs w:val="20"/>
          <w:lang w:val="pt-BR"/>
        </w:rPr>
        <w:t xml:space="preserve"> da </w:t>
      </w:r>
      <w:r w:rsidRPr="006D1C74">
        <w:rPr>
          <w:rFonts w:ascii="Cambria" w:hAnsi="Cambria"/>
          <w:sz w:val="20"/>
          <w:szCs w:val="20"/>
          <w:lang w:val="pt-BR"/>
        </w:rPr>
        <w:t>Conven</w:t>
      </w:r>
      <w:r w:rsidR="00CF037E" w:rsidRPr="006D1C74">
        <w:rPr>
          <w:rFonts w:ascii="Cambria" w:hAnsi="Cambria"/>
          <w:sz w:val="20"/>
          <w:szCs w:val="20"/>
          <w:lang w:val="pt-BR"/>
        </w:rPr>
        <w:t>ção</w:t>
      </w:r>
      <w:r w:rsidRPr="006D1C74">
        <w:rPr>
          <w:rFonts w:ascii="Cambria" w:hAnsi="Cambria"/>
          <w:sz w:val="20"/>
          <w:szCs w:val="20"/>
          <w:lang w:val="pt-BR"/>
        </w:rPr>
        <w:t xml:space="preserve"> Americana,</w:t>
      </w:r>
      <w:r w:rsidR="00F673C7" w:rsidRPr="006D1C74">
        <w:rPr>
          <w:rFonts w:ascii="Cambria" w:hAnsi="Cambria"/>
          <w:sz w:val="20"/>
          <w:szCs w:val="20"/>
          <w:lang w:val="pt-BR"/>
        </w:rPr>
        <w:t xml:space="preserve"> </w:t>
      </w:r>
      <w:r w:rsidR="005241BB" w:rsidRPr="006D1C74">
        <w:rPr>
          <w:rFonts w:ascii="Cambria" w:hAnsi="Cambria"/>
          <w:sz w:val="20"/>
          <w:szCs w:val="20"/>
          <w:lang w:val="pt-BR"/>
        </w:rPr>
        <w:t>co</w:t>
      </w:r>
      <w:r w:rsidR="00F673C7" w:rsidRPr="006D1C74">
        <w:rPr>
          <w:rFonts w:ascii="Cambria" w:hAnsi="Cambria"/>
          <w:sz w:val="20"/>
          <w:szCs w:val="20"/>
          <w:lang w:val="pt-BR"/>
        </w:rPr>
        <w:t xml:space="preserve">m </w:t>
      </w:r>
      <w:r w:rsidRPr="006D1C74">
        <w:rPr>
          <w:rFonts w:ascii="Cambria" w:hAnsi="Cambria"/>
          <w:sz w:val="20"/>
          <w:szCs w:val="20"/>
          <w:lang w:val="pt-BR"/>
        </w:rPr>
        <w:t>rela</w:t>
      </w:r>
      <w:r w:rsidR="00CF037E" w:rsidRPr="006D1C74">
        <w:rPr>
          <w:rFonts w:ascii="Cambria" w:hAnsi="Cambria"/>
          <w:sz w:val="20"/>
          <w:szCs w:val="20"/>
          <w:lang w:val="pt-BR"/>
        </w:rPr>
        <w:t>ção</w:t>
      </w:r>
      <w:r w:rsidR="00F673C7" w:rsidRPr="006D1C74">
        <w:rPr>
          <w:rFonts w:ascii="Cambria" w:hAnsi="Cambria"/>
          <w:sz w:val="20"/>
          <w:szCs w:val="20"/>
          <w:lang w:val="pt-BR"/>
        </w:rPr>
        <w:t xml:space="preserve"> </w:t>
      </w:r>
      <w:r w:rsidR="005241BB" w:rsidRPr="006D1C74">
        <w:rPr>
          <w:rFonts w:ascii="Cambria" w:hAnsi="Cambria"/>
          <w:sz w:val="20"/>
          <w:szCs w:val="20"/>
          <w:lang w:val="pt-BR"/>
        </w:rPr>
        <w:t>à</w:t>
      </w:r>
      <w:r w:rsidR="00700267" w:rsidRPr="006D1C74">
        <w:rPr>
          <w:rFonts w:ascii="Cambria" w:hAnsi="Cambria"/>
          <w:sz w:val="20"/>
          <w:szCs w:val="20"/>
          <w:lang w:val="pt-BR"/>
        </w:rPr>
        <w:t xml:space="preserve">s </w:t>
      </w:r>
      <w:r w:rsidR="003171F3" w:rsidRPr="006D1C74">
        <w:rPr>
          <w:rFonts w:ascii="Cambria" w:hAnsi="Cambria"/>
          <w:sz w:val="20"/>
          <w:szCs w:val="20"/>
          <w:lang w:val="pt-BR"/>
        </w:rPr>
        <w:t>obrigações</w:t>
      </w:r>
      <w:r w:rsidRPr="006D1C74">
        <w:rPr>
          <w:rFonts w:ascii="Cambria" w:hAnsi="Cambria"/>
          <w:sz w:val="20"/>
          <w:szCs w:val="20"/>
          <w:lang w:val="pt-BR"/>
        </w:rPr>
        <w:t xml:space="preserve"> contidas</w:t>
      </w:r>
      <w:r w:rsidR="00FC2F62" w:rsidRPr="006D1C74">
        <w:rPr>
          <w:rFonts w:ascii="Cambria" w:hAnsi="Cambria"/>
          <w:sz w:val="20"/>
          <w:szCs w:val="20"/>
          <w:lang w:val="pt-BR"/>
        </w:rPr>
        <w:t xml:space="preserve"> no </w:t>
      </w:r>
      <w:r w:rsidR="00F673C7" w:rsidRPr="006D1C74">
        <w:rPr>
          <w:rFonts w:ascii="Cambria" w:hAnsi="Cambria"/>
          <w:sz w:val="20"/>
          <w:szCs w:val="20"/>
          <w:lang w:val="pt-BR"/>
        </w:rPr>
        <w:t>artigo</w:t>
      </w:r>
      <w:r w:rsidRPr="006D1C74">
        <w:rPr>
          <w:rFonts w:ascii="Cambria" w:hAnsi="Cambria"/>
          <w:sz w:val="20"/>
          <w:szCs w:val="20"/>
          <w:lang w:val="pt-BR"/>
        </w:rPr>
        <w:t xml:space="preserve"> 1.1 de</w:t>
      </w:r>
      <w:r w:rsidR="005241BB" w:rsidRPr="006D1C74">
        <w:rPr>
          <w:rFonts w:ascii="Cambria" w:hAnsi="Cambria"/>
          <w:sz w:val="20"/>
          <w:szCs w:val="20"/>
          <w:lang w:val="pt-BR"/>
        </w:rPr>
        <w:t>sse</w:t>
      </w:r>
      <w:r w:rsidRPr="006D1C74">
        <w:rPr>
          <w:rFonts w:ascii="Cambria" w:hAnsi="Cambria"/>
          <w:sz w:val="20"/>
          <w:szCs w:val="20"/>
          <w:lang w:val="pt-BR"/>
        </w:rPr>
        <w:t xml:space="preserve"> instrumento.</w:t>
      </w:r>
    </w:p>
    <w:p w14:paraId="21257D58" w14:textId="77777777" w:rsidR="002649F0" w:rsidRPr="006D1C74" w:rsidRDefault="002649F0" w:rsidP="002649F0">
      <w:pPr>
        <w:ind w:left="720"/>
        <w:rPr>
          <w:rFonts w:asciiTheme="majorHAnsi" w:eastAsia="Cambria" w:hAnsiTheme="majorHAnsi" w:cs="Cambria"/>
          <w:color w:val="000000"/>
          <w:sz w:val="20"/>
          <w:szCs w:val="20"/>
          <w:u w:color="000000"/>
          <w:lang w:val="pt-BR" w:eastAsia="es-ES"/>
        </w:rPr>
      </w:pPr>
    </w:p>
    <w:p w14:paraId="36465044" w14:textId="77777777" w:rsidR="002649F0" w:rsidRPr="006D1C74" w:rsidRDefault="002649F0" w:rsidP="00E46227">
      <w:pPr>
        <w:pStyle w:val="Heading1"/>
        <w:rPr>
          <w:lang w:val="pt-BR"/>
        </w:rPr>
      </w:pPr>
      <w:bookmarkStart w:id="36" w:name="_Toc43554280"/>
      <w:r w:rsidRPr="006D1C74">
        <w:rPr>
          <w:lang w:val="pt-BR"/>
        </w:rPr>
        <w:t>CONCLUS</w:t>
      </w:r>
      <w:r w:rsidR="00417BE8" w:rsidRPr="006D1C74">
        <w:rPr>
          <w:lang w:val="pt-BR"/>
        </w:rPr>
        <w:t>Õ</w:t>
      </w:r>
      <w:r w:rsidRPr="006D1C74">
        <w:rPr>
          <w:lang w:val="pt-BR"/>
        </w:rPr>
        <w:t>ES</w:t>
      </w:r>
      <w:r w:rsidR="00CF037E" w:rsidRPr="006D1C74">
        <w:rPr>
          <w:lang w:val="pt-BR"/>
        </w:rPr>
        <w:t xml:space="preserve"> </w:t>
      </w:r>
      <w:r w:rsidR="00417BE8" w:rsidRPr="006D1C74">
        <w:rPr>
          <w:lang w:val="pt-BR"/>
        </w:rPr>
        <w:t>E</w:t>
      </w:r>
      <w:r w:rsidR="00CF037E" w:rsidRPr="006D1C74">
        <w:rPr>
          <w:lang w:val="pt-BR"/>
        </w:rPr>
        <w:t xml:space="preserve"> </w:t>
      </w:r>
      <w:r w:rsidRPr="006D1C74">
        <w:rPr>
          <w:lang w:val="pt-BR"/>
        </w:rPr>
        <w:t>RECOMENDA</w:t>
      </w:r>
      <w:r w:rsidR="00CF037E" w:rsidRPr="006D1C74">
        <w:rPr>
          <w:lang w:val="pt-BR"/>
        </w:rPr>
        <w:t>ÇÕES</w:t>
      </w:r>
      <w:bookmarkEnd w:id="36"/>
    </w:p>
    <w:p w14:paraId="42821C7E"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Batang" w:hAnsiTheme="majorHAnsi"/>
          <w:sz w:val="20"/>
          <w:szCs w:val="20"/>
          <w:bdr w:val="none" w:sz="0" w:space="0" w:color="auto"/>
          <w:lang w:val="pt-BR"/>
        </w:rPr>
      </w:pPr>
    </w:p>
    <w:p w14:paraId="148BD4CF" w14:textId="77777777" w:rsidR="002649F0" w:rsidRPr="006D1C74" w:rsidRDefault="00271DE2" w:rsidP="003C51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0"/>
        <w:jc w:val="both"/>
        <w:rPr>
          <w:rFonts w:asciiTheme="majorHAnsi" w:eastAsia="Batang" w:hAnsiTheme="majorHAnsi"/>
          <w:sz w:val="20"/>
          <w:szCs w:val="20"/>
          <w:bdr w:val="none" w:sz="0" w:space="0" w:color="auto"/>
          <w:lang w:val="pt-BR"/>
        </w:rPr>
      </w:pPr>
      <w:r w:rsidRPr="006D1C74">
        <w:rPr>
          <w:rFonts w:asciiTheme="majorHAnsi" w:hAnsiTheme="majorHAnsi"/>
          <w:color w:val="000000"/>
          <w:sz w:val="20"/>
          <w:szCs w:val="20"/>
          <w:lang w:val="pt-BR"/>
        </w:rPr>
        <w:t>Com</w:t>
      </w:r>
      <w:r w:rsidR="00700267" w:rsidRPr="006D1C74">
        <w:rPr>
          <w:rFonts w:asciiTheme="majorHAnsi" w:hAnsiTheme="majorHAnsi"/>
          <w:color w:val="000000"/>
          <w:sz w:val="20"/>
          <w:szCs w:val="20"/>
          <w:lang w:val="pt-BR"/>
        </w:rPr>
        <w:t xml:space="preserve"> </w:t>
      </w:r>
      <w:r w:rsidR="002649F0" w:rsidRPr="006D1C74">
        <w:rPr>
          <w:rFonts w:asciiTheme="majorHAnsi" w:hAnsiTheme="majorHAnsi"/>
          <w:color w:val="000000"/>
          <w:sz w:val="20"/>
          <w:szCs w:val="20"/>
          <w:lang w:val="pt-BR"/>
        </w:rPr>
        <w:t>base</w:t>
      </w:r>
      <w:r w:rsidR="00D74A93" w:rsidRPr="006D1C74">
        <w:rPr>
          <w:rFonts w:asciiTheme="majorHAnsi" w:hAnsiTheme="majorHAnsi"/>
          <w:color w:val="000000"/>
          <w:sz w:val="20"/>
          <w:szCs w:val="20"/>
          <w:lang w:val="pt-BR"/>
        </w:rPr>
        <w:t xml:space="preserve"> </w:t>
      </w:r>
      <w:r w:rsidRPr="006D1C74">
        <w:rPr>
          <w:rFonts w:asciiTheme="majorHAnsi" w:hAnsiTheme="majorHAnsi"/>
          <w:color w:val="000000"/>
          <w:sz w:val="20"/>
          <w:szCs w:val="20"/>
          <w:lang w:val="pt-BR"/>
        </w:rPr>
        <w:t>n</w:t>
      </w:r>
      <w:r w:rsidR="00D74A93" w:rsidRPr="006D1C74">
        <w:rPr>
          <w:rFonts w:asciiTheme="majorHAnsi" w:hAnsiTheme="majorHAnsi"/>
          <w:color w:val="000000"/>
          <w:sz w:val="20"/>
          <w:szCs w:val="20"/>
          <w:lang w:val="pt-BR"/>
        </w:rPr>
        <w:t xml:space="preserve">as </w:t>
      </w:r>
      <w:r w:rsidR="002649F0" w:rsidRPr="006D1C74">
        <w:rPr>
          <w:rFonts w:asciiTheme="majorHAnsi" w:hAnsiTheme="majorHAnsi"/>
          <w:color w:val="000000"/>
          <w:sz w:val="20"/>
          <w:szCs w:val="20"/>
          <w:lang w:val="pt-BR"/>
        </w:rPr>
        <w:t>determina</w:t>
      </w:r>
      <w:r w:rsidR="00CF037E" w:rsidRPr="006D1C74">
        <w:rPr>
          <w:rFonts w:asciiTheme="majorHAnsi" w:hAnsiTheme="majorHAnsi"/>
          <w:color w:val="000000"/>
          <w:sz w:val="20"/>
          <w:szCs w:val="20"/>
          <w:lang w:val="pt-BR"/>
        </w:rPr>
        <w:t>ções</w:t>
      </w:r>
      <w:r w:rsidR="002649F0" w:rsidRPr="006D1C74">
        <w:rPr>
          <w:rFonts w:asciiTheme="majorHAnsi" w:hAnsiTheme="majorHAnsi"/>
          <w:color w:val="000000"/>
          <w:sz w:val="20"/>
          <w:szCs w:val="20"/>
          <w:lang w:val="pt-BR"/>
        </w:rPr>
        <w:t xml:space="preserve"> de </w:t>
      </w:r>
      <w:r w:rsidR="00F37852" w:rsidRPr="006D1C74">
        <w:rPr>
          <w:rFonts w:asciiTheme="majorHAnsi" w:hAnsiTheme="majorHAnsi"/>
          <w:color w:val="000000"/>
          <w:sz w:val="20"/>
          <w:szCs w:val="20"/>
          <w:lang w:val="pt-BR"/>
        </w:rPr>
        <w:t>fato</w:t>
      </w:r>
      <w:r w:rsidR="00CF037E" w:rsidRPr="006D1C74">
        <w:rPr>
          <w:rFonts w:asciiTheme="majorHAnsi" w:hAnsiTheme="majorHAnsi"/>
          <w:color w:val="000000"/>
          <w:sz w:val="20"/>
          <w:szCs w:val="20"/>
          <w:lang w:val="pt-BR"/>
        </w:rPr>
        <w:t xml:space="preserve"> e </w:t>
      </w:r>
      <w:r w:rsidR="002649F0" w:rsidRPr="006D1C74">
        <w:rPr>
          <w:rFonts w:asciiTheme="majorHAnsi" w:hAnsiTheme="majorHAnsi"/>
          <w:color w:val="000000"/>
          <w:sz w:val="20"/>
          <w:szCs w:val="20"/>
          <w:lang w:val="pt-BR"/>
        </w:rPr>
        <w:t xml:space="preserve">de </w:t>
      </w:r>
      <w:r w:rsidR="00417BE8" w:rsidRPr="006D1C74">
        <w:rPr>
          <w:rFonts w:asciiTheme="majorHAnsi" w:hAnsiTheme="majorHAnsi"/>
          <w:color w:val="000000"/>
          <w:sz w:val="20"/>
          <w:szCs w:val="20"/>
          <w:lang w:val="pt-BR"/>
        </w:rPr>
        <w:t>direito</w:t>
      </w:r>
      <w:r w:rsidR="002649F0" w:rsidRPr="006D1C74">
        <w:rPr>
          <w:rFonts w:asciiTheme="majorHAnsi" w:hAnsiTheme="majorHAnsi"/>
          <w:color w:val="000000"/>
          <w:sz w:val="20"/>
          <w:szCs w:val="20"/>
          <w:lang w:val="pt-BR"/>
        </w:rPr>
        <w:t>,</w:t>
      </w:r>
      <w:r w:rsidR="00700267" w:rsidRPr="006D1C74">
        <w:rPr>
          <w:rFonts w:asciiTheme="majorHAnsi" w:hAnsiTheme="majorHAnsi"/>
          <w:color w:val="000000"/>
          <w:sz w:val="20"/>
          <w:szCs w:val="20"/>
          <w:lang w:val="pt-BR"/>
        </w:rPr>
        <w:t xml:space="preserve"> a </w:t>
      </w:r>
      <w:r w:rsidR="00417BE8" w:rsidRPr="006D1C74">
        <w:rPr>
          <w:rFonts w:asciiTheme="majorHAnsi" w:hAnsiTheme="majorHAnsi"/>
          <w:color w:val="000000"/>
          <w:sz w:val="20"/>
          <w:szCs w:val="20"/>
          <w:lang w:val="pt-BR"/>
        </w:rPr>
        <w:t>Comissão</w:t>
      </w:r>
      <w:r w:rsidR="002649F0" w:rsidRPr="006D1C74">
        <w:rPr>
          <w:rFonts w:asciiTheme="majorHAnsi" w:eastAsia="Batang" w:hAnsiTheme="majorHAnsi"/>
          <w:sz w:val="20"/>
          <w:szCs w:val="20"/>
          <w:bdr w:val="none" w:sz="0" w:space="0" w:color="auto"/>
          <w:lang w:val="pt-BR"/>
        </w:rPr>
        <w:t xml:space="preserve"> conclu</w:t>
      </w:r>
      <w:r w:rsidRPr="006D1C74">
        <w:rPr>
          <w:rFonts w:asciiTheme="majorHAnsi" w:eastAsia="Batang" w:hAnsiTheme="majorHAnsi"/>
          <w:sz w:val="20"/>
          <w:szCs w:val="20"/>
          <w:bdr w:val="none" w:sz="0" w:space="0" w:color="auto"/>
          <w:lang w:val="pt-BR"/>
        </w:rPr>
        <w:t>i</w:t>
      </w:r>
      <w:r w:rsidR="002649F0" w:rsidRPr="006D1C74">
        <w:rPr>
          <w:rFonts w:asciiTheme="majorHAnsi" w:eastAsia="Batang" w:hAnsiTheme="majorHAnsi"/>
          <w:sz w:val="20"/>
          <w:szCs w:val="20"/>
          <w:bdr w:val="none" w:sz="0" w:space="0" w:color="auto"/>
          <w:lang w:val="pt-BR"/>
        </w:rPr>
        <w:t xml:space="preserve"> que</w:t>
      </w:r>
      <w:r w:rsidR="00700267" w:rsidRPr="006D1C74">
        <w:rPr>
          <w:rFonts w:asciiTheme="majorHAnsi" w:eastAsia="Batang" w:hAnsiTheme="majorHAnsi"/>
          <w:sz w:val="20"/>
          <w:szCs w:val="20"/>
          <w:bdr w:val="none" w:sz="0" w:space="0" w:color="auto"/>
          <w:lang w:val="pt-BR"/>
        </w:rPr>
        <w:t xml:space="preserve"> o </w:t>
      </w:r>
      <w:r w:rsidR="002649F0" w:rsidRPr="006D1C74">
        <w:rPr>
          <w:rFonts w:asciiTheme="majorHAnsi" w:eastAsia="Batang" w:hAnsiTheme="majorHAnsi"/>
          <w:sz w:val="20"/>
          <w:szCs w:val="20"/>
          <w:bdr w:val="none" w:sz="0" w:space="0" w:color="auto"/>
          <w:lang w:val="pt-BR"/>
        </w:rPr>
        <w:t xml:space="preserve">Estado </w:t>
      </w:r>
      <w:r w:rsidR="00795010" w:rsidRPr="006D1C74">
        <w:rPr>
          <w:rFonts w:asciiTheme="majorHAnsi" w:eastAsia="Batang" w:hAnsiTheme="majorHAnsi"/>
          <w:sz w:val="20"/>
          <w:szCs w:val="20"/>
          <w:bdr w:val="none" w:sz="0" w:space="0" w:color="auto"/>
          <w:lang w:val="pt-BR"/>
        </w:rPr>
        <w:t>brasileiro</w:t>
      </w:r>
      <w:r w:rsidR="00F37852" w:rsidRPr="006D1C74">
        <w:rPr>
          <w:rFonts w:asciiTheme="majorHAnsi" w:eastAsia="Batang" w:hAnsiTheme="majorHAnsi"/>
          <w:sz w:val="20"/>
          <w:szCs w:val="20"/>
          <w:bdr w:val="none" w:sz="0" w:space="0" w:color="auto"/>
          <w:lang w:val="pt-BR"/>
        </w:rPr>
        <w:t xml:space="preserve"> é </w:t>
      </w:r>
      <w:r w:rsidR="002649F0" w:rsidRPr="006D1C74">
        <w:rPr>
          <w:rFonts w:asciiTheme="majorHAnsi" w:eastAsia="Batang" w:hAnsiTheme="majorHAnsi"/>
          <w:sz w:val="20"/>
          <w:szCs w:val="20"/>
          <w:bdr w:val="none" w:sz="0" w:space="0" w:color="auto"/>
          <w:lang w:val="pt-BR"/>
        </w:rPr>
        <w:t>respons</w:t>
      </w:r>
      <w:r w:rsidRPr="006D1C74">
        <w:rPr>
          <w:rFonts w:asciiTheme="majorHAnsi" w:eastAsia="Batang" w:hAnsiTheme="majorHAnsi"/>
          <w:sz w:val="20"/>
          <w:szCs w:val="20"/>
          <w:bdr w:val="none" w:sz="0" w:space="0" w:color="auto"/>
          <w:lang w:val="pt-BR"/>
        </w:rPr>
        <w:t>ável</w:t>
      </w:r>
      <w:r w:rsidR="00795010" w:rsidRPr="006D1C74">
        <w:rPr>
          <w:rFonts w:asciiTheme="majorHAnsi" w:eastAsia="Batang" w:hAnsiTheme="majorHAnsi"/>
          <w:sz w:val="20"/>
          <w:szCs w:val="20"/>
          <w:bdr w:val="none" w:sz="0" w:space="0" w:color="auto"/>
          <w:lang w:val="pt-BR"/>
        </w:rPr>
        <w:t xml:space="preserve"> </w:t>
      </w:r>
      <w:r w:rsidRPr="006D1C74">
        <w:rPr>
          <w:rFonts w:asciiTheme="majorHAnsi" w:eastAsia="Batang" w:hAnsiTheme="majorHAnsi"/>
          <w:sz w:val="20"/>
          <w:szCs w:val="20"/>
          <w:bdr w:val="none" w:sz="0" w:space="0" w:color="auto"/>
          <w:lang w:val="pt-BR"/>
        </w:rPr>
        <w:t>pel</w:t>
      </w:r>
      <w:r w:rsidR="00795010" w:rsidRPr="006D1C74">
        <w:rPr>
          <w:rFonts w:asciiTheme="majorHAnsi" w:eastAsia="Batang" w:hAnsiTheme="majorHAnsi"/>
          <w:sz w:val="20"/>
          <w:szCs w:val="20"/>
          <w:bdr w:val="none" w:sz="0" w:space="0" w:color="auto"/>
          <w:lang w:val="pt-BR"/>
        </w:rPr>
        <w:t xml:space="preserve">a </w:t>
      </w:r>
      <w:r w:rsidR="002649F0" w:rsidRPr="006D1C74">
        <w:rPr>
          <w:rFonts w:asciiTheme="majorHAnsi" w:eastAsia="Batang" w:hAnsiTheme="majorHAnsi"/>
          <w:sz w:val="20"/>
          <w:szCs w:val="20"/>
          <w:bdr w:val="none" w:sz="0" w:space="0" w:color="auto"/>
          <w:lang w:val="pt-BR"/>
        </w:rPr>
        <w:t>viola</w:t>
      </w:r>
      <w:r w:rsidR="00CF037E" w:rsidRPr="006D1C74">
        <w:rPr>
          <w:rFonts w:asciiTheme="majorHAnsi" w:eastAsia="Batang" w:hAnsiTheme="majorHAnsi"/>
          <w:sz w:val="20"/>
          <w:szCs w:val="20"/>
          <w:bdr w:val="none" w:sz="0" w:space="0" w:color="auto"/>
          <w:lang w:val="pt-BR"/>
        </w:rPr>
        <w:t>ção</w:t>
      </w:r>
      <w:r w:rsidR="00700267" w:rsidRPr="006D1C74">
        <w:rPr>
          <w:rFonts w:asciiTheme="majorHAnsi" w:eastAsia="Batang" w:hAnsiTheme="majorHAnsi"/>
          <w:sz w:val="20"/>
          <w:szCs w:val="20"/>
          <w:bdr w:val="none" w:sz="0" w:space="0" w:color="auto"/>
          <w:lang w:val="pt-BR"/>
        </w:rPr>
        <w:t xml:space="preserve"> dos </w:t>
      </w:r>
      <w:r w:rsidR="00417BE8" w:rsidRPr="006D1C74">
        <w:rPr>
          <w:rFonts w:asciiTheme="majorHAnsi" w:eastAsia="Batang" w:hAnsiTheme="majorHAnsi"/>
          <w:sz w:val="20"/>
          <w:szCs w:val="20"/>
          <w:bdr w:val="none" w:sz="0" w:space="0" w:color="auto"/>
          <w:lang w:val="pt-BR"/>
        </w:rPr>
        <w:t>direito</w:t>
      </w:r>
      <w:r w:rsidR="002649F0" w:rsidRPr="006D1C74">
        <w:rPr>
          <w:rFonts w:asciiTheme="majorHAnsi" w:eastAsia="Batang" w:hAnsiTheme="majorHAnsi"/>
          <w:sz w:val="20"/>
          <w:szCs w:val="20"/>
          <w:bdr w:val="none" w:sz="0" w:space="0" w:color="auto"/>
          <w:lang w:val="pt-BR"/>
        </w:rPr>
        <w:t>s consagrados</w:t>
      </w:r>
      <w:r w:rsidR="00217759" w:rsidRPr="006D1C74">
        <w:rPr>
          <w:rFonts w:asciiTheme="majorHAnsi" w:eastAsia="Batang" w:hAnsiTheme="majorHAnsi"/>
          <w:sz w:val="20"/>
          <w:szCs w:val="20"/>
          <w:bdr w:val="none" w:sz="0" w:space="0" w:color="auto"/>
          <w:lang w:val="pt-BR"/>
        </w:rPr>
        <w:t xml:space="preserve"> nos </w:t>
      </w:r>
      <w:r w:rsidR="00F673C7" w:rsidRPr="006D1C74">
        <w:rPr>
          <w:rFonts w:asciiTheme="majorHAnsi" w:eastAsia="Batang" w:hAnsiTheme="majorHAnsi"/>
          <w:sz w:val="20"/>
          <w:szCs w:val="20"/>
          <w:bdr w:val="none" w:sz="0" w:space="0" w:color="auto"/>
          <w:lang w:val="pt-BR"/>
        </w:rPr>
        <w:t>artigo</w:t>
      </w:r>
      <w:r w:rsidR="002649F0" w:rsidRPr="006D1C74">
        <w:rPr>
          <w:rFonts w:asciiTheme="majorHAnsi" w:eastAsia="Batang" w:hAnsiTheme="majorHAnsi"/>
          <w:sz w:val="20"/>
          <w:szCs w:val="20"/>
          <w:bdr w:val="none" w:sz="0" w:space="0" w:color="auto"/>
          <w:lang w:val="pt-BR"/>
        </w:rPr>
        <w:t>s 4.1 (</w:t>
      </w:r>
      <w:r w:rsidR="00417BE8" w:rsidRPr="006D1C74">
        <w:rPr>
          <w:rFonts w:asciiTheme="majorHAnsi" w:hAnsiTheme="majorHAnsi"/>
          <w:sz w:val="20"/>
          <w:szCs w:val="20"/>
          <w:lang w:val="pt-BR" w:eastAsia="es-ES"/>
        </w:rPr>
        <w:t>direito</w:t>
      </w:r>
      <w:r w:rsidR="00030019" w:rsidRPr="006D1C74">
        <w:rPr>
          <w:rFonts w:asciiTheme="majorHAnsi" w:hAnsiTheme="majorHAnsi"/>
          <w:sz w:val="20"/>
          <w:szCs w:val="20"/>
          <w:lang w:val="pt-BR" w:eastAsia="es-ES"/>
        </w:rPr>
        <w:t xml:space="preserve"> à </w:t>
      </w:r>
      <w:r w:rsidR="002649F0" w:rsidRPr="006D1C74">
        <w:rPr>
          <w:rFonts w:asciiTheme="majorHAnsi" w:hAnsiTheme="majorHAnsi"/>
          <w:sz w:val="20"/>
          <w:szCs w:val="20"/>
          <w:lang w:val="pt-BR" w:eastAsia="es-ES"/>
        </w:rPr>
        <w:t>vida</w:t>
      </w:r>
      <w:r w:rsidR="002649F0" w:rsidRPr="006D1C74">
        <w:rPr>
          <w:rFonts w:asciiTheme="majorHAnsi" w:eastAsia="Batang" w:hAnsiTheme="majorHAnsi"/>
          <w:sz w:val="20"/>
          <w:szCs w:val="20"/>
          <w:bdr w:val="none" w:sz="0" w:space="0" w:color="auto"/>
          <w:lang w:val="pt-BR"/>
        </w:rPr>
        <w:t>), 5.1 (integri</w:t>
      </w:r>
      <w:r w:rsidR="00F673C7" w:rsidRPr="006D1C74">
        <w:rPr>
          <w:rFonts w:asciiTheme="majorHAnsi" w:eastAsia="Batang" w:hAnsiTheme="majorHAnsi"/>
          <w:sz w:val="20"/>
          <w:szCs w:val="20"/>
          <w:bdr w:val="none" w:sz="0" w:space="0" w:color="auto"/>
          <w:lang w:val="pt-BR"/>
        </w:rPr>
        <w:t xml:space="preserve">dade </w:t>
      </w:r>
      <w:r w:rsidR="00CA7940" w:rsidRPr="006D1C74">
        <w:rPr>
          <w:rFonts w:asciiTheme="majorHAnsi" w:eastAsia="Batang" w:hAnsiTheme="majorHAnsi"/>
          <w:sz w:val="20"/>
          <w:szCs w:val="20"/>
          <w:bdr w:val="none" w:sz="0" w:space="0" w:color="auto"/>
          <w:lang w:val="pt-BR"/>
        </w:rPr>
        <w:t>pessoa</w:t>
      </w:r>
      <w:r w:rsidR="002649F0" w:rsidRPr="006D1C74">
        <w:rPr>
          <w:rFonts w:asciiTheme="majorHAnsi" w:eastAsia="Batang" w:hAnsiTheme="majorHAnsi"/>
          <w:sz w:val="20"/>
          <w:szCs w:val="20"/>
          <w:bdr w:val="none" w:sz="0" w:space="0" w:color="auto"/>
          <w:lang w:val="pt-BR"/>
        </w:rPr>
        <w:t>l), 13 (</w:t>
      </w:r>
      <w:r w:rsidR="00623C35" w:rsidRPr="006D1C74">
        <w:rPr>
          <w:rFonts w:asciiTheme="majorHAnsi" w:eastAsia="Batang" w:hAnsiTheme="majorHAnsi"/>
          <w:sz w:val="20"/>
          <w:szCs w:val="20"/>
          <w:bdr w:val="none" w:sz="0" w:space="0" w:color="auto"/>
          <w:lang w:val="pt-BR"/>
        </w:rPr>
        <w:t>liberdade</w:t>
      </w:r>
      <w:r w:rsidR="002649F0" w:rsidRPr="006D1C74">
        <w:rPr>
          <w:rFonts w:asciiTheme="majorHAnsi" w:eastAsia="Batang" w:hAnsiTheme="majorHAnsi"/>
          <w:sz w:val="20"/>
          <w:szCs w:val="20"/>
          <w:bdr w:val="none" w:sz="0" w:space="0" w:color="auto"/>
          <w:lang w:val="pt-BR"/>
        </w:rPr>
        <w:t xml:space="preserve"> de pensa</w:t>
      </w:r>
      <w:r w:rsidR="00700267" w:rsidRPr="006D1C74">
        <w:rPr>
          <w:rFonts w:asciiTheme="majorHAnsi" w:eastAsia="Batang" w:hAnsiTheme="majorHAnsi"/>
          <w:sz w:val="20"/>
          <w:szCs w:val="20"/>
          <w:bdr w:val="none" w:sz="0" w:space="0" w:color="auto"/>
          <w:lang w:val="pt-BR"/>
        </w:rPr>
        <w:t>mento</w:t>
      </w:r>
      <w:r w:rsidR="00CF037E" w:rsidRPr="006D1C74">
        <w:rPr>
          <w:rFonts w:asciiTheme="majorHAnsi" w:eastAsia="Batang" w:hAnsiTheme="majorHAnsi"/>
          <w:sz w:val="20"/>
          <w:szCs w:val="20"/>
          <w:bdr w:val="none" w:sz="0" w:space="0" w:color="auto"/>
          <w:lang w:val="pt-BR"/>
        </w:rPr>
        <w:t xml:space="preserve"> e </w:t>
      </w:r>
      <w:r w:rsidR="002649F0" w:rsidRPr="006D1C74">
        <w:rPr>
          <w:rFonts w:asciiTheme="majorHAnsi" w:eastAsia="Batang" w:hAnsiTheme="majorHAnsi"/>
          <w:sz w:val="20"/>
          <w:szCs w:val="20"/>
          <w:bdr w:val="none" w:sz="0" w:space="0" w:color="auto"/>
          <w:lang w:val="pt-BR"/>
        </w:rPr>
        <w:t xml:space="preserve">de </w:t>
      </w:r>
      <w:r w:rsidR="003705A2">
        <w:rPr>
          <w:rFonts w:asciiTheme="majorHAnsi" w:eastAsia="Batang" w:hAnsiTheme="majorHAnsi"/>
          <w:sz w:val="20"/>
          <w:szCs w:val="20"/>
          <w:bdr w:val="none" w:sz="0" w:space="0" w:color="auto"/>
          <w:lang w:val="pt-BR"/>
        </w:rPr>
        <w:t>expressã</w:t>
      </w:r>
      <w:r w:rsidR="0094446B" w:rsidRPr="006D1C74">
        <w:rPr>
          <w:rFonts w:asciiTheme="majorHAnsi" w:eastAsia="Batang" w:hAnsiTheme="majorHAnsi"/>
          <w:sz w:val="20"/>
          <w:szCs w:val="20"/>
          <w:bdr w:val="none" w:sz="0" w:space="0" w:color="auto"/>
          <w:lang w:val="pt-BR"/>
        </w:rPr>
        <w:t>o</w:t>
      </w:r>
      <w:r w:rsidR="002649F0" w:rsidRPr="006D1C74">
        <w:rPr>
          <w:rFonts w:asciiTheme="majorHAnsi" w:eastAsia="Batang" w:hAnsiTheme="majorHAnsi"/>
          <w:sz w:val="20"/>
          <w:szCs w:val="20"/>
          <w:bdr w:val="none" w:sz="0" w:space="0" w:color="auto"/>
          <w:lang w:val="pt-BR"/>
        </w:rPr>
        <w:t>), 15 (</w:t>
      </w:r>
      <w:r w:rsidR="00417BE8" w:rsidRPr="006D1C74">
        <w:rPr>
          <w:rFonts w:asciiTheme="majorHAnsi" w:eastAsia="Batang" w:hAnsiTheme="majorHAnsi"/>
          <w:sz w:val="20"/>
          <w:szCs w:val="20"/>
          <w:bdr w:val="none" w:sz="0" w:space="0" w:color="auto"/>
          <w:lang w:val="pt-BR"/>
        </w:rPr>
        <w:t>direito</w:t>
      </w:r>
      <w:r w:rsidR="002649F0" w:rsidRPr="006D1C74">
        <w:rPr>
          <w:rFonts w:asciiTheme="majorHAnsi" w:eastAsia="Batang" w:hAnsiTheme="majorHAnsi"/>
          <w:sz w:val="20"/>
          <w:szCs w:val="20"/>
          <w:bdr w:val="none" w:sz="0" w:space="0" w:color="auto"/>
          <w:lang w:val="pt-BR"/>
        </w:rPr>
        <w:t xml:space="preserve"> de </w:t>
      </w:r>
      <w:r w:rsidR="00E327B7" w:rsidRPr="006D1C74">
        <w:rPr>
          <w:rFonts w:asciiTheme="majorHAnsi" w:eastAsia="Batang" w:hAnsiTheme="majorHAnsi"/>
          <w:sz w:val="20"/>
          <w:szCs w:val="20"/>
          <w:bdr w:val="none" w:sz="0" w:space="0" w:color="auto"/>
          <w:lang w:val="pt-BR"/>
        </w:rPr>
        <w:t>reunião</w:t>
      </w:r>
      <w:r w:rsidR="002649F0" w:rsidRPr="006D1C74">
        <w:rPr>
          <w:rFonts w:asciiTheme="majorHAnsi" w:eastAsia="Batang" w:hAnsiTheme="majorHAnsi"/>
          <w:sz w:val="20"/>
          <w:szCs w:val="20"/>
          <w:bdr w:val="none" w:sz="0" w:space="0" w:color="auto"/>
          <w:lang w:val="pt-BR"/>
        </w:rPr>
        <w:t>), 22 (</w:t>
      </w:r>
      <w:r w:rsidR="00417BE8" w:rsidRPr="006D1C74">
        <w:rPr>
          <w:rFonts w:asciiTheme="majorHAnsi" w:eastAsia="Batang" w:hAnsiTheme="majorHAnsi"/>
          <w:sz w:val="20"/>
          <w:szCs w:val="20"/>
          <w:bdr w:val="none" w:sz="0" w:space="0" w:color="auto"/>
          <w:lang w:val="pt-BR"/>
        </w:rPr>
        <w:t>direito</w:t>
      </w:r>
      <w:r w:rsidR="002649F0" w:rsidRPr="006D1C74">
        <w:rPr>
          <w:rFonts w:asciiTheme="majorHAnsi" w:eastAsia="Batang" w:hAnsiTheme="majorHAnsi"/>
          <w:sz w:val="20"/>
          <w:szCs w:val="20"/>
          <w:bdr w:val="none" w:sz="0" w:space="0" w:color="auto"/>
          <w:lang w:val="pt-BR"/>
        </w:rPr>
        <w:t xml:space="preserve"> de circula</w:t>
      </w:r>
      <w:r w:rsidR="00CF037E" w:rsidRPr="006D1C74">
        <w:rPr>
          <w:rFonts w:asciiTheme="majorHAnsi" w:eastAsia="Batang" w:hAnsiTheme="majorHAnsi"/>
          <w:sz w:val="20"/>
          <w:szCs w:val="20"/>
          <w:bdr w:val="none" w:sz="0" w:space="0" w:color="auto"/>
          <w:lang w:val="pt-BR"/>
        </w:rPr>
        <w:t xml:space="preserve">ção e </w:t>
      </w:r>
      <w:r w:rsidR="002649F0" w:rsidRPr="006D1C74">
        <w:rPr>
          <w:rFonts w:asciiTheme="majorHAnsi" w:eastAsia="Batang" w:hAnsiTheme="majorHAnsi"/>
          <w:sz w:val="20"/>
          <w:szCs w:val="20"/>
          <w:bdr w:val="none" w:sz="0" w:space="0" w:color="auto"/>
          <w:lang w:val="pt-BR"/>
        </w:rPr>
        <w:t xml:space="preserve">de </w:t>
      </w:r>
      <w:r w:rsidR="003171F3" w:rsidRPr="006D1C74">
        <w:rPr>
          <w:rFonts w:asciiTheme="majorHAnsi" w:eastAsia="Batang" w:hAnsiTheme="majorHAnsi"/>
          <w:sz w:val="20"/>
          <w:szCs w:val="20"/>
          <w:bdr w:val="none" w:sz="0" w:space="0" w:color="auto"/>
          <w:lang w:val="pt-BR"/>
        </w:rPr>
        <w:t>residência</w:t>
      </w:r>
      <w:r w:rsidR="002649F0" w:rsidRPr="006D1C74">
        <w:rPr>
          <w:rFonts w:asciiTheme="majorHAnsi" w:eastAsia="Batang" w:hAnsiTheme="majorHAnsi"/>
          <w:sz w:val="20"/>
          <w:szCs w:val="20"/>
          <w:bdr w:val="none" w:sz="0" w:space="0" w:color="auto"/>
          <w:lang w:val="pt-BR"/>
        </w:rPr>
        <w:t>), 8.1 (garant</w:t>
      </w:r>
      <w:r w:rsidR="00055622" w:rsidRPr="006D1C74">
        <w:rPr>
          <w:rFonts w:asciiTheme="majorHAnsi" w:eastAsia="Batang" w:hAnsiTheme="majorHAnsi"/>
          <w:sz w:val="20"/>
          <w:szCs w:val="20"/>
          <w:bdr w:val="none" w:sz="0" w:space="0" w:color="auto"/>
          <w:lang w:val="pt-BR"/>
        </w:rPr>
        <w:t>ia</w:t>
      </w:r>
      <w:r w:rsidR="002649F0" w:rsidRPr="006D1C74">
        <w:rPr>
          <w:rFonts w:asciiTheme="majorHAnsi" w:eastAsia="Batang" w:hAnsiTheme="majorHAnsi"/>
          <w:sz w:val="20"/>
          <w:szCs w:val="20"/>
          <w:bdr w:val="none" w:sz="0" w:space="0" w:color="auto"/>
          <w:lang w:val="pt-BR"/>
        </w:rPr>
        <w:t>s judici</w:t>
      </w:r>
      <w:r w:rsidR="00700267" w:rsidRPr="006D1C74">
        <w:rPr>
          <w:rFonts w:asciiTheme="majorHAnsi" w:eastAsia="Batang" w:hAnsiTheme="majorHAnsi"/>
          <w:sz w:val="20"/>
          <w:szCs w:val="20"/>
          <w:bdr w:val="none" w:sz="0" w:space="0" w:color="auto"/>
          <w:lang w:val="pt-BR"/>
        </w:rPr>
        <w:t>ais</w:t>
      </w:r>
      <w:r w:rsidR="002649F0" w:rsidRPr="006D1C74">
        <w:rPr>
          <w:rFonts w:asciiTheme="majorHAnsi" w:eastAsia="Batang" w:hAnsiTheme="majorHAnsi"/>
          <w:sz w:val="20"/>
          <w:szCs w:val="20"/>
          <w:bdr w:val="none" w:sz="0" w:space="0" w:color="auto"/>
          <w:lang w:val="pt-BR"/>
        </w:rPr>
        <w:t>)</w:t>
      </w:r>
      <w:r w:rsidR="00CF037E" w:rsidRPr="006D1C74">
        <w:rPr>
          <w:rFonts w:asciiTheme="majorHAnsi" w:eastAsia="Batang" w:hAnsiTheme="majorHAnsi"/>
          <w:sz w:val="20"/>
          <w:szCs w:val="20"/>
          <w:bdr w:val="none" w:sz="0" w:space="0" w:color="auto"/>
          <w:lang w:val="pt-BR"/>
        </w:rPr>
        <w:t xml:space="preserve"> e </w:t>
      </w:r>
      <w:r w:rsidR="002649F0" w:rsidRPr="006D1C74">
        <w:rPr>
          <w:rFonts w:asciiTheme="majorHAnsi" w:eastAsia="Batang" w:hAnsiTheme="majorHAnsi"/>
          <w:sz w:val="20"/>
          <w:szCs w:val="20"/>
          <w:bdr w:val="none" w:sz="0" w:space="0" w:color="auto"/>
          <w:lang w:val="pt-BR"/>
        </w:rPr>
        <w:t>25.1 (prote</w:t>
      </w:r>
      <w:r w:rsidR="00CF037E" w:rsidRPr="006D1C74">
        <w:rPr>
          <w:rFonts w:asciiTheme="majorHAnsi" w:eastAsia="Batang" w:hAnsiTheme="majorHAnsi"/>
          <w:sz w:val="20"/>
          <w:szCs w:val="20"/>
          <w:bdr w:val="none" w:sz="0" w:space="0" w:color="auto"/>
          <w:lang w:val="pt-BR"/>
        </w:rPr>
        <w:t>ção</w:t>
      </w:r>
      <w:r w:rsidR="002649F0" w:rsidRPr="006D1C74">
        <w:rPr>
          <w:rFonts w:asciiTheme="majorHAnsi" w:eastAsia="Batang" w:hAnsiTheme="majorHAnsi"/>
          <w:sz w:val="20"/>
          <w:szCs w:val="20"/>
          <w:bdr w:val="none" w:sz="0" w:space="0" w:color="auto"/>
          <w:lang w:val="pt-BR"/>
        </w:rPr>
        <w:t xml:space="preserve"> judicial)</w:t>
      </w:r>
      <w:r w:rsidR="00795010" w:rsidRPr="006D1C74">
        <w:rPr>
          <w:rFonts w:asciiTheme="majorHAnsi" w:eastAsia="Batang" w:hAnsiTheme="majorHAnsi"/>
          <w:sz w:val="20"/>
          <w:szCs w:val="20"/>
          <w:bdr w:val="none" w:sz="0" w:space="0" w:color="auto"/>
          <w:lang w:val="pt-BR"/>
        </w:rPr>
        <w:t xml:space="preserve"> da </w:t>
      </w:r>
      <w:r w:rsidR="002649F0" w:rsidRPr="006D1C74">
        <w:rPr>
          <w:rFonts w:asciiTheme="majorHAnsi" w:eastAsia="Batang" w:hAnsiTheme="majorHAnsi"/>
          <w:sz w:val="20"/>
          <w:szCs w:val="20"/>
          <w:bdr w:val="none" w:sz="0" w:space="0" w:color="auto"/>
          <w:lang w:val="pt-BR"/>
        </w:rPr>
        <w:t>Conven</w:t>
      </w:r>
      <w:r w:rsidR="00CF037E" w:rsidRPr="006D1C74">
        <w:rPr>
          <w:rFonts w:asciiTheme="majorHAnsi" w:eastAsia="Batang" w:hAnsiTheme="majorHAnsi"/>
          <w:sz w:val="20"/>
          <w:szCs w:val="20"/>
          <w:bdr w:val="none" w:sz="0" w:space="0" w:color="auto"/>
          <w:lang w:val="pt-BR"/>
        </w:rPr>
        <w:t>ção</w:t>
      </w:r>
      <w:r w:rsidR="002649F0" w:rsidRPr="006D1C74">
        <w:rPr>
          <w:rFonts w:asciiTheme="majorHAnsi" w:eastAsia="Batang" w:hAnsiTheme="majorHAnsi"/>
          <w:sz w:val="20"/>
          <w:szCs w:val="20"/>
          <w:bdr w:val="none" w:sz="0" w:space="0" w:color="auto"/>
          <w:lang w:val="pt-BR"/>
        </w:rPr>
        <w:t xml:space="preserve"> Americana</w:t>
      </w:r>
      <w:r w:rsidR="002D14E9" w:rsidRPr="006D1C74">
        <w:rPr>
          <w:rFonts w:asciiTheme="majorHAnsi" w:eastAsia="Batang" w:hAnsiTheme="majorHAnsi"/>
          <w:sz w:val="20"/>
          <w:szCs w:val="20"/>
          <w:bdr w:val="none" w:sz="0" w:space="0" w:color="auto"/>
          <w:lang w:val="pt-BR"/>
        </w:rPr>
        <w:t>,</w:t>
      </w:r>
      <w:r w:rsidR="00F673C7" w:rsidRPr="006D1C74">
        <w:rPr>
          <w:rFonts w:asciiTheme="majorHAnsi" w:eastAsia="Batang" w:hAnsiTheme="majorHAnsi"/>
          <w:sz w:val="20"/>
          <w:szCs w:val="20"/>
          <w:bdr w:val="none" w:sz="0" w:space="0" w:color="auto"/>
          <w:lang w:val="pt-BR"/>
        </w:rPr>
        <w:t xml:space="preserve"> com </w:t>
      </w:r>
      <w:r w:rsidR="002649F0" w:rsidRPr="006D1C74">
        <w:rPr>
          <w:rFonts w:asciiTheme="majorHAnsi" w:eastAsia="Batang" w:hAnsiTheme="majorHAnsi"/>
          <w:sz w:val="20"/>
          <w:szCs w:val="20"/>
          <w:bdr w:val="none" w:sz="0" w:space="0" w:color="auto"/>
          <w:lang w:val="pt-BR"/>
        </w:rPr>
        <w:t>re</w:t>
      </w:r>
      <w:r w:rsidR="002D14E9" w:rsidRPr="006D1C74">
        <w:rPr>
          <w:rFonts w:asciiTheme="majorHAnsi" w:eastAsia="Batang" w:hAnsiTheme="majorHAnsi"/>
          <w:sz w:val="20"/>
          <w:szCs w:val="20"/>
          <w:bdr w:val="none" w:sz="0" w:space="0" w:color="auto"/>
          <w:lang w:val="pt-BR"/>
        </w:rPr>
        <w:t>la</w:t>
      </w:r>
      <w:r w:rsidR="00CF037E" w:rsidRPr="006D1C74">
        <w:rPr>
          <w:rFonts w:asciiTheme="majorHAnsi" w:eastAsia="Batang" w:hAnsiTheme="majorHAnsi"/>
          <w:sz w:val="20"/>
          <w:szCs w:val="20"/>
          <w:bdr w:val="none" w:sz="0" w:space="0" w:color="auto"/>
          <w:lang w:val="pt-BR"/>
        </w:rPr>
        <w:t>ção</w:t>
      </w:r>
      <w:r w:rsidR="00135454" w:rsidRPr="006D1C74">
        <w:rPr>
          <w:rFonts w:asciiTheme="majorHAnsi" w:eastAsia="Batang" w:hAnsiTheme="majorHAnsi"/>
          <w:sz w:val="20"/>
          <w:szCs w:val="20"/>
          <w:bdr w:val="none" w:sz="0" w:space="0" w:color="auto"/>
          <w:lang w:val="pt-BR"/>
        </w:rPr>
        <w:t xml:space="preserve"> aos </w:t>
      </w:r>
      <w:r w:rsidR="00F673C7" w:rsidRPr="006D1C74">
        <w:rPr>
          <w:rFonts w:asciiTheme="majorHAnsi" w:eastAsia="Batang" w:hAnsiTheme="majorHAnsi"/>
          <w:sz w:val="20"/>
          <w:szCs w:val="20"/>
          <w:bdr w:val="none" w:sz="0" w:space="0" w:color="auto"/>
          <w:lang w:val="pt-BR"/>
        </w:rPr>
        <w:t>artigo</w:t>
      </w:r>
      <w:r w:rsidR="002649F0" w:rsidRPr="006D1C74">
        <w:rPr>
          <w:rFonts w:asciiTheme="majorHAnsi" w:eastAsia="Batang" w:hAnsiTheme="majorHAnsi"/>
          <w:sz w:val="20"/>
          <w:szCs w:val="20"/>
          <w:bdr w:val="none" w:sz="0" w:space="0" w:color="auto"/>
          <w:lang w:val="pt-BR"/>
        </w:rPr>
        <w:t>s 1.1</w:t>
      </w:r>
      <w:r w:rsidR="00CF037E" w:rsidRPr="006D1C74">
        <w:rPr>
          <w:rFonts w:asciiTheme="majorHAnsi" w:eastAsia="Batang" w:hAnsiTheme="majorHAnsi"/>
          <w:sz w:val="20"/>
          <w:szCs w:val="20"/>
          <w:bdr w:val="none" w:sz="0" w:space="0" w:color="auto"/>
          <w:lang w:val="pt-BR"/>
        </w:rPr>
        <w:t xml:space="preserve"> e </w:t>
      </w:r>
      <w:r w:rsidR="002A3BB2" w:rsidRPr="006D1C74">
        <w:rPr>
          <w:rFonts w:asciiTheme="majorHAnsi" w:eastAsia="Batang" w:hAnsiTheme="majorHAnsi"/>
          <w:sz w:val="20"/>
          <w:szCs w:val="20"/>
          <w:bdr w:val="none" w:sz="0" w:space="0" w:color="auto"/>
          <w:lang w:val="pt-BR"/>
        </w:rPr>
        <w:t>2 de</w:t>
      </w:r>
      <w:r w:rsidRPr="006D1C74">
        <w:rPr>
          <w:rFonts w:asciiTheme="majorHAnsi" w:eastAsia="Batang" w:hAnsiTheme="majorHAnsi"/>
          <w:sz w:val="20"/>
          <w:szCs w:val="20"/>
          <w:bdr w:val="none" w:sz="0" w:space="0" w:color="auto"/>
          <w:lang w:val="pt-BR"/>
        </w:rPr>
        <w:t>sse</w:t>
      </w:r>
      <w:r w:rsidR="002649F0" w:rsidRPr="006D1C74">
        <w:rPr>
          <w:rFonts w:asciiTheme="majorHAnsi" w:eastAsia="Batang" w:hAnsiTheme="majorHAnsi"/>
          <w:sz w:val="20"/>
          <w:szCs w:val="20"/>
          <w:bdr w:val="none" w:sz="0" w:space="0" w:color="auto"/>
          <w:lang w:val="pt-BR"/>
        </w:rPr>
        <w:t xml:space="preserve"> instrumento,</w:t>
      </w:r>
      <w:r w:rsidR="00F673C7" w:rsidRPr="006D1C74">
        <w:rPr>
          <w:rFonts w:asciiTheme="majorHAnsi" w:eastAsia="Batang" w:hAnsiTheme="majorHAnsi"/>
          <w:sz w:val="20"/>
          <w:szCs w:val="20"/>
          <w:bdr w:val="none" w:sz="0" w:space="0" w:color="auto"/>
          <w:lang w:val="pt-BR"/>
        </w:rPr>
        <w:t xml:space="preserve"> em </w:t>
      </w:r>
      <w:r w:rsidR="002649F0" w:rsidRPr="006D1C74">
        <w:rPr>
          <w:rFonts w:asciiTheme="majorHAnsi" w:eastAsia="Batang" w:hAnsiTheme="majorHAnsi"/>
          <w:sz w:val="20"/>
          <w:szCs w:val="20"/>
          <w:bdr w:val="none" w:sz="0" w:space="0" w:color="auto"/>
          <w:lang w:val="pt-BR"/>
        </w:rPr>
        <w:t>p</w:t>
      </w:r>
      <w:r w:rsidRPr="006D1C74">
        <w:rPr>
          <w:rFonts w:asciiTheme="majorHAnsi" w:eastAsia="Batang" w:hAnsiTheme="majorHAnsi"/>
          <w:sz w:val="20"/>
          <w:szCs w:val="20"/>
          <w:bdr w:val="none" w:sz="0" w:space="0" w:color="auto"/>
          <w:lang w:val="pt-BR"/>
        </w:rPr>
        <w:t>rejuízo</w:t>
      </w:r>
      <w:r w:rsidR="00D74A93" w:rsidRPr="006D1C74">
        <w:rPr>
          <w:rFonts w:asciiTheme="majorHAnsi" w:eastAsia="Batang" w:hAnsiTheme="majorHAnsi"/>
          <w:sz w:val="20"/>
          <w:szCs w:val="20"/>
          <w:bdr w:val="none" w:sz="0" w:space="0" w:color="auto"/>
          <w:lang w:val="pt-BR"/>
        </w:rPr>
        <w:t xml:space="preserve"> das </w:t>
      </w:r>
      <w:r w:rsidR="00CA7940" w:rsidRPr="006D1C74">
        <w:rPr>
          <w:rFonts w:asciiTheme="majorHAnsi" w:eastAsia="Batang" w:hAnsiTheme="majorHAnsi"/>
          <w:sz w:val="20"/>
          <w:szCs w:val="20"/>
          <w:bdr w:val="none" w:sz="0" w:space="0" w:color="auto"/>
          <w:lang w:val="pt-BR"/>
        </w:rPr>
        <w:t>pessoa</w:t>
      </w:r>
      <w:r w:rsidR="002649F0" w:rsidRPr="006D1C74">
        <w:rPr>
          <w:rFonts w:asciiTheme="majorHAnsi" w:eastAsia="Batang" w:hAnsiTheme="majorHAnsi"/>
          <w:sz w:val="20"/>
          <w:szCs w:val="20"/>
          <w:bdr w:val="none" w:sz="0" w:space="0" w:color="auto"/>
          <w:lang w:val="pt-BR"/>
        </w:rPr>
        <w:t xml:space="preserve">s indicadas </w:t>
      </w:r>
      <w:r w:rsidRPr="006D1C74">
        <w:rPr>
          <w:rFonts w:asciiTheme="majorHAnsi" w:eastAsia="Batang" w:hAnsiTheme="majorHAnsi"/>
          <w:sz w:val="20"/>
          <w:szCs w:val="20"/>
          <w:bdr w:val="none" w:sz="0" w:space="0" w:color="auto"/>
          <w:lang w:val="pt-BR"/>
        </w:rPr>
        <w:t>no</w:t>
      </w:r>
      <w:r w:rsidR="00030019" w:rsidRPr="006D1C74">
        <w:rPr>
          <w:rFonts w:asciiTheme="majorHAnsi" w:eastAsia="Batang" w:hAnsiTheme="majorHAnsi"/>
          <w:sz w:val="20"/>
          <w:szCs w:val="20"/>
          <w:bdr w:val="none" w:sz="0" w:space="0" w:color="auto"/>
          <w:lang w:val="pt-BR"/>
        </w:rPr>
        <w:t xml:space="preserve"> </w:t>
      </w:r>
      <w:r w:rsidR="002649F0" w:rsidRPr="006D1C74">
        <w:rPr>
          <w:rFonts w:asciiTheme="majorHAnsi" w:eastAsia="Batang" w:hAnsiTheme="majorHAnsi"/>
          <w:sz w:val="20"/>
          <w:szCs w:val="20"/>
          <w:bdr w:val="none" w:sz="0" w:space="0" w:color="auto"/>
          <w:lang w:val="pt-BR"/>
        </w:rPr>
        <w:t xml:space="preserve">presente </w:t>
      </w:r>
      <w:r w:rsidR="00927E16" w:rsidRPr="006D1C74">
        <w:rPr>
          <w:rFonts w:asciiTheme="majorHAnsi" w:eastAsia="Batang" w:hAnsiTheme="majorHAnsi"/>
          <w:sz w:val="20"/>
          <w:szCs w:val="20"/>
          <w:bdr w:val="none" w:sz="0" w:space="0" w:color="auto"/>
          <w:lang w:val="pt-BR"/>
        </w:rPr>
        <w:t>relatório</w:t>
      </w:r>
      <w:r w:rsidR="002649F0" w:rsidRPr="006D1C74">
        <w:rPr>
          <w:rFonts w:asciiTheme="majorHAnsi" w:eastAsia="Batang" w:hAnsiTheme="majorHAnsi"/>
          <w:sz w:val="20"/>
          <w:szCs w:val="20"/>
          <w:bdr w:val="none" w:sz="0" w:space="0" w:color="auto"/>
          <w:lang w:val="pt-BR"/>
        </w:rPr>
        <w:t xml:space="preserve">. </w:t>
      </w:r>
    </w:p>
    <w:p w14:paraId="536FC42B"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900"/>
        <w:jc w:val="both"/>
        <w:rPr>
          <w:rFonts w:asciiTheme="majorHAnsi" w:eastAsia="Batang" w:hAnsiTheme="majorHAnsi" w:cs="Arial"/>
          <w:sz w:val="20"/>
          <w:szCs w:val="20"/>
          <w:bdr w:val="none" w:sz="0" w:space="0" w:color="auto"/>
          <w:lang w:val="pt-BR"/>
        </w:rPr>
      </w:pPr>
    </w:p>
    <w:p w14:paraId="01C57D97" w14:textId="77777777" w:rsidR="002649F0" w:rsidRPr="006D1C74" w:rsidRDefault="00417BE8" w:rsidP="002649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b/>
          <w:sz w:val="20"/>
          <w:szCs w:val="20"/>
          <w:bdr w:val="none" w:sz="0" w:space="0" w:color="auto"/>
          <w:lang w:val="pt-BR"/>
        </w:rPr>
      </w:pPr>
      <w:r w:rsidRPr="006D1C74">
        <w:rPr>
          <w:rFonts w:asciiTheme="majorHAnsi" w:eastAsia="Batang" w:hAnsiTheme="majorHAnsi"/>
          <w:b/>
          <w:sz w:val="20"/>
          <w:szCs w:val="20"/>
          <w:bdr w:val="none" w:sz="0" w:space="0" w:color="auto"/>
          <w:lang w:val="pt-BR"/>
        </w:rPr>
        <w:t>A</w:t>
      </w:r>
      <w:r w:rsidR="002649F0" w:rsidRPr="006D1C74">
        <w:rPr>
          <w:rFonts w:asciiTheme="majorHAnsi" w:eastAsia="Batang" w:hAnsiTheme="majorHAnsi"/>
          <w:b/>
          <w:sz w:val="20"/>
          <w:szCs w:val="20"/>
          <w:bdr w:val="none" w:sz="0" w:space="0" w:color="auto"/>
          <w:lang w:val="pt-BR"/>
        </w:rPr>
        <w:t xml:space="preserve"> </w:t>
      </w:r>
      <w:r w:rsidRPr="006D1C74">
        <w:rPr>
          <w:rFonts w:asciiTheme="majorHAnsi" w:eastAsia="Batang" w:hAnsiTheme="majorHAnsi"/>
          <w:b/>
          <w:sz w:val="20"/>
          <w:szCs w:val="20"/>
          <w:bdr w:val="none" w:sz="0" w:space="0" w:color="auto"/>
          <w:lang w:val="pt-BR"/>
        </w:rPr>
        <w:t>COMISSÃO</w:t>
      </w:r>
      <w:r w:rsidR="002649F0" w:rsidRPr="006D1C74">
        <w:rPr>
          <w:rFonts w:asciiTheme="majorHAnsi" w:eastAsia="Batang" w:hAnsiTheme="majorHAnsi"/>
          <w:b/>
          <w:sz w:val="20"/>
          <w:szCs w:val="20"/>
          <w:bdr w:val="none" w:sz="0" w:space="0" w:color="auto"/>
          <w:lang w:val="pt-BR"/>
        </w:rPr>
        <w:t xml:space="preserve"> INTERAMERICANA DE </w:t>
      </w:r>
      <w:r w:rsidRPr="006D1C74">
        <w:rPr>
          <w:rFonts w:asciiTheme="majorHAnsi" w:eastAsia="Batang" w:hAnsiTheme="majorHAnsi"/>
          <w:b/>
          <w:sz w:val="20"/>
          <w:szCs w:val="20"/>
          <w:bdr w:val="none" w:sz="0" w:space="0" w:color="auto"/>
          <w:lang w:val="pt-BR"/>
        </w:rPr>
        <w:t>DIREITO</w:t>
      </w:r>
      <w:r w:rsidR="002649F0" w:rsidRPr="006D1C74">
        <w:rPr>
          <w:rFonts w:asciiTheme="majorHAnsi" w:eastAsia="Batang" w:hAnsiTheme="majorHAnsi"/>
          <w:b/>
          <w:sz w:val="20"/>
          <w:szCs w:val="20"/>
          <w:bdr w:val="none" w:sz="0" w:space="0" w:color="auto"/>
          <w:lang w:val="pt-BR"/>
        </w:rPr>
        <w:t xml:space="preserve">S HUMANOS </w:t>
      </w:r>
      <w:r w:rsidR="002649F0" w:rsidRPr="006D1C74">
        <w:rPr>
          <w:rFonts w:asciiTheme="majorHAnsi" w:hAnsiTheme="majorHAnsi"/>
          <w:b/>
          <w:bCs/>
          <w:sz w:val="20"/>
          <w:szCs w:val="20"/>
          <w:lang w:val="pt-BR"/>
        </w:rPr>
        <w:t>RECOMENDA A</w:t>
      </w:r>
      <w:r w:rsidRPr="006D1C74">
        <w:rPr>
          <w:rFonts w:asciiTheme="majorHAnsi" w:hAnsiTheme="majorHAnsi"/>
          <w:b/>
          <w:bCs/>
          <w:sz w:val="20"/>
          <w:szCs w:val="20"/>
          <w:lang w:val="pt-BR"/>
        </w:rPr>
        <w:t>O</w:t>
      </w:r>
      <w:r w:rsidR="002649F0" w:rsidRPr="006D1C74">
        <w:rPr>
          <w:rFonts w:asciiTheme="majorHAnsi" w:hAnsiTheme="majorHAnsi"/>
          <w:b/>
          <w:bCs/>
          <w:sz w:val="20"/>
          <w:szCs w:val="20"/>
          <w:lang w:val="pt-BR"/>
        </w:rPr>
        <w:t xml:space="preserve"> ESTADO</w:t>
      </w:r>
      <w:r w:rsidR="002649F0" w:rsidRPr="006D1C74">
        <w:rPr>
          <w:rFonts w:asciiTheme="majorHAnsi" w:hAnsiTheme="majorHAnsi"/>
          <w:b/>
          <w:sz w:val="20"/>
          <w:szCs w:val="20"/>
          <w:lang w:val="pt-BR"/>
        </w:rPr>
        <w:t xml:space="preserve"> BRASILE</w:t>
      </w:r>
      <w:r w:rsidR="003373F3" w:rsidRPr="006D1C74">
        <w:rPr>
          <w:rFonts w:asciiTheme="majorHAnsi" w:hAnsiTheme="majorHAnsi"/>
          <w:b/>
          <w:sz w:val="20"/>
          <w:szCs w:val="20"/>
          <w:lang w:val="pt-BR"/>
        </w:rPr>
        <w:t>IR</w:t>
      </w:r>
      <w:r w:rsidR="002649F0" w:rsidRPr="006D1C74">
        <w:rPr>
          <w:rFonts w:asciiTheme="majorHAnsi" w:hAnsiTheme="majorHAnsi"/>
          <w:b/>
          <w:sz w:val="20"/>
          <w:szCs w:val="20"/>
          <w:lang w:val="pt-BR"/>
        </w:rPr>
        <w:t>O</w:t>
      </w:r>
      <w:r w:rsidR="002649F0" w:rsidRPr="006D1C74">
        <w:rPr>
          <w:rFonts w:asciiTheme="majorHAnsi" w:eastAsia="Batang" w:hAnsiTheme="majorHAnsi"/>
          <w:b/>
          <w:sz w:val="20"/>
          <w:szCs w:val="20"/>
          <w:bdr w:val="none" w:sz="0" w:space="0" w:color="auto"/>
          <w:lang w:val="pt-BR"/>
        </w:rPr>
        <w:t>:</w:t>
      </w:r>
    </w:p>
    <w:p w14:paraId="106FC6C7" w14:textId="77777777" w:rsidR="002649F0" w:rsidRPr="006D1C74" w:rsidRDefault="002649F0" w:rsidP="002649F0">
      <w:pPr>
        <w:ind w:left="720"/>
        <w:rPr>
          <w:rFonts w:asciiTheme="majorHAnsi" w:eastAsia="Batang" w:hAnsiTheme="majorHAnsi" w:cs="Cambria"/>
          <w:color w:val="000000"/>
          <w:sz w:val="20"/>
          <w:szCs w:val="20"/>
          <w:u w:color="000000"/>
          <w:bdr w:val="none" w:sz="0" w:space="0" w:color="auto"/>
          <w:lang w:val="pt-BR" w:eastAsia="es-ES"/>
        </w:rPr>
      </w:pPr>
    </w:p>
    <w:p w14:paraId="2B296742" w14:textId="77777777" w:rsidR="002649F0" w:rsidRPr="006D1C74" w:rsidRDefault="00A7621C" w:rsidP="003C51D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6D1C74">
        <w:rPr>
          <w:rFonts w:asciiTheme="majorHAnsi" w:hAnsiTheme="majorHAnsi"/>
          <w:sz w:val="20"/>
          <w:szCs w:val="20"/>
          <w:lang w:val="pt-BR"/>
        </w:rPr>
        <w:t>Reparar</w:t>
      </w:r>
      <w:r w:rsidR="002649F0" w:rsidRPr="006D1C74">
        <w:rPr>
          <w:rFonts w:asciiTheme="majorHAnsi" w:hAnsiTheme="majorHAnsi"/>
          <w:sz w:val="20"/>
          <w:szCs w:val="20"/>
          <w:lang w:val="pt-BR"/>
        </w:rPr>
        <w:t xml:space="preserve"> integralmente</w:t>
      </w:r>
      <w:r w:rsidR="00030019" w:rsidRPr="006D1C74">
        <w:rPr>
          <w:rFonts w:asciiTheme="majorHAnsi" w:hAnsiTheme="majorHAnsi"/>
          <w:sz w:val="20"/>
          <w:szCs w:val="20"/>
          <w:lang w:val="pt-BR"/>
        </w:rPr>
        <w:t xml:space="preserve"> </w:t>
      </w:r>
      <w:r w:rsidR="00271DE2" w:rsidRPr="006D1C74">
        <w:rPr>
          <w:rFonts w:asciiTheme="majorHAnsi" w:hAnsiTheme="majorHAnsi"/>
          <w:sz w:val="20"/>
          <w:szCs w:val="20"/>
          <w:lang w:val="pt-BR"/>
        </w:rPr>
        <w:t>a</w:t>
      </w:r>
      <w:r w:rsidR="00030019" w:rsidRPr="006D1C74">
        <w:rPr>
          <w:rFonts w:asciiTheme="majorHAnsi" w:hAnsiTheme="majorHAnsi"/>
          <w:sz w:val="20"/>
          <w:szCs w:val="20"/>
          <w:lang w:val="pt-BR"/>
        </w:rPr>
        <w:t xml:space="preserve">s </w:t>
      </w:r>
      <w:r w:rsidR="00795010" w:rsidRPr="006D1C74">
        <w:rPr>
          <w:rFonts w:asciiTheme="majorHAnsi" w:hAnsiTheme="majorHAnsi"/>
          <w:sz w:val="20"/>
          <w:szCs w:val="20"/>
          <w:lang w:val="pt-BR"/>
        </w:rPr>
        <w:t>vítima</w:t>
      </w:r>
      <w:r w:rsidR="002649F0" w:rsidRPr="006D1C74">
        <w:rPr>
          <w:rFonts w:asciiTheme="majorHAnsi" w:hAnsiTheme="majorHAnsi"/>
          <w:sz w:val="20"/>
          <w:szCs w:val="20"/>
          <w:lang w:val="pt-BR"/>
        </w:rPr>
        <w:t xml:space="preserve">s </w:t>
      </w:r>
      <w:r w:rsidR="003171F3" w:rsidRPr="006D1C74">
        <w:rPr>
          <w:rFonts w:asciiTheme="majorHAnsi" w:hAnsiTheme="majorHAnsi"/>
          <w:sz w:val="20"/>
          <w:szCs w:val="20"/>
          <w:lang w:val="pt-BR"/>
        </w:rPr>
        <w:t>diretas</w:t>
      </w:r>
      <w:r w:rsidR="00FC2F62" w:rsidRPr="006D1C74">
        <w:rPr>
          <w:rFonts w:asciiTheme="majorHAnsi" w:hAnsiTheme="majorHAnsi"/>
          <w:sz w:val="20"/>
          <w:szCs w:val="20"/>
          <w:lang w:val="pt-BR"/>
        </w:rPr>
        <w:t xml:space="preserve"> no </w:t>
      </w:r>
      <w:r w:rsidR="002649F0" w:rsidRPr="006D1C74">
        <w:rPr>
          <w:rFonts w:asciiTheme="majorHAnsi" w:hAnsiTheme="majorHAnsi"/>
          <w:sz w:val="20"/>
          <w:szCs w:val="20"/>
          <w:lang w:val="pt-BR"/>
        </w:rPr>
        <w:t>presente caso</w:t>
      </w:r>
      <w:r w:rsidR="00CF037E" w:rsidRPr="006D1C74">
        <w:rPr>
          <w:rFonts w:asciiTheme="majorHAnsi" w:hAnsiTheme="majorHAnsi"/>
          <w:sz w:val="20"/>
          <w:szCs w:val="20"/>
          <w:lang w:val="pt-BR"/>
        </w:rPr>
        <w:t xml:space="preserve"> e</w:t>
      </w:r>
      <w:r w:rsidR="00135454" w:rsidRPr="006D1C74">
        <w:rPr>
          <w:rFonts w:asciiTheme="majorHAnsi" w:hAnsiTheme="majorHAnsi"/>
          <w:sz w:val="20"/>
          <w:szCs w:val="20"/>
          <w:lang w:val="pt-BR"/>
        </w:rPr>
        <w:t xml:space="preserve"> os </w:t>
      </w:r>
      <w:r w:rsidR="001E2392" w:rsidRPr="006D1C74">
        <w:rPr>
          <w:rFonts w:asciiTheme="majorHAnsi" w:hAnsiTheme="majorHAnsi"/>
          <w:sz w:val="20"/>
          <w:szCs w:val="20"/>
          <w:lang w:val="pt-BR"/>
        </w:rPr>
        <w:t>familiares</w:t>
      </w:r>
      <w:r w:rsidR="002649F0" w:rsidRPr="006D1C74">
        <w:rPr>
          <w:rFonts w:asciiTheme="majorHAnsi" w:hAnsiTheme="majorHAnsi"/>
          <w:sz w:val="20"/>
          <w:szCs w:val="20"/>
          <w:lang w:val="pt-BR"/>
        </w:rPr>
        <w:t xml:space="preserve"> de Antonio Tavares Pereira</w:t>
      </w:r>
      <w:r w:rsidR="00C81014">
        <w:rPr>
          <w:rFonts w:asciiTheme="majorHAnsi" w:hAnsiTheme="majorHAnsi"/>
          <w:sz w:val="20"/>
          <w:szCs w:val="20"/>
          <w:lang w:val="pt-BR"/>
        </w:rPr>
        <w:t>,</w:t>
      </w:r>
      <w:r w:rsidR="00513DB4" w:rsidRPr="006D1C74">
        <w:rPr>
          <w:rFonts w:asciiTheme="majorHAnsi" w:hAnsiTheme="majorHAnsi"/>
          <w:sz w:val="20"/>
          <w:szCs w:val="20"/>
          <w:lang w:val="pt-BR"/>
        </w:rPr>
        <w:t xml:space="preserve"> su</w:t>
      </w:r>
      <w:r w:rsidR="00271DE2" w:rsidRPr="006D1C74">
        <w:rPr>
          <w:rFonts w:asciiTheme="majorHAnsi" w:hAnsiTheme="majorHAnsi"/>
          <w:sz w:val="20"/>
          <w:szCs w:val="20"/>
          <w:lang w:val="pt-BR"/>
        </w:rPr>
        <w:t>a</w:t>
      </w:r>
      <w:r w:rsidR="00513DB4" w:rsidRPr="006D1C74">
        <w:rPr>
          <w:rFonts w:asciiTheme="majorHAnsi" w:hAnsiTheme="majorHAnsi"/>
          <w:sz w:val="20"/>
          <w:szCs w:val="20"/>
          <w:lang w:val="pt-BR"/>
        </w:rPr>
        <w:t xml:space="preserve"> esposa Maria Sebastiana Barbosa Pereira,</w:t>
      </w:r>
      <w:r w:rsidR="00CF037E" w:rsidRPr="006D1C74">
        <w:rPr>
          <w:rFonts w:asciiTheme="majorHAnsi" w:hAnsiTheme="majorHAnsi"/>
          <w:sz w:val="20"/>
          <w:szCs w:val="20"/>
          <w:lang w:val="pt-BR"/>
        </w:rPr>
        <w:t xml:space="preserve"> e</w:t>
      </w:r>
      <w:r w:rsidR="00700267" w:rsidRPr="006D1C74">
        <w:rPr>
          <w:rFonts w:asciiTheme="majorHAnsi" w:hAnsiTheme="majorHAnsi"/>
          <w:sz w:val="20"/>
          <w:szCs w:val="20"/>
          <w:lang w:val="pt-BR"/>
        </w:rPr>
        <w:t xml:space="preserve"> os </w:t>
      </w:r>
      <w:r w:rsidR="00271DE2" w:rsidRPr="006D1C74">
        <w:rPr>
          <w:rFonts w:asciiTheme="majorHAnsi" w:hAnsiTheme="majorHAnsi"/>
          <w:sz w:val="20"/>
          <w:szCs w:val="20"/>
          <w:lang w:val="pt-BR"/>
        </w:rPr>
        <w:t>filh</w:t>
      </w:r>
      <w:r w:rsidR="00513DB4" w:rsidRPr="006D1C74">
        <w:rPr>
          <w:rFonts w:asciiTheme="majorHAnsi" w:hAnsiTheme="majorHAnsi"/>
          <w:sz w:val="20"/>
          <w:szCs w:val="20"/>
          <w:lang w:val="pt-BR"/>
        </w:rPr>
        <w:t>os de ambos, Ana Lúcia Barbosa Pereira, Ana Cláudia Barbosa Pereira, Samuel Paulo Barbosa Pereira</w:t>
      </w:r>
      <w:r w:rsidR="00CF037E" w:rsidRPr="006D1C74">
        <w:rPr>
          <w:rFonts w:asciiTheme="majorHAnsi" w:hAnsiTheme="majorHAnsi"/>
          <w:sz w:val="20"/>
          <w:szCs w:val="20"/>
          <w:lang w:val="pt-BR"/>
        </w:rPr>
        <w:t xml:space="preserve"> e </w:t>
      </w:r>
      <w:r w:rsidR="00513DB4" w:rsidRPr="006D1C74">
        <w:rPr>
          <w:rFonts w:asciiTheme="majorHAnsi" w:hAnsiTheme="majorHAnsi"/>
          <w:sz w:val="20"/>
          <w:szCs w:val="20"/>
          <w:lang w:val="pt-BR"/>
        </w:rPr>
        <w:t>Ana Ruth Barbosa Pereira,</w:t>
      </w:r>
      <w:r w:rsidR="002649F0" w:rsidRPr="006D1C74">
        <w:rPr>
          <w:rFonts w:asciiTheme="majorHAnsi" w:hAnsiTheme="majorHAnsi"/>
          <w:sz w:val="20"/>
          <w:szCs w:val="20"/>
          <w:lang w:val="pt-BR"/>
        </w:rPr>
        <w:t xml:space="preserve"> </w:t>
      </w:r>
      <w:r w:rsidR="002D14E9" w:rsidRPr="006D1C74">
        <w:rPr>
          <w:rFonts w:asciiTheme="majorHAnsi" w:hAnsiTheme="majorHAnsi"/>
          <w:sz w:val="20"/>
          <w:szCs w:val="20"/>
          <w:lang w:val="pt-BR"/>
        </w:rPr>
        <w:t>através de</w:t>
      </w:r>
      <w:r w:rsidR="002649F0" w:rsidRPr="006D1C74">
        <w:rPr>
          <w:rFonts w:asciiTheme="majorHAnsi" w:hAnsiTheme="majorHAnsi"/>
          <w:sz w:val="20"/>
          <w:szCs w:val="20"/>
          <w:lang w:val="pt-BR"/>
        </w:rPr>
        <w:t xml:space="preserve"> medidas de compensa</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pecuniária</w:t>
      </w:r>
      <w:r w:rsidR="00CF037E" w:rsidRPr="006D1C74">
        <w:rPr>
          <w:rFonts w:asciiTheme="majorHAnsi" w:hAnsiTheme="majorHAnsi"/>
          <w:sz w:val="20"/>
          <w:szCs w:val="20"/>
          <w:lang w:val="pt-BR"/>
        </w:rPr>
        <w:t xml:space="preserve"> e </w:t>
      </w:r>
      <w:r w:rsidR="002649F0" w:rsidRPr="006D1C74">
        <w:rPr>
          <w:rFonts w:asciiTheme="majorHAnsi" w:hAnsiTheme="majorHAnsi"/>
          <w:sz w:val="20"/>
          <w:szCs w:val="20"/>
          <w:lang w:val="pt-BR"/>
        </w:rPr>
        <w:t>de satisfa</w:t>
      </w:r>
      <w:r w:rsidR="00CF037E" w:rsidRPr="006D1C74">
        <w:rPr>
          <w:rFonts w:asciiTheme="majorHAnsi" w:hAnsiTheme="majorHAnsi"/>
          <w:sz w:val="20"/>
          <w:szCs w:val="20"/>
          <w:lang w:val="pt-BR"/>
        </w:rPr>
        <w:t>ção</w:t>
      </w:r>
      <w:r w:rsidR="002649F0" w:rsidRPr="006D1C74">
        <w:rPr>
          <w:rFonts w:asciiTheme="majorHAnsi" w:hAnsiTheme="majorHAnsi"/>
          <w:sz w:val="20"/>
          <w:szCs w:val="20"/>
          <w:lang w:val="pt-BR"/>
        </w:rPr>
        <w:t xml:space="preserve"> que ab</w:t>
      </w:r>
      <w:r w:rsidR="00271DE2" w:rsidRPr="006D1C74">
        <w:rPr>
          <w:rFonts w:asciiTheme="majorHAnsi" w:hAnsiTheme="majorHAnsi"/>
          <w:sz w:val="20"/>
          <w:szCs w:val="20"/>
          <w:lang w:val="pt-BR"/>
        </w:rPr>
        <w:t>ranjam</w:t>
      </w:r>
      <w:r w:rsidR="00700267" w:rsidRPr="006D1C74">
        <w:rPr>
          <w:rFonts w:asciiTheme="majorHAnsi" w:hAnsiTheme="majorHAnsi"/>
          <w:sz w:val="20"/>
          <w:szCs w:val="20"/>
          <w:lang w:val="pt-BR"/>
        </w:rPr>
        <w:t xml:space="preserve"> os </w:t>
      </w:r>
      <w:r w:rsidR="003171F3" w:rsidRPr="006D1C74">
        <w:rPr>
          <w:rFonts w:asciiTheme="majorHAnsi" w:hAnsiTheme="majorHAnsi"/>
          <w:sz w:val="20"/>
          <w:szCs w:val="20"/>
          <w:lang w:val="pt-BR"/>
        </w:rPr>
        <w:t>danos</w:t>
      </w:r>
      <w:r w:rsidR="002649F0" w:rsidRPr="006D1C74">
        <w:rPr>
          <w:rFonts w:asciiTheme="majorHAnsi" w:hAnsiTheme="majorHAnsi"/>
          <w:sz w:val="20"/>
          <w:szCs w:val="20"/>
          <w:lang w:val="pt-BR"/>
        </w:rPr>
        <w:t xml:space="preserve"> materi</w:t>
      </w:r>
      <w:r w:rsidR="00700267" w:rsidRPr="006D1C74">
        <w:rPr>
          <w:rFonts w:asciiTheme="majorHAnsi" w:hAnsiTheme="majorHAnsi"/>
          <w:sz w:val="20"/>
          <w:szCs w:val="20"/>
          <w:lang w:val="pt-BR"/>
        </w:rPr>
        <w:t>ais</w:t>
      </w:r>
      <w:r w:rsidR="002649F0" w:rsidRPr="006D1C74">
        <w:rPr>
          <w:rFonts w:asciiTheme="majorHAnsi" w:hAnsiTheme="majorHAnsi"/>
          <w:sz w:val="20"/>
          <w:szCs w:val="20"/>
          <w:lang w:val="pt-BR"/>
        </w:rPr>
        <w:t xml:space="preserve"> e imateri</w:t>
      </w:r>
      <w:r w:rsidR="00700267" w:rsidRPr="006D1C74">
        <w:rPr>
          <w:rFonts w:asciiTheme="majorHAnsi" w:hAnsiTheme="majorHAnsi"/>
          <w:sz w:val="20"/>
          <w:szCs w:val="20"/>
          <w:lang w:val="pt-BR"/>
        </w:rPr>
        <w:t>ais</w:t>
      </w:r>
      <w:r w:rsidR="002649F0" w:rsidRPr="006D1C74">
        <w:rPr>
          <w:rFonts w:asciiTheme="majorHAnsi" w:hAnsiTheme="majorHAnsi"/>
          <w:sz w:val="20"/>
          <w:szCs w:val="20"/>
          <w:lang w:val="pt-BR"/>
        </w:rPr>
        <w:t xml:space="preserve"> </w:t>
      </w:r>
      <w:r w:rsidR="00271DE2" w:rsidRPr="006D1C74">
        <w:rPr>
          <w:rFonts w:asciiTheme="majorHAnsi" w:hAnsiTheme="majorHAnsi"/>
          <w:sz w:val="20"/>
          <w:szCs w:val="20"/>
          <w:lang w:val="pt-BR"/>
        </w:rPr>
        <w:t>provoc</w:t>
      </w:r>
      <w:r w:rsidR="002649F0" w:rsidRPr="006D1C74">
        <w:rPr>
          <w:rFonts w:asciiTheme="majorHAnsi" w:hAnsiTheme="majorHAnsi"/>
          <w:sz w:val="20"/>
          <w:szCs w:val="20"/>
          <w:lang w:val="pt-BR"/>
        </w:rPr>
        <w:t xml:space="preserve">ados </w:t>
      </w:r>
      <w:r w:rsidR="00271DE2" w:rsidRPr="006D1C74">
        <w:rPr>
          <w:rFonts w:asciiTheme="majorHAnsi" w:hAnsiTheme="majorHAnsi"/>
          <w:sz w:val="20"/>
          <w:szCs w:val="20"/>
          <w:lang w:val="pt-BR"/>
        </w:rPr>
        <w:t>em</w:t>
      </w:r>
      <w:r w:rsidR="002649F0"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consequência</w:t>
      </w:r>
      <w:r w:rsidR="00D74A93" w:rsidRPr="006D1C74">
        <w:rPr>
          <w:rFonts w:asciiTheme="majorHAnsi" w:hAnsiTheme="majorHAnsi"/>
          <w:sz w:val="20"/>
          <w:szCs w:val="20"/>
          <w:lang w:val="pt-BR"/>
        </w:rPr>
        <w:t xml:space="preserve"> das </w:t>
      </w:r>
      <w:r w:rsidR="002649F0" w:rsidRPr="006D1C74">
        <w:rPr>
          <w:rFonts w:asciiTheme="majorHAnsi" w:hAnsiTheme="majorHAnsi"/>
          <w:sz w:val="20"/>
          <w:szCs w:val="20"/>
          <w:lang w:val="pt-BR"/>
        </w:rPr>
        <w:t>viola</w:t>
      </w:r>
      <w:r w:rsidR="00CF037E" w:rsidRPr="006D1C74">
        <w:rPr>
          <w:rFonts w:asciiTheme="majorHAnsi" w:hAnsiTheme="majorHAnsi"/>
          <w:sz w:val="20"/>
          <w:szCs w:val="20"/>
          <w:lang w:val="pt-BR"/>
        </w:rPr>
        <w:t>ções</w:t>
      </w:r>
      <w:r w:rsidR="002649F0" w:rsidRPr="006D1C74">
        <w:rPr>
          <w:rFonts w:asciiTheme="majorHAnsi" w:hAnsiTheme="majorHAnsi"/>
          <w:sz w:val="20"/>
          <w:szCs w:val="20"/>
          <w:lang w:val="pt-BR"/>
        </w:rPr>
        <w:t xml:space="preserve"> </w:t>
      </w:r>
      <w:r w:rsidR="003171F3" w:rsidRPr="006D1C74">
        <w:rPr>
          <w:rFonts w:asciiTheme="majorHAnsi" w:hAnsiTheme="majorHAnsi"/>
          <w:sz w:val="20"/>
          <w:szCs w:val="20"/>
          <w:lang w:val="pt-BR"/>
        </w:rPr>
        <w:t>expostas</w:t>
      </w:r>
      <w:r w:rsidR="00FC2F62" w:rsidRPr="006D1C74">
        <w:rPr>
          <w:rFonts w:asciiTheme="majorHAnsi" w:hAnsiTheme="majorHAnsi"/>
          <w:sz w:val="20"/>
          <w:szCs w:val="20"/>
          <w:lang w:val="pt-BR"/>
        </w:rPr>
        <w:t xml:space="preserve"> no </w:t>
      </w:r>
      <w:r w:rsidR="002649F0" w:rsidRPr="006D1C74">
        <w:rPr>
          <w:rFonts w:asciiTheme="majorHAnsi" w:hAnsiTheme="majorHAnsi"/>
          <w:sz w:val="20"/>
          <w:szCs w:val="20"/>
          <w:lang w:val="pt-BR"/>
        </w:rPr>
        <w:t xml:space="preserve">presente </w:t>
      </w:r>
      <w:r w:rsidR="00927E16" w:rsidRPr="006D1C74">
        <w:rPr>
          <w:rFonts w:asciiTheme="majorHAnsi" w:hAnsiTheme="majorHAnsi"/>
          <w:sz w:val="20"/>
          <w:szCs w:val="20"/>
          <w:lang w:val="pt-BR"/>
        </w:rPr>
        <w:t>relatório</w:t>
      </w:r>
      <w:r w:rsidR="002649F0" w:rsidRPr="006D1C74">
        <w:rPr>
          <w:rFonts w:asciiTheme="majorHAnsi" w:hAnsiTheme="majorHAnsi"/>
          <w:sz w:val="20"/>
          <w:szCs w:val="20"/>
          <w:lang w:val="pt-BR"/>
        </w:rPr>
        <w:t xml:space="preserve">. </w:t>
      </w:r>
    </w:p>
    <w:p w14:paraId="6E6B2AD6" w14:textId="77777777" w:rsidR="002649F0" w:rsidRPr="006D1C74" w:rsidRDefault="002649F0" w:rsidP="002649F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pt-BR"/>
        </w:rPr>
      </w:pPr>
    </w:p>
    <w:p w14:paraId="2057481C" w14:textId="77777777" w:rsidR="002649F0" w:rsidRPr="006D1C74" w:rsidRDefault="00A7621C" w:rsidP="003C51D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6D1C74">
        <w:rPr>
          <w:rFonts w:asciiTheme="majorHAnsi" w:eastAsia="Times New Roman" w:hAnsiTheme="majorHAnsi" w:cs="Tahoma"/>
          <w:sz w:val="20"/>
          <w:szCs w:val="20"/>
          <w:bdr w:val="none" w:sz="0" w:space="0" w:color="auto"/>
          <w:lang w:val="pt-BR"/>
        </w:rPr>
        <w:t>Dispor</w:t>
      </w:r>
      <w:r w:rsidR="00700267" w:rsidRPr="006D1C74">
        <w:rPr>
          <w:rFonts w:asciiTheme="majorHAnsi" w:eastAsia="Times New Roman" w:hAnsiTheme="majorHAnsi" w:cs="Tahoma"/>
          <w:sz w:val="20"/>
          <w:szCs w:val="20"/>
          <w:bdr w:val="none" w:sz="0" w:space="0" w:color="auto"/>
          <w:lang w:val="pt-BR"/>
        </w:rPr>
        <w:t xml:space="preserve"> as </w:t>
      </w:r>
      <w:r w:rsidR="002649F0" w:rsidRPr="006D1C74">
        <w:rPr>
          <w:rFonts w:asciiTheme="majorHAnsi" w:eastAsia="Times New Roman" w:hAnsiTheme="majorHAnsi" w:cs="Tahoma"/>
          <w:sz w:val="20"/>
          <w:szCs w:val="20"/>
          <w:bdr w:val="none" w:sz="0" w:space="0" w:color="auto"/>
          <w:lang w:val="pt-BR"/>
        </w:rPr>
        <w:t>medidas de aten</w:t>
      </w:r>
      <w:r w:rsidR="00CF037E" w:rsidRPr="006D1C74">
        <w:rPr>
          <w:rFonts w:asciiTheme="majorHAnsi" w:eastAsia="Times New Roman" w:hAnsiTheme="majorHAnsi" w:cs="Tahoma"/>
          <w:sz w:val="20"/>
          <w:szCs w:val="20"/>
          <w:bdr w:val="none" w:sz="0" w:space="0" w:color="auto"/>
          <w:lang w:val="pt-BR"/>
        </w:rPr>
        <w:t>ção</w:t>
      </w:r>
      <w:r w:rsidR="002649F0" w:rsidRPr="006D1C74">
        <w:rPr>
          <w:rFonts w:asciiTheme="majorHAnsi" w:eastAsia="Times New Roman" w:hAnsiTheme="majorHAnsi" w:cs="Tahoma"/>
          <w:sz w:val="20"/>
          <w:szCs w:val="20"/>
          <w:bdr w:val="none" w:sz="0" w:space="0" w:color="auto"/>
          <w:lang w:val="pt-BR"/>
        </w:rPr>
        <w:t xml:space="preserve"> </w:t>
      </w:r>
      <w:r w:rsidR="00271DE2" w:rsidRPr="006D1C74">
        <w:rPr>
          <w:rFonts w:asciiTheme="majorHAnsi" w:eastAsia="Times New Roman" w:hAnsiTheme="majorHAnsi" w:cs="Tahoma"/>
          <w:sz w:val="20"/>
          <w:szCs w:val="20"/>
          <w:bdr w:val="none" w:sz="0" w:space="0" w:color="auto"/>
          <w:lang w:val="pt-BR"/>
        </w:rPr>
        <w:t>à</w:t>
      </w:r>
      <w:r w:rsidR="002649F0" w:rsidRPr="006D1C74">
        <w:rPr>
          <w:rFonts w:asciiTheme="majorHAnsi" w:eastAsia="Times New Roman" w:hAnsiTheme="majorHAnsi" w:cs="Tahoma"/>
          <w:sz w:val="20"/>
          <w:szCs w:val="20"/>
          <w:bdr w:val="none" w:sz="0" w:space="0" w:color="auto"/>
          <w:lang w:val="pt-BR"/>
        </w:rPr>
        <w:t xml:space="preserve"> sa</w:t>
      </w:r>
      <w:r w:rsidR="00271DE2" w:rsidRPr="006D1C74">
        <w:rPr>
          <w:rFonts w:asciiTheme="majorHAnsi" w:eastAsia="Times New Roman" w:hAnsiTheme="majorHAnsi" w:cs="Tahoma"/>
          <w:sz w:val="20"/>
          <w:szCs w:val="20"/>
          <w:bdr w:val="none" w:sz="0" w:space="0" w:color="auto"/>
          <w:lang w:val="pt-BR"/>
        </w:rPr>
        <w:t>úde</w:t>
      </w:r>
      <w:r w:rsidR="002649F0" w:rsidRPr="006D1C74">
        <w:rPr>
          <w:rFonts w:asciiTheme="majorHAnsi" w:eastAsia="Times New Roman" w:hAnsiTheme="majorHAnsi" w:cs="Tahoma"/>
          <w:sz w:val="20"/>
          <w:szCs w:val="20"/>
          <w:bdr w:val="none" w:sz="0" w:space="0" w:color="auto"/>
          <w:lang w:val="pt-BR"/>
        </w:rPr>
        <w:t xml:space="preserve"> física</w:t>
      </w:r>
      <w:r w:rsidR="00CF037E" w:rsidRPr="006D1C74">
        <w:rPr>
          <w:rFonts w:asciiTheme="majorHAnsi" w:eastAsia="Times New Roman" w:hAnsiTheme="majorHAnsi" w:cs="Tahoma"/>
          <w:sz w:val="20"/>
          <w:szCs w:val="20"/>
          <w:bdr w:val="none" w:sz="0" w:space="0" w:color="auto"/>
          <w:lang w:val="pt-BR"/>
        </w:rPr>
        <w:t xml:space="preserve"> e </w:t>
      </w:r>
      <w:r w:rsidR="002649F0" w:rsidRPr="006D1C74">
        <w:rPr>
          <w:rFonts w:asciiTheme="majorHAnsi" w:eastAsia="Times New Roman" w:hAnsiTheme="majorHAnsi" w:cs="Tahoma"/>
          <w:sz w:val="20"/>
          <w:szCs w:val="20"/>
          <w:bdr w:val="none" w:sz="0" w:space="0" w:color="auto"/>
          <w:lang w:val="pt-BR"/>
        </w:rPr>
        <w:t xml:space="preserve">mental </w:t>
      </w:r>
      <w:r w:rsidR="003171F3" w:rsidRPr="006D1C74">
        <w:rPr>
          <w:rFonts w:asciiTheme="majorHAnsi" w:eastAsia="Times New Roman" w:hAnsiTheme="majorHAnsi" w:cs="Tahoma"/>
          <w:sz w:val="20"/>
          <w:szCs w:val="20"/>
          <w:bdr w:val="none" w:sz="0" w:space="0" w:color="auto"/>
          <w:lang w:val="pt-BR"/>
        </w:rPr>
        <w:t>necessárias</w:t>
      </w:r>
      <w:r w:rsidR="002649F0" w:rsidRPr="006D1C74">
        <w:rPr>
          <w:rFonts w:asciiTheme="majorHAnsi" w:eastAsia="Times New Roman" w:hAnsiTheme="majorHAnsi" w:cs="Tahoma"/>
          <w:sz w:val="20"/>
          <w:szCs w:val="20"/>
          <w:bdr w:val="none" w:sz="0" w:space="0" w:color="auto"/>
          <w:lang w:val="pt-BR"/>
        </w:rPr>
        <w:t xml:space="preserve"> para</w:t>
      </w:r>
      <w:r w:rsidR="00700267" w:rsidRPr="006D1C74">
        <w:rPr>
          <w:rFonts w:asciiTheme="majorHAnsi" w:eastAsia="Times New Roman" w:hAnsiTheme="majorHAnsi" w:cs="Tahoma"/>
          <w:sz w:val="20"/>
          <w:szCs w:val="20"/>
          <w:bdr w:val="none" w:sz="0" w:space="0" w:color="auto"/>
          <w:lang w:val="pt-BR"/>
        </w:rPr>
        <w:t xml:space="preserve"> a </w:t>
      </w:r>
      <w:r w:rsidR="003171F3" w:rsidRPr="006D1C74">
        <w:rPr>
          <w:rFonts w:asciiTheme="majorHAnsi" w:eastAsia="Times New Roman" w:hAnsiTheme="majorHAnsi" w:cs="Tahoma"/>
          <w:sz w:val="20"/>
          <w:szCs w:val="20"/>
          <w:bdr w:val="none" w:sz="0" w:space="0" w:color="auto"/>
          <w:lang w:val="pt-BR"/>
        </w:rPr>
        <w:t>reabilitação</w:t>
      </w:r>
      <w:r w:rsidR="00D74A93" w:rsidRPr="006D1C74">
        <w:rPr>
          <w:rFonts w:asciiTheme="majorHAnsi" w:eastAsia="Times New Roman" w:hAnsiTheme="majorHAnsi" w:cs="Tahoma"/>
          <w:sz w:val="20"/>
          <w:szCs w:val="20"/>
          <w:bdr w:val="none" w:sz="0" w:space="0" w:color="auto"/>
          <w:lang w:val="pt-BR"/>
        </w:rPr>
        <w:t xml:space="preserve"> das </w:t>
      </w:r>
      <w:r w:rsidR="002D14E9" w:rsidRPr="006D1C74">
        <w:rPr>
          <w:rFonts w:asciiTheme="majorHAnsi" w:eastAsia="Times New Roman" w:hAnsiTheme="majorHAnsi" w:cs="Tahoma"/>
          <w:sz w:val="20"/>
          <w:szCs w:val="20"/>
          <w:bdr w:val="none" w:sz="0" w:space="0" w:color="auto"/>
          <w:lang w:val="pt-BR"/>
        </w:rPr>
        <w:t xml:space="preserve">185 </w:t>
      </w:r>
      <w:r w:rsidR="00795010" w:rsidRPr="006D1C74">
        <w:rPr>
          <w:rFonts w:asciiTheme="majorHAnsi" w:hAnsiTheme="majorHAnsi"/>
          <w:sz w:val="20"/>
          <w:szCs w:val="20"/>
          <w:lang w:val="pt-BR"/>
        </w:rPr>
        <w:t>vítima</w:t>
      </w:r>
      <w:r w:rsidR="002649F0" w:rsidRPr="006D1C74">
        <w:rPr>
          <w:rFonts w:asciiTheme="majorHAnsi" w:hAnsiTheme="majorHAnsi"/>
          <w:sz w:val="20"/>
          <w:szCs w:val="20"/>
          <w:lang w:val="pt-BR"/>
        </w:rPr>
        <w:t xml:space="preserve">s </w:t>
      </w:r>
      <w:r w:rsidR="003171F3" w:rsidRPr="006D1C74">
        <w:rPr>
          <w:rFonts w:asciiTheme="majorHAnsi" w:hAnsiTheme="majorHAnsi"/>
          <w:sz w:val="20"/>
          <w:szCs w:val="20"/>
          <w:lang w:val="pt-BR"/>
        </w:rPr>
        <w:t>diretas</w:t>
      </w:r>
      <w:r w:rsidR="00030019" w:rsidRPr="006D1C74">
        <w:rPr>
          <w:rFonts w:asciiTheme="majorHAnsi" w:hAnsiTheme="majorHAnsi"/>
          <w:sz w:val="20"/>
          <w:szCs w:val="20"/>
          <w:lang w:val="pt-BR"/>
        </w:rPr>
        <w:t xml:space="preserve"> do </w:t>
      </w:r>
      <w:r w:rsidR="002649F0" w:rsidRPr="006D1C74">
        <w:rPr>
          <w:rFonts w:asciiTheme="majorHAnsi" w:hAnsiTheme="majorHAnsi"/>
          <w:sz w:val="20"/>
          <w:szCs w:val="20"/>
          <w:lang w:val="pt-BR"/>
        </w:rPr>
        <w:t>presente caso</w:t>
      </w:r>
      <w:r w:rsidR="00CF037E" w:rsidRPr="006D1C74">
        <w:rPr>
          <w:rFonts w:asciiTheme="majorHAnsi" w:hAnsiTheme="majorHAnsi"/>
          <w:sz w:val="20"/>
          <w:szCs w:val="20"/>
          <w:lang w:val="pt-BR"/>
        </w:rPr>
        <w:t xml:space="preserve"> e</w:t>
      </w:r>
      <w:r w:rsidR="00700267" w:rsidRPr="006D1C74">
        <w:rPr>
          <w:rFonts w:asciiTheme="majorHAnsi" w:hAnsiTheme="majorHAnsi"/>
          <w:sz w:val="20"/>
          <w:szCs w:val="20"/>
          <w:lang w:val="pt-BR"/>
        </w:rPr>
        <w:t xml:space="preserve"> dos </w:t>
      </w:r>
      <w:r w:rsidR="001E2392" w:rsidRPr="006D1C74">
        <w:rPr>
          <w:rFonts w:asciiTheme="majorHAnsi" w:hAnsiTheme="majorHAnsi"/>
          <w:sz w:val="20"/>
          <w:szCs w:val="20"/>
          <w:lang w:val="pt-BR"/>
        </w:rPr>
        <w:t>familiares</w:t>
      </w:r>
      <w:r w:rsidR="002649F0" w:rsidRPr="006D1C74">
        <w:rPr>
          <w:rFonts w:asciiTheme="majorHAnsi" w:hAnsiTheme="majorHAnsi"/>
          <w:sz w:val="20"/>
          <w:szCs w:val="20"/>
          <w:lang w:val="pt-BR"/>
        </w:rPr>
        <w:t xml:space="preserve"> de Antonio Tavares Pereira</w:t>
      </w:r>
      <w:r w:rsidR="002649F0" w:rsidRPr="006D1C74">
        <w:rPr>
          <w:rFonts w:asciiTheme="majorHAnsi" w:eastAsia="Times New Roman" w:hAnsiTheme="majorHAnsi" w:cs="Tahoma"/>
          <w:sz w:val="20"/>
          <w:szCs w:val="20"/>
          <w:bdr w:val="none" w:sz="0" w:space="0" w:color="auto"/>
          <w:lang w:val="pt-BR"/>
        </w:rPr>
        <w:t>, s</w:t>
      </w:r>
      <w:r w:rsidR="00271DE2" w:rsidRPr="006D1C74">
        <w:rPr>
          <w:rFonts w:asciiTheme="majorHAnsi" w:eastAsia="Times New Roman" w:hAnsiTheme="majorHAnsi" w:cs="Tahoma"/>
          <w:sz w:val="20"/>
          <w:szCs w:val="20"/>
          <w:bdr w:val="none" w:sz="0" w:space="0" w:color="auto"/>
          <w:lang w:val="pt-BR"/>
        </w:rPr>
        <w:t xml:space="preserve">e assim for </w:t>
      </w:r>
      <w:r w:rsidR="002649F0" w:rsidRPr="006D1C74">
        <w:rPr>
          <w:rFonts w:asciiTheme="majorHAnsi" w:eastAsia="Times New Roman" w:hAnsiTheme="majorHAnsi" w:cs="Tahoma"/>
          <w:sz w:val="20"/>
          <w:szCs w:val="20"/>
          <w:bdr w:val="none" w:sz="0" w:space="0" w:color="auto"/>
          <w:lang w:val="pt-BR"/>
        </w:rPr>
        <w:t>su</w:t>
      </w:r>
      <w:r w:rsidR="00271DE2" w:rsidRPr="006D1C74">
        <w:rPr>
          <w:rFonts w:asciiTheme="majorHAnsi" w:eastAsia="Times New Roman" w:hAnsiTheme="majorHAnsi" w:cs="Tahoma"/>
          <w:sz w:val="20"/>
          <w:szCs w:val="20"/>
          <w:bdr w:val="none" w:sz="0" w:space="0" w:color="auto"/>
          <w:lang w:val="pt-BR"/>
        </w:rPr>
        <w:t>a</w:t>
      </w:r>
      <w:r w:rsidR="002649F0" w:rsidRPr="006D1C74">
        <w:rPr>
          <w:rFonts w:asciiTheme="majorHAnsi" w:eastAsia="Times New Roman" w:hAnsiTheme="majorHAnsi" w:cs="Tahoma"/>
          <w:sz w:val="20"/>
          <w:szCs w:val="20"/>
          <w:bdr w:val="none" w:sz="0" w:space="0" w:color="auto"/>
          <w:lang w:val="pt-BR"/>
        </w:rPr>
        <w:t xml:space="preserve"> </w:t>
      </w:r>
      <w:r w:rsidR="003171F3" w:rsidRPr="006D1C74">
        <w:rPr>
          <w:rFonts w:asciiTheme="majorHAnsi" w:eastAsia="Times New Roman" w:hAnsiTheme="majorHAnsi" w:cs="Tahoma"/>
          <w:sz w:val="20"/>
          <w:szCs w:val="20"/>
          <w:bdr w:val="none" w:sz="0" w:space="0" w:color="auto"/>
          <w:lang w:val="pt-BR"/>
        </w:rPr>
        <w:t>vontade</w:t>
      </w:r>
      <w:r w:rsidR="00CF037E" w:rsidRPr="006D1C74">
        <w:rPr>
          <w:rFonts w:asciiTheme="majorHAnsi" w:eastAsia="Times New Roman" w:hAnsiTheme="majorHAnsi" w:cs="Tahoma"/>
          <w:sz w:val="20"/>
          <w:szCs w:val="20"/>
          <w:bdr w:val="none" w:sz="0" w:space="0" w:color="auto"/>
          <w:lang w:val="pt-BR"/>
        </w:rPr>
        <w:t xml:space="preserve"> e</w:t>
      </w:r>
      <w:r w:rsidR="00F673C7" w:rsidRPr="006D1C74">
        <w:rPr>
          <w:rFonts w:asciiTheme="majorHAnsi" w:eastAsia="Times New Roman" w:hAnsiTheme="majorHAnsi" w:cs="Tahoma"/>
          <w:sz w:val="20"/>
          <w:szCs w:val="20"/>
          <w:bdr w:val="none" w:sz="0" w:space="0" w:color="auto"/>
          <w:lang w:val="pt-BR"/>
        </w:rPr>
        <w:t xml:space="preserve"> com </w:t>
      </w:r>
      <w:r w:rsidR="003171F3" w:rsidRPr="006D1C74">
        <w:rPr>
          <w:rFonts w:asciiTheme="majorHAnsi" w:eastAsia="Times New Roman" w:hAnsiTheme="majorHAnsi" w:cs="Tahoma"/>
          <w:sz w:val="20"/>
          <w:szCs w:val="20"/>
          <w:bdr w:val="none" w:sz="0" w:space="0" w:color="auto"/>
          <w:lang w:val="pt-BR"/>
        </w:rPr>
        <w:t>seu</w:t>
      </w:r>
      <w:r w:rsidR="002649F0" w:rsidRPr="006D1C74">
        <w:rPr>
          <w:rFonts w:asciiTheme="majorHAnsi" w:eastAsia="Times New Roman" w:hAnsiTheme="majorHAnsi" w:cs="Tahoma"/>
          <w:sz w:val="20"/>
          <w:szCs w:val="20"/>
          <w:bdr w:val="none" w:sz="0" w:space="0" w:color="auto"/>
          <w:lang w:val="pt-BR"/>
        </w:rPr>
        <w:t xml:space="preserve"> </w:t>
      </w:r>
      <w:r w:rsidR="003171F3" w:rsidRPr="006D1C74">
        <w:rPr>
          <w:rFonts w:asciiTheme="majorHAnsi" w:eastAsia="Times New Roman" w:hAnsiTheme="majorHAnsi" w:cs="Tahoma"/>
          <w:sz w:val="20"/>
          <w:szCs w:val="20"/>
          <w:bdr w:val="none" w:sz="0" w:space="0" w:color="auto"/>
          <w:lang w:val="pt-BR"/>
        </w:rPr>
        <w:t>acordo</w:t>
      </w:r>
      <w:r w:rsidR="002649F0" w:rsidRPr="006D1C74">
        <w:rPr>
          <w:rFonts w:asciiTheme="majorHAnsi" w:eastAsia="Times New Roman" w:hAnsiTheme="majorHAnsi" w:cs="Tahoma"/>
          <w:sz w:val="20"/>
          <w:szCs w:val="20"/>
          <w:bdr w:val="none" w:sz="0" w:space="0" w:color="auto"/>
          <w:lang w:val="pt-BR"/>
        </w:rPr>
        <w:t>.</w:t>
      </w:r>
    </w:p>
    <w:p w14:paraId="4F761118" w14:textId="77777777" w:rsidR="00A75D18" w:rsidRPr="006D1C74" w:rsidRDefault="00A75D18" w:rsidP="00A75D18">
      <w:pPr>
        <w:pStyle w:val="ListParagraph"/>
        <w:rPr>
          <w:rFonts w:asciiTheme="majorHAnsi" w:hAnsiTheme="majorHAnsi"/>
          <w:sz w:val="20"/>
          <w:szCs w:val="20"/>
          <w:lang w:val="pt-BR"/>
        </w:rPr>
      </w:pPr>
    </w:p>
    <w:p w14:paraId="7F7AA506" w14:textId="77777777" w:rsidR="00A75D18" w:rsidRPr="006D1C74" w:rsidRDefault="006D1C74" w:rsidP="003C51D1">
      <w:pPr>
        <w:pStyle w:val="ListParagraph"/>
        <w:numPr>
          <w:ilvl w:val="0"/>
          <w:numId w:val="58"/>
        </w:numPr>
        <w:jc w:val="both"/>
        <w:rPr>
          <w:rFonts w:asciiTheme="majorHAnsi" w:eastAsia="Arial Unicode MS" w:hAnsiTheme="majorHAnsi" w:cs="Times New Roman"/>
          <w:color w:val="auto"/>
          <w:sz w:val="20"/>
          <w:szCs w:val="20"/>
          <w:lang w:val="pt-BR" w:eastAsia="en-US"/>
        </w:rPr>
      </w:pPr>
      <w:r w:rsidRPr="006D1C74">
        <w:rPr>
          <w:rFonts w:asciiTheme="majorHAnsi" w:eastAsia="Arial Unicode MS" w:hAnsiTheme="majorHAnsi" w:cs="Times New Roman"/>
          <w:color w:val="auto"/>
          <w:sz w:val="20"/>
          <w:szCs w:val="20"/>
          <w:lang w:val="pt-BR" w:eastAsia="en-US"/>
        </w:rPr>
        <w:t>Empreender</w:t>
      </w:r>
      <w:r w:rsidR="00030019" w:rsidRPr="006D1C74">
        <w:rPr>
          <w:rFonts w:asciiTheme="majorHAnsi" w:eastAsia="Arial Unicode MS" w:hAnsiTheme="majorHAnsi" w:cs="Times New Roman"/>
          <w:color w:val="auto"/>
          <w:sz w:val="20"/>
          <w:szCs w:val="20"/>
          <w:lang w:val="pt-BR" w:eastAsia="en-US"/>
        </w:rPr>
        <w:t xml:space="preserve"> uma </w:t>
      </w:r>
      <w:r w:rsidR="00A75D18" w:rsidRPr="006D1C74">
        <w:rPr>
          <w:rFonts w:asciiTheme="majorHAnsi" w:eastAsia="Arial Unicode MS" w:hAnsiTheme="majorHAnsi" w:cs="Times New Roman"/>
          <w:color w:val="auto"/>
          <w:sz w:val="20"/>
          <w:szCs w:val="20"/>
          <w:lang w:val="pt-BR" w:eastAsia="en-US"/>
        </w:rPr>
        <w:t>investiga</w:t>
      </w:r>
      <w:r w:rsidR="00CF037E" w:rsidRPr="006D1C74">
        <w:rPr>
          <w:rFonts w:asciiTheme="majorHAnsi" w:eastAsia="Arial Unicode MS" w:hAnsiTheme="majorHAnsi" w:cs="Times New Roman"/>
          <w:color w:val="auto"/>
          <w:sz w:val="20"/>
          <w:szCs w:val="20"/>
          <w:lang w:val="pt-BR" w:eastAsia="en-US"/>
        </w:rPr>
        <w:t>ção</w:t>
      </w:r>
      <w:r w:rsidR="00A75D18" w:rsidRPr="006D1C74">
        <w:rPr>
          <w:rFonts w:asciiTheme="majorHAnsi" w:eastAsia="Arial Unicode MS" w:hAnsiTheme="majorHAnsi" w:cs="Times New Roman"/>
          <w:color w:val="auto"/>
          <w:sz w:val="20"/>
          <w:szCs w:val="20"/>
          <w:lang w:val="pt-BR" w:eastAsia="en-US"/>
        </w:rPr>
        <w:t xml:space="preserve"> de </w:t>
      </w:r>
      <w:r w:rsidRPr="006D1C74">
        <w:rPr>
          <w:rFonts w:asciiTheme="majorHAnsi" w:eastAsia="Arial Unicode MS" w:hAnsiTheme="majorHAnsi" w:cs="Times New Roman"/>
          <w:color w:val="auto"/>
          <w:sz w:val="20"/>
          <w:szCs w:val="20"/>
          <w:lang w:val="pt-BR" w:eastAsia="en-US"/>
        </w:rPr>
        <w:t>maneira</w:t>
      </w:r>
      <w:r w:rsidR="00A75D18" w:rsidRPr="006D1C74">
        <w:rPr>
          <w:rFonts w:asciiTheme="majorHAnsi" w:eastAsia="Arial Unicode MS" w:hAnsiTheme="majorHAnsi" w:cs="Times New Roman"/>
          <w:color w:val="auto"/>
          <w:sz w:val="20"/>
          <w:szCs w:val="20"/>
          <w:lang w:val="pt-BR" w:eastAsia="en-US"/>
        </w:rPr>
        <w:t xml:space="preserve"> diligente, imparcial</w:t>
      </w:r>
      <w:r w:rsidR="00CF037E" w:rsidRPr="006D1C74">
        <w:rPr>
          <w:rFonts w:asciiTheme="majorHAnsi" w:eastAsia="Arial Unicode MS" w:hAnsiTheme="majorHAnsi" w:cs="Times New Roman"/>
          <w:color w:val="auto"/>
          <w:sz w:val="20"/>
          <w:szCs w:val="20"/>
          <w:lang w:val="pt-BR" w:eastAsia="en-US"/>
        </w:rPr>
        <w:t xml:space="preserve"> e </w:t>
      </w:r>
      <w:r w:rsidRPr="006D1C74">
        <w:rPr>
          <w:rFonts w:asciiTheme="majorHAnsi" w:eastAsia="Arial Unicode MS" w:hAnsiTheme="majorHAnsi" w:cs="Times New Roman"/>
          <w:color w:val="auto"/>
          <w:sz w:val="20"/>
          <w:szCs w:val="20"/>
          <w:lang w:val="pt-BR" w:eastAsia="en-US"/>
        </w:rPr>
        <w:t>efetiva</w:t>
      </w:r>
      <w:r w:rsidR="00A75D18" w:rsidRPr="006D1C74">
        <w:rPr>
          <w:rFonts w:asciiTheme="majorHAnsi" w:eastAsia="Arial Unicode MS" w:hAnsiTheme="majorHAnsi" w:cs="Times New Roman"/>
          <w:color w:val="auto"/>
          <w:sz w:val="20"/>
          <w:szCs w:val="20"/>
          <w:lang w:val="pt-BR" w:eastAsia="en-US"/>
        </w:rPr>
        <w:t>, dentro de</w:t>
      </w:r>
      <w:r w:rsidR="00030019" w:rsidRPr="006D1C74">
        <w:rPr>
          <w:rFonts w:asciiTheme="majorHAnsi" w:eastAsia="Arial Unicode MS" w:hAnsiTheme="majorHAnsi" w:cs="Times New Roman"/>
          <w:color w:val="auto"/>
          <w:sz w:val="20"/>
          <w:szCs w:val="20"/>
          <w:lang w:val="pt-BR" w:eastAsia="en-US"/>
        </w:rPr>
        <w:t xml:space="preserve"> um </w:t>
      </w:r>
      <w:r w:rsidR="00D74A93" w:rsidRPr="006D1C74">
        <w:rPr>
          <w:rFonts w:asciiTheme="majorHAnsi" w:eastAsia="Arial Unicode MS" w:hAnsiTheme="majorHAnsi" w:cs="Times New Roman"/>
          <w:color w:val="auto"/>
          <w:sz w:val="20"/>
          <w:szCs w:val="20"/>
          <w:lang w:val="pt-BR" w:eastAsia="en-US"/>
        </w:rPr>
        <w:t>prazo</w:t>
      </w:r>
      <w:r w:rsidR="00A75D18" w:rsidRPr="006D1C74">
        <w:rPr>
          <w:rFonts w:asciiTheme="majorHAnsi" w:eastAsia="Arial Unicode MS" w:hAnsiTheme="majorHAnsi" w:cs="Times New Roman"/>
          <w:color w:val="auto"/>
          <w:sz w:val="20"/>
          <w:szCs w:val="20"/>
          <w:lang w:val="pt-BR" w:eastAsia="en-US"/>
        </w:rPr>
        <w:t xml:space="preserve"> razo</w:t>
      </w:r>
      <w:r w:rsidR="00271DE2" w:rsidRPr="006D1C74">
        <w:rPr>
          <w:rFonts w:asciiTheme="majorHAnsi" w:eastAsia="Arial Unicode MS" w:hAnsiTheme="majorHAnsi" w:cs="Times New Roman"/>
          <w:color w:val="auto"/>
          <w:sz w:val="20"/>
          <w:szCs w:val="20"/>
          <w:lang w:val="pt-BR" w:eastAsia="en-US"/>
        </w:rPr>
        <w:t>ável</w:t>
      </w:r>
      <w:r w:rsidR="00A75D18" w:rsidRPr="006D1C74">
        <w:rPr>
          <w:rFonts w:asciiTheme="majorHAnsi" w:eastAsia="Arial Unicode MS" w:hAnsiTheme="majorHAnsi" w:cs="Times New Roman"/>
          <w:color w:val="auto"/>
          <w:sz w:val="20"/>
          <w:szCs w:val="20"/>
          <w:lang w:val="pt-BR" w:eastAsia="en-US"/>
        </w:rPr>
        <w:t>, para esclarecer</w:t>
      </w:r>
      <w:r w:rsidR="00700267" w:rsidRPr="006D1C74">
        <w:rPr>
          <w:rFonts w:asciiTheme="majorHAnsi" w:eastAsia="Arial Unicode MS" w:hAnsiTheme="majorHAnsi" w:cs="Times New Roman"/>
          <w:color w:val="auto"/>
          <w:sz w:val="20"/>
          <w:szCs w:val="20"/>
          <w:lang w:val="pt-BR" w:eastAsia="en-US"/>
        </w:rPr>
        <w:t xml:space="preserve"> os </w:t>
      </w:r>
      <w:r w:rsidR="00F37852" w:rsidRPr="006D1C74">
        <w:rPr>
          <w:rFonts w:asciiTheme="majorHAnsi" w:eastAsia="Arial Unicode MS" w:hAnsiTheme="majorHAnsi" w:cs="Times New Roman"/>
          <w:color w:val="auto"/>
          <w:sz w:val="20"/>
          <w:szCs w:val="20"/>
          <w:lang w:val="pt-BR" w:eastAsia="en-US"/>
        </w:rPr>
        <w:t>fato</w:t>
      </w:r>
      <w:r w:rsidR="00A75D18" w:rsidRPr="006D1C74">
        <w:rPr>
          <w:rFonts w:asciiTheme="majorHAnsi" w:eastAsia="Arial Unicode MS" w:hAnsiTheme="majorHAnsi" w:cs="Times New Roman"/>
          <w:color w:val="auto"/>
          <w:sz w:val="20"/>
          <w:szCs w:val="20"/>
          <w:lang w:val="pt-BR" w:eastAsia="en-US"/>
        </w:rPr>
        <w:t>s de forma compl</w:t>
      </w:r>
      <w:r w:rsidR="00046659" w:rsidRPr="006D1C74">
        <w:rPr>
          <w:rFonts w:asciiTheme="majorHAnsi" w:eastAsia="Arial Unicode MS" w:hAnsiTheme="majorHAnsi" w:cs="Times New Roman"/>
          <w:color w:val="auto"/>
          <w:sz w:val="20"/>
          <w:szCs w:val="20"/>
          <w:lang w:val="pt-BR" w:eastAsia="en-US"/>
        </w:rPr>
        <w:t>eta e impor</w:t>
      </w:r>
      <w:r w:rsidR="00700267" w:rsidRPr="006D1C74">
        <w:rPr>
          <w:rFonts w:asciiTheme="majorHAnsi" w:eastAsia="Arial Unicode MS" w:hAnsiTheme="majorHAnsi" w:cs="Times New Roman"/>
          <w:color w:val="auto"/>
          <w:sz w:val="20"/>
          <w:szCs w:val="20"/>
          <w:lang w:val="pt-BR" w:eastAsia="en-US"/>
        </w:rPr>
        <w:t xml:space="preserve"> as </w:t>
      </w:r>
      <w:r w:rsidR="00271DE2" w:rsidRPr="006D1C74">
        <w:rPr>
          <w:rFonts w:asciiTheme="majorHAnsi" w:eastAsia="Arial Unicode MS" w:hAnsiTheme="majorHAnsi" w:cs="Times New Roman"/>
          <w:color w:val="auto"/>
          <w:sz w:val="20"/>
          <w:szCs w:val="20"/>
          <w:lang w:val="pt-BR" w:eastAsia="en-US"/>
        </w:rPr>
        <w:t>puni</w:t>
      </w:r>
      <w:r w:rsidR="00CF037E" w:rsidRPr="006D1C74">
        <w:rPr>
          <w:rFonts w:asciiTheme="majorHAnsi" w:eastAsia="Arial Unicode MS" w:hAnsiTheme="majorHAnsi" w:cs="Times New Roman"/>
          <w:color w:val="auto"/>
          <w:sz w:val="20"/>
          <w:szCs w:val="20"/>
          <w:lang w:val="pt-BR" w:eastAsia="en-US"/>
        </w:rPr>
        <w:t>ções</w:t>
      </w:r>
      <w:r w:rsidR="00046659" w:rsidRPr="006D1C74">
        <w:rPr>
          <w:rFonts w:asciiTheme="majorHAnsi" w:eastAsia="Arial Unicode MS" w:hAnsiTheme="majorHAnsi" w:cs="Times New Roman"/>
          <w:color w:val="auto"/>
          <w:sz w:val="20"/>
          <w:szCs w:val="20"/>
          <w:lang w:val="pt-BR" w:eastAsia="en-US"/>
        </w:rPr>
        <w:t xml:space="preserve"> que </w:t>
      </w:r>
      <w:r w:rsidRPr="006D1C74">
        <w:rPr>
          <w:rFonts w:asciiTheme="majorHAnsi" w:eastAsia="Arial Unicode MS" w:hAnsiTheme="majorHAnsi" w:cs="Times New Roman"/>
          <w:color w:val="auto"/>
          <w:sz w:val="20"/>
          <w:szCs w:val="20"/>
          <w:lang w:val="pt-BR" w:eastAsia="en-US"/>
        </w:rPr>
        <w:t>correspondam</w:t>
      </w:r>
      <w:r w:rsidR="00030019" w:rsidRPr="006D1C74">
        <w:rPr>
          <w:rFonts w:asciiTheme="majorHAnsi" w:eastAsia="Arial Unicode MS" w:hAnsiTheme="majorHAnsi" w:cs="Times New Roman"/>
          <w:color w:val="auto"/>
          <w:sz w:val="20"/>
          <w:szCs w:val="20"/>
          <w:lang w:val="pt-BR" w:eastAsia="en-US"/>
        </w:rPr>
        <w:t xml:space="preserve"> às </w:t>
      </w:r>
      <w:r w:rsidR="00A75D18" w:rsidRPr="006D1C74">
        <w:rPr>
          <w:rFonts w:asciiTheme="majorHAnsi" w:eastAsia="Arial Unicode MS" w:hAnsiTheme="majorHAnsi" w:cs="Times New Roman"/>
          <w:color w:val="auto"/>
          <w:sz w:val="20"/>
          <w:szCs w:val="20"/>
          <w:lang w:val="pt-BR" w:eastAsia="en-US"/>
        </w:rPr>
        <w:t>viola</w:t>
      </w:r>
      <w:r w:rsidR="00CF037E" w:rsidRPr="006D1C74">
        <w:rPr>
          <w:rFonts w:asciiTheme="majorHAnsi" w:eastAsia="Arial Unicode MS" w:hAnsiTheme="majorHAnsi" w:cs="Times New Roman"/>
          <w:color w:val="auto"/>
          <w:sz w:val="20"/>
          <w:szCs w:val="20"/>
          <w:lang w:val="pt-BR" w:eastAsia="en-US"/>
        </w:rPr>
        <w:t>ções</w:t>
      </w:r>
      <w:r w:rsidR="00A75D18" w:rsidRPr="006D1C74">
        <w:rPr>
          <w:rFonts w:asciiTheme="majorHAnsi" w:eastAsia="Arial Unicode MS" w:hAnsiTheme="majorHAnsi" w:cs="Times New Roman"/>
          <w:color w:val="auto"/>
          <w:sz w:val="20"/>
          <w:szCs w:val="20"/>
          <w:lang w:val="pt-BR" w:eastAsia="en-US"/>
        </w:rPr>
        <w:t xml:space="preserve"> de </w:t>
      </w:r>
      <w:r w:rsidR="00417BE8" w:rsidRPr="006D1C74">
        <w:rPr>
          <w:rFonts w:asciiTheme="majorHAnsi" w:eastAsia="Arial Unicode MS" w:hAnsiTheme="majorHAnsi" w:cs="Times New Roman"/>
          <w:color w:val="auto"/>
          <w:sz w:val="20"/>
          <w:szCs w:val="20"/>
          <w:lang w:val="pt-BR" w:eastAsia="en-US"/>
        </w:rPr>
        <w:t>direito</w:t>
      </w:r>
      <w:r w:rsidR="00A75D18" w:rsidRPr="006D1C74">
        <w:rPr>
          <w:rFonts w:asciiTheme="majorHAnsi" w:eastAsia="Arial Unicode MS" w:hAnsiTheme="majorHAnsi" w:cs="Times New Roman"/>
          <w:color w:val="auto"/>
          <w:sz w:val="20"/>
          <w:szCs w:val="20"/>
          <w:lang w:val="pt-BR" w:eastAsia="en-US"/>
        </w:rPr>
        <w:t xml:space="preserve">s humanos </w:t>
      </w:r>
      <w:r w:rsidRPr="006D1C74">
        <w:rPr>
          <w:rFonts w:asciiTheme="majorHAnsi" w:eastAsia="Arial Unicode MS" w:hAnsiTheme="majorHAnsi" w:cs="Times New Roman"/>
          <w:color w:val="auto"/>
          <w:sz w:val="20"/>
          <w:szCs w:val="20"/>
          <w:lang w:val="pt-BR" w:eastAsia="en-US"/>
        </w:rPr>
        <w:t>expostas</w:t>
      </w:r>
      <w:r w:rsidR="00FC2F62" w:rsidRPr="006D1C74">
        <w:rPr>
          <w:rFonts w:asciiTheme="majorHAnsi" w:eastAsia="Arial Unicode MS" w:hAnsiTheme="majorHAnsi" w:cs="Times New Roman"/>
          <w:color w:val="auto"/>
          <w:sz w:val="20"/>
          <w:szCs w:val="20"/>
          <w:lang w:val="pt-BR" w:eastAsia="en-US"/>
        </w:rPr>
        <w:t xml:space="preserve"> no </w:t>
      </w:r>
      <w:r w:rsidR="00A75D18" w:rsidRPr="006D1C74">
        <w:rPr>
          <w:rFonts w:asciiTheme="majorHAnsi" w:eastAsia="Arial Unicode MS" w:hAnsiTheme="majorHAnsi" w:cs="Times New Roman"/>
          <w:color w:val="auto"/>
          <w:sz w:val="20"/>
          <w:szCs w:val="20"/>
          <w:lang w:val="pt-BR" w:eastAsia="en-US"/>
        </w:rPr>
        <w:t xml:space="preserve">presente </w:t>
      </w:r>
      <w:r w:rsidR="00927E16" w:rsidRPr="006D1C74">
        <w:rPr>
          <w:rFonts w:asciiTheme="majorHAnsi" w:eastAsia="Arial Unicode MS" w:hAnsiTheme="majorHAnsi" w:cs="Times New Roman"/>
          <w:color w:val="auto"/>
          <w:sz w:val="20"/>
          <w:szCs w:val="20"/>
          <w:lang w:val="pt-BR" w:eastAsia="en-US"/>
        </w:rPr>
        <w:t>relatório</w:t>
      </w:r>
      <w:r w:rsidR="00A75D18" w:rsidRPr="006D1C74">
        <w:rPr>
          <w:rFonts w:asciiTheme="majorHAnsi" w:eastAsia="Arial Unicode MS" w:hAnsiTheme="majorHAnsi" w:cs="Times New Roman"/>
          <w:color w:val="auto"/>
          <w:sz w:val="20"/>
          <w:szCs w:val="20"/>
          <w:lang w:val="pt-BR" w:eastAsia="en-US"/>
        </w:rPr>
        <w:t>.</w:t>
      </w:r>
    </w:p>
    <w:p w14:paraId="1F19D92F" w14:textId="77777777" w:rsidR="002A3BB2" w:rsidRPr="006D1C74" w:rsidRDefault="002A3BB2" w:rsidP="002A3BB2">
      <w:pPr>
        <w:pBdr>
          <w:top w:val="none" w:sz="0" w:space="0" w:color="auto"/>
          <w:left w:val="none" w:sz="0" w:space="0" w:color="auto"/>
          <w:bottom w:val="none" w:sz="0" w:space="0" w:color="auto"/>
          <w:right w:val="none" w:sz="0" w:space="0" w:color="auto"/>
          <w:between w:val="none" w:sz="0" w:space="0" w:color="auto"/>
          <w:bar w:val="none" w:sz="0" w:color="auto"/>
        </w:pBdr>
        <w:ind w:left="180"/>
        <w:jc w:val="both"/>
        <w:rPr>
          <w:rFonts w:asciiTheme="majorHAnsi" w:hAnsiTheme="majorHAnsi"/>
          <w:sz w:val="20"/>
          <w:szCs w:val="20"/>
          <w:lang w:val="pt-BR"/>
        </w:rPr>
      </w:pPr>
    </w:p>
    <w:p w14:paraId="3DAD993F" w14:textId="0BEF0DD6" w:rsidR="002649F0" w:rsidRPr="00977580" w:rsidRDefault="00A7621C" w:rsidP="0097758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6D1C74">
        <w:rPr>
          <w:rFonts w:asciiTheme="majorHAnsi" w:eastAsia="Times New Roman" w:hAnsiTheme="majorHAnsi" w:cs="Tahoma"/>
          <w:sz w:val="20"/>
          <w:szCs w:val="20"/>
          <w:bdr w:val="none" w:sz="0" w:space="0" w:color="auto"/>
          <w:lang w:val="pt-BR"/>
        </w:rPr>
        <w:t>Dispor</w:t>
      </w:r>
      <w:r w:rsidR="002649F0" w:rsidRPr="006D1C74">
        <w:rPr>
          <w:rFonts w:asciiTheme="majorHAnsi" w:eastAsia="Times New Roman" w:hAnsiTheme="majorHAnsi" w:cs="Tahoma"/>
          <w:sz w:val="20"/>
          <w:szCs w:val="20"/>
          <w:bdr w:val="none" w:sz="0" w:space="0" w:color="auto"/>
          <w:lang w:val="pt-BR"/>
        </w:rPr>
        <w:t xml:space="preserve"> medidas de capacita</w:t>
      </w:r>
      <w:r w:rsidR="00CF037E" w:rsidRPr="006D1C74">
        <w:rPr>
          <w:rFonts w:asciiTheme="majorHAnsi" w:eastAsia="Times New Roman" w:hAnsiTheme="majorHAnsi" w:cs="Tahoma"/>
          <w:sz w:val="20"/>
          <w:szCs w:val="20"/>
          <w:bdr w:val="none" w:sz="0" w:space="0" w:color="auto"/>
          <w:lang w:val="pt-BR"/>
        </w:rPr>
        <w:t>ção</w:t>
      </w:r>
      <w:r w:rsidR="002649F0" w:rsidRPr="006D1C74">
        <w:rPr>
          <w:rFonts w:asciiTheme="majorHAnsi" w:eastAsia="Times New Roman" w:hAnsiTheme="majorHAnsi" w:cs="Tahoma"/>
          <w:sz w:val="20"/>
          <w:szCs w:val="20"/>
          <w:bdr w:val="none" w:sz="0" w:space="0" w:color="auto"/>
          <w:lang w:val="pt-BR"/>
        </w:rPr>
        <w:t xml:space="preserve"> dirigidas</w:t>
      </w:r>
      <w:r w:rsidR="00135454" w:rsidRPr="006D1C74">
        <w:rPr>
          <w:rFonts w:asciiTheme="majorHAnsi" w:eastAsia="Times New Roman" w:hAnsiTheme="majorHAnsi" w:cs="Tahoma"/>
          <w:sz w:val="20"/>
          <w:szCs w:val="20"/>
          <w:bdr w:val="none" w:sz="0" w:space="0" w:color="auto"/>
          <w:lang w:val="pt-BR"/>
        </w:rPr>
        <w:t xml:space="preserve"> aos </w:t>
      </w:r>
      <w:r w:rsidR="00271DE2" w:rsidRPr="006D1C74">
        <w:rPr>
          <w:rFonts w:asciiTheme="majorHAnsi" w:eastAsia="Times New Roman" w:hAnsiTheme="majorHAnsi" w:cs="Tahoma"/>
          <w:sz w:val="20"/>
          <w:szCs w:val="20"/>
          <w:bdr w:val="none" w:sz="0" w:space="0" w:color="auto"/>
          <w:lang w:val="pt-BR"/>
        </w:rPr>
        <w:t>órgãos</w:t>
      </w:r>
      <w:r w:rsidR="002649F0" w:rsidRPr="006D1C74">
        <w:rPr>
          <w:rFonts w:asciiTheme="majorHAnsi" w:eastAsia="Times New Roman" w:hAnsiTheme="majorHAnsi" w:cs="Tahoma"/>
          <w:sz w:val="20"/>
          <w:szCs w:val="20"/>
          <w:bdr w:val="none" w:sz="0" w:space="0" w:color="auto"/>
          <w:lang w:val="pt-BR"/>
        </w:rPr>
        <w:t xml:space="preserve"> de segur</w:t>
      </w:r>
      <w:r w:rsidR="00271DE2" w:rsidRPr="006D1C74">
        <w:rPr>
          <w:rFonts w:asciiTheme="majorHAnsi" w:eastAsia="Times New Roman" w:hAnsiTheme="majorHAnsi" w:cs="Tahoma"/>
          <w:sz w:val="20"/>
          <w:szCs w:val="20"/>
          <w:bdr w:val="none" w:sz="0" w:space="0" w:color="auto"/>
          <w:lang w:val="pt-BR"/>
        </w:rPr>
        <w:t>ança</w:t>
      </w:r>
      <w:r w:rsidR="00F673C7" w:rsidRPr="006D1C74">
        <w:rPr>
          <w:rFonts w:asciiTheme="majorHAnsi" w:eastAsia="Times New Roman" w:hAnsiTheme="majorHAnsi" w:cs="Tahoma"/>
          <w:sz w:val="20"/>
          <w:szCs w:val="20"/>
          <w:bdr w:val="none" w:sz="0" w:space="0" w:color="auto"/>
          <w:lang w:val="pt-BR"/>
        </w:rPr>
        <w:t xml:space="preserve"> </w:t>
      </w:r>
      <w:r w:rsidR="002649F0" w:rsidRPr="006D1C74">
        <w:rPr>
          <w:rFonts w:asciiTheme="majorHAnsi" w:eastAsia="Times New Roman" w:hAnsiTheme="majorHAnsi" w:cs="Tahoma"/>
          <w:sz w:val="20"/>
          <w:szCs w:val="20"/>
          <w:bdr w:val="none" w:sz="0" w:space="0" w:color="auto"/>
          <w:lang w:val="pt-BR"/>
        </w:rPr>
        <w:t xml:space="preserve">que </w:t>
      </w:r>
      <w:r w:rsidR="006D1C74" w:rsidRPr="006D1C74">
        <w:rPr>
          <w:rFonts w:asciiTheme="majorHAnsi" w:eastAsia="Times New Roman" w:hAnsiTheme="majorHAnsi" w:cs="Tahoma"/>
          <w:sz w:val="20"/>
          <w:szCs w:val="20"/>
          <w:bdr w:val="none" w:sz="0" w:space="0" w:color="auto"/>
          <w:lang w:val="pt-BR"/>
        </w:rPr>
        <w:t>atuam</w:t>
      </w:r>
      <w:r w:rsidR="00FC2F62" w:rsidRPr="006D1C74">
        <w:rPr>
          <w:rFonts w:asciiTheme="majorHAnsi" w:eastAsia="Times New Roman" w:hAnsiTheme="majorHAnsi" w:cs="Tahoma"/>
          <w:sz w:val="20"/>
          <w:szCs w:val="20"/>
          <w:bdr w:val="none" w:sz="0" w:space="0" w:color="auto"/>
          <w:lang w:val="pt-BR"/>
        </w:rPr>
        <w:t xml:space="preserve"> no </w:t>
      </w:r>
      <w:r w:rsidR="002649F0" w:rsidRPr="006D1C74">
        <w:rPr>
          <w:rFonts w:asciiTheme="majorHAnsi" w:eastAsia="Times New Roman" w:hAnsiTheme="majorHAnsi" w:cs="Tahoma"/>
          <w:sz w:val="20"/>
          <w:szCs w:val="20"/>
          <w:bdr w:val="none" w:sz="0" w:space="0" w:color="auto"/>
          <w:lang w:val="pt-BR"/>
        </w:rPr>
        <w:t>contexto de manifesta</w:t>
      </w:r>
      <w:r w:rsidR="00CF037E" w:rsidRPr="006D1C74">
        <w:rPr>
          <w:rFonts w:asciiTheme="majorHAnsi" w:eastAsia="Times New Roman" w:hAnsiTheme="majorHAnsi" w:cs="Tahoma"/>
          <w:sz w:val="20"/>
          <w:szCs w:val="20"/>
          <w:bdr w:val="none" w:sz="0" w:space="0" w:color="auto"/>
          <w:lang w:val="pt-BR"/>
        </w:rPr>
        <w:t xml:space="preserve">ções e </w:t>
      </w:r>
      <w:r w:rsidR="002649F0" w:rsidRPr="006D1C74">
        <w:rPr>
          <w:rFonts w:asciiTheme="majorHAnsi" w:eastAsia="Times New Roman" w:hAnsiTheme="majorHAnsi" w:cs="Tahoma"/>
          <w:sz w:val="20"/>
          <w:szCs w:val="20"/>
          <w:bdr w:val="none" w:sz="0" w:space="0" w:color="auto"/>
          <w:lang w:val="pt-BR"/>
        </w:rPr>
        <w:t>protest</w:t>
      </w:r>
      <w:r w:rsidR="00271DE2" w:rsidRPr="006D1C74">
        <w:rPr>
          <w:rFonts w:asciiTheme="majorHAnsi" w:eastAsia="Times New Roman" w:hAnsiTheme="majorHAnsi" w:cs="Tahoma"/>
          <w:sz w:val="20"/>
          <w:szCs w:val="20"/>
          <w:bdr w:val="none" w:sz="0" w:space="0" w:color="auto"/>
          <w:lang w:val="pt-BR"/>
        </w:rPr>
        <w:t>o</w:t>
      </w:r>
      <w:r w:rsidR="002649F0" w:rsidRPr="006D1C74">
        <w:rPr>
          <w:rFonts w:asciiTheme="majorHAnsi" w:eastAsia="Times New Roman" w:hAnsiTheme="majorHAnsi" w:cs="Tahoma"/>
          <w:sz w:val="20"/>
          <w:szCs w:val="20"/>
          <w:bdr w:val="none" w:sz="0" w:space="0" w:color="auto"/>
          <w:lang w:val="pt-BR"/>
        </w:rPr>
        <w:t>s</w:t>
      </w:r>
      <w:r w:rsidR="008F3D40" w:rsidRPr="006D1C74">
        <w:rPr>
          <w:rFonts w:asciiTheme="majorHAnsi" w:eastAsia="Times New Roman" w:hAnsiTheme="majorHAnsi" w:cs="Tahoma"/>
          <w:sz w:val="20"/>
          <w:szCs w:val="20"/>
          <w:bdr w:val="none" w:sz="0" w:space="0" w:color="auto"/>
          <w:lang w:val="pt-BR"/>
        </w:rPr>
        <w:t>. Esta capacita</w:t>
      </w:r>
      <w:r w:rsidR="00CF037E" w:rsidRPr="006D1C74">
        <w:rPr>
          <w:rFonts w:asciiTheme="majorHAnsi" w:eastAsia="Times New Roman" w:hAnsiTheme="majorHAnsi" w:cs="Tahoma"/>
          <w:sz w:val="20"/>
          <w:szCs w:val="20"/>
          <w:bdr w:val="none" w:sz="0" w:space="0" w:color="auto"/>
          <w:lang w:val="pt-BR"/>
        </w:rPr>
        <w:t>ç</w:t>
      </w:r>
      <w:r w:rsidR="00271DE2" w:rsidRPr="006D1C74">
        <w:rPr>
          <w:rFonts w:asciiTheme="majorHAnsi" w:eastAsia="Times New Roman" w:hAnsiTheme="majorHAnsi" w:cs="Tahoma"/>
          <w:sz w:val="20"/>
          <w:szCs w:val="20"/>
          <w:bdr w:val="none" w:sz="0" w:space="0" w:color="auto"/>
          <w:lang w:val="pt-BR"/>
        </w:rPr>
        <w:t>ão</w:t>
      </w:r>
      <w:r w:rsidR="00AF0C0D" w:rsidRPr="006D1C74">
        <w:rPr>
          <w:rFonts w:asciiTheme="majorHAnsi" w:eastAsia="Times New Roman" w:hAnsiTheme="majorHAnsi" w:cs="Tahoma"/>
          <w:sz w:val="20"/>
          <w:szCs w:val="20"/>
          <w:bdr w:val="none" w:sz="0" w:space="0" w:color="auto"/>
          <w:lang w:val="pt-BR"/>
        </w:rPr>
        <w:t xml:space="preserve"> </w:t>
      </w:r>
      <w:r w:rsidR="00585D35" w:rsidRPr="006D1C74">
        <w:rPr>
          <w:rFonts w:asciiTheme="majorHAnsi" w:eastAsia="Times New Roman" w:hAnsiTheme="majorHAnsi" w:cs="Tahoma"/>
          <w:sz w:val="20"/>
          <w:szCs w:val="20"/>
          <w:bdr w:val="none" w:sz="0" w:space="0" w:color="auto"/>
          <w:lang w:val="pt-BR"/>
        </w:rPr>
        <w:t>dev</w:t>
      </w:r>
      <w:r w:rsidR="00AF0C0D" w:rsidRPr="006D1C74">
        <w:rPr>
          <w:rFonts w:asciiTheme="majorHAnsi" w:eastAsia="Times New Roman" w:hAnsiTheme="majorHAnsi" w:cs="Tahoma"/>
          <w:sz w:val="20"/>
          <w:szCs w:val="20"/>
          <w:bdr w:val="none" w:sz="0" w:space="0" w:color="auto"/>
          <w:lang w:val="pt-BR"/>
        </w:rPr>
        <w:t>erá ser de caráter permanente</w:t>
      </w:r>
      <w:r w:rsidR="00EA706F" w:rsidRPr="006D1C74">
        <w:rPr>
          <w:rFonts w:asciiTheme="majorHAnsi" w:eastAsia="Times New Roman" w:hAnsiTheme="majorHAnsi" w:cs="Tahoma"/>
          <w:sz w:val="20"/>
          <w:szCs w:val="20"/>
          <w:bdr w:val="none" w:sz="0" w:space="0" w:color="auto"/>
          <w:lang w:val="pt-BR"/>
        </w:rPr>
        <w:t xml:space="preserve"> e</w:t>
      </w:r>
      <w:r w:rsidR="00AF0C0D" w:rsidRPr="006D1C74">
        <w:rPr>
          <w:rFonts w:asciiTheme="majorHAnsi" w:eastAsia="Times New Roman" w:hAnsiTheme="majorHAnsi" w:cs="Tahoma"/>
          <w:sz w:val="20"/>
          <w:szCs w:val="20"/>
          <w:bdr w:val="none" w:sz="0" w:space="0" w:color="auto"/>
          <w:lang w:val="pt-BR"/>
        </w:rPr>
        <w:t xml:space="preserve"> incluir </w:t>
      </w:r>
      <w:r w:rsidR="00EA706F" w:rsidRPr="006D1C74">
        <w:rPr>
          <w:rFonts w:asciiTheme="majorHAnsi" w:eastAsia="Times New Roman" w:hAnsiTheme="majorHAnsi" w:cs="Tahoma"/>
          <w:sz w:val="20"/>
          <w:szCs w:val="20"/>
          <w:bdr w:val="none" w:sz="0" w:space="0" w:color="auto"/>
          <w:lang w:val="pt-BR"/>
        </w:rPr>
        <w:t>currícul</w:t>
      </w:r>
      <w:r w:rsidR="00271DE2" w:rsidRPr="006D1C74">
        <w:rPr>
          <w:rFonts w:asciiTheme="majorHAnsi" w:eastAsia="Times New Roman" w:hAnsiTheme="majorHAnsi" w:cs="Tahoma"/>
          <w:sz w:val="20"/>
          <w:szCs w:val="20"/>
          <w:bdr w:val="none" w:sz="0" w:space="0" w:color="auto"/>
          <w:lang w:val="pt-BR"/>
        </w:rPr>
        <w:t>os</w:t>
      </w:r>
      <w:r w:rsidR="00F673C7" w:rsidRPr="006D1C74">
        <w:rPr>
          <w:rFonts w:asciiTheme="majorHAnsi" w:eastAsia="Times New Roman" w:hAnsiTheme="majorHAnsi" w:cs="Tahoma"/>
          <w:sz w:val="20"/>
          <w:szCs w:val="20"/>
          <w:bdr w:val="none" w:sz="0" w:space="0" w:color="auto"/>
          <w:lang w:val="pt-BR"/>
        </w:rPr>
        <w:t xml:space="preserve"> em </w:t>
      </w:r>
      <w:r w:rsidR="00417BE8" w:rsidRPr="006D1C74">
        <w:rPr>
          <w:rFonts w:asciiTheme="majorHAnsi" w:eastAsia="Times New Roman" w:hAnsiTheme="majorHAnsi" w:cs="Tahoma"/>
          <w:sz w:val="20"/>
          <w:szCs w:val="20"/>
          <w:bdr w:val="none" w:sz="0" w:space="0" w:color="auto"/>
          <w:lang w:val="pt-BR"/>
        </w:rPr>
        <w:t>direito</w:t>
      </w:r>
      <w:r w:rsidR="008F3D40" w:rsidRPr="006D1C74">
        <w:rPr>
          <w:rFonts w:asciiTheme="majorHAnsi" w:eastAsia="Times New Roman" w:hAnsiTheme="majorHAnsi" w:cs="Tahoma"/>
          <w:sz w:val="20"/>
          <w:szCs w:val="20"/>
          <w:bdr w:val="none" w:sz="0" w:space="0" w:color="auto"/>
          <w:lang w:val="pt-BR"/>
        </w:rPr>
        <w:t xml:space="preserve">s humanos </w:t>
      </w:r>
      <w:r w:rsidR="00AF0C0D" w:rsidRPr="006D1C74">
        <w:rPr>
          <w:rFonts w:asciiTheme="majorHAnsi" w:eastAsia="Times New Roman" w:hAnsiTheme="majorHAnsi" w:cs="Tahoma"/>
          <w:sz w:val="20"/>
          <w:szCs w:val="20"/>
          <w:bdr w:val="none" w:sz="0" w:space="0" w:color="auto"/>
          <w:lang w:val="pt-BR"/>
        </w:rPr>
        <w:t xml:space="preserve">que </w:t>
      </w:r>
      <w:r w:rsidR="00271DE2" w:rsidRPr="006D1C74">
        <w:rPr>
          <w:rFonts w:asciiTheme="majorHAnsi" w:eastAsia="Times New Roman" w:hAnsiTheme="majorHAnsi" w:cs="Tahoma"/>
          <w:sz w:val="20"/>
          <w:szCs w:val="20"/>
          <w:bdr w:val="none" w:sz="0" w:space="0" w:color="auto"/>
          <w:lang w:val="pt-BR"/>
        </w:rPr>
        <w:t xml:space="preserve">contenham </w:t>
      </w:r>
      <w:r w:rsidR="008F3D40" w:rsidRPr="006D1C74">
        <w:rPr>
          <w:rFonts w:asciiTheme="majorHAnsi" w:eastAsia="Times New Roman" w:hAnsiTheme="majorHAnsi" w:cs="Tahoma"/>
          <w:sz w:val="20"/>
          <w:szCs w:val="20"/>
          <w:bdr w:val="none" w:sz="0" w:space="0" w:color="auto"/>
          <w:lang w:val="pt-BR"/>
        </w:rPr>
        <w:t xml:space="preserve">especialmente </w:t>
      </w:r>
      <w:r w:rsidR="00700267" w:rsidRPr="006D1C74">
        <w:rPr>
          <w:rFonts w:asciiTheme="majorHAnsi" w:eastAsia="Times New Roman" w:hAnsiTheme="majorHAnsi" w:cs="Tahoma"/>
          <w:sz w:val="20"/>
          <w:szCs w:val="20"/>
          <w:bdr w:val="none" w:sz="0" w:space="0" w:color="auto"/>
          <w:lang w:val="pt-BR"/>
        </w:rPr>
        <w:t xml:space="preserve">os </w:t>
      </w:r>
      <w:r w:rsidR="00271DE2" w:rsidRPr="006D1C74">
        <w:rPr>
          <w:rFonts w:asciiTheme="majorHAnsi" w:eastAsia="Times New Roman" w:hAnsiTheme="majorHAnsi" w:cs="Tahoma"/>
          <w:sz w:val="20"/>
          <w:szCs w:val="20"/>
          <w:bdr w:val="none" w:sz="0" w:space="0" w:color="auto"/>
          <w:lang w:val="pt-BR"/>
        </w:rPr>
        <w:t>padrões</w:t>
      </w:r>
      <w:r w:rsidR="00030019" w:rsidRPr="006D1C74">
        <w:rPr>
          <w:rFonts w:asciiTheme="majorHAnsi" w:eastAsia="Times New Roman" w:hAnsiTheme="majorHAnsi" w:cs="Tahoma"/>
          <w:sz w:val="20"/>
          <w:szCs w:val="20"/>
          <w:bdr w:val="none" w:sz="0" w:space="0" w:color="auto"/>
          <w:lang w:val="pt-BR"/>
        </w:rPr>
        <w:t xml:space="preserve"> do </w:t>
      </w:r>
      <w:r w:rsidR="008F3D40" w:rsidRPr="006D1C74">
        <w:rPr>
          <w:rFonts w:asciiTheme="majorHAnsi" w:eastAsia="Times New Roman" w:hAnsiTheme="majorHAnsi" w:cs="Tahoma"/>
          <w:sz w:val="20"/>
          <w:szCs w:val="20"/>
          <w:bdr w:val="none" w:sz="0" w:space="0" w:color="auto"/>
          <w:lang w:val="pt-BR"/>
        </w:rPr>
        <w:t xml:space="preserve">presente </w:t>
      </w:r>
      <w:r w:rsidR="00927E16" w:rsidRPr="006D1C74">
        <w:rPr>
          <w:rFonts w:asciiTheme="majorHAnsi" w:eastAsia="Times New Roman" w:hAnsiTheme="majorHAnsi" w:cs="Tahoma"/>
          <w:sz w:val="20"/>
          <w:szCs w:val="20"/>
          <w:bdr w:val="none" w:sz="0" w:space="0" w:color="auto"/>
          <w:lang w:val="pt-BR"/>
        </w:rPr>
        <w:t>relatório</w:t>
      </w:r>
      <w:r w:rsidR="008F3D40" w:rsidRPr="006D1C74">
        <w:rPr>
          <w:rFonts w:asciiTheme="majorHAnsi" w:eastAsia="Times New Roman" w:hAnsiTheme="majorHAnsi" w:cs="Tahoma"/>
          <w:sz w:val="20"/>
          <w:szCs w:val="20"/>
          <w:bdr w:val="none" w:sz="0" w:space="0" w:color="auto"/>
          <w:lang w:val="pt-BR"/>
        </w:rPr>
        <w:t xml:space="preserve">, </w:t>
      </w:r>
      <w:r w:rsidR="002649F0" w:rsidRPr="006D1C74">
        <w:rPr>
          <w:rFonts w:asciiTheme="majorHAnsi" w:eastAsia="Times New Roman" w:hAnsiTheme="majorHAnsi" w:cs="Tahoma"/>
          <w:sz w:val="20"/>
          <w:szCs w:val="20"/>
          <w:bdr w:val="none" w:sz="0" w:space="0" w:color="auto"/>
          <w:lang w:val="pt-BR"/>
        </w:rPr>
        <w:t>a</w:t>
      </w:r>
      <w:r w:rsidR="00F673C7" w:rsidRPr="006D1C74">
        <w:rPr>
          <w:rFonts w:asciiTheme="majorHAnsi" w:eastAsia="Times New Roman" w:hAnsiTheme="majorHAnsi" w:cs="Tahoma"/>
          <w:sz w:val="20"/>
          <w:szCs w:val="20"/>
          <w:bdr w:val="none" w:sz="0" w:space="0" w:color="auto"/>
          <w:lang w:val="pt-BR"/>
        </w:rPr>
        <w:t xml:space="preserve"> fim </w:t>
      </w:r>
      <w:r w:rsidR="002649F0" w:rsidRPr="006D1C74">
        <w:rPr>
          <w:rFonts w:asciiTheme="majorHAnsi" w:eastAsia="Times New Roman" w:hAnsiTheme="majorHAnsi" w:cs="Tahoma"/>
          <w:sz w:val="20"/>
          <w:szCs w:val="20"/>
          <w:bdr w:val="none" w:sz="0" w:space="0" w:color="auto"/>
          <w:lang w:val="pt-BR"/>
        </w:rPr>
        <w:t xml:space="preserve">de que </w:t>
      </w:r>
      <w:r w:rsidR="008F3D40" w:rsidRPr="006D1C74">
        <w:rPr>
          <w:rFonts w:asciiTheme="majorHAnsi" w:eastAsia="Times New Roman" w:hAnsiTheme="majorHAnsi" w:cs="Tahoma"/>
          <w:sz w:val="20"/>
          <w:szCs w:val="20"/>
          <w:bdr w:val="none" w:sz="0" w:space="0" w:color="auto"/>
          <w:lang w:val="pt-BR"/>
        </w:rPr>
        <w:t xml:space="preserve">se </w:t>
      </w:r>
      <w:r w:rsidR="002649F0" w:rsidRPr="006D1C74">
        <w:rPr>
          <w:rFonts w:asciiTheme="majorHAnsi" w:eastAsia="Times New Roman" w:hAnsiTheme="majorHAnsi" w:cs="Tahoma"/>
          <w:sz w:val="20"/>
          <w:szCs w:val="20"/>
          <w:bdr w:val="none" w:sz="0" w:space="0" w:color="auto"/>
          <w:lang w:val="pt-BR"/>
        </w:rPr>
        <w:t>con</w:t>
      </w:r>
      <w:r w:rsidR="00271DE2" w:rsidRPr="006D1C74">
        <w:rPr>
          <w:rFonts w:asciiTheme="majorHAnsi" w:eastAsia="Times New Roman" w:hAnsiTheme="majorHAnsi" w:cs="Tahoma"/>
          <w:sz w:val="20"/>
          <w:szCs w:val="20"/>
          <w:bdr w:val="none" w:sz="0" w:space="0" w:color="auto"/>
          <w:lang w:val="pt-BR"/>
        </w:rPr>
        <w:t>heçam</w:t>
      </w:r>
      <w:r w:rsidR="00700267" w:rsidRPr="006D1C74">
        <w:rPr>
          <w:rFonts w:asciiTheme="majorHAnsi" w:eastAsia="Times New Roman" w:hAnsiTheme="majorHAnsi" w:cs="Tahoma"/>
          <w:sz w:val="20"/>
          <w:szCs w:val="20"/>
          <w:bdr w:val="none" w:sz="0" w:space="0" w:color="auto"/>
          <w:lang w:val="pt-BR"/>
        </w:rPr>
        <w:t xml:space="preserve"> os </w:t>
      </w:r>
      <w:r w:rsidR="006D1C74" w:rsidRPr="006D1C74">
        <w:rPr>
          <w:rFonts w:asciiTheme="majorHAnsi" w:eastAsia="Times New Roman" w:hAnsiTheme="majorHAnsi" w:cs="Tahoma"/>
          <w:sz w:val="20"/>
          <w:szCs w:val="20"/>
          <w:bdr w:val="none" w:sz="0" w:space="0" w:color="auto"/>
          <w:lang w:val="pt-BR"/>
        </w:rPr>
        <w:t>princípios</w:t>
      </w:r>
      <w:r w:rsidR="00046659" w:rsidRPr="006D1C74">
        <w:rPr>
          <w:rFonts w:asciiTheme="majorHAnsi" w:eastAsia="Times New Roman" w:hAnsiTheme="majorHAnsi" w:cs="Tahoma"/>
          <w:sz w:val="20"/>
          <w:szCs w:val="20"/>
          <w:bdr w:val="none" w:sz="0" w:space="0" w:color="auto"/>
          <w:lang w:val="pt-BR"/>
        </w:rPr>
        <w:t xml:space="preserve"> de </w:t>
      </w:r>
      <w:r w:rsidR="003171F3" w:rsidRPr="006D1C74">
        <w:rPr>
          <w:rFonts w:asciiTheme="majorHAnsi" w:eastAsia="Times New Roman" w:hAnsiTheme="majorHAnsi" w:cs="Tahoma"/>
          <w:sz w:val="20"/>
          <w:szCs w:val="20"/>
          <w:bdr w:val="none" w:sz="0" w:space="0" w:color="auto"/>
          <w:lang w:val="pt-BR"/>
        </w:rPr>
        <w:t>excepcionalidade</w:t>
      </w:r>
      <w:r w:rsidR="00046659" w:rsidRPr="006D1C74">
        <w:rPr>
          <w:rFonts w:asciiTheme="majorHAnsi" w:eastAsia="Times New Roman" w:hAnsiTheme="majorHAnsi" w:cs="Tahoma"/>
          <w:sz w:val="20"/>
          <w:szCs w:val="20"/>
          <w:bdr w:val="none" w:sz="0" w:space="0" w:color="auto"/>
          <w:lang w:val="pt-BR"/>
        </w:rPr>
        <w:t xml:space="preserve">, </w:t>
      </w:r>
      <w:r w:rsidR="00CA6F81" w:rsidRPr="006D1C74">
        <w:rPr>
          <w:rFonts w:asciiTheme="majorHAnsi" w:eastAsia="Times New Roman" w:hAnsiTheme="majorHAnsi" w:cs="Tahoma"/>
          <w:sz w:val="20"/>
          <w:szCs w:val="20"/>
          <w:bdr w:val="none" w:sz="0" w:space="0" w:color="auto"/>
          <w:lang w:val="pt-BR"/>
        </w:rPr>
        <w:t>necessi</w:t>
      </w:r>
      <w:r w:rsidR="00F673C7" w:rsidRPr="006D1C74">
        <w:rPr>
          <w:rFonts w:asciiTheme="majorHAnsi" w:eastAsia="Times New Roman" w:hAnsiTheme="majorHAnsi" w:cs="Tahoma"/>
          <w:sz w:val="20"/>
          <w:szCs w:val="20"/>
          <w:bdr w:val="none" w:sz="0" w:space="0" w:color="auto"/>
          <w:lang w:val="pt-BR"/>
        </w:rPr>
        <w:t xml:space="preserve">dade </w:t>
      </w:r>
      <w:r w:rsidR="00CF037E" w:rsidRPr="006D1C74">
        <w:rPr>
          <w:rFonts w:asciiTheme="majorHAnsi" w:eastAsia="Times New Roman" w:hAnsiTheme="majorHAnsi" w:cs="Tahoma"/>
          <w:sz w:val="20"/>
          <w:szCs w:val="20"/>
          <w:bdr w:val="none" w:sz="0" w:space="0" w:color="auto"/>
          <w:lang w:val="pt-BR"/>
        </w:rPr>
        <w:t xml:space="preserve">e </w:t>
      </w:r>
      <w:r w:rsidR="002649F0" w:rsidRPr="006D1C74">
        <w:rPr>
          <w:rFonts w:asciiTheme="majorHAnsi" w:eastAsia="Times New Roman" w:hAnsiTheme="majorHAnsi" w:cs="Tahoma"/>
          <w:sz w:val="20"/>
          <w:szCs w:val="20"/>
          <w:bdr w:val="none" w:sz="0" w:space="0" w:color="auto"/>
          <w:lang w:val="pt-BR"/>
        </w:rPr>
        <w:t>proporcionali</w:t>
      </w:r>
      <w:r w:rsidR="00F673C7" w:rsidRPr="006D1C74">
        <w:rPr>
          <w:rFonts w:asciiTheme="majorHAnsi" w:eastAsia="Times New Roman" w:hAnsiTheme="majorHAnsi" w:cs="Tahoma"/>
          <w:sz w:val="20"/>
          <w:szCs w:val="20"/>
          <w:bdr w:val="none" w:sz="0" w:space="0" w:color="auto"/>
          <w:lang w:val="pt-BR"/>
        </w:rPr>
        <w:t>dade</w:t>
      </w:r>
      <w:r w:rsidR="00135454" w:rsidRPr="006D1C74">
        <w:rPr>
          <w:rFonts w:asciiTheme="majorHAnsi" w:eastAsia="Times New Roman" w:hAnsiTheme="majorHAnsi" w:cs="Tahoma"/>
          <w:sz w:val="20"/>
          <w:szCs w:val="20"/>
          <w:bdr w:val="none" w:sz="0" w:space="0" w:color="auto"/>
          <w:lang w:val="pt-BR"/>
        </w:rPr>
        <w:t xml:space="preserve"> aos </w:t>
      </w:r>
      <w:r w:rsidR="002649F0" w:rsidRPr="006D1C74">
        <w:rPr>
          <w:rFonts w:asciiTheme="majorHAnsi" w:eastAsia="Times New Roman" w:hAnsiTheme="majorHAnsi" w:cs="Tahoma"/>
          <w:sz w:val="20"/>
          <w:szCs w:val="20"/>
          <w:bdr w:val="none" w:sz="0" w:space="0" w:color="auto"/>
          <w:lang w:val="pt-BR"/>
        </w:rPr>
        <w:t>qu</w:t>
      </w:r>
      <w:r w:rsidR="00271DE2" w:rsidRPr="006D1C74">
        <w:rPr>
          <w:rFonts w:asciiTheme="majorHAnsi" w:eastAsia="Times New Roman" w:hAnsiTheme="majorHAnsi" w:cs="Tahoma"/>
          <w:sz w:val="20"/>
          <w:szCs w:val="20"/>
          <w:bdr w:val="none" w:sz="0" w:space="0" w:color="auto"/>
          <w:lang w:val="pt-BR"/>
        </w:rPr>
        <w:t>ais se</w:t>
      </w:r>
      <w:r w:rsidR="002649F0" w:rsidRPr="006D1C74">
        <w:rPr>
          <w:rFonts w:asciiTheme="majorHAnsi" w:eastAsia="Times New Roman" w:hAnsiTheme="majorHAnsi" w:cs="Tahoma"/>
          <w:sz w:val="20"/>
          <w:szCs w:val="20"/>
          <w:bdr w:val="none" w:sz="0" w:space="0" w:color="auto"/>
          <w:lang w:val="pt-BR"/>
        </w:rPr>
        <w:t xml:space="preserve"> </w:t>
      </w:r>
      <w:r w:rsidR="00585D35" w:rsidRPr="006D1C74">
        <w:rPr>
          <w:rFonts w:asciiTheme="majorHAnsi" w:eastAsia="Times New Roman" w:hAnsiTheme="majorHAnsi" w:cs="Tahoma"/>
          <w:sz w:val="20"/>
          <w:szCs w:val="20"/>
          <w:bdr w:val="none" w:sz="0" w:space="0" w:color="auto"/>
          <w:lang w:val="pt-BR"/>
        </w:rPr>
        <w:t>dev</w:t>
      </w:r>
      <w:r w:rsidR="002649F0" w:rsidRPr="006D1C74">
        <w:rPr>
          <w:rFonts w:asciiTheme="majorHAnsi" w:eastAsia="Times New Roman" w:hAnsiTheme="majorHAnsi" w:cs="Tahoma"/>
          <w:sz w:val="20"/>
          <w:szCs w:val="20"/>
          <w:bdr w:val="none" w:sz="0" w:space="0" w:color="auto"/>
          <w:lang w:val="pt-BR"/>
        </w:rPr>
        <w:t>e ajustar</w:t>
      </w:r>
      <w:r w:rsidR="00700267" w:rsidRPr="006D1C74">
        <w:rPr>
          <w:rFonts w:asciiTheme="majorHAnsi" w:eastAsia="Times New Roman" w:hAnsiTheme="majorHAnsi" w:cs="Tahoma"/>
          <w:sz w:val="20"/>
          <w:szCs w:val="20"/>
          <w:bdr w:val="none" w:sz="0" w:space="0" w:color="auto"/>
          <w:lang w:val="pt-BR"/>
        </w:rPr>
        <w:t xml:space="preserve"> o </w:t>
      </w:r>
      <w:r w:rsidR="002649F0" w:rsidRPr="006D1C74">
        <w:rPr>
          <w:rFonts w:asciiTheme="majorHAnsi" w:eastAsia="Times New Roman" w:hAnsiTheme="majorHAnsi" w:cs="Tahoma"/>
          <w:sz w:val="20"/>
          <w:szCs w:val="20"/>
          <w:bdr w:val="none" w:sz="0" w:space="0" w:color="auto"/>
          <w:lang w:val="pt-BR"/>
        </w:rPr>
        <w:t>uso</w:t>
      </w:r>
      <w:r w:rsidR="00795010" w:rsidRPr="006D1C74">
        <w:rPr>
          <w:rFonts w:asciiTheme="majorHAnsi" w:eastAsia="Times New Roman" w:hAnsiTheme="majorHAnsi" w:cs="Tahoma"/>
          <w:sz w:val="20"/>
          <w:szCs w:val="20"/>
          <w:bdr w:val="none" w:sz="0" w:space="0" w:color="auto"/>
          <w:lang w:val="pt-BR"/>
        </w:rPr>
        <w:t xml:space="preserve"> da </w:t>
      </w:r>
      <w:r w:rsidR="00B146A8" w:rsidRPr="006D1C74">
        <w:rPr>
          <w:rFonts w:asciiTheme="majorHAnsi" w:eastAsia="Times New Roman" w:hAnsiTheme="majorHAnsi" w:cs="Tahoma"/>
          <w:sz w:val="20"/>
          <w:szCs w:val="20"/>
          <w:bdr w:val="none" w:sz="0" w:space="0" w:color="auto"/>
          <w:lang w:val="pt-BR"/>
        </w:rPr>
        <w:t>força</w:t>
      </w:r>
      <w:r w:rsidR="002649F0" w:rsidRPr="006D1C74">
        <w:rPr>
          <w:rFonts w:asciiTheme="majorHAnsi" w:eastAsia="Times New Roman" w:hAnsiTheme="majorHAnsi" w:cs="Tahoma"/>
          <w:sz w:val="20"/>
          <w:szCs w:val="20"/>
          <w:bdr w:val="none" w:sz="0" w:space="0" w:color="auto"/>
          <w:lang w:val="pt-BR"/>
        </w:rPr>
        <w:t>.</w:t>
      </w:r>
      <w:r w:rsidR="008F3D40" w:rsidRPr="006D1C74">
        <w:rPr>
          <w:rFonts w:asciiTheme="majorHAnsi" w:eastAsia="Times New Roman" w:hAnsiTheme="majorHAnsi" w:cs="Tahoma"/>
          <w:sz w:val="20"/>
          <w:szCs w:val="20"/>
          <w:bdr w:val="none" w:sz="0" w:space="0" w:color="auto"/>
          <w:lang w:val="pt-BR"/>
        </w:rPr>
        <w:t xml:space="preserve"> </w:t>
      </w:r>
    </w:p>
    <w:p w14:paraId="051F49AA" w14:textId="1CA720E7" w:rsidR="00977580" w:rsidRDefault="00977580" w:rsidP="00977580">
      <w:pPr>
        <w:pStyle w:val="ListParagraph"/>
        <w:rPr>
          <w:rFonts w:asciiTheme="majorHAnsi" w:hAnsiTheme="majorHAnsi"/>
          <w:sz w:val="20"/>
          <w:szCs w:val="20"/>
          <w:lang w:val="es-US"/>
        </w:rPr>
      </w:pPr>
    </w:p>
    <w:p w14:paraId="7397E61B" w14:textId="062A7EED" w:rsidR="00977580" w:rsidRPr="003E3463" w:rsidRDefault="00977580" w:rsidP="0047317E">
      <w:pPr>
        <w:pStyle w:val="PlainText"/>
        <w:ind w:firstLine="720"/>
        <w:jc w:val="both"/>
        <w:rPr>
          <w:rFonts w:ascii="Cambria" w:hAnsi="Cambria"/>
          <w:sz w:val="20"/>
          <w:szCs w:val="20"/>
          <w:lang w:val="es-US"/>
        </w:rPr>
      </w:pPr>
      <w:r w:rsidRPr="003E3463">
        <w:rPr>
          <w:rFonts w:ascii="Cambria" w:hAnsi="Cambria"/>
          <w:sz w:val="20"/>
          <w:szCs w:val="20"/>
          <w:lang w:val="es-US"/>
        </w:rPr>
        <w:t>Aprovado pela Comissão Interamericana de Direitos Humanos na cidade de Porto Príncipe, Haiti, em 3 de março de 2020. (Assinado): Joel Hernández García, Presidente; Antonia Urrejola Noguera, Primeira Vice-Presidente; Margarette May Macaulay, Esmeralda Arosemena de Troitiño, Julissa Mantilla Falcón e Edgar Stuar</w:t>
      </w:r>
      <w:r w:rsidR="00176C72">
        <w:rPr>
          <w:rFonts w:ascii="Cambria" w:hAnsi="Cambria"/>
          <w:sz w:val="20"/>
          <w:szCs w:val="20"/>
          <w:lang w:val="es-US"/>
        </w:rPr>
        <w:t>do Ralón Orellana</w:t>
      </w:r>
      <w:r w:rsidRPr="003E3463">
        <w:rPr>
          <w:rFonts w:ascii="Cambria" w:hAnsi="Cambria"/>
          <w:sz w:val="20"/>
          <w:szCs w:val="20"/>
          <w:lang w:val="es-US"/>
        </w:rPr>
        <w:t>, Membros da Comissão.</w:t>
      </w:r>
    </w:p>
    <w:p w14:paraId="25639D89" w14:textId="77777777" w:rsidR="00977580" w:rsidRPr="003E3463" w:rsidRDefault="00977580" w:rsidP="00977580">
      <w:pPr>
        <w:pStyle w:val="PlainText"/>
        <w:jc w:val="both"/>
        <w:rPr>
          <w:rFonts w:ascii="Cambria" w:hAnsi="Cambria"/>
          <w:sz w:val="20"/>
          <w:szCs w:val="20"/>
          <w:lang w:val="es-US"/>
        </w:rPr>
      </w:pPr>
    </w:p>
    <w:p w14:paraId="799F50D4" w14:textId="77777777" w:rsidR="00977580" w:rsidRDefault="00977580" w:rsidP="0047317E">
      <w:pPr>
        <w:pStyle w:val="PlainText"/>
        <w:ind w:firstLine="720"/>
        <w:jc w:val="both"/>
        <w:rPr>
          <w:rFonts w:ascii="Cambria" w:hAnsi="Cambria"/>
          <w:sz w:val="20"/>
          <w:szCs w:val="20"/>
          <w:lang w:val="es-US"/>
        </w:rPr>
      </w:pPr>
      <w:r w:rsidRPr="003E3463">
        <w:rPr>
          <w:rFonts w:ascii="Cambria" w:hAnsi="Cambria"/>
          <w:sz w:val="20"/>
          <w:szCs w:val="20"/>
          <w:lang w:val="es-US"/>
        </w:rPr>
        <w:t>A abaixo assinada, Marisol Blanchard, Secretária Executiva Adjunta, nos termos do artigo 49 do Regulamento da Comissão, certifica que esta é uma cópia fiel do original depositado nos arquivos da Secretaria da CIDH.</w:t>
      </w:r>
    </w:p>
    <w:p w14:paraId="3705781A" w14:textId="33B07111" w:rsidR="00977580" w:rsidRPr="003E3463" w:rsidRDefault="00977580" w:rsidP="00977580">
      <w:pPr>
        <w:pStyle w:val="Heading3"/>
        <w:spacing w:before="0" w:after="0"/>
        <w:jc w:val="center"/>
        <w:rPr>
          <w:rFonts w:ascii="Cambria" w:hAnsi="Cambria"/>
          <w:b w:val="0"/>
          <w:sz w:val="20"/>
          <w:szCs w:val="20"/>
        </w:rPr>
      </w:pPr>
      <w:r w:rsidRPr="003E3463">
        <w:rPr>
          <w:rFonts w:ascii="Cambria" w:hAnsi="Cambria"/>
          <w:b w:val="0"/>
          <w:sz w:val="20"/>
          <w:szCs w:val="20"/>
          <w:lang w:val="es-US"/>
        </w:rPr>
        <w:t xml:space="preserve">        </w:t>
      </w:r>
    </w:p>
    <w:p w14:paraId="67DD5D80" w14:textId="77777777" w:rsidR="00977580" w:rsidRPr="003E3463" w:rsidRDefault="00977580" w:rsidP="00977580">
      <w:pPr>
        <w:pStyle w:val="Heading3"/>
        <w:spacing w:before="0" w:after="0"/>
        <w:jc w:val="center"/>
        <w:rPr>
          <w:rFonts w:ascii="Cambria" w:hAnsi="Cambria" w:cs="Calibri"/>
          <w:b w:val="0"/>
          <w:sz w:val="20"/>
          <w:szCs w:val="20"/>
        </w:rPr>
      </w:pPr>
      <w:r w:rsidRPr="003E3463">
        <w:rPr>
          <w:rFonts w:ascii="Cambria" w:hAnsi="Cambria" w:cs="Calibri"/>
          <w:b w:val="0"/>
          <w:sz w:val="20"/>
          <w:szCs w:val="20"/>
        </w:rPr>
        <w:t>Marisol Blanchard</w:t>
      </w:r>
    </w:p>
    <w:p w14:paraId="3258F275" w14:textId="77777777" w:rsidR="00977580" w:rsidRDefault="00977580" w:rsidP="00977580">
      <w:pPr>
        <w:pStyle w:val="PlainText"/>
        <w:ind w:left="2880"/>
        <w:rPr>
          <w:rFonts w:ascii="Cambria" w:hAnsi="Cambria"/>
          <w:sz w:val="20"/>
          <w:szCs w:val="20"/>
          <w:lang w:val="es-US"/>
        </w:rPr>
      </w:pPr>
      <w:r>
        <w:rPr>
          <w:rFonts w:ascii="Cambria" w:hAnsi="Cambria"/>
          <w:sz w:val="20"/>
          <w:szCs w:val="20"/>
          <w:lang w:val="es-US"/>
        </w:rPr>
        <w:t xml:space="preserve">             </w:t>
      </w:r>
      <w:r w:rsidRPr="003E3463">
        <w:rPr>
          <w:rFonts w:ascii="Cambria" w:hAnsi="Cambria"/>
          <w:sz w:val="20"/>
          <w:szCs w:val="20"/>
          <w:lang w:val="es-US"/>
        </w:rPr>
        <w:t>Secretária Executiva Adjunta</w:t>
      </w:r>
    </w:p>
    <w:p w14:paraId="195A4F1E" w14:textId="77777777" w:rsidR="00977580" w:rsidRDefault="00977580" w:rsidP="00977580">
      <w:pPr>
        <w:pStyle w:val="PlainText"/>
        <w:ind w:left="2880"/>
        <w:rPr>
          <w:rFonts w:ascii="Cambria" w:hAnsi="Cambria"/>
          <w:sz w:val="20"/>
          <w:szCs w:val="20"/>
          <w:lang w:val="es-US"/>
        </w:rPr>
      </w:pPr>
    </w:p>
    <w:p w14:paraId="6CF280D7" w14:textId="77777777" w:rsidR="00977580" w:rsidRPr="00977580" w:rsidRDefault="00977580" w:rsidP="009775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S"/>
        </w:rPr>
      </w:pPr>
    </w:p>
    <w:sectPr w:rsidR="00977580" w:rsidRPr="0097758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B41B" w14:textId="77777777" w:rsidR="007B79C0" w:rsidRDefault="007B79C0">
      <w:r>
        <w:separator/>
      </w:r>
    </w:p>
  </w:endnote>
  <w:endnote w:type="continuationSeparator" w:id="0">
    <w:p w14:paraId="2CD1649D" w14:textId="77777777" w:rsidR="007B79C0" w:rsidRDefault="007B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48FB0244" w14:textId="22EB3685" w:rsidR="00977580" w:rsidRPr="00934A2C" w:rsidRDefault="0097758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3545D">
          <w:rPr>
            <w:noProof/>
            <w:sz w:val="16"/>
            <w:szCs w:val="22"/>
          </w:rPr>
          <w:t>22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4B1B" w14:textId="77777777" w:rsidR="00977580" w:rsidRPr="00934A2C" w:rsidRDefault="00977580">
    <w:pPr>
      <w:pStyle w:val="Footer"/>
      <w:jc w:val="center"/>
      <w:rPr>
        <w:sz w:val="16"/>
        <w:szCs w:val="22"/>
      </w:rPr>
    </w:pPr>
  </w:p>
  <w:p w14:paraId="70D84D55" w14:textId="77777777" w:rsidR="00977580" w:rsidRDefault="00977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FA67" w14:textId="77777777" w:rsidR="007B79C0" w:rsidRPr="000F35ED" w:rsidRDefault="007B79C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4A5EA57" w14:textId="77777777" w:rsidR="007B79C0" w:rsidRPr="000F35ED" w:rsidRDefault="007B79C0" w:rsidP="000F35ED">
      <w:pPr>
        <w:rPr>
          <w:rFonts w:asciiTheme="majorHAnsi" w:hAnsiTheme="majorHAnsi"/>
          <w:sz w:val="16"/>
          <w:szCs w:val="16"/>
        </w:rPr>
      </w:pPr>
      <w:r w:rsidRPr="000F35ED">
        <w:rPr>
          <w:rFonts w:asciiTheme="majorHAnsi" w:hAnsiTheme="majorHAnsi"/>
          <w:sz w:val="16"/>
          <w:szCs w:val="16"/>
        </w:rPr>
        <w:separator/>
      </w:r>
    </w:p>
    <w:p w14:paraId="2C1BEF43" w14:textId="77777777" w:rsidR="007B79C0" w:rsidRPr="000F35ED" w:rsidRDefault="007B79C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8370D0E" w14:textId="77777777" w:rsidR="007B79C0" w:rsidRPr="000F35ED" w:rsidRDefault="007B79C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5F1414B" w14:textId="77777777" w:rsidR="00977580" w:rsidRPr="00517ACA" w:rsidRDefault="00977580" w:rsidP="002649F0">
      <w:pPr>
        <w:pStyle w:val="FootnoteText"/>
        <w:tabs>
          <w:tab w:val="left" w:pos="180"/>
          <w:tab w:val="left" w:pos="360"/>
        </w:tabs>
        <w:jc w:val="both"/>
        <w:rPr>
          <w:rFonts w:asciiTheme="majorHAnsi" w:hAnsiTheme="majorHAnsi" w:cstheme="minorHAnsi"/>
          <w:sz w:val="16"/>
          <w:szCs w:val="16"/>
          <w:lang w:val="pt-BR"/>
        </w:rPr>
      </w:pPr>
      <w:r w:rsidRPr="00D5460A">
        <w:rPr>
          <w:rStyle w:val="FootnoteReference"/>
          <w:rFonts w:asciiTheme="majorHAnsi" w:hAnsiTheme="majorHAnsi" w:cstheme="minorHAnsi"/>
          <w:sz w:val="16"/>
          <w:szCs w:val="16"/>
          <w:lang w:val="es-ES"/>
        </w:rPr>
        <w:footnoteRef/>
      </w:r>
      <w:r w:rsidRPr="00880A06">
        <w:rPr>
          <w:rFonts w:asciiTheme="majorHAnsi" w:hAnsiTheme="majorHAnsi" w:cstheme="minorHAnsi"/>
          <w:sz w:val="16"/>
          <w:szCs w:val="16"/>
          <w:lang w:val="pt-BR"/>
        </w:rPr>
        <w:t xml:space="preserve"> </w:t>
      </w:r>
      <w:r w:rsidRPr="00517ACA">
        <w:rPr>
          <w:rFonts w:asciiTheme="majorHAnsi" w:hAnsiTheme="majorHAnsi" w:cstheme="minorHAnsi"/>
          <w:sz w:val="16"/>
          <w:szCs w:val="16"/>
          <w:lang w:val="pt-BR"/>
        </w:rPr>
        <w:t xml:space="preserve">Conforme disposto no artigo 17.2 do Regulamento da Comissão, a comissária Flávia Piovesan, de nacionalidade brasileira, não participou do debate nem da decisão sobre este caso. </w:t>
      </w:r>
    </w:p>
  </w:footnote>
  <w:footnote w:id="3">
    <w:p w14:paraId="336295E4" w14:textId="77777777" w:rsidR="00977580" w:rsidRPr="00517ACA" w:rsidRDefault="00977580" w:rsidP="002649F0">
      <w:pPr>
        <w:pStyle w:val="FootnoteText"/>
        <w:rPr>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Mediante comunicação de 14 de agosto de 2019, Justiça Global solicitou que fosse acrescentada como copeticionária a organização Terra de Direitos. </w:t>
      </w:r>
    </w:p>
  </w:footnote>
  <w:footnote w:id="4">
    <w:p w14:paraId="681D15C8" w14:textId="77777777" w:rsidR="00977580" w:rsidRPr="00517ACA" w:rsidRDefault="00977580" w:rsidP="003611D8">
      <w:pPr>
        <w:pStyle w:val="FootnoteText"/>
        <w:tabs>
          <w:tab w:val="left" w:pos="180"/>
          <w:tab w:val="left" w:pos="360"/>
        </w:tabs>
        <w:jc w:val="both"/>
        <w:rPr>
          <w:rFonts w:asciiTheme="majorHAnsi" w:hAnsiTheme="majorHAnsi" w:cstheme="minorHAnsi"/>
          <w:sz w:val="16"/>
          <w:szCs w:val="16"/>
          <w:lang w:val="pt-BR"/>
        </w:rPr>
      </w:pPr>
      <w:r w:rsidRPr="00517ACA">
        <w:rPr>
          <w:rStyle w:val="FootnoteReference"/>
          <w:rFonts w:asciiTheme="majorHAnsi" w:hAnsiTheme="majorHAnsi" w:cstheme="minorHAnsi"/>
          <w:sz w:val="16"/>
          <w:szCs w:val="16"/>
          <w:lang w:val="pt-BR"/>
        </w:rPr>
        <w:footnoteRef/>
      </w:r>
      <w:r w:rsidRPr="00517ACA">
        <w:rPr>
          <w:rFonts w:asciiTheme="majorHAnsi" w:hAnsiTheme="majorHAnsi" w:cstheme="minorHAnsi"/>
          <w:sz w:val="16"/>
          <w:szCs w:val="16"/>
          <w:lang w:val="pt-BR"/>
        </w:rPr>
        <w:t xml:space="preserve"> A Comissão declarou admissível o caso com relação aos artigos</w:t>
      </w:r>
      <w:r w:rsidRPr="00517ACA">
        <w:rPr>
          <w:sz w:val="16"/>
          <w:szCs w:val="16"/>
          <w:lang w:val="pt-BR"/>
        </w:rPr>
        <w:t xml:space="preserve"> </w:t>
      </w:r>
      <w:r w:rsidRPr="00517ACA">
        <w:rPr>
          <w:rFonts w:asciiTheme="majorHAnsi" w:hAnsiTheme="majorHAnsi" w:cstheme="minorHAnsi"/>
          <w:sz w:val="16"/>
          <w:szCs w:val="16"/>
          <w:lang w:val="pt-BR"/>
        </w:rPr>
        <w:t xml:space="preserve">4.1, 5.1, 8.1, 15, 22 e 25 da Convenção Americana no que diz respeito à obrigação geral estabelecida no artigo 1.1 desse instrumento internacional e com os artigos 2 e 13 da Convenção Americana em virtude do princípio </w:t>
      </w:r>
      <w:r w:rsidRPr="00517ACA">
        <w:rPr>
          <w:rFonts w:asciiTheme="majorHAnsi" w:hAnsiTheme="majorHAnsi" w:cstheme="minorHAnsi"/>
          <w:i/>
          <w:sz w:val="16"/>
          <w:szCs w:val="16"/>
          <w:lang w:val="pt-BR"/>
        </w:rPr>
        <w:t>iura novit curia</w:t>
      </w:r>
      <w:r w:rsidRPr="00517ACA">
        <w:rPr>
          <w:rFonts w:asciiTheme="majorHAnsi" w:hAnsiTheme="majorHAnsi" w:cstheme="minorHAnsi"/>
          <w:sz w:val="16"/>
          <w:szCs w:val="16"/>
          <w:lang w:val="pt-BR"/>
        </w:rPr>
        <w:t>.</w:t>
      </w:r>
      <w:r w:rsidRPr="00517ACA">
        <w:rPr>
          <w:rFonts w:asciiTheme="majorHAnsi" w:hAnsiTheme="majorHAnsi" w:cstheme="minorHAnsi"/>
          <w:iCs/>
          <w:sz w:val="16"/>
          <w:szCs w:val="16"/>
          <w:lang w:val="pt-BR"/>
        </w:rPr>
        <w:t xml:space="preserve"> Ver</w:t>
      </w:r>
      <w:r w:rsidRPr="00517ACA">
        <w:rPr>
          <w:rFonts w:asciiTheme="majorHAnsi" w:hAnsiTheme="majorHAnsi" w:cstheme="minorHAnsi"/>
          <w:sz w:val="16"/>
          <w:szCs w:val="16"/>
          <w:lang w:val="pt-BR"/>
        </w:rPr>
        <w:t xml:space="preserve"> CIDH, Relatório 96/09. Petição 4-04. Admissibilidade. Antonio Tavares Pereira. Brasil. 29 de outubro de 2009.</w:t>
      </w:r>
    </w:p>
  </w:footnote>
  <w:footnote w:id="5">
    <w:p w14:paraId="3ED97E36" w14:textId="77777777" w:rsidR="00977580" w:rsidRPr="00517ACA" w:rsidRDefault="00977580" w:rsidP="003611D8">
      <w:pPr>
        <w:pStyle w:val="FootnoteText"/>
        <w:jc w:val="both"/>
        <w:rPr>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O Estado informou, durante o trâmite perante a Comissão, algumas gestões internas dirigidas a solucionar de maneira amistosa o assunto, Contudo, não foi realizado um procedimento oficial perante a Comissão.</w:t>
      </w:r>
    </w:p>
  </w:footnote>
  <w:footnote w:id="6">
    <w:p w14:paraId="38CBAE51" w14:textId="77777777" w:rsidR="00977580" w:rsidRPr="00517ACA" w:rsidRDefault="00977580" w:rsidP="00F26998">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CIDH, Relatório sobre a Situação dos Direitos Humanos no Brasil, OEA/Ser.L/V/II.97, Doc. 29 rev.1, 29 de setembro de 1997 (Capítulo VII: A propriedade de terras rurais e os direitos humanos dos trabalhadores rurais). A ONU também notou que a situação agrária brasileira tem se caracterizado nas últimas décadas por uma alta concentração da terra e uma crescente mobilização de setores sociais que buscam melhor distribuição das propriedades agrárias. A pressão social pela implementação de um processo de reforma agrária provocou reações violentas por parte de setores latifundiários que, s</w:t>
      </w:r>
      <w:r>
        <w:rPr>
          <w:rFonts w:asciiTheme="majorHAnsi" w:hAnsiTheme="majorHAnsi"/>
          <w:sz w:val="16"/>
          <w:szCs w:val="16"/>
          <w:lang w:val="pt-BR"/>
        </w:rPr>
        <w:t>egundo</w:t>
      </w:r>
      <w:r w:rsidRPr="00517ACA">
        <w:rPr>
          <w:rFonts w:asciiTheme="majorHAnsi" w:hAnsiTheme="majorHAnsi"/>
          <w:sz w:val="16"/>
          <w:szCs w:val="16"/>
          <w:lang w:val="pt-BR"/>
        </w:rPr>
        <w:t xml:space="preserve"> o Relator Especial Miloon Kothari, contaram com a aquiescência e a conivência de funcionários locais. Cf. ONU, Comissão de Direitos Humanos, Relatório apresentado pelo Relator Especial sobre habitação adequada, como parte do direito a um padrão de vida adequado, Miloon Kothari, Missão ao Brasil, Doc. E/CN.4/2005/48/Add.3; 18 de fevereiro de 2004, par. 37 e seguintes.</w:t>
      </w:r>
    </w:p>
  </w:footnote>
  <w:footnote w:id="7">
    <w:p w14:paraId="78EB24F3" w14:textId="77777777" w:rsidR="00977580" w:rsidRPr="00517ACA" w:rsidRDefault="00977580" w:rsidP="00F26998">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CIDH, </w:t>
      </w:r>
      <w:hyperlink r:id="rId1" w:history="1">
        <w:r w:rsidRPr="00517ACA">
          <w:rPr>
            <w:rStyle w:val="Hyperlink"/>
            <w:rFonts w:asciiTheme="majorHAnsi" w:hAnsiTheme="majorHAnsi"/>
            <w:sz w:val="16"/>
            <w:szCs w:val="16"/>
            <w:lang w:val="pt-BR"/>
          </w:rPr>
          <w:t>Relatório No. 25/09</w:t>
        </w:r>
      </w:hyperlink>
      <w:r w:rsidRPr="00517ACA">
        <w:rPr>
          <w:rFonts w:asciiTheme="majorHAnsi" w:hAnsiTheme="majorHAnsi"/>
          <w:sz w:val="16"/>
          <w:szCs w:val="16"/>
          <w:lang w:val="pt-BR"/>
        </w:rPr>
        <w:t xml:space="preserve"> (Admissibilidade e Mérito), Caso 12.310, Sebastião Camargo Filho (Brasil), 19 de março de 2009, pars. 44, 45, 46, 48.</w:t>
      </w:r>
    </w:p>
  </w:footnote>
  <w:footnote w:id="8">
    <w:p w14:paraId="6FF58213" w14:textId="77777777" w:rsidR="00977580" w:rsidRPr="00517ACA" w:rsidRDefault="00977580" w:rsidP="002649F0">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w:t>
      </w:r>
      <w:r w:rsidRPr="00BD5C64">
        <w:rPr>
          <w:rFonts w:asciiTheme="majorHAnsi" w:hAnsiTheme="majorHAnsi"/>
          <w:sz w:val="16"/>
          <w:szCs w:val="16"/>
          <w:lang w:val="pt-BR"/>
        </w:rPr>
        <w:t>CIDH. Mérito Camargo Filho, parágrafo 48.</w:t>
      </w:r>
      <w:r w:rsidRPr="00BD5C64">
        <w:rPr>
          <w:rFonts w:asciiTheme="majorHAnsi" w:hAnsiTheme="majorHAnsi"/>
          <w:noProof/>
          <w:sz w:val="16"/>
          <w:szCs w:val="16"/>
          <w:lang w:val="pt-BR"/>
        </w:rPr>
        <w:t xml:space="preserve"> </w:t>
      </w:r>
      <w:hyperlink r:id="rId2" w:history="1">
        <w:r w:rsidRPr="00BD5C64">
          <w:rPr>
            <w:rStyle w:val="Hyperlink"/>
            <w:rFonts w:asciiTheme="majorHAnsi" w:hAnsiTheme="majorHAnsi"/>
            <w:i/>
            <w:noProof/>
            <w:sz w:val="16"/>
            <w:szCs w:val="16"/>
            <w:lang w:val="pt-BR"/>
          </w:rPr>
          <w:t>Ejecuciones extrajudiciales, sumarias o arbitrarias. Informe de la Relatora Especial, Sra. Asma Jahanguir</w:t>
        </w:r>
      </w:hyperlink>
      <w:r w:rsidRPr="00BD5C64">
        <w:rPr>
          <w:rFonts w:asciiTheme="majorHAnsi" w:hAnsiTheme="majorHAnsi"/>
          <w:noProof/>
          <w:sz w:val="16"/>
          <w:szCs w:val="16"/>
          <w:lang w:val="pt-BR"/>
        </w:rPr>
        <w:t>. E/CN.4/2004/7/Add.3,</w:t>
      </w:r>
      <w:r w:rsidRPr="00BD5C64">
        <w:rPr>
          <w:rFonts w:asciiTheme="majorHAnsi" w:hAnsiTheme="majorHAnsi"/>
          <w:sz w:val="16"/>
          <w:szCs w:val="16"/>
          <w:lang w:val="pt-BR"/>
        </w:rPr>
        <w:t xml:space="preserve"> pág. 18</w:t>
      </w:r>
    </w:p>
  </w:footnote>
  <w:footnote w:id="9">
    <w:p w14:paraId="388C0039" w14:textId="77777777" w:rsidR="00977580" w:rsidRPr="00517ACA" w:rsidRDefault="00977580" w:rsidP="00F26998">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CIDH, </w:t>
      </w:r>
      <w:hyperlink r:id="rId3" w:history="1">
        <w:r w:rsidRPr="00517ACA">
          <w:rPr>
            <w:rStyle w:val="Hyperlink"/>
            <w:rFonts w:asciiTheme="majorHAnsi" w:hAnsiTheme="majorHAnsi"/>
            <w:sz w:val="16"/>
            <w:szCs w:val="16"/>
            <w:lang w:val="pt-BR"/>
          </w:rPr>
          <w:t>Relatório No. 25/09</w:t>
        </w:r>
      </w:hyperlink>
      <w:r w:rsidRPr="00517ACA">
        <w:rPr>
          <w:rFonts w:asciiTheme="majorHAnsi" w:hAnsiTheme="majorHAnsi"/>
          <w:sz w:val="16"/>
          <w:szCs w:val="16"/>
          <w:lang w:val="pt-BR"/>
        </w:rPr>
        <w:t xml:space="preserve"> (Admissibilidade e Mérito), Caso 12.310, Sebastião Camargo Filho (Brasil), 19 de março de 2009, pars. 13 (“[O] camponês Sebastião Camargo Filho, de 65 anos de idade, trabalhador rural afrodescendente, pai de dois filhos, sofria de um problema cervical que o impedia de permanecer agachado com a cabeça voltada para baixo. Um homem encapuzado que comandava a operação, ao ver que Sebastião Camargo Filho não cumpria sua ordem, apontou uma escopeta calibre 12 em direção à sua nuca e disparou contra ele a menos de um metro de distância”) e 43/47.</w:t>
      </w:r>
    </w:p>
  </w:footnote>
  <w:footnote w:id="10">
    <w:p w14:paraId="6DF16525" w14:textId="77777777" w:rsidR="00977580" w:rsidRPr="00517ACA" w:rsidRDefault="00977580" w:rsidP="00F26998">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Órgão federal encarregado de promover a reforma agrária no Brasil.</w:t>
      </w:r>
    </w:p>
  </w:footnote>
  <w:footnote w:id="11">
    <w:p w14:paraId="60C21F7F" w14:textId="77777777" w:rsidR="00977580" w:rsidRPr="00517ACA" w:rsidRDefault="00977580" w:rsidP="00F26998">
      <w:pPr>
        <w:pStyle w:val="FootnoteText"/>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Comunicação da petição inicial de 1º de janeiro de 2004 e comunicação do Estado de 9 de maio de 2006. </w:t>
      </w:r>
    </w:p>
  </w:footnote>
  <w:footnote w:id="12">
    <w:p w14:paraId="123F2A13" w14:textId="566892BE" w:rsidR="00977580" w:rsidRPr="00BD5C64" w:rsidRDefault="00977580" w:rsidP="002649F0">
      <w:pPr>
        <w:pStyle w:val="FootnoteText"/>
        <w:jc w:val="both"/>
        <w:rPr>
          <w:rFonts w:asciiTheme="majorHAnsi" w:hAnsiTheme="majorHAnsi"/>
          <w:sz w:val="16"/>
          <w:szCs w:val="16"/>
          <w:lang w:val="pt-BR"/>
        </w:rPr>
      </w:pPr>
      <w:r w:rsidRPr="00BD5C64">
        <w:rPr>
          <w:rStyle w:val="FootnoteReference"/>
          <w:rFonts w:asciiTheme="majorHAnsi" w:hAnsiTheme="majorHAnsi"/>
          <w:sz w:val="16"/>
          <w:szCs w:val="16"/>
          <w:lang w:val="pt-BR"/>
        </w:rPr>
        <w:footnoteRef/>
      </w:r>
      <w:r w:rsidRPr="00BD5C64">
        <w:rPr>
          <w:rFonts w:asciiTheme="majorHAnsi" w:hAnsiTheme="majorHAnsi"/>
          <w:sz w:val="16"/>
          <w:szCs w:val="16"/>
          <w:lang w:val="pt-BR"/>
        </w:rPr>
        <w:t xml:space="preserve"> Anexo 1.  Carta No. 264/2.000 – Segunda Seção, expedida pelo chefe da Segunda Seção do Comando de Policiamento da Capital da Polícia Militar do Paraná. </w:t>
      </w:r>
      <w:r w:rsidRPr="00BD5C64">
        <w:rPr>
          <w:rFonts w:asciiTheme="majorHAnsi" w:eastAsia="Batang" w:hAnsiTheme="majorHAnsi"/>
          <w:sz w:val="16"/>
          <w:szCs w:val="16"/>
          <w:bdr w:val="none" w:sz="0" w:space="0" w:color="auto"/>
          <w:lang w:val="pt-BR"/>
        </w:rPr>
        <w:t>Anexo à comunicação</w:t>
      </w:r>
      <w:r w:rsidRPr="00BD5C64">
        <w:rPr>
          <w:rFonts w:asciiTheme="majorHAnsi" w:hAnsiTheme="majorHAnsi"/>
          <w:sz w:val="16"/>
          <w:szCs w:val="16"/>
          <w:lang w:val="pt-BR"/>
        </w:rPr>
        <w:t xml:space="preserve"> do Estado de 9 de maio de 2006.</w:t>
      </w:r>
    </w:p>
  </w:footnote>
  <w:footnote w:id="13">
    <w:p w14:paraId="1C3DD3B3" w14:textId="71107568" w:rsidR="00977580" w:rsidRPr="00BD5C64" w:rsidRDefault="00977580" w:rsidP="002649F0">
      <w:pPr>
        <w:pStyle w:val="FootnoteText"/>
        <w:jc w:val="both"/>
        <w:rPr>
          <w:rFonts w:asciiTheme="majorHAnsi" w:hAnsiTheme="majorHAnsi"/>
          <w:color w:val="auto"/>
          <w:sz w:val="16"/>
          <w:szCs w:val="16"/>
          <w:lang w:val="pt-BR"/>
        </w:rPr>
      </w:pPr>
      <w:r w:rsidRPr="00BD5C64">
        <w:rPr>
          <w:rStyle w:val="FootnoteReference"/>
          <w:rFonts w:asciiTheme="majorHAnsi" w:hAnsiTheme="majorHAnsi"/>
          <w:color w:val="auto"/>
          <w:sz w:val="16"/>
          <w:szCs w:val="16"/>
          <w:lang w:val="pt-BR"/>
        </w:rPr>
        <w:footnoteRef/>
      </w:r>
      <w:r w:rsidRPr="00BD5C64">
        <w:rPr>
          <w:rFonts w:asciiTheme="majorHAnsi" w:hAnsiTheme="majorHAnsi"/>
          <w:color w:val="auto"/>
          <w:sz w:val="16"/>
          <w:szCs w:val="16"/>
          <w:lang w:val="pt-BR"/>
        </w:rPr>
        <w:t xml:space="preserve"> Anexo 2. </w:t>
      </w:r>
      <w:r w:rsidRPr="00BD5C64">
        <w:rPr>
          <w:rFonts w:asciiTheme="majorHAnsi" w:eastAsia="Batang" w:hAnsiTheme="majorHAnsi"/>
          <w:color w:val="auto"/>
          <w:sz w:val="16"/>
          <w:szCs w:val="16"/>
          <w:bdr w:val="none" w:sz="0" w:space="0" w:color="auto"/>
          <w:lang w:val="pt-BR"/>
        </w:rPr>
        <w:t xml:space="preserve">Ordem de alerta publicada no Boletim Geral No. 079 de 27 de abril de 2000, folio 23. Anexo à </w:t>
      </w:r>
      <w:r w:rsidRPr="00BD5C64">
        <w:rPr>
          <w:rFonts w:asciiTheme="majorHAnsi" w:hAnsiTheme="majorHAnsi"/>
          <w:color w:val="auto"/>
          <w:sz w:val="16"/>
          <w:szCs w:val="16"/>
          <w:lang w:val="pt-BR"/>
        </w:rPr>
        <w:t>comunicação do Estado de 9 de maio de 2006.</w:t>
      </w:r>
    </w:p>
  </w:footnote>
  <w:footnote w:id="14">
    <w:p w14:paraId="0AEF47BB" w14:textId="24E895AD" w:rsidR="00977580" w:rsidRPr="00BD5C64" w:rsidRDefault="00977580" w:rsidP="002649F0">
      <w:pPr>
        <w:pStyle w:val="FootnoteText"/>
        <w:jc w:val="both"/>
        <w:rPr>
          <w:rFonts w:asciiTheme="majorHAnsi" w:hAnsiTheme="majorHAnsi"/>
          <w:sz w:val="16"/>
          <w:szCs w:val="16"/>
          <w:lang w:val="pt-BR"/>
        </w:rPr>
      </w:pPr>
      <w:r w:rsidRPr="00BD5C64">
        <w:rPr>
          <w:rStyle w:val="FootnoteReference"/>
          <w:rFonts w:asciiTheme="majorHAnsi" w:hAnsiTheme="majorHAnsi"/>
          <w:color w:val="auto"/>
          <w:sz w:val="16"/>
          <w:szCs w:val="16"/>
          <w:lang w:val="pt-BR"/>
        </w:rPr>
        <w:footnoteRef/>
      </w:r>
      <w:r w:rsidRPr="00BD5C64">
        <w:rPr>
          <w:rFonts w:asciiTheme="majorHAnsi" w:hAnsiTheme="majorHAnsi"/>
          <w:color w:val="auto"/>
          <w:sz w:val="16"/>
          <w:szCs w:val="16"/>
          <w:lang w:val="pt-BR"/>
        </w:rPr>
        <w:t xml:space="preserve"> Anexo 3. Interdição proibitória</w:t>
      </w:r>
      <w:r w:rsidRPr="00BD5C64">
        <w:rPr>
          <w:rFonts w:asciiTheme="majorHAnsi" w:hAnsiTheme="majorHAnsi"/>
          <w:i/>
          <w:iCs/>
          <w:color w:val="auto"/>
          <w:sz w:val="16"/>
          <w:szCs w:val="16"/>
          <w:lang w:val="pt-BR"/>
        </w:rPr>
        <w:t> </w:t>
      </w:r>
      <w:r w:rsidRPr="00BD5C64">
        <w:rPr>
          <w:rFonts w:asciiTheme="majorHAnsi" w:hAnsiTheme="majorHAnsi"/>
          <w:color w:val="auto"/>
          <w:sz w:val="16"/>
          <w:szCs w:val="16"/>
          <w:lang w:val="pt-BR"/>
        </w:rPr>
        <w:t xml:space="preserve">21/2000 da Vara de Fazenda Pública, que consta no processo da ação de indenização 1859/2002, folhas 65 a 69. Anexo 4 da petição inicial de 1º de janeiro de 2004. </w:t>
      </w:r>
    </w:p>
  </w:footnote>
  <w:footnote w:id="15">
    <w:p w14:paraId="189F9246" w14:textId="0BDF55C8" w:rsidR="00977580" w:rsidRPr="00BD5C64" w:rsidRDefault="00977580" w:rsidP="002649F0">
      <w:pPr>
        <w:pStyle w:val="FootnoteText"/>
        <w:jc w:val="both"/>
        <w:rPr>
          <w:rFonts w:asciiTheme="majorHAnsi" w:hAnsiTheme="majorHAnsi"/>
          <w:sz w:val="16"/>
          <w:szCs w:val="16"/>
          <w:lang w:val="pt-BR"/>
        </w:rPr>
      </w:pPr>
      <w:r w:rsidRPr="00BD5C64">
        <w:rPr>
          <w:rStyle w:val="FootnoteReference"/>
          <w:rFonts w:asciiTheme="majorHAnsi" w:hAnsiTheme="majorHAnsi"/>
          <w:sz w:val="16"/>
          <w:szCs w:val="16"/>
          <w:lang w:val="pt-BR"/>
        </w:rPr>
        <w:footnoteRef/>
      </w:r>
      <w:r w:rsidRPr="00BD5C64">
        <w:rPr>
          <w:rFonts w:asciiTheme="majorHAnsi" w:hAnsiTheme="majorHAnsi"/>
          <w:sz w:val="16"/>
          <w:szCs w:val="16"/>
          <w:lang w:val="pt-BR"/>
        </w:rPr>
        <w:t xml:space="preserve"> Anexo 4. Ata de interrogatório de testemunha, comandante Enéas Pacher da Silva, na investigação da polícia militar No.</w:t>
      </w:r>
      <w:r w:rsidRPr="00BD5C64">
        <w:rPr>
          <w:rFonts w:asciiTheme="majorHAnsi" w:eastAsia="Batang" w:hAnsiTheme="majorHAnsi"/>
          <w:color w:val="auto"/>
          <w:sz w:val="16"/>
          <w:szCs w:val="16"/>
          <w:bdr w:val="none" w:sz="0" w:space="0" w:color="auto"/>
          <w:lang w:val="pt-BR"/>
        </w:rPr>
        <w:t xml:space="preserve"> 221/2000, folha 838. Anexo 36 da </w:t>
      </w:r>
      <w:r w:rsidRPr="00BD5C64">
        <w:rPr>
          <w:rFonts w:asciiTheme="majorHAnsi" w:hAnsiTheme="majorHAnsi"/>
          <w:color w:val="auto"/>
          <w:sz w:val="16"/>
          <w:szCs w:val="16"/>
          <w:lang w:val="pt-BR"/>
        </w:rPr>
        <w:t>petição inicial de 1º de janeiro de 2004.</w:t>
      </w:r>
    </w:p>
  </w:footnote>
  <w:footnote w:id="16">
    <w:p w14:paraId="3CBB49E4" w14:textId="14FCD020" w:rsidR="00977580" w:rsidRPr="00517ACA" w:rsidRDefault="00977580" w:rsidP="002649F0">
      <w:pPr>
        <w:pStyle w:val="FootnoteText"/>
        <w:jc w:val="both"/>
        <w:rPr>
          <w:rFonts w:asciiTheme="majorHAnsi" w:hAnsiTheme="majorHAnsi"/>
          <w:sz w:val="16"/>
          <w:szCs w:val="16"/>
          <w:lang w:val="pt-BR"/>
        </w:rPr>
      </w:pPr>
      <w:r w:rsidRPr="00BD5C64">
        <w:rPr>
          <w:rStyle w:val="FootnoteReference"/>
          <w:rFonts w:asciiTheme="majorHAnsi" w:hAnsiTheme="majorHAnsi"/>
          <w:sz w:val="16"/>
          <w:szCs w:val="16"/>
          <w:lang w:val="pt-BR"/>
        </w:rPr>
        <w:footnoteRef/>
      </w:r>
      <w:r w:rsidRPr="00BD5C64">
        <w:rPr>
          <w:rFonts w:asciiTheme="majorHAnsi" w:hAnsiTheme="majorHAnsi"/>
          <w:sz w:val="16"/>
          <w:szCs w:val="16"/>
          <w:lang w:val="pt-BR"/>
        </w:rPr>
        <w:t xml:space="preserve"> Anexo 3. </w:t>
      </w:r>
      <w:r w:rsidRPr="00BD5C64">
        <w:rPr>
          <w:rFonts w:asciiTheme="majorHAnsi" w:hAnsiTheme="majorHAnsi"/>
          <w:color w:val="auto"/>
          <w:sz w:val="16"/>
          <w:szCs w:val="16"/>
          <w:lang w:val="pt-BR"/>
        </w:rPr>
        <w:t>Interdição proibitória 21/2000 da Vara de Fazenda Pública, que consta no processo da ação de indenização 1859/2002, folhas 65 a 69. Anexo 4 da petição inicial de 1º de janeiro de 2004.</w:t>
      </w:r>
      <w:r w:rsidRPr="00517ACA">
        <w:rPr>
          <w:rFonts w:asciiTheme="majorHAnsi" w:hAnsiTheme="majorHAnsi"/>
          <w:color w:val="auto"/>
          <w:sz w:val="16"/>
          <w:szCs w:val="16"/>
          <w:lang w:val="pt-BR"/>
        </w:rPr>
        <w:t xml:space="preserve"> </w:t>
      </w:r>
    </w:p>
  </w:footnote>
  <w:footnote w:id="17">
    <w:p w14:paraId="780E8E16" w14:textId="4AB05219" w:rsidR="00977580" w:rsidRPr="00517ACA" w:rsidRDefault="00977580" w:rsidP="002649F0">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Anexo </w:t>
      </w:r>
      <w:r>
        <w:rPr>
          <w:rFonts w:asciiTheme="majorHAnsi" w:hAnsiTheme="majorHAnsi"/>
          <w:sz w:val="16"/>
          <w:szCs w:val="16"/>
          <w:lang w:val="pt-BR"/>
        </w:rPr>
        <w:t>5</w:t>
      </w:r>
      <w:r w:rsidRPr="00517ACA">
        <w:rPr>
          <w:rFonts w:asciiTheme="majorHAnsi" w:hAnsiTheme="majorHAnsi"/>
          <w:sz w:val="16"/>
          <w:szCs w:val="16"/>
          <w:lang w:val="pt-BR"/>
        </w:rPr>
        <w:t>. Auto de exibição e confisco, Investigação Policial 182/2000. Anexo 2 da petição inicial de 1</w:t>
      </w:r>
      <w:r>
        <w:rPr>
          <w:rFonts w:asciiTheme="majorHAnsi" w:hAnsiTheme="majorHAnsi"/>
          <w:sz w:val="16"/>
          <w:szCs w:val="16"/>
          <w:lang w:val="pt-BR"/>
        </w:rPr>
        <w:t>º</w:t>
      </w:r>
      <w:r w:rsidRPr="00517ACA">
        <w:rPr>
          <w:rFonts w:asciiTheme="majorHAnsi" w:hAnsiTheme="majorHAnsi"/>
          <w:sz w:val="16"/>
          <w:szCs w:val="16"/>
          <w:lang w:val="pt-BR"/>
        </w:rPr>
        <w:t xml:space="preserve"> de janeiro de 2004.Esses materiais eram: 1 revólver, centenas de armas brancas (entre elas 180 foices, 52 facões, 2 enxadas, 40 pedaços de madeira, 13 navalhas e 6 facas), 17 bandeiras do MST, 25 gorros, 1 camiseta e 150 reais em moeda corrente.</w:t>
      </w:r>
    </w:p>
  </w:footnote>
  <w:footnote w:id="18">
    <w:p w14:paraId="616DCF29" w14:textId="77777777" w:rsidR="00977580" w:rsidRPr="00517ACA" w:rsidRDefault="00977580" w:rsidP="002649F0">
      <w:pPr>
        <w:pStyle w:val="FootnoteText"/>
        <w:jc w:val="both"/>
        <w:rPr>
          <w:rFonts w:asciiTheme="majorHAnsi" w:hAnsiTheme="majorHAnsi"/>
          <w:color w:val="auto"/>
          <w:sz w:val="16"/>
          <w:szCs w:val="16"/>
          <w:lang w:val="pt-BR"/>
        </w:rPr>
      </w:pPr>
      <w:r w:rsidRPr="00517ACA">
        <w:rPr>
          <w:rStyle w:val="FootnoteReference"/>
          <w:rFonts w:asciiTheme="majorHAnsi" w:hAnsiTheme="majorHAnsi"/>
          <w:color w:val="auto"/>
          <w:sz w:val="16"/>
          <w:szCs w:val="16"/>
          <w:lang w:val="pt-BR"/>
        </w:rPr>
        <w:footnoteRef/>
      </w:r>
      <w:r w:rsidRPr="00517ACA">
        <w:rPr>
          <w:rFonts w:asciiTheme="majorHAnsi" w:hAnsiTheme="majorHAnsi"/>
          <w:color w:val="auto"/>
          <w:sz w:val="16"/>
          <w:szCs w:val="16"/>
          <w:lang w:val="pt-BR"/>
        </w:rPr>
        <w:t xml:space="preserve"> Comunicação do Estado de 9 de maio de 2006.</w:t>
      </w:r>
    </w:p>
  </w:footnote>
  <w:footnote w:id="19">
    <w:p w14:paraId="4CB14AC2" w14:textId="7FFCC101" w:rsidR="00977580" w:rsidRPr="00517ACA" w:rsidRDefault="00977580" w:rsidP="002649F0">
      <w:pPr>
        <w:pStyle w:val="FootnoteText"/>
        <w:jc w:val="both"/>
        <w:rPr>
          <w:rFonts w:asciiTheme="majorHAnsi" w:hAnsiTheme="majorHAnsi"/>
          <w:color w:val="auto"/>
          <w:sz w:val="16"/>
          <w:szCs w:val="16"/>
          <w:lang w:val="pt-BR"/>
        </w:rPr>
      </w:pPr>
      <w:r w:rsidRPr="00517ACA">
        <w:rPr>
          <w:rStyle w:val="FootnoteReference"/>
          <w:rFonts w:asciiTheme="majorHAnsi" w:hAnsiTheme="majorHAnsi"/>
          <w:color w:val="auto"/>
          <w:sz w:val="16"/>
          <w:szCs w:val="16"/>
          <w:lang w:val="pt-BR"/>
        </w:rPr>
        <w:footnoteRef/>
      </w:r>
      <w:r w:rsidRPr="00517ACA">
        <w:rPr>
          <w:rFonts w:asciiTheme="majorHAnsi" w:hAnsiTheme="majorHAnsi"/>
          <w:color w:val="auto"/>
          <w:sz w:val="16"/>
          <w:szCs w:val="16"/>
          <w:lang w:val="pt-BR"/>
        </w:rPr>
        <w:t xml:space="preserve"> Anexo </w:t>
      </w:r>
      <w:r>
        <w:rPr>
          <w:rFonts w:asciiTheme="majorHAnsi" w:hAnsiTheme="majorHAnsi"/>
          <w:color w:val="auto"/>
          <w:sz w:val="16"/>
          <w:szCs w:val="16"/>
          <w:lang w:val="pt-BR"/>
        </w:rPr>
        <w:t>6</w:t>
      </w:r>
      <w:r w:rsidRPr="00517ACA">
        <w:rPr>
          <w:rFonts w:asciiTheme="majorHAnsi" w:hAnsiTheme="majorHAnsi"/>
          <w:color w:val="auto"/>
          <w:sz w:val="16"/>
          <w:szCs w:val="16"/>
          <w:lang w:val="pt-BR"/>
        </w:rPr>
        <w:t>. Denúncia apresentada pelo Ministério Público contra Joel de Lima Santa Ana. Ação penal 059/2002. Anexo 27. Petição inicial de 1º de janeiro de 2004 e comunicação do Estado de 9 de maio de 2006.</w:t>
      </w:r>
    </w:p>
  </w:footnote>
  <w:footnote w:id="20">
    <w:p w14:paraId="488DDFC6" w14:textId="12C859A4" w:rsidR="00977580" w:rsidRPr="00205EB8" w:rsidRDefault="00977580" w:rsidP="00E66041">
      <w:pPr>
        <w:pStyle w:val="FootnoteText"/>
        <w:jc w:val="both"/>
        <w:rPr>
          <w:rFonts w:asciiTheme="majorHAnsi" w:hAnsiTheme="majorHAnsi"/>
          <w:color w:val="auto"/>
          <w:sz w:val="16"/>
          <w:szCs w:val="16"/>
          <w:lang w:val="pt-BR"/>
        </w:rPr>
      </w:pPr>
      <w:r w:rsidRPr="00517ACA">
        <w:rPr>
          <w:rStyle w:val="FootnoteReference"/>
          <w:rFonts w:asciiTheme="majorHAnsi" w:hAnsiTheme="majorHAnsi"/>
          <w:color w:val="auto"/>
          <w:sz w:val="16"/>
          <w:szCs w:val="16"/>
          <w:lang w:val="pt-BR"/>
        </w:rPr>
        <w:footnoteRef/>
      </w:r>
      <w:r w:rsidRPr="00517ACA">
        <w:rPr>
          <w:rFonts w:asciiTheme="majorHAnsi" w:hAnsiTheme="majorHAnsi"/>
          <w:color w:val="auto"/>
          <w:sz w:val="16"/>
          <w:szCs w:val="16"/>
          <w:lang w:val="pt-BR"/>
        </w:rPr>
        <w:t xml:space="preserve"> Anexo </w:t>
      </w:r>
      <w:r>
        <w:rPr>
          <w:rFonts w:asciiTheme="majorHAnsi" w:hAnsiTheme="majorHAnsi"/>
          <w:color w:val="auto"/>
          <w:sz w:val="16"/>
          <w:szCs w:val="16"/>
          <w:lang w:val="pt-BR"/>
        </w:rPr>
        <w:t>7</w:t>
      </w:r>
      <w:r w:rsidRPr="00517ACA">
        <w:rPr>
          <w:rFonts w:asciiTheme="majorHAnsi" w:hAnsiTheme="majorHAnsi"/>
          <w:color w:val="auto"/>
          <w:sz w:val="16"/>
          <w:szCs w:val="16"/>
          <w:lang w:val="pt-BR"/>
        </w:rPr>
        <w:t xml:space="preserve">. Relatório da Polícia Militar do Paraná sobre a </w:t>
      </w:r>
      <w:r w:rsidRPr="00517ACA">
        <w:rPr>
          <w:rFonts w:asciiTheme="majorHAnsi" w:eastAsia="Batang" w:hAnsiTheme="majorHAnsi"/>
          <w:color w:val="auto"/>
          <w:sz w:val="16"/>
          <w:szCs w:val="16"/>
          <w:bdr w:val="none" w:sz="0" w:space="0" w:color="auto"/>
          <w:lang w:val="pt-BR"/>
        </w:rPr>
        <w:t>investigação da polícia militar No. 221/2000</w:t>
      </w:r>
      <w:r w:rsidRPr="00517ACA">
        <w:rPr>
          <w:rFonts w:asciiTheme="majorHAnsi" w:hAnsiTheme="majorHAnsi"/>
          <w:color w:val="auto"/>
          <w:sz w:val="16"/>
          <w:szCs w:val="16"/>
          <w:lang w:val="pt-BR"/>
        </w:rPr>
        <w:t xml:space="preserve">. Anexo </w:t>
      </w:r>
      <w:r>
        <w:rPr>
          <w:rFonts w:asciiTheme="majorHAnsi" w:hAnsiTheme="majorHAnsi"/>
          <w:color w:val="auto"/>
          <w:sz w:val="16"/>
          <w:szCs w:val="16"/>
          <w:lang w:val="pt-BR"/>
        </w:rPr>
        <w:t>à</w:t>
      </w:r>
      <w:r w:rsidRPr="00517ACA">
        <w:rPr>
          <w:rFonts w:asciiTheme="majorHAnsi" w:hAnsiTheme="majorHAnsi"/>
          <w:color w:val="auto"/>
          <w:sz w:val="16"/>
          <w:szCs w:val="16"/>
          <w:lang w:val="pt-BR"/>
        </w:rPr>
        <w:t xml:space="preserve"> comunicação do Estado de </w:t>
      </w:r>
      <w:r w:rsidRPr="00205EB8">
        <w:rPr>
          <w:rFonts w:asciiTheme="majorHAnsi" w:hAnsiTheme="majorHAnsi"/>
          <w:color w:val="auto"/>
          <w:sz w:val="16"/>
          <w:szCs w:val="16"/>
          <w:lang w:val="pt-BR"/>
        </w:rPr>
        <w:t>9 de maio de 2006.</w:t>
      </w:r>
    </w:p>
  </w:footnote>
  <w:footnote w:id="21">
    <w:p w14:paraId="05CE8CF8" w14:textId="23426080" w:rsidR="00977580" w:rsidRPr="00517ACA" w:rsidRDefault="00977580" w:rsidP="00E66041">
      <w:pPr>
        <w:pStyle w:val="FootnoteText"/>
        <w:jc w:val="both"/>
        <w:rPr>
          <w:lang w:val="pt-BR"/>
        </w:rPr>
      </w:pPr>
      <w:r w:rsidRPr="00205EB8">
        <w:rPr>
          <w:rStyle w:val="FootnoteReference"/>
          <w:rFonts w:asciiTheme="majorHAnsi" w:hAnsiTheme="majorHAnsi"/>
          <w:sz w:val="16"/>
          <w:szCs w:val="16"/>
          <w:lang w:val="pt-BR"/>
        </w:rPr>
        <w:footnoteRef/>
      </w:r>
      <w:r w:rsidRPr="00205EB8">
        <w:rPr>
          <w:rFonts w:asciiTheme="majorHAnsi" w:hAnsiTheme="majorHAnsi"/>
          <w:sz w:val="16"/>
          <w:szCs w:val="16"/>
          <w:lang w:val="pt-BR"/>
        </w:rPr>
        <w:t xml:space="preserve"> Anexo 8. </w:t>
      </w:r>
      <w:r w:rsidRPr="00205EB8">
        <w:rPr>
          <w:rFonts w:asciiTheme="majorHAnsi" w:eastAsia="Batang" w:hAnsiTheme="majorHAnsi"/>
          <w:sz w:val="16"/>
          <w:szCs w:val="16"/>
          <w:bdr w:val="none" w:sz="0" w:space="0" w:color="auto"/>
          <w:lang w:val="pt-BR"/>
        </w:rPr>
        <w:t>Laudo do exame de arma de fogo e munições No. 253841 do Instituto de Criminalística do Estado do Paraná, folha 7. Anexo 12 da</w:t>
      </w:r>
      <w:r w:rsidRPr="00517ACA">
        <w:rPr>
          <w:rFonts w:asciiTheme="majorHAnsi" w:eastAsia="Batang" w:hAnsiTheme="majorHAnsi"/>
          <w:sz w:val="16"/>
          <w:szCs w:val="16"/>
          <w:bdr w:val="none" w:sz="0" w:space="0" w:color="auto"/>
          <w:lang w:val="pt-BR"/>
        </w:rPr>
        <w:t xml:space="preserve"> petição inicial</w:t>
      </w:r>
      <w:r w:rsidRPr="00517ACA">
        <w:rPr>
          <w:rFonts w:asciiTheme="majorHAnsi" w:hAnsiTheme="majorHAnsi"/>
          <w:color w:val="auto"/>
          <w:sz w:val="16"/>
          <w:szCs w:val="16"/>
          <w:lang w:val="pt-BR"/>
        </w:rPr>
        <w:t xml:space="preserve"> de 1º de janeiro de 2004.</w:t>
      </w:r>
    </w:p>
  </w:footnote>
  <w:footnote w:id="22">
    <w:p w14:paraId="6002B7FF" w14:textId="301E5843" w:rsidR="00977580" w:rsidRPr="00517ACA" w:rsidRDefault="00977580" w:rsidP="00E66041">
      <w:pPr>
        <w:pStyle w:val="FootnoteText"/>
        <w:jc w:val="both"/>
        <w:rPr>
          <w:rFonts w:asciiTheme="majorHAnsi" w:hAnsiTheme="majorHAnsi"/>
          <w:sz w:val="16"/>
          <w:szCs w:val="16"/>
          <w:lang w:val="pt-BR"/>
        </w:rPr>
      </w:pPr>
      <w:r w:rsidRPr="00517ACA">
        <w:rPr>
          <w:rStyle w:val="FootnoteReference"/>
          <w:rFonts w:asciiTheme="majorHAnsi" w:hAnsiTheme="majorHAnsi"/>
          <w:color w:val="auto"/>
          <w:sz w:val="16"/>
          <w:szCs w:val="16"/>
          <w:lang w:val="pt-BR"/>
        </w:rPr>
        <w:footnoteRef/>
      </w:r>
      <w:r w:rsidRPr="00517ACA">
        <w:rPr>
          <w:rFonts w:asciiTheme="majorHAnsi" w:hAnsiTheme="majorHAnsi"/>
          <w:color w:val="auto"/>
          <w:sz w:val="16"/>
          <w:szCs w:val="16"/>
          <w:lang w:val="pt-BR"/>
        </w:rPr>
        <w:t xml:space="preserve"> </w:t>
      </w:r>
      <w:r w:rsidRPr="00517ACA">
        <w:rPr>
          <w:rFonts w:asciiTheme="majorHAnsi" w:hAnsiTheme="majorHAnsi"/>
          <w:sz w:val="16"/>
          <w:szCs w:val="16"/>
          <w:lang w:val="pt-BR"/>
        </w:rPr>
        <w:t xml:space="preserve">Anexo </w:t>
      </w:r>
      <w:r>
        <w:rPr>
          <w:rFonts w:asciiTheme="majorHAnsi" w:hAnsiTheme="majorHAnsi"/>
          <w:sz w:val="16"/>
          <w:szCs w:val="16"/>
          <w:lang w:val="pt-BR"/>
        </w:rPr>
        <w:t>9</w:t>
      </w:r>
      <w:r w:rsidRPr="00517ACA">
        <w:rPr>
          <w:rFonts w:asciiTheme="majorHAnsi" w:hAnsiTheme="majorHAnsi"/>
          <w:sz w:val="16"/>
          <w:szCs w:val="16"/>
          <w:lang w:val="pt-BR"/>
        </w:rPr>
        <w:t>: Relatório final do tenente-coronel encarregado da investigação da polícia militar No.</w:t>
      </w:r>
      <w:r w:rsidRPr="00517ACA">
        <w:rPr>
          <w:rFonts w:asciiTheme="majorHAnsi" w:eastAsia="Batang" w:hAnsiTheme="majorHAnsi"/>
          <w:color w:val="auto"/>
          <w:sz w:val="16"/>
          <w:szCs w:val="16"/>
          <w:bdr w:val="none" w:sz="0" w:space="0" w:color="auto"/>
          <w:lang w:val="pt-BR"/>
        </w:rPr>
        <w:t xml:space="preserve"> 221/2000. Anexo 20 da petição inicial</w:t>
      </w:r>
      <w:r w:rsidRPr="00517ACA">
        <w:rPr>
          <w:rFonts w:asciiTheme="majorHAnsi" w:hAnsiTheme="majorHAnsi"/>
          <w:color w:val="auto"/>
          <w:sz w:val="16"/>
          <w:szCs w:val="16"/>
          <w:lang w:val="pt-BR"/>
        </w:rPr>
        <w:t xml:space="preserve"> de 1º de janeiro de 2004. Anexo XX. Denúncia apresentada pelo Ministério Público contra Joel de Lima Santa Ana. Ação penal 059/2002. Anexo 27 da petição inicial de 1º de janeiro de 2004. </w:t>
      </w:r>
    </w:p>
  </w:footnote>
  <w:footnote w:id="23">
    <w:p w14:paraId="63598A6D" w14:textId="77777777" w:rsidR="00977580" w:rsidRPr="00517ACA" w:rsidRDefault="00977580" w:rsidP="00E66041">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eastAsia="Batang" w:hAnsiTheme="majorHAnsi"/>
          <w:sz w:val="16"/>
          <w:szCs w:val="16"/>
          <w:bdr w:val="none" w:sz="0" w:space="0" w:color="auto"/>
          <w:lang w:val="pt-BR"/>
        </w:rPr>
        <w:t xml:space="preserve">Abraão Mateus, </w:t>
      </w:r>
      <w:r w:rsidRPr="00517ACA">
        <w:rPr>
          <w:rFonts w:asciiTheme="majorHAnsi" w:eastAsia="Batang" w:hAnsiTheme="majorHAnsi"/>
          <w:noProof/>
          <w:sz w:val="16"/>
          <w:szCs w:val="16"/>
          <w:bdr w:val="none" w:sz="0" w:space="0" w:color="auto"/>
          <w:lang w:val="pt-BR"/>
        </w:rPr>
        <w:t>Abel Marciano de March, Acir Alves, Adão Mendes Silvestre, Adão Ribas, Adelino Lima, Ademar de Araújo, Ademar Menegoso, Ademar Ribeiro da Silva, Ademir Ferreira dos Santos, Ademir Ruibo da Silva, Adenilson Danilo de Mello, Adenir Terezinha C. da Silva, Adilson Manoel de Jesus, Adriane Chaves, Agnaldo Ananias dos Santos, Agostinho Dimer, Airton Garcia, Airton Lopes Bueno, Albari Farias, Alcindo Ferreira, Alcino Ferreira Ortiz, Almir L. Trindade, Altair Bertoldo, Altamiro Barros Padilha, Alvaro Luiz Regin, Alvino dos Santos, Amadeu Padilha, Anderson Kenur, André Dirceu Obereck, André Luiz Trevisan, Andréia Borges Ferreira, Angelina Balbinotti, Anselmo Camargo, Antenor Alsirio, Antonio Chavier, Antonio Domingos Alves, Antonio Ferreira de Melo, Antonio Vieira, Antonio Willerme Emke, Aparecido José Batista, Ari Zaparoci, Arnaldo da Silva Portilho, Avelino Nienow, Bacellar Jacob Oliveira, Bento Rodrigues de Oliveira, Bernardino Camilo da Silva, Celso F. Oliveira, Claudemir Felix da Silva, Clenilda Gonçalves, Dalmo Sais da Silva, Davi Sturzlucker, Domingos Gonçalves Chagas, Edson Martins da Silva, Elcio Beck, Eliane Machado Martins, Elias Dimas Barros, Erick Soares dos Santos, Eva Maria Rosa Denegá, Fábio Pereira Mendonça, Fermino Nogueira, Florentino Elísio dos Santos, Francisco Adirceu da Silva, Francisco Bordowivz, Francisco de Assis dos Santos, Gabriel Titon, Genor Titon, Gerson Ferreira, Gilmar da Silva, Gilson Atanazildo, Guilherme Marcelino Neto, Helen Bach, Hélio Luiz de Oliveira, Ibraim Amcancio Ribeiro, Istacir de Oliveira, Ivanir Sampaio de Lima Santos, Jair Casagrande, Jair Dangui, Jair de Souza Costa, Jair F. Sobrinho, Janaina Lourenço da Silva, Jelson Vieria dos Santos, João Alves de Oliveira, João Braz de Paula, João de Oliveira Cristo, João Isael de Souza, João Leonildo de Oliveira, João Maria Paz, João Maria Pereira, João Marques, João Natal Tavares da Cruz, João Oiramor Dangui, João Pedro Alves, João Prates Neto, João Prosperino Teixeira, João Valdecir das Chagas, Jocena Scheminski, Joel This da Costa, Joelmir Vieira, Jorge de Lima, Jorge Nunes de Paula, Josamar Dias de Siqueira, José A. de Moraes, José Antonio Pereira, José Batista Lopes, José da Silva, Jose de Oliveira, José Fernandes dos Santos, José Roberto Sgrinholi, José Rocha de Oliveira, José Ronaldo Bernardo Correia, José Saturnino de Lima, José Valcir Nunes de Almeida, José Valter da Rocha, Josefa Mendes, Jurandir dos Santos, Leandro Ribeiro da Silva, Leodir Rohenen, Leonardo Gonçalves Pedroso, Leozir Pereira de Quadros, Loreci Lisboa, Lorival Camargo, Lourdes de Jesus Ramos, Lucemara de Andrade, Luciana Aparecida Vieira, Luiz Ferraz Sobrinho, Luiz Medina, Lupercio Fonseca, Madalena Maria do Nascimento, Marcilio Aparecido Lopes, Márcio Undelino da Silva, Marcos Cesar Ribeiro, Maria Luiza Garcia do Nascimento, Maria Rozenilda Pingos, Maria Santos Alves, Marines Kropf Silveira, Mauro Paulo dos Santos, Miguel Carlos Borges, Miguel Korcezak Sobrinho, Mikiel Marcelo Takahara, Moacir de Barros, Moacir Sebastião de Quadro, Moacir Valdemiro Marcos, Nair Gomes dos Santos, Narciso dos Santos, Nereu de Almeida Araújo, Neuza Diba Marcos, Nilo Fagundes, Nilso Pereira, Nivaldo Neres de Nascimento, Odair José de Souza, Odair José Scongerla, Odilo Barbosa, Ordalino de Souza, Oscar Gloeden, Paulo da Silva Rocha, Paulo Fagundes, Pedro Martins dos Santos, Preo C. de Almeida, Regianaldo Sohm, Reinaldo da Silva Mendes, Remido Antonio Silveira, Rogério Mauro, Rosália de Melo, Roseli dos Santos, Sadi Pinheiro de Oliveira, Santo Soares da Silva, Setembrino Padilha, Severino dos Santos, Severino Farão, Sidnei Jahn, Valdecir Stoll, Valdemir Ferreira dos Santos, Valdinei Valim Cardoso, Valdir da Luz de Souza, Valdoir Zeferino, Valdomiro dos Santos, Valmir de Astor Jung, Veranilce dos Santos Souza, Vilmar da Silva, Vilmar Volnei Stelzer, Vilson Teodoro da Cruz, Wilson Barbosa, Zeferino Fronn e Zilda Gonçalves da Silva</w:t>
      </w:r>
      <w:r w:rsidRPr="00517ACA">
        <w:rPr>
          <w:rFonts w:asciiTheme="majorHAnsi" w:eastAsia="Batang" w:hAnsiTheme="majorHAnsi"/>
          <w:sz w:val="16"/>
          <w:szCs w:val="16"/>
          <w:bdr w:val="none" w:sz="0" w:space="0" w:color="auto"/>
          <w:lang w:val="pt-BR"/>
        </w:rPr>
        <w:t>. Lista da Comissão Pastoral da Terra na qual se indicam as lesões corporais sofridas pelos trabalhadores rurais. Anexo XX.</w:t>
      </w:r>
      <w:r w:rsidRPr="00517ACA">
        <w:rPr>
          <w:rFonts w:asciiTheme="majorHAnsi" w:eastAsia="Arial Unicode MS" w:hAnsiTheme="majorHAnsi" w:cs="Times New Roman"/>
          <w:color w:val="auto"/>
          <w:sz w:val="16"/>
          <w:szCs w:val="16"/>
          <w:lang w:val="pt-BR" w:eastAsia="en-US"/>
        </w:rPr>
        <w:t xml:space="preserve"> </w:t>
      </w:r>
      <w:r w:rsidRPr="00517ACA">
        <w:rPr>
          <w:rFonts w:asciiTheme="majorHAnsi" w:eastAsia="Batang" w:hAnsiTheme="majorHAnsi"/>
          <w:sz w:val="16"/>
          <w:szCs w:val="16"/>
          <w:bdr w:val="none" w:sz="0" w:space="0" w:color="auto"/>
          <w:lang w:val="pt-BR"/>
        </w:rPr>
        <w:t>Anexo XX: Relatório final do tenente-coronel encarregado da investigação da polícia militar No. 221/2000. Anexo 20 da petição inicial de 1º de janeiro de 2004. Lista de pessoas feridas, Anexo 7 da petição inicial de 1º de janeiro de 2004. Esta lista não foi impugnada pelo Estado.</w:t>
      </w:r>
      <w:r w:rsidRPr="00517ACA">
        <w:rPr>
          <w:sz w:val="16"/>
          <w:szCs w:val="16"/>
          <w:lang w:val="pt-BR"/>
        </w:rPr>
        <w:t xml:space="preserve"> </w:t>
      </w:r>
    </w:p>
  </w:footnote>
  <w:footnote w:id="24">
    <w:p w14:paraId="7D205ACD" w14:textId="5F80C056" w:rsidR="00977580" w:rsidRPr="00517ACA" w:rsidRDefault="00977580" w:rsidP="002649F0">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Anexo </w:t>
      </w:r>
      <w:r>
        <w:rPr>
          <w:rFonts w:asciiTheme="majorHAnsi" w:hAnsiTheme="majorHAnsi"/>
          <w:sz w:val="16"/>
          <w:szCs w:val="16"/>
          <w:lang w:val="pt-BR"/>
        </w:rPr>
        <w:t>6</w:t>
      </w:r>
      <w:r w:rsidRPr="00517ACA">
        <w:rPr>
          <w:rFonts w:asciiTheme="majorHAnsi" w:hAnsiTheme="majorHAnsi"/>
          <w:sz w:val="16"/>
          <w:szCs w:val="16"/>
          <w:lang w:val="pt-BR"/>
        </w:rPr>
        <w:t xml:space="preserve">. Denúncia apresentada pelo Ministério Público contra Joel de Lima Santa Ana. Ação penal 059/2002. Anexo 27 da petição inicial de 1º de janeiro de 2004 e comunicação do Estado de 9 de maio de 2006. </w:t>
      </w:r>
    </w:p>
  </w:footnote>
  <w:footnote w:id="25">
    <w:p w14:paraId="5D485731" w14:textId="13871442" w:rsidR="00977580" w:rsidRPr="00517ACA" w:rsidRDefault="00977580" w:rsidP="002649F0">
      <w:pPr>
        <w:pStyle w:val="FootnoteText"/>
        <w:jc w:val="both"/>
        <w:rPr>
          <w:rFonts w:asciiTheme="majorHAnsi" w:hAnsiTheme="majorHAnsi"/>
          <w:color w:val="auto"/>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w:t>
      </w:r>
      <w:r w:rsidRPr="00517ACA">
        <w:rPr>
          <w:rFonts w:asciiTheme="majorHAnsi" w:eastAsia="Batang" w:hAnsiTheme="majorHAnsi"/>
          <w:color w:val="auto"/>
          <w:sz w:val="16"/>
          <w:szCs w:val="16"/>
          <w:bdr w:val="none" w:sz="0" w:space="0" w:color="auto"/>
          <w:lang w:val="pt-BR"/>
        </w:rPr>
        <w:t xml:space="preserve">Anexo </w:t>
      </w:r>
      <w:r>
        <w:rPr>
          <w:rFonts w:asciiTheme="majorHAnsi" w:eastAsia="Batang" w:hAnsiTheme="majorHAnsi"/>
          <w:color w:val="auto"/>
          <w:sz w:val="16"/>
          <w:szCs w:val="16"/>
          <w:bdr w:val="none" w:sz="0" w:space="0" w:color="auto"/>
          <w:lang w:val="pt-BR"/>
        </w:rPr>
        <w:t>10</w:t>
      </w:r>
      <w:r w:rsidRPr="00517ACA">
        <w:rPr>
          <w:rFonts w:asciiTheme="majorHAnsi" w:eastAsia="Batang" w:hAnsiTheme="majorHAnsi"/>
          <w:color w:val="auto"/>
          <w:sz w:val="16"/>
          <w:szCs w:val="16"/>
          <w:bdr w:val="none" w:sz="0" w:space="0" w:color="auto"/>
          <w:lang w:val="pt-BR"/>
        </w:rPr>
        <w:t>. Parte policial número 1.688 do Decimo Sétimo Batalhão da Polícia Militar de 2 de maio de 2000 mediante o qual se instrui a investigação da polícia militar No. 221/2000. Anexo à comunicação do Estado de 19 de julho de 2010.</w:t>
      </w:r>
    </w:p>
  </w:footnote>
  <w:footnote w:id="26">
    <w:p w14:paraId="3B45E238" w14:textId="2F234E37" w:rsidR="00977580" w:rsidRPr="00517ACA" w:rsidRDefault="00977580" w:rsidP="002649F0">
      <w:pPr>
        <w:pStyle w:val="FootnoteText"/>
        <w:jc w:val="both"/>
        <w:rPr>
          <w:rFonts w:asciiTheme="majorHAnsi" w:hAnsiTheme="majorHAnsi"/>
          <w:color w:val="auto"/>
          <w:sz w:val="16"/>
          <w:szCs w:val="16"/>
          <w:lang w:val="pt-BR"/>
        </w:rPr>
      </w:pPr>
      <w:r w:rsidRPr="00517ACA">
        <w:rPr>
          <w:rStyle w:val="FootnoteReference"/>
          <w:rFonts w:asciiTheme="majorHAnsi" w:hAnsiTheme="majorHAnsi"/>
          <w:color w:val="auto"/>
          <w:sz w:val="16"/>
          <w:szCs w:val="16"/>
          <w:lang w:val="pt-BR"/>
        </w:rPr>
        <w:footnoteRef/>
      </w:r>
      <w:r w:rsidRPr="00517ACA">
        <w:rPr>
          <w:rFonts w:asciiTheme="majorHAnsi" w:hAnsiTheme="majorHAnsi"/>
          <w:color w:val="auto"/>
          <w:sz w:val="16"/>
          <w:szCs w:val="16"/>
          <w:lang w:val="pt-BR"/>
        </w:rPr>
        <w:t xml:space="preserve"> </w:t>
      </w:r>
      <w:r w:rsidRPr="00517ACA">
        <w:rPr>
          <w:rFonts w:asciiTheme="majorHAnsi" w:eastAsia="Batang" w:hAnsiTheme="majorHAnsi"/>
          <w:color w:val="auto"/>
          <w:sz w:val="16"/>
          <w:szCs w:val="16"/>
          <w:bdr w:val="none" w:sz="0" w:space="0" w:color="auto"/>
          <w:lang w:val="pt-BR"/>
        </w:rPr>
        <w:t xml:space="preserve">Anexo </w:t>
      </w:r>
      <w:r>
        <w:rPr>
          <w:rFonts w:asciiTheme="majorHAnsi" w:eastAsia="Batang" w:hAnsiTheme="majorHAnsi"/>
          <w:color w:val="auto"/>
          <w:sz w:val="16"/>
          <w:szCs w:val="16"/>
          <w:bdr w:val="none" w:sz="0" w:space="0" w:color="auto"/>
          <w:lang w:val="pt-BR"/>
        </w:rPr>
        <w:t>11</w:t>
      </w:r>
      <w:r w:rsidRPr="00517ACA">
        <w:rPr>
          <w:rFonts w:asciiTheme="majorHAnsi" w:eastAsia="Batang" w:hAnsiTheme="majorHAnsi"/>
          <w:color w:val="auto"/>
          <w:sz w:val="16"/>
          <w:szCs w:val="16"/>
          <w:bdr w:val="none" w:sz="0" w:space="0" w:color="auto"/>
          <w:lang w:val="pt-BR"/>
        </w:rPr>
        <w:t>. Ofício 951/00-Mel de 2 de abril de 2000 mediante o qual se instrui a investigação da polícia militar No. 221/2000. Anexo à comunicação do Estado de 19 de julho de 2010.</w:t>
      </w:r>
    </w:p>
  </w:footnote>
  <w:footnote w:id="27">
    <w:p w14:paraId="03045C02" w14:textId="279D103D" w:rsidR="00977580" w:rsidRPr="00517ACA" w:rsidRDefault="00977580" w:rsidP="002649F0">
      <w:pPr>
        <w:pStyle w:val="FootnoteText"/>
        <w:jc w:val="both"/>
        <w:rPr>
          <w:rFonts w:asciiTheme="majorHAnsi" w:hAnsiTheme="majorHAnsi"/>
          <w:color w:val="auto"/>
          <w:sz w:val="16"/>
          <w:szCs w:val="16"/>
          <w:lang w:val="pt-BR"/>
        </w:rPr>
      </w:pPr>
      <w:r w:rsidRPr="00517ACA">
        <w:rPr>
          <w:rStyle w:val="FootnoteReference"/>
          <w:rFonts w:asciiTheme="majorHAnsi" w:hAnsiTheme="majorHAnsi"/>
          <w:color w:val="auto"/>
          <w:sz w:val="16"/>
          <w:szCs w:val="16"/>
          <w:lang w:val="pt-BR"/>
        </w:rPr>
        <w:footnoteRef/>
      </w:r>
      <w:r w:rsidRPr="00517ACA">
        <w:rPr>
          <w:rFonts w:asciiTheme="majorHAnsi" w:hAnsiTheme="majorHAnsi"/>
          <w:color w:val="auto"/>
          <w:sz w:val="16"/>
          <w:szCs w:val="16"/>
          <w:lang w:val="pt-BR"/>
        </w:rPr>
        <w:t xml:space="preserve"> </w:t>
      </w:r>
      <w:r w:rsidRPr="00517ACA">
        <w:rPr>
          <w:rFonts w:asciiTheme="majorHAnsi" w:eastAsia="Batang" w:hAnsiTheme="majorHAnsi"/>
          <w:color w:val="auto"/>
          <w:sz w:val="16"/>
          <w:szCs w:val="16"/>
          <w:bdr w:val="none" w:sz="0" w:space="0" w:color="auto"/>
          <w:lang w:val="pt-BR"/>
        </w:rPr>
        <w:t xml:space="preserve">Anexo </w:t>
      </w:r>
      <w:r>
        <w:rPr>
          <w:rFonts w:asciiTheme="majorHAnsi" w:eastAsia="Batang" w:hAnsiTheme="majorHAnsi"/>
          <w:color w:val="auto"/>
          <w:sz w:val="16"/>
          <w:szCs w:val="16"/>
          <w:bdr w:val="none" w:sz="0" w:space="0" w:color="auto"/>
          <w:lang w:val="pt-BR"/>
        </w:rPr>
        <w:t>12</w:t>
      </w:r>
      <w:r w:rsidRPr="00517ACA">
        <w:rPr>
          <w:rFonts w:asciiTheme="majorHAnsi" w:eastAsia="Batang" w:hAnsiTheme="majorHAnsi"/>
          <w:color w:val="auto"/>
          <w:sz w:val="16"/>
          <w:szCs w:val="16"/>
          <w:bdr w:val="none" w:sz="0" w:space="0" w:color="auto"/>
          <w:lang w:val="pt-BR"/>
        </w:rPr>
        <w:t>. Ofício 813/2000- Mel de 2 de maio de 2000 mediante o qual se instrui a investigação da polícia militar No. 221/2000. Anexo à comunicação do Estado de 19 de julho de 2010. Na lista consta que Antonio Willerme Emke (identificado na lista como Antonio Guilherme Enkr) havia sido atingido no braço direito, que Abraão Mateus havia sido atingido na perna esquerda, que Odair José Scongerla (identificado na lista como Odair José Sganzela) havia sido atingido na perna direita e que Setembrino Padilha havia sido atingido na perna esquerda.</w:t>
      </w:r>
    </w:p>
  </w:footnote>
  <w:footnote w:id="28">
    <w:p w14:paraId="594A6E26" w14:textId="160B1EAF" w:rsidR="00977580" w:rsidRPr="00517ACA" w:rsidRDefault="00977580" w:rsidP="002649F0">
      <w:pPr>
        <w:pStyle w:val="FootnoteText"/>
        <w:jc w:val="both"/>
        <w:rPr>
          <w:rFonts w:asciiTheme="majorHAnsi" w:hAnsiTheme="majorHAnsi"/>
          <w:color w:val="auto"/>
          <w:sz w:val="16"/>
          <w:szCs w:val="16"/>
          <w:lang w:val="pt-BR"/>
        </w:rPr>
      </w:pPr>
      <w:r w:rsidRPr="00517ACA">
        <w:rPr>
          <w:rStyle w:val="FootnoteReference"/>
          <w:rFonts w:asciiTheme="majorHAnsi" w:hAnsiTheme="majorHAnsi"/>
          <w:color w:val="auto"/>
          <w:sz w:val="16"/>
          <w:szCs w:val="16"/>
          <w:lang w:val="pt-BR"/>
        </w:rPr>
        <w:footnoteRef/>
      </w:r>
      <w:r w:rsidRPr="00517ACA">
        <w:rPr>
          <w:rFonts w:asciiTheme="majorHAnsi" w:hAnsiTheme="majorHAnsi"/>
          <w:color w:val="auto"/>
          <w:sz w:val="16"/>
          <w:szCs w:val="16"/>
          <w:lang w:val="pt-BR"/>
        </w:rPr>
        <w:t xml:space="preserve"> </w:t>
      </w:r>
      <w:r w:rsidRPr="00517ACA">
        <w:rPr>
          <w:rFonts w:asciiTheme="majorHAnsi" w:eastAsia="Batang" w:hAnsiTheme="majorHAnsi"/>
          <w:color w:val="auto"/>
          <w:sz w:val="16"/>
          <w:szCs w:val="16"/>
          <w:bdr w:val="none" w:sz="0" w:space="0" w:color="auto"/>
          <w:lang w:val="pt-BR"/>
        </w:rPr>
        <w:t xml:space="preserve">Anexo </w:t>
      </w:r>
      <w:r>
        <w:rPr>
          <w:rFonts w:asciiTheme="majorHAnsi" w:eastAsia="Batang" w:hAnsiTheme="majorHAnsi"/>
          <w:color w:val="auto"/>
          <w:sz w:val="16"/>
          <w:szCs w:val="16"/>
          <w:bdr w:val="none" w:sz="0" w:space="0" w:color="auto"/>
          <w:lang w:val="pt-BR"/>
        </w:rPr>
        <w:t>13</w:t>
      </w:r>
      <w:r w:rsidRPr="00517ACA">
        <w:rPr>
          <w:rFonts w:asciiTheme="majorHAnsi" w:eastAsia="Batang" w:hAnsiTheme="majorHAnsi"/>
          <w:color w:val="auto"/>
          <w:sz w:val="16"/>
          <w:szCs w:val="16"/>
          <w:bdr w:val="none" w:sz="0" w:space="0" w:color="auto"/>
          <w:lang w:val="pt-BR"/>
        </w:rPr>
        <w:t>. Solicitação dirigida ao chefe de polícia da Delegacia de Campo Largo. Anexo à comunicação do Estado de 19 de julho de 2010.</w:t>
      </w:r>
      <w:r w:rsidRPr="00517ACA" w:rsidDel="006948F3">
        <w:rPr>
          <w:rFonts w:asciiTheme="majorHAnsi" w:eastAsia="Batang" w:hAnsiTheme="majorHAnsi"/>
          <w:color w:val="auto"/>
          <w:sz w:val="16"/>
          <w:szCs w:val="16"/>
          <w:bdr w:val="none" w:sz="0" w:space="0" w:color="auto"/>
          <w:lang w:val="pt-BR"/>
        </w:rPr>
        <w:t xml:space="preserve"> </w:t>
      </w:r>
    </w:p>
  </w:footnote>
  <w:footnote w:id="29">
    <w:p w14:paraId="17709535" w14:textId="2BA9C665" w:rsidR="00977580" w:rsidRPr="00517ACA" w:rsidRDefault="00977580" w:rsidP="00273663">
      <w:pPr>
        <w:pStyle w:val="FootnoteText"/>
        <w:jc w:val="both"/>
        <w:rPr>
          <w:rFonts w:asciiTheme="majorHAnsi" w:eastAsia="Batang" w:hAnsiTheme="majorHAnsi"/>
          <w:color w:val="auto"/>
          <w:sz w:val="16"/>
          <w:szCs w:val="16"/>
          <w:bdr w:val="none" w:sz="0" w:space="0" w:color="auto"/>
          <w:lang w:val="pt-BR"/>
        </w:rPr>
      </w:pPr>
      <w:r w:rsidRPr="00517ACA">
        <w:rPr>
          <w:rStyle w:val="FootnoteReference"/>
          <w:rFonts w:asciiTheme="majorHAnsi" w:hAnsiTheme="majorHAnsi"/>
          <w:color w:val="auto"/>
          <w:sz w:val="16"/>
          <w:szCs w:val="16"/>
          <w:lang w:val="pt-BR"/>
        </w:rPr>
        <w:footnoteRef/>
      </w:r>
      <w:r w:rsidRPr="00517ACA">
        <w:rPr>
          <w:rFonts w:asciiTheme="majorHAnsi" w:hAnsiTheme="majorHAnsi"/>
          <w:color w:val="auto"/>
          <w:sz w:val="16"/>
          <w:szCs w:val="16"/>
          <w:lang w:val="pt-BR"/>
        </w:rPr>
        <w:t xml:space="preserve"> </w:t>
      </w:r>
      <w:r w:rsidRPr="00517ACA">
        <w:rPr>
          <w:rFonts w:asciiTheme="majorHAnsi" w:eastAsia="Batang" w:hAnsiTheme="majorHAnsi"/>
          <w:color w:val="auto"/>
          <w:sz w:val="16"/>
          <w:szCs w:val="16"/>
          <w:bdr w:val="none" w:sz="0" w:space="0" w:color="auto"/>
          <w:lang w:val="pt-BR"/>
        </w:rPr>
        <w:t xml:space="preserve">Anexo </w:t>
      </w:r>
      <w:r>
        <w:rPr>
          <w:rFonts w:asciiTheme="majorHAnsi" w:eastAsia="Batang" w:hAnsiTheme="majorHAnsi"/>
          <w:color w:val="auto"/>
          <w:sz w:val="16"/>
          <w:szCs w:val="16"/>
          <w:bdr w:val="none" w:sz="0" w:space="0" w:color="auto"/>
          <w:lang w:val="pt-BR"/>
        </w:rPr>
        <w:t>14</w:t>
      </w:r>
      <w:r w:rsidRPr="00517ACA">
        <w:rPr>
          <w:rFonts w:asciiTheme="majorHAnsi" w:eastAsia="Batang" w:hAnsiTheme="majorHAnsi"/>
          <w:color w:val="auto"/>
          <w:sz w:val="16"/>
          <w:szCs w:val="16"/>
          <w:bdr w:val="none" w:sz="0" w:space="0" w:color="auto"/>
          <w:lang w:val="pt-BR"/>
        </w:rPr>
        <w:t>. Ofício 1012/Cal/00 de 8 de maio de 2000 e lista de nomes de integrantes do MST mediante os quais se instrui a investigação da polícia militar No. 221/2000, anexos à comunicação do Estado de 19 de julho de 2010. As pessoas são:</w:t>
      </w:r>
      <w:r w:rsidRPr="00517ACA">
        <w:rPr>
          <w:sz w:val="16"/>
          <w:szCs w:val="16"/>
          <w:lang w:val="pt-BR"/>
        </w:rPr>
        <w:t xml:space="preserve"> </w:t>
      </w:r>
      <w:r w:rsidRPr="00517ACA">
        <w:rPr>
          <w:rFonts w:asciiTheme="majorHAnsi" w:eastAsia="Batang" w:hAnsiTheme="majorHAnsi"/>
          <w:color w:val="auto"/>
          <w:sz w:val="16"/>
          <w:szCs w:val="16"/>
          <w:bdr w:val="none" w:sz="0" w:space="0" w:color="auto"/>
          <w:lang w:val="pt-BR"/>
        </w:rPr>
        <w:t>Aparecido José Batista, Angelina Balbinotti, Odair José de Souza, Altair Bertoldo, João Alves de Oliveira, Abraão Mateus, Valdoir Luiz Zeferino, Joel This da Costa, Severino Fraron e Andreia Burges Ferreira.</w:t>
      </w:r>
    </w:p>
  </w:footnote>
  <w:footnote w:id="30">
    <w:p w14:paraId="5518BDDC" w14:textId="08EC07C0" w:rsidR="00977580" w:rsidRPr="00517ACA" w:rsidRDefault="00977580" w:rsidP="002649F0">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Anexo </w:t>
      </w:r>
      <w:r>
        <w:rPr>
          <w:rFonts w:asciiTheme="majorHAnsi" w:hAnsiTheme="majorHAnsi"/>
          <w:sz w:val="16"/>
          <w:szCs w:val="16"/>
          <w:lang w:val="pt-BR"/>
        </w:rPr>
        <w:t>15</w:t>
      </w:r>
      <w:r w:rsidRPr="00517ACA">
        <w:rPr>
          <w:rFonts w:asciiTheme="majorHAnsi" w:hAnsiTheme="majorHAnsi"/>
          <w:sz w:val="16"/>
          <w:szCs w:val="16"/>
          <w:lang w:val="pt-BR"/>
        </w:rPr>
        <w:t>. I</w:t>
      </w:r>
      <w:r w:rsidRPr="00517ACA">
        <w:rPr>
          <w:rFonts w:asciiTheme="majorHAnsi" w:eastAsia="Batang" w:hAnsiTheme="majorHAnsi"/>
          <w:color w:val="auto"/>
          <w:sz w:val="16"/>
          <w:szCs w:val="16"/>
          <w:bdr w:val="none" w:sz="0" w:space="0" w:color="auto"/>
          <w:lang w:val="pt-BR"/>
        </w:rPr>
        <w:t>nvestigação da polícia militar No. 221/2000</w:t>
      </w:r>
      <w:r w:rsidRPr="00517ACA">
        <w:rPr>
          <w:rFonts w:asciiTheme="majorHAnsi" w:hAnsiTheme="majorHAnsi"/>
          <w:color w:val="auto"/>
          <w:sz w:val="16"/>
          <w:szCs w:val="16"/>
          <w:lang w:val="pt-BR"/>
        </w:rPr>
        <w:t>. Anexo à comunicação do Estado de 9 de maio de 2006.</w:t>
      </w:r>
    </w:p>
  </w:footnote>
  <w:footnote w:id="31">
    <w:p w14:paraId="31389630" w14:textId="0C2F98AA" w:rsidR="00977580" w:rsidRPr="00517ACA" w:rsidRDefault="00977580" w:rsidP="002649F0">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Anexo </w:t>
      </w:r>
      <w:r>
        <w:rPr>
          <w:rFonts w:asciiTheme="majorHAnsi" w:hAnsiTheme="majorHAnsi"/>
          <w:sz w:val="16"/>
          <w:szCs w:val="16"/>
          <w:lang w:val="pt-BR"/>
        </w:rPr>
        <w:t>16</w:t>
      </w:r>
      <w:r w:rsidRPr="00517ACA">
        <w:rPr>
          <w:rFonts w:asciiTheme="majorHAnsi" w:hAnsiTheme="majorHAnsi"/>
          <w:sz w:val="16"/>
          <w:szCs w:val="16"/>
          <w:lang w:val="pt-BR"/>
        </w:rPr>
        <w:t>: Auto de exibição de armas na investigação da polícia militar No.</w:t>
      </w:r>
      <w:r w:rsidRPr="00517ACA">
        <w:rPr>
          <w:rFonts w:asciiTheme="majorHAnsi" w:eastAsia="Batang" w:hAnsiTheme="majorHAnsi"/>
          <w:color w:val="auto"/>
          <w:sz w:val="16"/>
          <w:szCs w:val="16"/>
          <w:bdr w:val="none" w:sz="0" w:space="0" w:color="auto"/>
          <w:lang w:val="pt-BR"/>
        </w:rPr>
        <w:t xml:space="preserve"> 221/2000, folha 46, e auto de apreensão de armas de fogo, folha 47. Anexo 16 da petição</w:t>
      </w:r>
      <w:r w:rsidRPr="00517ACA">
        <w:rPr>
          <w:rFonts w:asciiTheme="majorHAnsi" w:hAnsiTheme="majorHAnsi"/>
          <w:color w:val="auto"/>
          <w:sz w:val="16"/>
          <w:szCs w:val="16"/>
          <w:lang w:val="pt-BR"/>
        </w:rPr>
        <w:t xml:space="preserve"> inicial de 1º de janeiro de 2004.</w:t>
      </w:r>
    </w:p>
  </w:footnote>
  <w:footnote w:id="32">
    <w:p w14:paraId="62E66D2D" w14:textId="05972424" w:rsidR="00977580" w:rsidRPr="00517ACA" w:rsidRDefault="00977580" w:rsidP="002649F0">
      <w:pPr>
        <w:pStyle w:val="FootnoteText"/>
        <w:jc w:val="both"/>
        <w:rPr>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Anexo </w:t>
      </w:r>
      <w:r>
        <w:rPr>
          <w:rFonts w:asciiTheme="majorHAnsi" w:hAnsiTheme="majorHAnsi"/>
          <w:sz w:val="16"/>
          <w:szCs w:val="16"/>
          <w:lang w:val="pt-BR"/>
        </w:rPr>
        <w:t>8</w:t>
      </w:r>
      <w:r w:rsidRPr="00517ACA">
        <w:rPr>
          <w:rFonts w:asciiTheme="majorHAnsi" w:hAnsiTheme="majorHAnsi"/>
          <w:sz w:val="16"/>
          <w:szCs w:val="16"/>
          <w:lang w:val="pt-BR"/>
        </w:rPr>
        <w:t xml:space="preserve">. </w:t>
      </w:r>
      <w:r w:rsidRPr="00517ACA">
        <w:rPr>
          <w:rFonts w:asciiTheme="majorHAnsi" w:eastAsia="Batang" w:hAnsiTheme="majorHAnsi"/>
          <w:sz w:val="16"/>
          <w:szCs w:val="16"/>
          <w:bdr w:val="none" w:sz="0" w:space="0" w:color="auto"/>
          <w:lang w:val="pt-BR"/>
        </w:rPr>
        <w:t>Laudo de exame de arma de fogo e munições No. 253841 do Instituto de Criminalística do Estado do Paraná, folhas 236 a 246. Anexo 12 da petição inicial</w:t>
      </w:r>
      <w:r w:rsidRPr="00517ACA">
        <w:rPr>
          <w:rFonts w:asciiTheme="majorHAnsi" w:hAnsiTheme="majorHAnsi"/>
          <w:color w:val="auto"/>
          <w:sz w:val="16"/>
          <w:szCs w:val="16"/>
          <w:lang w:val="pt-BR"/>
        </w:rPr>
        <w:t xml:space="preserve"> de 1º de janeiro de 2004.</w:t>
      </w:r>
    </w:p>
  </w:footnote>
  <w:footnote w:id="33">
    <w:p w14:paraId="3CF74AF6" w14:textId="309DB05C" w:rsidR="00977580" w:rsidRPr="00517ACA" w:rsidRDefault="00977580" w:rsidP="002649F0">
      <w:pPr>
        <w:pStyle w:val="FootnoteText"/>
        <w:jc w:val="both"/>
        <w:rPr>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Anexo </w:t>
      </w:r>
      <w:r>
        <w:rPr>
          <w:rFonts w:asciiTheme="majorHAnsi" w:hAnsiTheme="majorHAnsi"/>
          <w:sz w:val="16"/>
          <w:szCs w:val="16"/>
          <w:lang w:val="pt-BR"/>
        </w:rPr>
        <w:t>17</w:t>
      </w:r>
      <w:r w:rsidRPr="00517ACA">
        <w:rPr>
          <w:rFonts w:asciiTheme="majorHAnsi" w:hAnsiTheme="majorHAnsi"/>
          <w:sz w:val="16"/>
          <w:szCs w:val="16"/>
          <w:lang w:val="pt-BR"/>
        </w:rPr>
        <w:t>. Ata de interrogatório de testemunha. Investigação da polícia militar No.</w:t>
      </w:r>
      <w:r w:rsidRPr="00517ACA">
        <w:rPr>
          <w:rFonts w:asciiTheme="majorHAnsi" w:eastAsia="Batang" w:hAnsiTheme="majorHAnsi"/>
          <w:color w:val="auto"/>
          <w:sz w:val="16"/>
          <w:szCs w:val="16"/>
          <w:bdr w:val="none" w:sz="0" w:space="0" w:color="auto"/>
          <w:lang w:val="pt-BR"/>
        </w:rPr>
        <w:t xml:space="preserve"> 221/2000, folha 253. Anexo 19 da petição inicial</w:t>
      </w:r>
      <w:r w:rsidRPr="00517ACA">
        <w:rPr>
          <w:rFonts w:asciiTheme="majorHAnsi" w:hAnsiTheme="majorHAnsi"/>
          <w:color w:val="auto"/>
          <w:sz w:val="16"/>
          <w:szCs w:val="16"/>
          <w:lang w:val="pt-BR"/>
        </w:rPr>
        <w:t xml:space="preserve"> de 1º de janeiro de 2004.</w:t>
      </w:r>
    </w:p>
  </w:footnote>
  <w:footnote w:id="34">
    <w:p w14:paraId="7603A39E" w14:textId="60356F2C" w:rsidR="00977580" w:rsidRPr="00517ACA" w:rsidRDefault="00977580" w:rsidP="002649F0">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Anexo </w:t>
      </w:r>
      <w:r>
        <w:rPr>
          <w:rFonts w:asciiTheme="majorHAnsi" w:hAnsiTheme="majorHAnsi"/>
          <w:sz w:val="16"/>
          <w:szCs w:val="16"/>
          <w:lang w:val="pt-BR"/>
        </w:rPr>
        <w:t>9</w:t>
      </w:r>
      <w:r w:rsidRPr="00517ACA">
        <w:rPr>
          <w:rFonts w:asciiTheme="majorHAnsi" w:hAnsiTheme="majorHAnsi"/>
          <w:sz w:val="16"/>
          <w:szCs w:val="16"/>
          <w:lang w:val="pt-BR"/>
        </w:rPr>
        <w:t>: Relatório final do tenente-coronel encarregado da investigação da polícia militar No.</w:t>
      </w:r>
      <w:r w:rsidRPr="00517ACA">
        <w:rPr>
          <w:rFonts w:asciiTheme="majorHAnsi" w:eastAsia="Batang" w:hAnsiTheme="majorHAnsi"/>
          <w:color w:val="auto"/>
          <w:sz w:val="16"/>
          <w:szCs w:val="16"/>
          <w:bdr w:val="none" w:sz="0" w:space="0" w:color="auto"/>
          <w:lang w:val="pt-BR"/>
        </w:rPr>
        <w:t xml:space="preserve"> 221/2000. Anexo 20 da petição inicial</w:t>
      </w:r>
      <w:r w:rsidRPr="00517ACA">
        <w:rPr>
          <w:rFonts w:asciiTheme="majorHAnsi" w:hAnsiTheme="majorHAnsi"/>
          <w:color w:val="auto"/>
          <w:sz w:val="16"/>
          <w:szCs w:val="16"/>
          <w:lang w:val="pt-BR"/>
        </w:rPr>
        <w:t xml:space="preserve"> de 1º de janeiro de 2004.</w:t>
      </w:r>
    </w:p>
  </w:footnote>
  <w:footnote w:id="35">
    <w:p w14:paraId="04A8E5F4" w14:textId="540CAAB6" w:rsidR="00977580" w:rsidRPr="00517ACA" w:rsidRDefault="00977580" w:rsidP="002649F0">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Anexo </w:t>
      </w:r>
      <w:r>
        <w:rPr>
          <w:rFonts w:asciiTheme="majorHAnsi" w:hAnsiTheme="majorHAnsi"/>
          <w:sz w:val="16"/>
          <w:szCs w:val="16"/>
          <w:lang w:val="pt-BR"/>
        </w:rPr>
        <w:t>18</w:t>
      </w:r>
      <w:r w:rsidRPr="00517ACA">
        <w:rPr>
          <w:rFonts w:asciiTheme="majorHAnsi" w:hAnsiTheme="majorHAnsi"/>
          <w:sz w:val="16"/>
          <w:szCs w:val="16"/>
          <w:lang w:val="pt-BR"/>
        </w:rPr>
        <w:t>: Pedido de arquivamento da investigação da polícia militar No.</w:t>
      </w:r>
      <w:r w:rsidRPr="00517ACA">
        <w:rPr>
          <w:rFonts w:asciiTheme="majorHAnsi" w:eastAsia="Batang" w:hAnsiTheme="majorHAnsi"/>
          <w:color w:val="auto"/>
          <w:sz w:val="16"/>
          <w:szCs w:val="16"/>
          <w:bdr w:val="none" w:sz="0" w:space="0" w:color="auto"/>
          <w:lang w:val="pt-BR"/>
        </w:rPr>
        <w:t xml:space="preserve"> 221/2000 efetuado pela promotoria</w:t>
      </w:r>
      <w:r w:rsidRPr="00517ACA">
        <w:rPr>
          <w:rFonts w:asciiTheme="majorHAnsi" w:hAnsiTheme="majorHAnsi"/>
          <w:sz w:val="16"/>
          <w:szCs w:val="16"/>
          <w:lang w:val="pt-BR"/>
        </w:rPr>
        <w:t xml:space="preserve"> da Auditoria Militar</w:t>
      </w:r>
      <w:r w:rsidRPr="00517ACA">
        <w:rPr>
          <w:rFonts w:asciiTheme="majorHAnsi" w:eastAsia="Batang" w:hAnsiTheme="majorHAnsi"/>
          <w:color w:val="auto"/>
          <w:sz w:val="16"/>
          <w:szCs w:val="16"/>
          <w:bdr w:val="none" w:sz="0" w:space="0" w:color="auto"/>
          <w:lang w:val="pt-BR"/>
        </w:rPr>
        <w:t>. Anexo 22 da petição inicial</w:t>
      </w:r>
      <w:r w:rsidRPr="00517ACA">
        <w:rPr>
          <w:rFonts w:asciiTheme="majorHAnsi" w:hAnsiTheme="majorHAnsi"/>
          <w:color w:val="auto"/>
          <w:sz w:val="16"/>
          <w:szCs w:val="16"/>
          <w:lang w:val="pt-BR"/>
        </w:rPr>
        <w:t xml:space="preserve"> de 1º de janeiro de 2004.</w:t>
      </w:r>
    </w:p>
  </w:footnote>
  <w:footnote w:id="36">
    <w:p w14:paraId="5E8A775D" w14:textId="6E0F9BFB" w:rsidR="00977580" w:rsidRPr="00517ACA" w:rsidRDefault="00977580" w:rsidP="002649F0">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Anexo </w:t>
      </w:r>
      <w:r>
        <w:rPr>
          <w:rFonts w:asciiTheme="majorHAnsi" w:hAnsiTheme="majorHAnsi"/>
          <w:sz w:val="16"/>
          <w:szCs w:val="16"/>
          <w:lang w:val="pt-BR"/>
        </w:rPr>
        <w:t>19</w:t>
      </w:r>
      <w:r w:rsidRPr="00517ACA">
        <w:rPr>
          <w:rFonts w:asciiTheme="majorHAnsi" w:hAnsiTheme="majorHAnsi"/>
          <w:sz w:val="16"/>
          <w:szCs w:val="16"/>
          <w:lang w:val="pt-BR"/>
        </w:rPr>
        <w:t>. Decisão de arquivamento da investigação da polícia militar No.</w:t>
      </w:r>
      <w:r w:rsidRPr="00517ACA">
        <w:rPr>
          <w:rFonts w:asciiTheme="majorHAnsi" w:eastAsia="Batang" w:hAnsiTheme="majorHAnsi"/>
          <w:color w:val="auto"/>
          <w:sz w:val="16"/>
          <w:szCs w:val="16"/>
          <w:bdr w:val="none" w:sz="0" w:space="0" w:color="auto"/>
          <w:lang w:val="pt-BR"/>
        </w:rPr>
        <w:t xml:space="preserve"> 221/2000 emitida pelo juiz a</w:t>
      </w:r>
      <w:r w:rsidRPr="00517ACA">
        <w:rPr>
          <w:rFonts w:asciiTheme="majorHAnsi" w:hAnsiTheme="majorHAnsi"/>
          <w:sz w:val="16"/>
          <w:szCs w:val="16"/>
          <w:lang w:val="pt-BR"/>
        </w:rPr>
        <w:t>uditor militar</w:t>
      </w:r>
      <w:r w:rsidRPr="00517ACA">
        <w:rPr>
          <w:rFonts w:asciiTheme="majorHAnsi" w:eastAsia="Batang" w:hAnsiTheme="majorHAnsi"/>
          <w:color w:val="auto"/>
          <w:sz w:val="16"/>
          <w:szCs w:val="16"/>
          <w:bdr w:val="none" w:sz="0" w:space="0" w:color="auto"/>
          <w:lang w:val="pt-BR"/>
        </w:rPr>
        <w:t>. Anexo 23 da petição inicial</w:t>
      </w:r>
      <w:r w:rsidRPr="00517ACA">
        <w:rPr>
          <w:rFonts w:asciiTheme="majorHAnsi" w:hAnsiTheme="majorHAnsi"/>
          <w:color w:val="auto"/>
          <w:sz w:val="16"/>
          <w:szCs w:val="16"/>
          <w:lang w:val="pt-BR"/>
        </w:rPr>
        <w:t xml:space="preserve"> de 1º de janeiro de 2004.</w:t>
      </w:r>
    </w:p>
  </w:footnote>
  <w:footnote w:id="37">
    <w:p w14:paraId="01120DB2" w14:textId="7981925A" w:rsidR="00977580" w:rsidRPr="00517ACA" w:rsidRDefault="00977580" w:rsidP="00F26998">
      <w:pPr>
        <w:pStyle w:val="FootnoteText"/>
        <w:jc w:val="both"/>
        <w:rPr>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w:t>
      </w:r>
      <w:r>
        <w:rPr>
          <w:rFonts w:asciiTheme="majorHAnsi" w:hAnsiTheme="majorHAnsi"/>
          <w:sz w:val="16"/>
          <w:szCs w:val="16"/>
          <w:lang w:val="pt-BR"/>
        </w:rPr>
        <w:t xml:space="preserve">Anexo 20. </w:t>
      </w:r>
      <w:r w:rsidRPr="00517ACA">
        <w:rPr>
          <w:rFonts w:asciiTheme="majorHAnsi" w:hAnsiTheme="majorHAnsi"/>
          <w:sz w:val="16"/>
          <w:szCs w:val="16"/>
          <w:lang w:val="pt-BR"/>
        </w:rPr>
        <w:t>Inquérito Policial 268/2000. Anexos 25 e 26. Petição Inicial de 1º de janeiro de 2004.</w:t>
      </w:r>
    </w:p>
  </w:footnote>
  <w:footnote w:id="38">
    <w:p w14:paraId="2CA41026" w14:textId="24C20019" w:rsidR="00977580" w:rsidRPr="00517ACA" w:rsidRDefault="00977580" w:rsidP="00F26998">
      <w:pPr>
        <w:pStyle w:val="FootnoteText"/>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w:t>
      </w:r>
      <w:r>
        <w:rPr>
          <w:rFonts w:asciiTheme="majorHAnsi" w:hAnsiTheme="majorHAnsi"/>
          <w:sz w:val="16"/>
          <w:szCs w:val="16"/>
          <w:lang w:val="pt-BR"/>
        </w:rPr>
        <w:t xml:space="preserve">Anexo 21. </w:t>
      </w:r>
      <w:r w:rsidRPr="00517ACA">
        <w:rPr>
          <w:rFonts w:asciiTheme="majorHAnsi" w:hAnsiTheme="majorHAnsi"/>
          <w:sz w:val="16"/>
          <w:szCs w:val="16"/>
          <w:lang w:val="pt-BR"/>
        </w:rPr>
        <w:t>Relatório final do Inquérito Policial 268/2000. Anexo 25. Petição Inicial de 1º de janeiro de 2004.</w:t>
      </w:r>
    </w:p>
  </w:footnote>
  <w:footnote w:id="39">
    <w:p w14:paraId="2D0C5B46" w14:textId="0994AD2A" w:rsidR="00977580" w:rsidRPr="00517ACA" w:rsidRDefault="00977580" w:rsidP="00205EB8">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w:t>
      </w:r>
      <w:r>
        <w:rPr>
          <w:rFonts w:asciiTheme="majorHAnsi" w:hAnsiTheme="majorHAnsi"/>
          <w:sz w:val="16"/>
          <w:szCs w:val="16"/>
          <w:lang w:val="pt-BR"/>
        </w:rPr>
        <w:t xml:space="preserve">Anexo 6. </w:t>
      </w:r>
      <w:r w:rsidRPr="00517ACA">
        <w:rPr>
          <w:rFonts w:asciiTheme="majorHAnsi" w:hAnsiTheme="majorHAnsi"/>
          <w:sz w:val="16"/>
          <w:szCs w:val="16"/>
          <w:lang w:val="pt-BR"/>
        </w:rPr>
        <w:t xml:space="preserve">Denúncia oferecida pelo Ministério Público contra </w:t>
      </w:r>
      <w:r w:rsidRPr="00517ACA">
        <w:rPr>
          <w:rFonts w:ascii="Cambria" w:eastAsia="Batang" w:hAnsi="Cambria"/>
          <w:sz w:val="16"/>
          <w:szCs w:val="16"/>
          <w:bdr w:val="none" w:sz="0" w:space="0" w:color="auto"/>
          <w:lang w:val="pt-BR"/>
        </w:rPr>
        <w:t>Joel de Lima Santa Ana originando a ação penal 059/2002</w:t>
      </w:r>
      <w:r w:rsidRPr="00517ACA">
        <w:rPr>
          <w:rFonts w:asciiTheme="majorHAnsi" w:hAnsiTheme="majorHAnsi"/>
          <w:sz w:val="16"/>
          <w:szCs w:val="16"/>
          <w:lang w:val="pt-BR"/>
        </w:rPr>
        <w:t>. Anexo 27. Petição Inicial de 1º de janeiro de 2004.</w:t>
      </w:r>
    </w:p>
  </w:footnote>
  <w:footnote w:id="40">
    <w:p w14:paraId="4E1646C3" w14:textId="26DFF054" w:rsidR="00977580" w:rsidRPr="00517ACA" w:rsidRDefault="00977580" w:rsidP="00205EB8">
      <w:pPr>
        <w:pStyle w:val="FootnoteText"/>
        <w:jc w:val="both"/>
        <w:rPr>
          <w:lang w:val="pt-BR"/>
        </w:rPr>
      </w:pPr>
      <w:r w:rsidRPr="00517ACA">
        <w:rPr>
          <w:rStyle w:val="FootnoteReference"/>
          <w:rFonts w:asciiTheme="majorHAnsi" w:hAnsiTheme="majorHAnsi"/>
          <w:sz w:val="16"/>
          <w:szCs w:val="16"/>
          <w:lang w:val="pt-BR"/>
        </w:rPr>
        <w:footnoteRef/>
      </w:r>
      <w:r>
        <w:rPr>
          <w:rFonts w:asciiTheme="majorHAnsi" w:hAnsiTheme="majorHAnsi"/>
          <w:sz w:val="16"/>
          <w:szCs w:val="16"/>
          <w:lang w:val="pt-BR"/>
        </w:rPr>
        <w:t xml:space="preserve">Anexo 22. </w:t>
      </w:r>
      <w:r w:rsidRPr="00517ACA">
        <w:rPr>
          <w:rFonts w:asciiTheme="majorHAnsi" w:hAnsiTheme="majorHAnsi"/>
          <w:sz w:val="16"/>
          <w:szCs w:val="16"/>
          <w:lang w:val="pt-BR"/>
        </w:rPr>
        <w:t xml:space="preserve">Petição de </w:t>
      </w:r>
      <w:r w:rsidRPr="00517ACA">
        <w:rPr>
          <w:rFonts w:asciiTheme="majorHAnsi" w:hAnsiTheme="majorHAnsi"/>
          <w:i/>
          <w:sz w:val="16"/>
          <w:szCs w:val="16"/>
          <w:lang w:val="pt-BR"/>
        </w:rPr>
        <w:t xml:space="preserve">Habeas Corpus </w:t>
      </w:r>
      <w:r w:rsidRPr="00517ACA">
        <w:rPr>
          <w:rFonts w:asciiTheme="majorHAnsi" w:hAnsiTheme="majorHAnsi"/>
          <w:sz w:val="16"/>
          <w:szCs w:val="16"/>
          <w:lang w:val="pt-BR"/>
        </w:rPr>
        <w:t xml:space="preserve">de </w:t>
      </w:r>
      <w:r w:rsidRPr="00517ACA">
        <w:rPr>
          <w:rFonts w:asciiTheme="majorHAnsi" w:eastAsia="Batang" w:hAnsiTheme="majorHAnsi"/>
          <w:sz w:val="16"/>
          <w:szCs w:val="16"/>
          <w:bdr w:val="none" w:sz="0" w:space="0" w:color="auto"/>
          <w:lang w:val="pt-BR"/>
        </w:rPr>
        <w:t>Joel de Lima Santa Ana</w:t>
      </w:r>
      <w:r w:rsidRPr="00517ACA">
        <w:rPr>
          <w:rFonts w:asciiTheme="majorHAnsi" w:hAnsiTheme="majorHAnsi"/>
          <w:i/>
          <w:sz w:val="16"/>
          <w:szCs w:val="16"/>
          <w:lang w:val="pt-BR"/>
        </w:rPr>
        <w:t>.</w:t>
      </w:r>
      <w:r w:rsidRPr="00517ACA">
        <w:rPr>
          <w:rFonts w:asciiTheme="majorHAnsi" w:hAnsiTheme="majorHAnsi"/>
          <w:sz w:val="16"/>
          <w:szCs w:val="16"/>
          <w:lang w:val="pt-BR"/>
        </w:rPr>
        <w:t xml:space="preserve"> Anexo 31. Petição Inicial de 1º de janeiro de 2004.</w:t>
      </w:r>
    </w:p>
  </w:footnote>
  <w:footnote w:id="41">
    <w:p w14:paraId="47A57D1F" w14:textId="7FC3322C" w:rsidR="00977580" w:rsidRPr="00205EB8" w:rsidRDefault="00977580" w:rsidP="00205EB8">
      <w:pPr>
        <w:pStyle w:val="FootnoteText"/>
        <w:jc w:val="both"/>
        <w:rPr>
          <w:rFonts w:asciiTheme="majorHAnsi" w:hAnsiTheme="majorHAnsi"/>
          <w:sz w:val="16"/>
          <w:szCs w:val="16"/>
          <w:lang w:val="pt-BR"/>
        </w:rPr>
      </w:pPr>
      <w:r w:rsidRPr="00205EB8">
        <w:rPr>
          <w:rStyle w:val="FootnoteReference"/>
          <w:rFonts w:asciiTheme="majorHAnsi" w:hAnsiTheme="majorHAnsi"/>
          <w:sz w:val="16"/>
          <w:szCs w:val="16"/>
          <w:lang w:val="pt-BR"/>
        </w:rPr>
        <w:footnoteRef/>
      </w:r>
      <w:r w:rsidRPr="00205EB8">
        <w:rPr>
          <w:rFonts w:asciiTheme="majorHAnsi" w:hAnsiTheme="majorHAnsi"/>
          <w:sz w:val="16"/>
          <w:szCs w:val="16"/>
          <w:lang w:val="pt-BR"/>
        </w:rPr>
        <w:t xml:space="preserve"> Anexo 23. Informação da 2ª Câmara do Tribunal de Justiça do Paraná sobre o julgamento do </w:t>
      </w:r>
      <w:r w:rsidRPr="00205EB8">
        <w:rPr>
          <w:rFonts w:asciiTheme="majorHAnsi" w:hAnsiTheme="majorHAnsi"/>
          <w:i/>
          <w:sz w:val="16"/>
          <w:szCs w:val="16"/>
          <w:lang w:val="pt-BR"/>
        </w:rPr>
        <w:t>Habeas Corpus</w:t>
      </w:r>
      <w:r w:rsidRPr="00205EB8">
        <w:rPr>
          <w:rFonts w:asciiTheme="majorHAnsi" w:hAnsiTheme="majorHAnsi"/>
          <w:sz w:val="16"/>
          <w:szCs w:val="16"/>
          <w:lang w:val="pt-BR"/>
        </w:rPr>
        <w:t xml:space="preserve"> determinando o trancamento da </w:t>
      </w:r>
      <w:r w:rsidRPr="00205EB8">
        <w:rPr>
          <w:rFonts w:asciiTheme="majorHAnsi" w:eastAsia="Batang" w:hAnsiTheme="majorHAnsi"/>
          <w:sz w:val="16"/>
          <w:szCs w:val="16"/>
          <w:bdr w:val="none" w:sz="0" w:space="0" w:color="auto"/>
          <w:lang w:val="pt-BR"/>
        </w:rPr>
        <w:t>ação penal 059/2002</w:t>
      </w:r>
      <w:r w:rsidRPr="00205EB8">
        <w:rPr>
          <w:rFonts w:asciiTheme="majorHAnsi" w:hAnsiTheme="majorHAnsi"/>
          <w:sz w:val="16"/>
          <w:szCs w:val="16"/>
          <w:lang w:val="pt-BR"/>
        </w:rPr>
        <w:t>. Anexo 29. Petição Inicial de 1º de janeiro de 2004.</w:t>
      </w:r>
    </w:p>
  </w:footnote>
  <w:footnote w:id="42">
    <w:p w14:paraId="32BDDAFD" w14:textId="61537F50" w:rsidR="00977580" w:rsidRPr="00517ACA" w:rsidRDefault="00977580" w:rsidP="00205EB8">
      <w:pPr>
        <w:pStyle w:val="FootnoteText"/>
        <w:jc w:val="both"/>
        <w:rPr>
          <w:lang w:val="pt-BR"/>
        </w:rPr>
      </w:pPr>
      <w:r w:rsidRPr="00205EB8">
        <w:rPr>
          <w:rStyle w:val="FootnoteReference"/>
          <w:rFonts w:asciiTheme="majorHAnsi" w:hAnsiTheme="majorHAnsi"/>
          <w:sz w:val="16"/>
          <w:szCs w:val="16"/>
          <w:lang w:val="pt-BR"/>
        </w:rPr>
        <w:footnoteRef/>
      </w:r>
      <w:r w:rsidRPr="00205EB8">
        <w:rPr>
          <w:rFonts w:asciiTheme="majorHAnsi" w:hAnsiTheme="majorHAnsi"/>
          <w:sz w:val="16"/>
          <w:szCs w:val="16"/>
          <w:lang w:val="pt-BR"/>
        </w:rPr>
        <w:t xml:space="preserve"> Anexo 24. </w:t>
      </w:r>
      <w:r>
        <w:rPr>
          <w:rFonts w:asciiTheme="majorHAnsi" w:hAnsiTheme="majorHAnsi"/>
          <w:sz w:val="16"/>
          <w:szCs w:val="16"/>
          <w:lang w:val="pt-BR"/>
        </w:rPr>
        <w:t>C</w:t>
      </w:r>
      <w:r w:rsidRPr="00205EB8">
        <w:rPr>
          <w:rFonts w:asciiTheme="majorHAnsi" w:hAnsiTheme="majorHAnsi"/>
          <w:sz w:val="16"/>
          <w:szCs w:val="16"/>
          <w:lang w:val="pt-BR"/>
        </w:rPr>
        <w:t xml:space="preserve">ertidão de Trânsito em Julgado do Acórdão proferido pelo Tribunal de Justiça do Paraná no </w:t>
      </w:r>
      <w:r w:rsidRPr="00205EB8">
        <w:rPr>
          <w:rFonts w:asciiTheme="majorHAnsi" w:hAnsiTheme="majorHAnsi"/>
          <w:i/>
          <w:sz w:val="16"/>
          <w:szCs w:val="16"/>
          <w:lang w:val="pt-BR"/>
        </w:rPr>
        <w:t>Habeas Corpus.</w:t>
      </w:r>
      <w:r w:rsidRPr="00205EB8">
        <w:rPr>
          <w:rFonts w:asciiTheme="majorHAnsi" w:hAnsiTheme="majorHAnsi"/>
          <w:sz w:val="16"/>
          <w:szCs w:val="16"/>
          <w:lang w:val="pt-BR"/>
        </w:rPr>
        <w:t xml:space="preserve"> Anexo 30. Petição</w:t>
      </w:r>
      <w:r w:rsidRPr="00517ACA">
        <w:rPr>
          <w:rFonts w:asciiTheme="majorHAnsi" w:hAnsiTheme="majorHAnsi"/>
          <w:sz w:val="16"/>
          <w:szCs w:val="16"/>
          <w:lang w:val="pt-BR"/>
        </w:rPr>
        <w:t xml:space="preserve"> Inicial de 1º de janeiro de 2004.</w:t>
      </w:r>
    </w:p>
  </w:footnote>
  <w:footnote w:id="43">
    <w:p w14:paraId="3886F5C0" w14:textId="5A98F92E" w:rsidR="00977580" w:rsidRPr="00517ACA" w:rsidRDefault="00977580" w:rsidP="00205EB8">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w:t>
      </w:r>
      <w:r>
        <w:rPr>
          <w:rFonts w:asciiTheme="majorHAnsi" w:hAnsiTheme="majorHAnsi"/>
          <w:sz w:val="16"/>
          <w:szCs w:val="16"/>
          <w:lang w:val="pt-BR"/>
        </w:rPr>
        <w:t xml:space="preserve">Anexo 25. </w:t>
      </w:r>
      <w:r w:rsidRPr="00517ACA">
        <w:rPr>
          <w:rFonts w:asciiTheme="majorHAnsi" w:hAnsiTheme="majorHAnsi"/>
          <w:sz w:val="16"/>
          <w:szCs w:val="16"/>
          <w:lang w:val="pt-BR"/>
        </w:rPr>
        <w:t xml:space="preserve">Ação </w:t>
      </w:r>
      <w:r w:rsidRPr="00517ACA">
        <w:rPr>
          <w:rFonts w:asciiTheme="majorHAnsi" w:hAnsiTheme="majorHAnsi"/>
          <w:color w:val="auto"/>
          <w:sz w:val="16"/>
          <w:szCs w:val="16"/>
          <w:lang w:val="pt-BR"/>
        </w:rPr>
        <w:t>de indenização 1859/2002. Anexo da petição inicial de 1º de janeiro de 2004 e comunicação</w:t>
      </w:r>
      <w:r w:rsidRPr="00517ACA">
        <w:rPr>
          <w:rFonts w:asciiTheme="majorHAnsi" w:hAnsiTheme="majorHAnsi"/>
          <w:sz w:val="16"/>
          <w:szCs w:val="16"/>
          <w:lang w:val="pt-BR"/>
        </w:rPr>
        <w:t xml:space="preserve"> do Estado de 9 de maio de 2006. </w:t>
      </w:r>
    </w:p>
  </w:footnote>
  <w:footnote w:id="44">
    <w:p w14:paraId="2C8E986C" w14:textId="52891FCF" w:rsidR="00977580" w:rsidRPr="00517ACA" w:rsidRDefault="00977580" w:rsidP="00205EB8">
      <w:pPr>
        <w:pStyle w:val="FootnoteText"/>
        <w:jc w:val="both"/>
        <w:rPr>
          <w:rFonts w:asciiTheme="majorHAnsi" w:hAnsiTheme="majorHAnsi"/>
          <w:color w:val="auto"/>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w:t>
      </w:r>
      <w:r w:rsidRPr="00517ACA">
        <w:rPr>
          <w:rFonts w:asciiTheme="majorHAnsi" w:hAnsiTheme="majorHAnsi"/>
          <w:color w:val="auto"/>
          <w:sz w:val="16"/>
          <w:szCs w:val="16"/>
          <w:lang w:val="pt-BR"/>
        </w:rPr>
        <w:t xml:space="preserve">Anexo </w:t>
      </w:r>
      <w:r>
        <w:rPr>
          <w:rFonts w:asciiTheme="majorHAnsi" w:hAnsiTheme="majorHAnsi"/>
          <w:color w:val="auto"/>
          <w:sz w:val="16"/>
          <w:szCs w:val="16"/>
          <w:lang w:val="pt-BR"/>
        </w:rPr>
        <w:t xml:space="preserve">26. </w:t>
      </w:r>
      <w:r w:rsidRPr="00517ACA">
        <w:rPr>
          <w:rFonts w:asciiTheme="majorHAnsi" w:hAnsiTheme="majorHAnsi"/>
          <w:color w:val="auto"/>
          <w:sz w:val="16"/>
          <w:szCs w:val="16"/>
          <w:lang w:val="pt-BR"/>
        </w:rPr>
        <w:t>Sentença de 6 de novembro de 2010. Anexo 7 à comunicação do Estado de 08 de dezembro de 2014.</w:t>
      </w:r>
    </w:p>
  </w:footnote>
  <w:footnote w:id="45">
    <w:p w14:paraId="757A409F" w14:textId="0AE9DF75" w:rsidR="00977580" w:rsidRPr="00517ACA" w:rsidRDefault="00977580" w:rsidP="00205EB8">
      <w:pPr>
        <w:pStyle w:val="FootnoteText"/>
        <w:jc w:val="both"/>
        <w:rPr>
          <w:rFonts w:asciiTheme="majorHAnsi" w:hAnsiTheme="majorHAnsi"/>
          <w:color w:val="auto"/>
          <w:sz w:val="16"/>
          <w:szCs w:val="16"/>
          <w:lang w:val="pt-BR"/>
        </w:rPr>
      </w:pPr>
      <w:r w:rsidRPr="00517ACA">
        <w:rPr>
          <w:rStyle w:val="FootnoteReference"/>
          <w:rFonts w:asciiTheme="majorHAnsi" w:hAnsiTheme="majorHAnsi"/>
          <w:color w:val="auto"/>
          <w:sz w:val="16"/>
          <w:szCs w:val="16"/>
          <w:lang w:val="pt-BR"/>
        </w:rPr>
        <w:footnoteRef/>
      </w:r>
      <w:r w:rsidRPr="00517ACA">
        <w:rPr>
          <w:rFonts w:asciiTheme="majorHAnsi" w:hAnsiTheme="majorHAnsi"/>
          <w:color w:val="auto"/>
          <w:sz w:val="16"/>
          <w:szCs w:val="16"/>
          <w:lang w:val="pt-BR"/>
        </w:rPr>
        <w:t xml:space="preserve"> Anexo </w:t>
      </w:r>
      <w:r>
        <w:rPr>
          <w:rFonts w:asciiTheme="majorHAnsi" w:hAnsiTheme="majorHAnsi"/>
          <w:color w:val="auto"/>
          <w:sz w:val="16"/>
          <w:szCs w:val="16"/>
          <w:lang w:val="pt-BR"/>
        </w:rPr>
        <w:t xml:space="preserve">27. </w:t>
      </w:r>
      <w:r w:rsidRPr="00517ACA">
        <w:rPr>
          <w:rFonts w:asciiTheme="majorHAnsi" w:hAnsiTheme="majorHAnsi"/>
          <w:color w:val="auto"/>
          <w:sz w:val="16"/>
          <w:szCs w:val="16"/>
          <w:lang w:val="pt-BR"/>
        </w:rPr>
        <w:t>Decisão proferida na apelação civil 877619-4 pelo Tribunal de Justiça do Estado do Paraná de 05 de junho de 2012. Anexo 1 da comunicação da parte peticionária de 12 de fevereiro de 2015.</w:t>
      </w:r>
      <w:r w:rsidRPr="00517ACA">
        <w:rPr>
          <w:rFonts w:asciiTheme="majorHAnsi" w:eastAsia="Batang" w:hAnsiTheme="majorHAnsi" w:cstheme="majorBidi"/>
          <w:bCs/>
          <w:color w:val="auto"/>
          <w:sz w:val="16"/>
          <w:szCs w:val="16"/>
          <w:bdr w:val="none" w:sz="0" w:space="0" w:color="auto"/>
          <w:lang w:val="pt-BR"/>
        </w:rPr>
        <w:t xml:space="preserve"> </w:t>
      </w:r>
    </w:p>
  </w:footnote>
  <w:footnote w:id="46">
    <w:p w14:paraId="6E0E0859" w14:textId="065D7AB0" w:rsidR="00977580" w:rsidRPr="00517ACA" w:rsidRDefault="00977580" w:rsidP="00205EB8">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w:t>
      </w:r>
      <w:r>
        <w:rPr>
          <w:rFonts w:asciiTheme="majorHAnsi" w:hAnsiTheme="majorHAnsi"/>
          <w:sz w:val="16"/>
          <w:szCs w:val="16"/>
          <w:lang w:val="pt-BR"/>
        </w:rPr>
        <w:t xml:space="preserve">Anexo 28. </w:t>
      </w:r>
      <w:r w:rsidRPr="00517ACA">
        <w:rPr>
          <w:rFonts w:asciiTheme="majorHAnsi" w:hAnsiTheme="majorHAnsi"/>
          <w:sz w:val="16"/>
          <w:szCs w:val="16"/>
          <w:lang w:val="pt-BR"/>
        </w:rPr>
        <w:t>Acórdão proferido na Apelação Cível 877619-4 pelo Tribunal de Justiça do Estado do Paraná. Anexo 1 da comunicação da parte peticionária de 12 de fevereiro de 2015.</w:t>
      </w:r>
    </w:p>
  </w:footnote>
  <w:footnote w:id="47">
    <w:p w14:paraId="2B633073" w14:textId="77777777" w:rsidR="00977580" w:rsidRPr="00517ACA" w:rsidRDefault="00977580" w:rsidP="00205EB8">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Comunicação da parte peticionária de 12 de fevereiro de 2015.</w:t>
      </w:r>
    </w:p>
  </w:footnote>
  <w:footnote w:id="48">
    <w:p w14:paraId="174677D5" w14:textId="77777777" w:rsidR="00977580" w:rsidRPr="00517ACA" w:rsidRDefault="00977580" w:rsidP="002649F0">
      <w:pPr>
        <w:pStyle w:val="FootnoteText"/>
        <w:jc w:val="both"/>
        <w:rPr>
          <w:rFonts w:asciiTheme="majorHAnsi" w:hAnsiTheme="majorHAnsi"/>
          <w:color w:val="auto"/>
          <w:sz w:val="16"/>
          <w:szCs w:val="16"/>
          <w:lang w:val="pt-BR"/>
        </w:rPr>
      </w:pPr>
      <w:r w:rsidRPr="00517ACA">
        <w:rPr>
          <w:rStyle w:val="FootnoteReference"/>
          <w:rFonts w:asciiTheme="majorHAnsi" w:hAnsiTheme="majorHAnsi"/>
          <w:color w:val="auto"/>
          <w:sz w:val="16"/>
          <w:szCs w:val="16"/>
          <w:lang w:val="pt-BR"/>
        </w:rPr>
        <w:footnoteRef/>
      </w:r>
      <w:r w:rsidRPr="00517ACA">
        <w:rPr>
          <w:rFonts w:asciiTheme="majorHAnsi" w:hAnsiTheme="majorHAnsi"/>
          <w:color w:val="auto"/>
          <w:sz w:val="16"/>
          <w:szCs w:val="16"/>
          <w:lang w:val="pt-BR"/>
        </w:rPr>
        <w:t xml:space="preserve"> Comunicação da parte peticionária de 12 de fevereiro de 2015. Informação não controvertida pelo Estado. </w:t>
      </w:r>
    </w:p>
  </w:footnote>
  <w:footnote w:id="49">
    <w:p w14:paraId="056FE7DF" w14:textId="77777777" w:rsidR="00977580" w:rsidRPr="00517ACA" w:rsidRDefault="00977580" w:rsidP="002649F0">
      <w:pPr>
        <w:pStyle w:val="FootnoteText"/>
        <w:jc w:val="both"/>
        <w:rPr>
          <w:rFonts w:asciiTheme="majorHAnsi" w:hAnsiTheme="majorHAnsi"/>
          <w:color w:val="auto"/>
          <w:sz w:val="16"/>
          <w:szCs w:val="16"/>
          <w:lang w:val="pt-BR"/>
        </w:rPr>
      </w:pPr>
      <w:r w:rsidRPr="00517ACA">
        <w:rPr>
          <w:rStyle w:val="FootnoteReference"/>
          <w:rFonts w:asciiTheme="majorHAnsi" w:hAnsiTheme="majorHAnsi"/>
          <w:color w:val="auto"/>
          <w:sz w:val="16"/>
          <w:szCs w:val="16"/>
          <w:lang w:val="pt-BR"/>
        </w:rPr>
        <w:footnoteRef/>
      </w:r>
      <w:r w:rsidRPr="00517ACA">
        <w:rPr>
          <w:rFonts w:asciiTheme="majorHAnsi" w:hAnsiTheme="majorHAnsi"/>
          <w:color w:val="auto"/>
          <w:sz w:val="16"/>
          <w:szCs w:val="16"/>
          <w:lang w:val="pt-BR"/>
        </w:rPr>
        <w:t xml:space="preserve"> Ver http://portal.stf.jus.br/processos/detalhe.asp?incidente=4555926, consultado pela última vez em 6 de dezembro de 2019.</w:t>
      </w:r>
    </w:p>
  </w:footnote>
  <w:footnote w:id="50">
    <w:p w14:paraId="311F000C" w14:textId="77777777" w:rsidR="00977580" w:rsidRPr="00517ACA" w:rsidRDefault="00977580" w:rsidP="002649F0">
      <w:pPr>
        <w:pStyle w:val="FootnoteText"/>
        <w:jc w:val="both"/>
        <w:rPr>
          <w:rFonts w:ascii="Cambria" w:hAnsi="Cambria"/>
          <w:sz w:val="16"/>
          <w:szCs w:val="16"/>
          <w:lang w:val="pt-BR"/>
        </w:rPr>
      </w:pPr>
      <w:r w:rsidRPr="00517ACA">
        <w:rPr>
          <w:rFonts w:asciiTheme="majorHAnsi" w:hAnsiTheme="majorHAnsi"/>
          <w:color w:val="auto"/>
          <w:sz w:val="16"/>
          <w:szCs w:val="16"/>
          <w:vertAlign w:val="superscript"/>
          <w:lang w:val="pt-BR"/>
        </w:rPr>
        <w:footnoteRef/>
      </w:r>
      <w:r w:rsidRPr="00517ACA">
        <w:rPr>
          <w:rFonts w:asciiTheme="majorHAnsi" w:hAnsiTheme="majorHAnsi"/>
          <w:color w:val="auto"/>
          <w:sz w:val="16"/>
          <w:szCs w:val="16"/>
          <w:lang w:val="pt-BR"/>
        </w:rPr>
        <w:t xml:space="preserve"> Ver http://portal.stf.jus.br/processos/detalhe.asp?incidente=4555926, consultado pela ú</w:t>
      </w:r>
      <w:r w:rsidRPr="00517ACA">
        <w:rPr>
          <w:rFonts w:ascii="Cambria" w:hAnsi="Cambria"/>
          <w:color w:val="auto"/>
          <w:sz w:val="16"/>
          <w:szCs w:val="16"/>
          <w:lang w:val="pt-BR"/>
        </w:rPr>
        <w:t>ltima vez em 6 de dezembro de 2019.</w:t>
      </w:r>
    </w:p>
  </w:footnote>
  <w:footnote w:id="51">
    <w:p w14:paraId="0D51A261" w14:textId="77777777" w:rsidR="00977580" w:rsidRPr="00517ACA" w:rsidRDefault="00977580" w:rsidP="002649F0">
      <w:pPr>
        <w:pStyle w:val="FootnoteText"/>
        <w:jc w:val="both"/>
        <w:rPr>
          <w:rFonts w:ascii="Cambria" w:hAnsi="Cambria"/>
          <w:color w:val="auto"/>
          <w:sz w:val="16"/>
          <w:szCs w:val="16"/>
          <w:lang w:val="pt-BR"/>
        </w:rPr>
      </w:pPr>
      <w:r w:rsidRPr="00517ACA">
        <w:rPr>
          <w:rStyle w:val="FootnoteReference"/>
          <w:rFonts w:ascii="Cambria" w:hAnsi="Cambria"/>
          <w:color w:val="auto"/>
          <w:sz w:val="16"/>
          <w:szCs w:val="16"/>
          <w:lang w:val="pt-BR"/>
        </w:rPr>
        <w:footnoteRef/>
      </w:r>
      <w:r w:rsidRPr="00517ACA">
        <w:rPr>
          <w:rFonts w:ascii="Cambria" w:hAnsi="Cambria"/>
          <w:color w:val="auto"/>
          <w:sz w:val="16"/>
          <w:szCs w:val="16"/>
          <w:lang w:val="pt-BR"/>
        </w:rPr>
        <w:t xml:space="preserve"> Ver https://projudi.tjpr.jus.br/projudi_consulta/, consultado pela última vez em 6 de dezembro de 2019. </w:t>
      </w:r>
    </w:p>
  </w:footnote>
  <w:footnote w:id="52">
    <w:p w14:paraId="0FCF2ACC" w14:textId="77777777" w:rsidR="00977580" w:rsidRPr="00517ACA" w:rsidRDefault="00977580" w:rsidP="002649F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16"/>
          <w:szCs w:val="16"/>
          <w:lang w:val="pt-BR" w:eastAsia="es-ES"/>
        </w:rPr>
      </w:pPr>
      <w:r w:rsidRPr="00517ACA">
        <w:rPr>
          <w:rStyle w:val="FootnoteReference"/>
          <w:rFonts w:ascii="Cambria" w:hAnsi="Cambria"/>
          <w:sz w:val="16"/>
          <w:szCs w:val="16"/>
          <w:lang w:val="pt-BR"/>
        </w:rPr>
        <w:footnoteRef/>
      </w:r>
      <w:r w:rsidRPr="00517ACA">
        <w:rPr>
          <w:rFonts w:ascii="Cambria" w:hAnsi="Cambria"/>
          <w:sz w:val="16"/>
          <w:szCs w:val="16"/>
          <w:lang w:val="pt-BR"/>
        </w:rPr>
        <w:t xml:space="preserve"> </w:t>
      </w:r>
      <w:r w:rsidRPr="00517ACA">
        <w:rPr>
          <w:rFonts w:ascii="Cambria" w:hAnsi="Cambria"/>
          <w:sz w:val="16"/>
          <w:szCs w:val="16"/>
          <w:lang w:val="pt-BR" w:eastAsia="es-ES"/>
        </w:rPr>
        <w:t>O artigo 4.1 da Convenção Americana sobre Direitos Humanos diz: “</w:t>
      </w:r>
      <w:r w:rsidRPr="00517ACA">
        <w:rPr>
          <w:rFonts w:ascii="Cambria" w:hAnsi="Cambria"/>
          <w:color w:val="000000"/>
          <w:spacing w:val="-3"/>
          <w:sz w:val="16"/>
          <w:szCs w:val="16"/>
          <w:lang w:val="pt-BR"/>
        </w:rPr>
        <w:t>Toda pessoa tem o direito de que se respeite sua vida.  Esse direito deve ser protegido pela lei e, em geral, desde o momento da concepção.  Ninguém pode ser privado da vida arbitrariamente.</w:t>
      </w:r>
      <w:r w:rsidRPr="00517ACA">
        <w:rPr>
          <w:rFonts w:asciiTheme="majorHAnsi" w:eastAsia="Cambria" w:hAnsiTheme="majorHAnsi" w:cs="Verdana"/>
          <w:sz w:val="16"/>
          <w:szCs w:val="16"/>
          <w:u w:color="000000"/>
          <w:lang w:val="pt-BR" w:eastAsia="es-ES" w:bidi="en-US"/>
        </w:rPr>
        <w:t>”.</w:t>
      </w:r>
    </w:p>
  </w:footnote>
  <w:footnote w:id="53">
    <w:p w14:paraId="19A9997F" w14:textId="77777777" w:rsidR="00977580" w:rsidRPr="00517ACA" w:rsidRDefault="00977580" w:rsidP="002649F0">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O artigo 5.1 da Convenção Americana sobre Direitos Humanos diz: “Toda pessoa tem o direito de que se respeite sua integridade física, psíquica e moral”.</w:t>
      </w:r>
    </w:p>
  </w:footnote>
  <w:footnote w:id="54">
    <w:p w14:paraId="1A725842" w14:textId="77777777" w:rsidR="00977580" w:rsidRPr="00517ACA" w:rsidRDefault="00977580" w:rsidP="00F26998">
      <w:pPr>
        <w:pStyle w:val="FootnoteText"/>
        <w:tabs>
          <w:tab w:val="left" w:pos="900"/>
          <w:tab w:val="left" w:pos="1080"/>
        </w:tabs>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CIDH. </w:t>
      </w:r>
      <w:r w:rsidRPr="00517ACA">
        <w:rPr>
          <w:rFonts w:asciiTheme="majorHAnsi" w:hAnsiTheme="majorHAnsi"/>
          <w:i/>
          <w:sz w:val="16"/>
          <w:szCs w:val="16"/>
          <w:lang w:val="pt-BR"/>
        </w:rPr>
        <w:t xml:space="preserve">Relatório sobre Terrorismo e Direitos Humanos. </w:t>
      </w:r>
      <w:r w:rsidRPr="00517ACA">
        <w:rPr>
          <w:rFonts w:asciiTheme="majorHAnsi" w:hAnsiTheme="majorHAnsi"/>
          <w:sz w:val="16"/>
          <w:szCs w:val="16"/>
          <w:lang w:val="pt-BR"/>
        </w:rPr>
        <w:t xml:space="preserve">2002. Parágrafo 81; Corte IDH.  </w:t>
      </w:r>
      <w:r w:rsidRPr="00517ACA">
        <w:rPr>
          <w:rFonts w:asciiTheme="majorHAnsi" w:hAnsiTheme="majorHAnsi"/>
          <w:i/>
          <w:sz w:val="16"/>
          <w:szCs w:val="16"/>
          <w:lang w:val="pt-BR"/>
        </w:rPr>
        <w:t>Caso Johan Alexis Ortiz Hernández Vs. Venezuela</w:t>
      </w:r>
      <w:r w:rsidRPr="00517ACA">
        <w:rPr>
          <w:rFonts w:asciiTheme="majorHAnsi" w:hAnsiTheme="majorHAnsi"/>
          <w:sz w:val="16"/>
          <w:szCs w:val="16"/>
          <w:lang w:val="pt-BR"/>
        </w:rPr>
        <w:t>. Mérito. 29 de janeiro de 2015. Par. 185.</w:t>
      </w:r>
    </w:p>
  </w:footnote>
  <w:footnote w:id="55">
    <w:p w14:paraId="2FB09B84" w14:textId="77777777" w:rsidR="00977580" w:rsidRPr="00517ACA" w:rsidRDefault="00977580" w:rsidP="00F26998">
      <w:pPr>
        <w:pStyle w:val="FootnoteText"/>
        <w:tabs>
          <w:tab w:val="left" w:pos="720"/>
          <w:tab w:val="left" w:pos="900"/>
          <w:tab w:val="left" w:pos="1080"/>
        </w:tabs>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Corte IDH. </w:t>
      </w:r>
      <w:r w:rsidRPr="00517ACA">
        <w:rPr>
          <w:rFonts w:asciiTheme="majorHAnsi" w:hAnsiTheme="majorHAnsi"/>
          <w:i/>
          <w:sz w:val="16"/>
          <w:szCs w:val="16"/>
          <w:lang w:val="pt-BR"/>
        </w:rPr>
        <w:t>Caso Johan Alexis Ortiz Hernández Vs. Venezuela</w:t>
      </w:r>
      <w:r w:rsidRPr="00517ACA">
        <w:rPr>
          <w:rFonts w:asciiTheme="majorHAnsi" w:hAnsiTheme="majorHAnsi"/>
          <w:sz w:val="16"/>
          <w:szCs w:val="16"/>
          <w:lang w:val="pt-BR"/>
        </w:rPr>
        <w:t xml:space="preserve">. Mérito. 29 de janeiro de 2015. Par.186. Veja também: Corte IDH. </w:t>
      </w:r>
      <w:r w:rsidRPr="00517ACA">
        <w:rPr>
          <w:rFonts w:asciiTheme="majorHAnsi" w:hAnsiTheme="majorHAnsi"/>
          <w:bCs/>
          <w:i/>
          <w:sz w:val="16"/>
          <w:szCs w:val="16"/>
          <w:lang w:val="pt-BR"/>
        </w:rPr>
        <w:t xml:space="preserve">Caso Zambrano Vélez e outros Vs. Equador. </w:t>
      </w:r>
      <w:r w:rsidRPr="00517ACA">
        <w:rPr>
          <w:rFonts w:asciiTheme="majorHAnsi" w:hAnsiTheme="majorHAnsi"/>
          <w:sz w:val="16"/>
          <w:szCs w:val="16"/>
          <w:lang w:val="pt-BR"/>
        </w:rPr>
        <w:t xml:space="preserve">Mérito, Reparações e Custas. Sentença de 4 de julho de 2007. Série C, Nº 166. Par. 80. </w:t>
      </w:r>
    </w:p>
  </w:footnote>
  <w:footnote w:id="56">
    <w:p w14:paraId="254AF1FE" w14:textId="77777777" w:rsidR="00977580" w:rsidRPr="00517ACA" w:rsidRDefault="00977580" w:rsidP="00F26998">
      <w:pPr>
        <w:jc w:val="both"/>
        <w:rPr>
          <w:rFonts w:asciiTheme="majorHAnsi" w:hAnsiTheme="majorHAnsi"/>
          <w:sz w:val="16"/>
          <w:szCs w:val="16"/>
          <w:lang w:val="pt-BR"/>
        </w:rPr>
      </w:pPr>
      <w:r w:rsidRPr="00517ACA">
        <w:rPr>
          <w:rFonts w:asciiTheme="majorHAnsi" w:hAnsiTheme="majorHAnsi" w:cs="Arial"/>
          <w:sz w:val="16"/>
          <w:szCs w:val="16"/>
          <w:vertAlign w:val="superscript"/>
          <w:lang w:val="pt-BR"/>
        </w:rPr>
        <w:footnoteRef/>
      </w:r>
      <w:r w:rsidRPr="00517ACA">
        <w:rPr>
          <w:rFonts w:asciiTheme="majorHAnsi" w:hAnsiTheme="majorHAnsi" w:cs="Arial"/>
          <w:sz w:val="16"/>
          <w:szCs w:val="16"/>
          <w:lang w:val="pt-BR"/>
        </w:rPr>
        <w:t xml:space="preserve"> </w:t>
      </w:r>
      <w:hyperlink r:id="rId4" w:history="1">
        <w:r w:rsidRPr="00517ACA">
          <w:rPr>
            <w:rFonts w:asciiTheme="majorHAnsi" w:hAnsiTheme="majorHAnsi"/>
            <w:sz w:val="16"/>
            <w:szCs w:val="16"/>
            <w:lang w:val="pt-BR"/>
          </w:rPr>
          <w:t xml:space="preserve">Corte IDH. </w:t>
        </w:r>
        <w:r w:rsidRPr="00517ACA">
          <w:rPr>
            <w:rFonts w:asciiTheme="majorHAnsi" w:hAnsiTheme="majorHAnsi"/>
            <w:i/>
            <w:sz w:val="16"/>
            <w:szCs w:val="16"/>
            <w:lang w:val="pt-BR"/>
          </w:rPr>
          <w:t>Caso González Medina e familiares Vs. República Dominicana</w:t>
        </w:r>
        <w:r w:rsidRPr="00517ACA">
          <w:rPr>
            <w:rFonts w:asciiTheme="majorHAnsi" w:hAnsiTheme="majorHAnsi"/>
            <w:sz w:val="16"/>
            <w:szCs w:val="16"/>
            <w:lang w:val="pt-BR"/>
          </w:rPr>
          <w:t>. Exceções Preliminares, Mérito, Reparações e Custas. Sentença de 27 de fevereiro de 2012, Série C Nº 240</w:t>
        </w:r>
      </w:hyperlink>
      <w:r w:rsidRPr="00517ACA">
        <w:rPr>
          <w:rFonts w:asciiTheme="majorHAnsi" w:hAnsiTheme="majorHAnsi"/>
          <w:sz w:val="16"/>
          <w:szCs w:val="16"/>
          <w:lang w:val="pt-BR"/>
        </w:rPr>
        <w:t xml:space="preserve">, parágrafo133; </w:t>
      </w:r>
      <w:r w:rsidRPr="00517ACA">
        <w:rPr>
          <w:rFonts w:asciiTheme="majorHAnsi" w:hAnsiTheme="majorHAnsi" w:cs="Arial"/>
          <w:sz w:val="16"/>
          <w:szCs w:val="16"/>
          <w:lang w:val="pt-BR"/>
        </w:rPr>
        <w:t xml:space="preserve">Corte IDH. </w:t>
      </w:r>
      <w:r w:rsidRPr="00517ACA">
        <w:rPr>
          <w:rFonts w:asciiTheme="majorHAnsi" w:hAnsiTheme="majorHAnsi" w:cs="Arial"/>
          <w:i/>
          <w:sz w:val="16"/>
          <w:szCs w:val="16"/>
          <w:lang w:val="pt-BR"/>
        </w:rPr>
        <w:t>Caso do Massacre de Pueblo Bello vs. Colômbia</w:t>
      </w:r>
      <w:r w:rsidRPr="00517ACA">
        <w:rPr>
          <w:rFonts w:asciiTheme="majorHAnsi" w:hAnsiTheme="majorHAnsi" w:cs="Arial"/>
          <w:sz w:val="16"/>
          <w:szCs w:val="16"/>
          <w:lang w:val="pt-BR"/>
        </w:rPr>
        <w:t>. Sentença de 31 de janeiro de 2006, Série C Nº 140, par. 112.</w:t>
      </w:r>
    </w:p>
  </w:footnote>
  <w:footnote w:id="57">
    <w:p w14:paraId="47326B59" w14:textId="77777777" w:rsidR="00977580" w:rsidRPr="00517ACA" w:rsidRDefault="00977580" w:rsidP="002649F0">
      <w:pPr>
        <w:pStyle w:val="FootnoteText"/>
        <w:tabs>
          <w:tab w:val="left" w:pos="284"/>
        </w:tabs>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Corte IDH. Caso Montero Aranguren e outros Vs. Venezuela. Exceção Preliminar, Mérito, Reparações e Custas. Sentença de 5 de julho de 2006. Série C No. 150 (“Corte IDH. Sentença Retén de Catia), parágrafo 66; Corte IDH. Caso Família Barrios Vs. Venezuela. Mérito, Reparações e Custas. Sentença de 24 de novembro de 2011 (“Corte IDH. Sentença Família Barrios”), par. 49.</w:t>
      </w:r>
    </w:p>
  </w:footnote>
  <w:footnote w:id="58">
    <w:p w14:paraId="744D1982" w14:textId="77777777" w:rsidR="00977580" w:rsidRPr="00517ACA" w:rsidRDefault="00977580" w:rsidP="002649F0">
      <w:pPr>
        <w:pStyle w:val="FootnoteText"/>
        <w:tabs>
          <w:tab w:val="left" w:pos="284"/>
        </w:tabs>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Corte IDH. Sentença Retén de Catia, par. 75; Corte IDH. Sentença Família Barrios, par. 49. </w:t>
      </w:r>
    </w:p>
  </w:footnote>
  <w:footnote w:id="59">
    <w:p w14:paraId="4CD88ACF" w14:textId="77777777" w:rsidR="00977580" w:rsidRPr="00517ACA" w:rsidRDefault="00977580" w:rsidP="002649F0">
      <w:pPr>
        <w:pStyle w:val="FootnoteText"/>
        <w:tabs>
          <w:tab w:val="left" w:pos="284"/>
        </w:tabs>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Escritório do Alto Comissariado das Nações Unidas para os Direitos Humanos. </w:t>
      </w:r>
      <w:hyperlink r:id="rId5" w:history="1">
        <w:r w:rsidRPr="003D3B11">
          <w:rPr>
            <w:rStyle w:val="Hyperlink"/>
            <w:rFonts w:asciiTheme="majorHAnsi" w:hAnsiTheme="majorHAnsi"/>
            <w:i/>
            <w:noProof/>
            <w:sz w:val="16"/>
            <w:szCs w:val="16"/>
            <w:lang w:val="es-ES"/>
          </w:rPr>
          <w:t>Principios básicos sobre el empleo de la fuerza y de armas de fuego por los funcionarios encargados de hacer cumplir la ley</w:t>
        </w:r>
      </w:hyperlink>
      <w:r w:rsidRPr="003D3B11">
        <w:rPr>
          <w:rFonts w:asciiTheme="majorHAnsi" w:hAnsiTheme="majorHAnsi"/>
          <w:i/>
          <w:sz w:val="16"/>
          <w:szCs w:val="16"/>
          <w:lang w:val="es-ES"/>
        </w:rPr>
        <w:t>.</w:t>
      </w:r>
      <w:r w:rsidRPr="003D3B11">
        <w:rPr>
          <w:rFonts w:asciiTheme="majorHAnsi" w:hAnsiTheme="majorHAnsi"/>
          <w:sz w:val="16"/>
          <w:szCs w:val="16"/>
          <w:lang w:val="es-ES"/>
        </w:rPr>
        <w:t xml:space="preserve"> </w:t>
      </w:r>
      <w:r w:rsidRPr="00517ACA">
        <w:rPr>
          <w:rFonts w:asciiTheme="majorHAnsi" w:hAnsiTheme="majorHAnsi"/>
          <w:sz w:val="16"/>
          <w:szCs w:val="16"/>
          <w:lang w:val="pt-BR"/>
        </w:rPr>
        <w:t xml:space="preserve">Princípio 2. </w:t>
      </w:r>
    </w:p>
  </w:footnote>
  <w:footnote w:id="60">
    <w:p w14:paraId="2A520755" w14:textId="77777777" w:rsidR="00977580" w:rsidRPr="00517ACA" w:rsidRDefault="00977580" w:rsidP="002649F0">
      <w:pPr>
        <w:tabs>
          <w:tab w:val="left" w:pos="284"/>
        </w:tabs>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Corte IDH. Caso do Caracazo Vs. Venezuela. Reparações e Custas. Sentença de 29 de agosto de 2002. Série C No. 95, par. 143.1.a; Corte IDH. Sentença Retén de Catia, par. 78. Ver também Tribunal</w:t>
      </w:r>
      <w:r w:rsidRPr="00517ACA">
        <w:rPr>
          <w:rFonts w:asciiTheme="majorHAnsi" w:eastAsia="Times New Roman" w:hAnsiTheme="majorHAnsi"/>
          <w:sz w:val="16"/>
          <w:szCs w:val="16"/>
          <w:lang w:val="pt-BR"/>
        </w:rPr>
        <w:t xml:space="preserve"> Europeu de Direitos Humanos (TEDH), </w:t>
      </w:r>
      <w:r w:rsidRPr="00517ACA">
        <w:rPr>
          <w:rFonts w:asciiTheme="majorHAnsi" w:eastAsia="Times New Roman" w:hAnsiTheme="majorHAnsi"/>
          <w:bCs/>
          <w:sz w:val="16"/>
          <w:szCs w:val="16"/>
          <w:lang w:val="pt-BR"/>
        </w:rPr>
        <w:t>McCann e outros vs. Reino Unido. No. 18984/91. Sentença (Gran</w:t>
      </w:r>
      <w:r>
        <w:rPr>
          <w:rFonts w:asciiTheme="majorHAnsi" w:eastAsia="Times New Roman" w:hAnsiTheme="majorHAnsi"/>
          <w:bCs/>
          <w:sz w:val="16"/>
          <w:szCs w:val="16"/>
          <w:lang w:val="pt-BR"/>
        </w:rPr>
        <w:t>de</w:t>
      </w:r>
      <w:r w:rsidRPr="00517ACA">
        <w:rPr>
          <w:rFonts w:asciiTheme="majorHAnsi" w:eastAsia="Times New Roman" w:hAnsiTheme="majorHAnsi"/>
          <w:bCs/>
          <w:sz w:val="16"/>
          <w:szCs w:val="16"/>
          <w:lang w:val="pt-BR"/>
        </w:rPr>
        <w:t xml:space="preserve"> Sala), </w:t>
      </w:r>
      <w:r w:rsidRPr="00517ACA">
        <w:rPr>
          <w:rFonts w:asciiTheme="majorHAnsi" w:eastAsia="Times New Roman" w:hAnsiTheme="majorHAnsi"/>
          <w:sz w:val="16"/>
          <w:szCs w:val="16"/>
          <w:lang w:val="pt-BR"/>
        </w:rPr>
        <w:t xml:space="preserve">27 de setembro de 1995, par. </w:t>
      </w:r>
      <w:r w:rsidRPr="00517ACA">
        <w:rPr>
          <w:rFonts w:asciiTheme="majorHAnsi" w:eastAsia="Times New Roman" w:hAnsiTheme="majorHAnsi"/>
          <w:bCs/>
          <w:sz w:val="16"/>
          <w:szCs w:val="16"/>
          <w:lang w:val="pt-BR"/>
        </w:rPr>
        <w:t>151, e TEDH, Kakoulli vs. Turquia. No. 385/97. Seção quarta. Sentença, 22 de novembro de</w:t>
      </w:r>
      <w:r w:rsidRPr="00517ACA">
        <w:rPr>
          <w:rFonts w:asciiTheme="majorHAnsi" w:eastAsia="Times New Roman" w:hAnsiTheme="majorHAnsi"/>
          <w:sz w:val="16"/>
          <w:szCs w:val="16"/>
          <w:lang w:val="pt-BR"/>
        </w:rPr>
        <w:t xml:space="preserve"> 2005, pars. 109 e 110.</w:t>
      </w:r>
    </w:p>
  </w:footnote>
  <w:footnote w:id="61">
    <w:p w14:paraId="27F02371" w14:textId="77777777" w:rsidR="00977580" w:rsidRPr="00517ACA" w:rsidRDefault="00977580" w:rsidP="002649F0">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CIDH. </w:t>
      </w:r>
      <w:r w:rsidRPr="00517ACA">
        <w:rPr>
          <w:rFonts w:asciiTheme="majorHAnsi" w:hAnsiTheme="majorHAnsi"/>
          <w:i/>
          <w:sz w:val="16"/>
          <w:szCs w:val="16"/>
          <w:lang w:val="pt-BR"/>
        </w:rPr>
        <w:t>Relatório sobre Terrorismo e Direitos Humanos</w:t>
      </w:r>
      <w:r w:rsidRPr="00517ACA">
        <w:rPr>
          <w:rFonts w:asciiTheme="majorHAnsi" w:hAnsiTheme="majorHAnsi"/>
          <w:sz w:val="16"/>
          <w:szCs w:val="16"/>
          <w:lang w:val="pt-BR"/>
        </w:rPr>
        <w:t xml:space="preserve">. 2002. </w:t>
      </w:r>
      <w:r w:rsidRPr="00517ACA">
        <w:rPr>
          <w:rFonts w:asciiTheme="majorHAnsi" w:hAnsiTheme="majorHAnsi"/>
          <w:spacing w:val="-3"/>
          <w:sz w:val="16"/>
          <w:szCs w:val="16"/>
          <w:lang w:val="pt-BR"/>
        </w:rPr>
        <w:t>OEA/Ser.L/V/II.116, doc. 5,</w:t>
      </w:r>
      <w:r w:rsidRPr="00517ACA">
        <w:rPr>
          <w:rFonts w:asciiTheme="majorHAnsi" w:hAnsiTheme="majorHAnsi"/>
          <w:sz w:val="16"/>
          <w:szCs w:val="16"/>
          <w:lang w:val="pt-BR"/>
        </w:rPr>
        <w:t xml:space="preserve"> par. 88. </w:t>
      </w:r>
    </w:p>
  </w:footnote>
  <w:footnote w:id="62">
    <w:p w14:paraId="428C7E8B" w14:textId="77777777" w:rsidR="00977580" w:rsidRPr="00517ACA" w:rsidRDefault="00977580" w:rsidP="002649F0">
      <w:pPr>
        <w:pStyle w:val="FootnoteText"/>
        <w:jc w:val="both"/>
        <w:rPr>
          <w:rFonts w:asciiTheme="majorHAnsi" w:hAnsiTheme="majorHAnsi"/>
          <w:sz w:val="16"/>
          <w:szCs w:val="16"/>
          <w:lang w:val="pt-BR"/>
        </w:rPr>
      </w:pPr>
      <w:r w:rsidRPr="00517ACA">
        <w:rPr>
          <w:rStyle w:val="FootnoteReference"/>
          <w:sz w:val="16"/>
          <w:szCs w:val="16"/>
          <w:lang w:val="pt-BR"/>
        </w:rPr>
        <w:footnoteRef/>
      </w:r>
      <w:r w:rsidRPr="00517ACA">
        <w:rPr>
          <w:rFonts w:asciiTheme="majorHAnsi" w:hAnsiTheme="majorHAnsi"/>
          <w:sz w:val="16"/>
          <w:szCs w:val="16"/>
          <w:lang w:val="pt-BR"/>
        </w:rPr>
        <w:t xml:space="preserve"> CIDH. Relatório 1/96. Caso 10.559. Chumbivilcas. Peru. 1 de março de 1996; CIDH. Relatório 34/00. Caso 11.291. Carandiru. Brasil. 13 de abril de 2000, pars. 63 a 67.</w:t>
      </w:r>
    </w:p>
  </w:footnote>
  <w:footnote w:id="63">
    <w:p w14:paraId="22DF61D4" w14:textId="77777777" w:rsidR="00977580" w:rsidRPr="00517ACA" w:rsidRDefault="00977580" w:rsidP="002649F0">
      <w:pPr>
        <w:pStyle w:val="FootnoteText"/>
        <w:jc w:val="both"/>
        <w:rPr>
          <w:rFonts w:asciiTheme="majorHAnsi" w:hAnsiTheme="majorHAnsi"/>
          <w:b/>
          <w:sz w:val="16"/>
          <w:szCs w:val="16"/>
          <w:lang w:val="pt-BR"/>
        </w:rPr>
      </w:pPr>
      <w:r w:rsidRPr="00517ACA">
        <w:rPr>
          <w:rStyle w:val="FootnoteReference"/>
          <w:rFonts w:asciiTheme="majorHAnsi" w:hAnsiTheme="majorHAnsi"/>
          <w:b/>
          <w:sz w:val="16"/>
          <w:szCs w:val="16"/>
          <w:lang w:val="pt-BR"/>
        </w:rPr>
        <w:footnoteRef/>
      </w:r>
      <w:r w:rsidRPr="00517ACA">
        <w:rPr>
          <w:rFonts w:asciiTheme="majorHAnsi" w:hAnsiTheme="majorHAnsi"/>
          <w:b/>
          <w:sz w:val="16"/>
          <w:szCs w:val="16"/>
          <w:lang w:val="pt-BR"/>
        </w:rPr>
        <w:t xml:space="preserve"> </w:t>
      </w:r>
      <w:r w:rsidRPr="00517ACA">
        <w:rPr>
          <w:rStyle w:val="Strong"/>
          <w:rFonts w:asciiTheme="majorHAnsi" w:hAnsiTheme="majorHAnsi"/>
          <w:b w:val="0"/>
          <w:sz w:val="16"/>
          <w:szCs w:val="16"/>
          <w:shd w:val="clear" w:color="auto" w:fill="FFFFFF"/>
          <w:lang w:val="pt-BR"/>
        </w:rPr>
        <w:t xml:space="preserve">Corte IDH. Caso </w:t>
      </w:r>
      <w:r>
        <w:rPr>
          <w:rStyle w:val="Strong"/>
          <w:rFonts w:asciiTheme="majorHAnsi" w:hAnsiTheme="majorHAnsi"/>
          <w:b w:val="0"/>
          <w:sz w:val="16"/>
          <w:szCs w:val="16"/>
          <w:shd w:val="clear" w:color="auto" w:fill="FFFFFF"/>
          <w:lang w:val="pt-BR"/>
        </w:rPr>
        <w:t>Irmãos</w:t>
      </w:r>
      <w:r w:rsidRPr="00517ACA">
        <w:rPr>
          <w:rStyle w:val="Strong"/>
          <w:rFonts w:asciiTheme="majorHAnsi" w:hAnsiTheme="majorHAnsi"/>
          <w:b w:val="0"/>
          <w:sz w:val="16"/>
          <w:szCs w:val="16"/>
          <w:shd w:val="clear" w:color="auto" w:fill="FFFFFF"/>
          <w:lang w:val="pt-BR"/>
        </w:rPr>
        <w:t xml:space="preserve"> Landaeta Mej</w:t>
      </w:r>
      <w:r>
        <w:rPr>
          <w:rStyle w:val="Strong"/>
          <w:rFonts w:asciiTheme="majorHAnsi" w:hAnsiTheme="majorHAnsi"/>
          <w:b w:val="0"/>
          <w:sz w:val="16"/>
          <w:szCs w:val="16"/>
          <w:shd w:val="clear" w:color="auto" w:fill="FFFFFF"/>
          <w:lang w:val="pt-BR"/>
        </w:rPr>
        <w:t>í</w:t>
      </w:r>
      <w:r w:rsidRPr="00517ACA">
        <w:rPr>
          <w:rStyle w:val="Strong"/>
          <w:rFonts w:asciiTheme="majorHAnsi" w:hAnsiTheme="majorHAnsi"/>
          <w:b w:val="0"/>
          <w:sz w:val="16"/>
          <w:szCs w:val="16"/>
          <w:shd w:val="clear" w:color="auto" w:fill="FFFFFF"/>
          <w:lang w:val="pt-BR"/>
        </w:rPr>
        <w:t xml:space="preserve">as e outros Vs. Venezuela. Exceções Preliminares, Mérito, Reparações e Custas. Sentença de 27 de </w:t>
      </w:r>
      <w:r w:rsidRPr="00517ACA">
        <w:rPr>
          <w:rFonts w:asciiTheme="majorHAnsi" w:hAnsiTheme="majorHAnsi"/>
          <w:bCs/>
          <w:sz w:val="16"/>
          <w:szCs w:val="16"/>
          <w:lang w:val="pt-BR"/>
        </w:rPr>
        <w:t>agosto</w:t>
      </w:r>
      <w:r w:rsidRPr="00517ACA">
        <w:rPr>
          <w:rStyle w:val="Strong"/>
          <w:rFonts w:asciiTheme="majorHAnsi" w:hAnsiTheme="majorHAnsi"/>
          <w:b w:val="0"/>
          <w:sz w:val="16"/>
          <w:szCs w:val="16"/>
          <w:shd w:val="clear" w:color="auto" w:fill="FFFFFF"/>
          <w:lang w:val="pt-BR"/>
        </w:rPr>
        <w:t xml:space="preserve"> de 2014. Série C No. 281, par. 134.</w:t>
      </w:r>
    </w:p>
  </w:footnote>
  <w:footnote w:id="64">
    <w:p w14:paraId="6EB8D8DB" w14:textId="77777777" w:rsidR="00977580" w:rsidRPr="00517ACA" w:rsidRDefault="00977580" w:rsidP="002649F0">
      <w:pPr>
        <w:tabs>
          <w:tab w:val="left" w:pos="900"/>
          <w:tab w:val="left" w:pos="1080"/>
        </w:tabs>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Corte IDH. Caso Nadege Dorzema e outros Vs. República Dominicana. Mérito, Reparações e Custas. Sentença de 24 de outubro de 2012. Série C No. 251, par. 85.</w:t>
      </w:r>
    </w:p>
  </w:footnote>
  <w:footnote w:id="65">
    <w:p w14:paraId="44643767" w14:textId="77777777" w:rsidR="00977580" w:rsidRPr="00517ACA" w:rsidRDefault="00977580" w:rsidP="002649F0">
      <w:pPr>
        <w:pStyle w:val="FootnoteText"/>
        <w:tabs>
          <w:tab w:val="left" w:pos="900"/>
          <w:tab w:val="left" w:pos="1080"/>
        </w:tabs>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Princípios 9 e 10 dos </w:t>
      </w:r>
      <w:r w:rsidRPr="00517ACA">
        <w:rPr>
          <w:rFonts w:asciiTheme="majorHAnsi" w:hAnsiTheme="majorHAnsi"/>
          <w:i/>
          <w:sz w:val="16"/>
          <w:szCs w:val="16"/>
          <w:lang w:val="pt-BR"/>
        </w:rPr>
        <w:t>Princípios básicos sobre o emprego da força e armas de fogo pelos funcionários responsáveis pela aplicação da lei</w:t>
      </w:r>
      <w:r w:rsidRPr="00517ACA">
        <w:rPr>
          <w:rFonts w:asciiTheme="majorHAnsi" w:hAnsiTheme="majorHAnsi"/>
          <w:sz w:val="16"/>
          <w:szCs w:val="16"/>
          <w:lang w:val="pt-BR"/>
        </w:rPr>
        <w:t xml:space="preserve">, </w:t>
      </w:r>
      <w:r w:rsidRPr="00517ACA">
        <w:rPr>
          <w:rFonts w:asciiTheme="majorHAnsi" w:hAnsiTheme="majorHAnsi"/>
          <w:sz w:val="16"/>
          <w:szCs w:val="16"/>
          <w:shd w:val="clear" w:color="auto" w:fill="FFFFFF"/>
          <w:lang w:val="pt-BR"/>
        </w:rPr>
        <w:t>adotados pelo Oitavo Congresso das Nações Unidas sobre a Prevenção do Crime e o Tratamento dos Delinquentes, realizado em Ha</w:t>
      </w:r>
      <w:r>
        <w:rPr>
          <w:rFonts w:asciiTheme="majorHAnsi" w:hAnsiTheme="majorHAnsi"/>
          <w:sz w:val="16"/>
          <w:szCs w:val="16"/>
          <w:shd w:val="clear" w:color="auto" w:fill="FFFFFF"/>
          <w:lang w:val="pt-BR"/>
        </w:rPr>
        <w:t>v</w:t>
      </w:r>
      <w:r w:rsidRPr="00517ACA">
        <w:rPr>
          <w:rFonts w:asciiTheme="majorHAnsi" w:hAnsiTheme="majorHAnsi"/>
          <w:sz w:val="16"/>
          <w:szCs w:val="16"/>
          <w:shd w:val="clear" w:color="auto" w:fill="FFFFFF"/>
          <w:lang w:val="pt-BR"/>
        </w:rPr>
        <w:t>ana (Cuba) de 27 de agosto a 7 de setembro de 1990.</w:t>
      </w:r>
    </w:p>
  </w:footnote>
  <w:footnote w:id="66">
    <w:p w14:paraId="53AE4F58" w14:textId="77777777" w:rsidR="00977580" w:rsidRPr="00517ACA" w:rsidRDefault="00977580" w:rsidP="002649F0">
      <w:pPr>
        <w:jc w:val="both"/>
        <w:rPr>
          <w:rFonts w:ascii="Cambria" w:hAnsi="Cambria"/>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O artigo 15 da </w:t>
      </w:r>
      <w:r w:rsidRPr="00517ACA">
        <w:rPr>
          <w:rFonts w:asciiTheme="majorHAnsi" w:hAnsiTheme="majorHAnsi"/>
          <w:sz w:val="16"/>
          <w:szCs w:val="16"/>
          <w:lang w:val="pt-BR" w:eastAsia="es-ES"/>
        </w:rPr>
        <w:t>Convenção Americana sobre</w:t>
      </w:r>
      <w:r w:rsidRPr="00517ACA">
        <w:rPr>
          <w:rFonts w:ascii="Cambria" w:hAnsi="Cambria"/>
          <w:sz w:val="16"/>
          <w:szCs w:val="16"/>
          <w:lang w:val="pt-BR" w:eastAsia="es-ES"/>
        </w:rPr>
        <w:t xml:space="preserve"> Direitos Humanos estabelece:</w:t>
      </w:r>
      <w:r w:rsidRPr="00517ACA">
        <w:rPr>
          <w:rFonts w:ascii="Cambria" w:hAnsi="Cambria"/>
          <w:color w:val="000000"/>
          <w:spacing w:val="-3"/>
          <w:sz w:val="16"/>
          <w:szCs w:val="16"/>
          <w:lang w:val="pt-BR"/>
        </w:rPr>
        <w:t xml:space="preserve"> “É reconhecido o direito de reunião pacífica e sem armas.  O exercício de tal direito só pode estar sujeito às restrições previstas pela lei e que sejam necessárias, numa sociedade democrática, no interesse da segurança nacional, da segurança ou da ordem públicas, ou para proteger a saúde ou a moral públicas ou os direitos e liberdades das demais pessoas”</w:t>
      </w:r>
      <w:r w:rsidRPr="00517ACA">
        <w:rPr>
          <w:rFonts w:ascii="Cambria" w:eastAsia="Calibri" w:hAnsi="Cambria" w:cs="Calibri"/>
          <w:color w:val="000000"/>
          <w:sz w:val="16"/>
          <w:szCs w:val="16"/>
          <w:u w:color="000000"/>
          <w:lang w:val="pt-BR" w:eastAsia="es-ES"/>
        </w:rPr>
        <w:t xml:space="preserve">. </w:t>
      </w:r>
    </w:p>
  </w:footnote>
  <w:footnote w:id="67">
    <w:p w14:paraId="6126D682" w14:textId="77777777" w:rsidR="00977580" w:rsidRPr="00517ACA" w:rsidRDefault="00977580" w:rsidP="002649F0">
      <w:pPr>
        <w:pStyle w:val="FootnoteText"/>
        <w:jc w:val="both"/>
        <w:rPr>
          <w:rFonts w:ascii="Cambria" w:hAnsi="Cambria"/>
          <w:sz w:val="16"/>
          <w:szCs w:val="16"/>
          <w:lang w:val="pt-BR"/>
        </w:rPr>
      </w:pPr>
      <w:r w:rsidRPr="00517ACA">
        <w:rPr>
          <w:rStyle w:val="FootnoteReference"/>
          <w:rFonts w:ascii="Cambria" w:hAnsi="Cambria"/>
          <w:sz w:val="16"/>
          <w:szCs w:val="16"/>
          <w:lang w:val="pt-BR"/>
        </w:rPr>
        <w:footnoteRef/>
      </w:r>
      <w:r w:rsidRPr="00517ACA">
        <w:rPr>
          <w:rFonts w:ascii="Cambria" w:hAnsi="Cambria"/>
          <w:sz w:val="16"/>
          <w:szCs w:val="16"/>
          <w:lang w:val="pt-BR"/>
        </w:rPr>
        <w:t xml:space="preserve"> O artigo 13 da Convenção Americana sobre Direitos Humanos estabelece: </w:t>
      </w:r>
    </w:p>
    <w:p w14:paraId="2A001684" w14:textId="77777777" w:rsidR="00977580" w:rsidRPr="00517ACA" w:rsidRDefault="00977580" w:rsidP="00D653C8">
      <w:pPr>
        <w:jc w:val="both"/>
        <w:rPr>
          <w:rFonts w:ascii="Cambria" w:hAnsi="Cambria"/>
          <w:sz w:val="16"/>
          <w:szCs w:val="16"/>
          <w:lang w:val="pt-BR"/>
        </w:rPr>
      </w:pPr>
      <w:r w:rsidRPr="00517ACA">
        <w:rPr>
          <w:rFonts w:ascii="Cambria" w:hAnsi="Cambria"/>
          <w:sz w:val="16"/>
          <w:szCs w:val="16"/>
          <w:lang w:val="pt-BR"/>
        </w:rPr>
        <w:t>“1. Toda pessoa tem direito à liberdade de pensamento e de expressão.  Esse direito compreende a liberdade de buscar, receber e difundir informações e ideias de toda natureza, sem consideração de fronteiras, verbalmente ou por escrito, ou em forma impressa ou artística, ou por qualquer outro processo de sua escolha.</w:t>
      </w:r>
    </w:p>
    <w:p w14:paraId="606C7EE6" w14:textId="77777777" w:rsidR="00977580" w:rsidRPr="00517ACA" w:rsidRDefault="00977580" w:rsidP="00D653C8">
      <w:pPr>
        <w:jc w:val="both"/>
        <w:rPr>
          <w:rFonts w:ascii="Cambria" w:hAnsi="Cambria"/>
          <w:sz w:val="16"/>
          <w:szCs w:val="16"/>
          <w:lang w:val="pt-BR"/>
        </w:rPr>
      </w:pPr>
      <w:r w:rsidRPr="00517ACA">
        <w:rPr>
          <w:rFonts w:ascii="Cambria" w:hAnsi="Cambria"/>
          <w:sz w:val="16"/>
          <w:szCs w:val="16"/>
          <w:lang w:val="pt-BR"/>
        </w:rPr>
        <w:t>2. O exercício do direito previsto no inciso precedente não pode estar sujeito a censura prévia, mas a responsabilidades ulteriores, que devem ser expressamente fixadas pela lei e ser necessárias para assegurar:</w:t>
      </w:r>
    </w:p>
    <w:p w14:paraId="3D4D1931" w14:textId="77777777" w:rsidR="00977580" w:rsidRPr="00517ACA" w:rsidRDefault="00977580" w:rsidP="00D653C8">
      <w:pPr>
        <w:jc w:val="both"/>
        <w:rPr>
          <w:rFonts w:ascii="Cambria" w:hAnsi="Cambria"/>
          <w:sz w:val="16"/>
          <w:szCs w:val="16"/>
          <w:lang w:val="pt-BR"/>
        </w:rPr>
      </w:pPr>
      <w:r w:rsidRPr="00517ACA">
        <w:rPr>
          <w:rFonts w:ascii="Cambria" w:hAnsi="Cambria"/>
          <w:sz w:val="16"/>
          <w:szCs w:val="16"/>
          <w:lang w:val="pt-BR"/>
        </w:rPr>
        <w:t>a. o respeito aos direitos ou à reputação das demais pessoas; ou</w:t>
      </w:r>
    </w:p>
    <w:p w14:paraId="51CC4C42" w14:textId="77777777" w:rsidR="00977580" w:rsidRPr="00517ACA" w:rsidRDefault="00977580" w:rsidP="00D653C8">
      <w:pPr>
        <w:jc w:val="both"/>
        <w:rPr>
          <w:rFonts w:ascii="Cambria" w:hAnsi="Cambria"/>
          <w:sz w:val="16"/>
          <w:szCs w:val="16"/>
          <w:lang w:val="pt-BR"/>
        </w:rPr>
      </w:pPr>
      <w:r w:rsidRPr="00517ACA">
        <w:rPr>
          <w:rFonts w:ascii="Cambria" w:hAnsi="Cambria"/>
          <w:sz w:val="16"/>
          <w:szCs w:val="16"/>
          <w:lang w:val="pt-BR"/>
        </w:rPr>
        <w:t>b. a proteção da segurança nacional, da ordem pública, ou da saúde ou da moral públicas.</w:t>
      </w:r>
    </w:p>
    <w:p w14:paraId="2596698D" w14:textId="77777777" w:rsidR="00977580" w:rsidRPr="00517ACA" w:rsidRDefault="00977580" w:rsidP="00D653C8">
      <w:pPr>
        <w:jc w:val="both"/>
        <w:rPr>
          <w:rFonts w:ascii="Cambria" w:hAnsi="Cambria"/>
          <w:sz w:val="16"/>
          <w:szCs w:val="16"/>
          <w:lang w:val="pt-BR"/>
        </w:rPr>
      </w:pPr>
      <w:r w:rsidRPr="00517ACA">
        <w:rPr>
          <w:rFonts w:ascii="Cambria" w:hAnsi="Cambria"/>
          <w:sz w:val="16"/>
          <w:szCs w:val="16"/>
          <w:lang w:val="pt-BR"/>
        </w:rPr>
        <w:t>3. Não se pode restringir o direito de expressão por vias ou meios indiretos, tais como o abuso de controles oficiais ou particulares de papel de imprensa, de frequências radioelétricas ou de equipamentos e aparelhos usados na difusão de informação, nem por quaisquer outros meios destinados a obstar a comunicação e a circulação de ideias e opiniões.</w:t>
      </w:r>
    </w:p>
    <w:p w14:paraId="165C1D71" w14:textId="77777777" w:rsidR="00977580" w:rsidRPr="00517ACA" w:rsidRDefault="00977580" w:rsidP="00D653C8">
      <w:pPr>
        <w:jc w:val="both"/>
        <w:rPr>
          <w:rFonts w:ascii="Cambria" w:hAnsi="Cambria"/>
          <w:sz w:val="16"/>
          <w:szCs w:val="16"/>
          <w:lang w:val="pt-BR"/>
        </w:rPr>
      </w:pPr>
      <w:r w:rsidRPr="00517ACA">
        <w:rPr>
          <w:rFonts w:ascii="Cambria" w:hAnsi="Cambria"/>
          <w:sz w:val="16"/>
          <w:szCs w:val="16"/>
          <w:lang w:val="pt-BR"/>
        </w:rPr>
        <w:t>4. A lei pode submeter os espetáculos públicos a censura prévia, com o objetivo exclusivo de regular o acesso a eles, para proteção moral da infância e da adolescência, sem prejuízo do disposto no inciso 2.</w:t>
      </w:r>
    </w:p>
    <w:p w14:paraId="66E23C02" w14:textId="77777777" w:rsidR="00977580" w:rsidRPr="00517ACA" w:rsidRDefault="00977580" w:rsidP="00D653C8">
      <w:pPr>
        <w:pStyle w:val="FootnoteText"/>
        <w:jc w:val="both"/>
        <w:rPr>
          <w:rFonts w:asciiTheme="majorHAnsi" w:hAnsiTheme="majorHAnsi"/>
          <w:sz w:val="16"/>
          <w:szCs w:val="16"/>
          <w:lang w:val="pt-BR"/>
        </w:rPr>
      </w:pPr>
      <w:r w:rsidRPr="00517ACA">
        <w:rPr>
          <w:rFonts w:ascii="Cambria" w:hAnsi="Cambria"/>
          <w:sz w:val="16"/>
          <w:szCs w:val="16"/>
          <w:lang w:val="pt-BR"/>
        </w:rPr>
        <w:t>5. A lei deve proibir toda propaganda a favor da guerra, bem como toda apologia ao ódio nacional, racial ou religioso que constitua incitação à discriminação, à hostilidade, ao crime ou à violência”</w:t>
      </w:r>
      <w:r w:rsidRPr="00517ACA">
        <w:rPr>
          <w:rFonts w:asciiTheme="majorHAnsi" w:hAnsiTheme="majorHAnsi"/>
          <w:sz w:val="16"/>
          <w:szCs w:val="16"/>
          <w:lang w:val="pt-BR"/>
        </w:rPr>
        <w:t>.</w:t>
      </w:r>
    </w:p>
  </w:footnote>
  <w:footnote w:id="68">
    <w:p w14:paraId="10250F44" w14:textId="77777777" w:rsidR="00977580" w:rsidRPr="00517ACA" w:rsidRDefault="00977580" w:rsidP="00D653C8">
      <w:pPr>
        <w:pStyle w:val="FootnoteText"/>
        <w:jc w:val="both"/>
        <w:rPr>
          <w:rFonts w:ascii="Cambria" w:hAnsi="Cambria"/>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O artigo 22.1 da Conven</w:t>
      </w:r>
      <w:r w:rsidRPr="00517ACA">
        <w:rPr>
          <w:rFonts w:ascii="Cambria" w:hAnsi="Cambria"/>
          <w:sz w:val="16"/>
          <w:szCs w:val="16"/>
          <w:lang w:val="pt-BR"/>
        </w:rPr>
        <w:t>ção Americana sobre Direitos Humanos estabelece:</w:t>
      </w:r>
      <w:r w:rsidRPr="00517ACA">
        <w:rPr>
          <w:rFonts w:ascii="Cambria" w:hAnsi="Cambria"/>
          <w:spacing w:val="-3"/>
          <w:sz w:val="16"/>
          <w:szCs w:val="16"/>
          <w:lang w:val="pt-BR"/>
        </w:rPr>
        <w:t xml:space="preserve"> “Toda pessoa que se ache legalmente no território de um Estado tem direito de circular nele e de nele residir em conformidade com as disposições legais”</w:t>
      </w:r>
      <w:r w:rsidRPr="00517ACA">
        <w:rPr>
          <w:rFonts w:ascii="Cambria" w:hAnsi="Cambria"/>
          <w:sz w:val="16"/>
          <w:szCs w:val="16"/>
          <w:lang w:val="pt-BR"/>
        </w:rPr>
        <w:t>.</w:t>
      </w:r>
    </w:p>
  </w:footnote>
  <w:footnote w:id="69">
    <w:p w14:paraId="78C764D0" w14:textId="77777777" w:rsidR="00977580" w:rsidRPr="00517ACA" w:rsidRDefault="00977580" w:rsidP="00D653C8">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A Comissão Interamericana incluiu, em seu relatório sobre Protesto e Direitos Humanos, o direito de associação como um dos direitos exercidos no âmbito de manifestações públicas, levando em conta que o protesto costuma ser um importante meio de ação e de consecução de objetivos legítimos por parte de organizações e coletivos.</w:t>
      </w:r>
    </w:p>
  </w:footnote>
  <w:footnote w:id="70">
    <w:p w14:paraId="147379D9" w14:textId="77777777" w:rsidR="00977580" w:rsidRPr="00517ACA" w:rsidRDefault="00977580" w:rsidP="00D653C8">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3D3B11">
        <w:rPr>
          <w:rFonts w:asciiTheme="majorHAnsi" w:hAnsiTheme="majorHAnsi"/>
          <w:sz w:val="16"/>
          <w:szCs w:val="16"/>
          <w:lang w:val="es-ES"/>
        </w:rPr>
        <w:t xml:space="preserve"> CIDH. </w:t>
      </w:r>
      <w:hyperlink r:id="rId6" w:history="1">
        <w:r w:rsidRPr="003D3B11">
          <w:rPr>
            <w:rStyle w:val="Hyperlink"/>
            <w:rFonts w:asciiTheme="majorHAnsi" w:hAnsiTheme="majorHAnsi"/>
            <w:sz w:val="16"/>
            <w:szCs w:val="16"/>
            <w:lang w:val="es-ES"/>
          </w:rPr>
          <w:t>Protesta y Derechos Humanos</w:t>
        </w:r>
      </w:hyperlink>
      <w:r w:rsidRPr="003D3B11">
        <w:rPr>
          <w:rFonts w:asciiTheme="majorHAnsi" w:hAnsiTheme="majorHAnsi"/>
          <w:sz w:val="16"/>
          <w:szCs w:val="16"/>
          <w:lang w:val="es-ES"/>
        </w:rPr>
        <w:t xml:space="preserve">. </w:t>
      </w:r>
      <w:r w:rsidRPr="00517ACA">
        <w:rPr>
          <w:rFonts w:asciiTheme="majorHAnsi" w:hAnsiTheme="majorHAnsi"/>
          <w:sz w:val="16"/>
          <w:szCs w:val="16"/>
          <w:lang w:val="pt-BR"/>
        </w:rPr>
        <w:t>OEA/Ser.L/V/II. CIDH/RELE/INF.22/19. Setembro 2019. Prólogo.</w:t>
      </w:r>
    </w:p>
  </w:footnote>
  <w:footnote w:id="71">
    <w:p w14:paraId="2D163E18" w14:textId="77777777" w:rsidR="00977580" w:rsidRPr="00517ACA" w:rsidRDefault="00977580" w:rsidP="002649F0">
      <w:pPr>
        <w:tabs>
          <w:tab w:val="left" w:pos="426"/>
          <w:tab w:val="left" w:pos="567"/>
        </w:tabs>
        <w:jc w:val="both"/>
        <w:rPr>
          <w:rFonts w:asciiTheme="majorHAnsi" w:hAnsiTheme="majorHAnsi" w:cs="Arial"/>
          <w:b/>
          <w:bCs/>
          <w:color w:val="000000" w:themeColor="text1"/>
          <w:sz w:val="16"/>
          <w:szCs w:val="16"/>
          <w:shd w:val="clear" w:color="auto" w:fill="C1C0C0"/>
          <w:lang w:val="pt-BR"/>
        </w:rPr>
      </w:pPr>
      <w:r w:rsidRPr="00517ACA">
        <w:rPr>
          <w:rStyle w:val="FootnoteReference"/>
          <w:rFonts w:asciiTheme="majorHAnsi" w:hAnsiTheme="majorHAnsi"/>
          <w:color w:val="000000" w:themeColor="text1"/>
          <w:sz w:val="16"/>
          <w:szCs w:val="16"/>
          <w:lang w:val="pt-BR"/>
        </w:rPr>
        <w:footnoteRef/>
      </w:r>
      <w:r w:rsidRPr="00517ACA">
        <w:rPr>
          <w:rFonts w:asciiTheme="majorHAnsi" w:hAnsiTheme="majorHAnsi"/>
          <w:color w:val="000000" w:themeColor="text1"/>
          <w:sz w:val="16"/>
          <w:szCs w:val="16"/>
          <w:lang w:val="pt-BR"/>
        </w:rPr>
        <w:t xml:space="preserve"> Corte IDH. Caso López Lone e outros vs. Honduras. Exceção Preliminar, Mérito, Reparações e Custas. Sentença de 5 de outubro de 2015. Série C No. 302, par. 167 (“Corte IDH. Sentença López Lone e outros), citando TEDH, </w:t>
      </w:r>
      <w:r w:rsidRPr="00517ACA">
        <w:rPr>
          <w:rFonts w:asciiTheme="majorHAnsi" w:hAnsiTheme="majorHAnsi" w:cs="Arial"/>
          <w:iCs/>
          <w:color w:val="000000" w:themeColor="text1"/>
          <w:sz w:val="16"/>
          <w:szCs w:val="16"/>
          <w:shd w:val="clear" w:color="auto" w:fill="FFFFFF"/>
          <w:lang w:val="pt-BR"/>
        </w:rPr>
        <w:t>Djavit An vs. Turquia, No. 20652/92. Sentença de 20 de fevereiro de 2003, par. 56, e Yilmaz Yildiz e outros vs. Turquia, No.</w:t>
      </w:r>
      <w:r w:rsidRPr="00517ACA">
        <w:rPr>
          <w:rStyle w:val="apple-converted-space"/>
          <w:rFonts w:asciiTheme="majorHAnsi" w:hAnsiTheme="majorHAnsi" w:cs="Arial"/>
          <w:iCs/>
          <w:color w:val="000000" w:themeColor="text1"/>
          <w:sz w:val="16"/>
          <w:szCs w:val="16"/>
          <w:shd w:val="clear" w:color="auto" w:fill="FFFFFF"/>
          <w:lang w:val="pt-BR"/>
        </w:rPr>
        <w:t> </w:t>
      </w:r>
      <w:hyperlink r:id="rId7" w:anchor="{&quot;appno&quot;:[&quot;4524/06&quot;]}" w:tgtFrame="_blank" w:history="1">
        <w:r w:rsidRPr="00517ACA">
          <w:rPr>
            <w:rStyle w:val="Hyperlink"/>
            <w:rFonts w:asciiTheme="majorHAnsi" w:hAnsiTheme="majorHAnsi" w:cs="Arial"/>
            <w:iCs/>
            <w:color w:val="000000" w:themeColor="text1"/>
            <w:sz w:val="16"/>
            <w:szCs w:val="16"/>
            <w:shd w:val="clear" w:color="auto" w:fill="FFFFFF"/>
            <w:lang w:val="pt-BR"/>
          </w:rPr>
          <w:t>4524/06</w:t>
        </w:r>
      </w:hyperlink>
      <w:r w:rsidRPr="00517ACA">
        <w:rPr>
          <w:rFonts w:asciiTheme="majorHAnsi" w:hAnsiTheme="majorHAnsi" w:cs="Arial"/>
          <w:iCs/>
          <w:color w:val="000000" w:themeColor="text1"/>
          <w:sz w:val="16"/>
          <w:szCs w:val="16"/>
          <w:shd w:val="clear" w:color="auto" w:fill="FFFFFF"/>
          <w:lang w:val="pt-BR"/>
        </w:rPr>
        <w:t>. Sentença de 14 de outubro de 2014, par. 41.</w:t>
      </w:r>
    </w:p>
  </w:footnote>
  <w:footnote w:id="72">
    <w:p w14:paraId="4958E467" w14:textId="77777777" w:rsidR="00977580" w:rsidRPr="00517ACA" w:rsidRDefault="00977580" w:rsidP="002649F0">
      <w:pPr>
        <w:tabs>
          <w:tab w:val="left" w:pos="426"/>
          <w:tab w:val="left" w:pos="567"/>
        </w:tabs>
        <w:jc w:val="both"/>
        <w:rPr>
          <w:rFonts w:asciiTheme="majorHAnsi" w:hAnsiTheme="majorHAnsi" w:cs="Arial"/>
          <w:b/>
          <w:bCs/>
          <w:color w:val="000000" w:themeColor="text1"/>
          <w:sz w:val="16"/>
          <w:szCs w:val="16"/>
          <w:shd w:val="clear" w:color="auto" w:fill="C1C0C0"/>
          <w:lang w:val="pt-BR"/>
        </w:rPr>
      </w:pPr>
      <w:r w:rsidRPr="00517ACA">
        <w:rPr>
          <w:rStyle w:val="FootnoteReference"/>
          <w:rFonts w:asciiTheme="majorHAnsi" w:hAnsiTheme="majorHAnsi"/>
          <w:color w:val="000000" w:themeColor="text1"/>
          <w:sz w:val="16"/>
          <w:szCs w:val="16"/>
          <w:lang w:val="pt-BR"/>
        </w:rPr>
        <w:footnoteRef/>
      </w:r>
      <w:r w:rsidRPr="00517ACA">
        <w:rPr>
          <w:rFonts w:asciiTheme="majorHAnsi" w:hAnsiTheme="majorHAnsi"/>
          <w:color w:val="000000" w:themeColor="text1"/>
          <w:sz w:val="16"/>
          <w:szCs w:val="16"/>
          <w:lang w:val="pt-BR"/>
        </w:rPr>
        <w:t xml:space="preserve"> Corte IDH. Sentença López Lone e outros, par. 167, citando a </w:t>
      </w:r>
      <w:r w:rsidRPr="00517ACA">
        <w:rPr>
          <w:rFonts w:asciiTheme="majorHAnsi" w:hAnsiTheme="majorHAnsi"/>
          <w:i/>
          <w:sz w:val="16"/>
          <w:szCs w:val="16"/>
          <w:lang w:val="pt-BR"/>
        </w:rPr>
        <w:t>Resolução do Conselho de Direitos Humanos sobre a promoção e proteção dos direitos humanos no contexto das manifestações pacíficas</w:t>
      </w:r>
      <w:r w:rsidRPr="00517ACA">
        <w:rPr>
          <w:rFonts w:asciiTheme="majorHAnsi" w:hAnsiTheme="majorHAnsi"/>
          <w:sz w:val="16"/>
          <w:szCs w:val="16"/>
          <w:lang w:val="pt-BR"/>
        </w:rPr>
        <w:t>, A/HRC/RES/19/35, de 23 de março de 2012, e as resoluções homônimas A/HRC/RES/22/10 de 21 de março de 2013 e A/HRC/25/L.20 de 24 de março de 2014.</w:t>
      </w:r>
    </w:p>
  </w:footnote>
  <w:footnote w:id="73">
    <w:p w14:paraId="723F1A68" w14:textId="77777777" w:rsidR="00977580" w:rsidRPr="003D3B11" w:rsidRDefault="00977580">
      <w:pPr>
        <w:pStyle w:val="FootnoteText"/>
        <w:rPr>
          <w:rFonts w:asciiTheme="majorHAnsi" w:hAnsiTheme="majorHAnsi"/>
          <w:sz w:val="16"/>
          <w:szCs w:val="16"/>
          <w:lang w:val="es-ES"/>
        </w:rPr>
      </w:pPr>
      <w:r w:rsidRPr="00517ACA">
        <w:rPr>
          <w:rStyle w:val="FootnoteReference"/>
          <w:rFonts w:asciiTheme="majorHAnsi" w:hAnsiTheme="majorHAnsi"/>
          <w:sz w:val="16"/>
          <w:szCs w:val="16"/>
          <w:lang w:val="pt-BR"/>
        </w:rPr>
        <w:footnoteRef/>
      </w:r>
      <w:r w:rsidRPr="003D3B11">
        <w:rPr>
          <w:rFonts w:asciiTheme="majorHAnsi" w:hAnsiTheme="majorHAnsi"/>
          <w:sz w:val="16"/>
          <w:szCs w:val="16"/>
          <w:lang w:val="es-ES"/>
        </w:rPr>
        <w:t xml:space="preserve"> CIDH. </w:t>
      </w:r>
      <w:hyperlink r:id="rId8" w:history="1">
        <w:r w:rsidRPr="003D3B11">
          <w:rPr>
            <w:rStyle w:val="Hyperlink"/>
            <w:rFonts w:asciiTheme="majorHAnsi" w:hAnsiTheme="majorHAnsi"/>
            <w:sz w:val="16"/>
            <w:szCs w:val="16"/>
            <w:lang w:val="es-ES"/>
          </w:rPr>
          <w:t>Protesta y Derechos Humanos</w:t>
        </w:r>
      </w:hyperlink>
      <w:r w:rsidRPr="003D3B11">
        <w:rPr>
          <w:rFonts w:asciiTheme="majorHAnsi" w:hAnsiTheme="majorHAnsi"/>
          <w:sz w:val="16"/>
          <w:szCs w:val="16"/>
          <w:lang w:val="es-ES"/>
        </w:rPr>
        <w:t xml:space="preserve">. </w:t>
      </w:r>
      <w:r w:rsidRPr="00517ACA">
        <w:rPr>
          <w:rFonts w:asciiTheme="majorHAnsi" w:hAnsiTheme="majorHAnsi"/>
          <w:sz w:val="16"/>
          <w:szCs w:val="16"/>
          <w:lang w:val="pt-BR"/>
        </w:rPr>
        <w:t xml:space="preserve">OEA/Ser.L/V/II. CIDH/RELE/INF.22/19. Setembro 2019. </w:t>
      </w:r>
      <w:r w:rsidRPr="003D3B11">
        <w:rPr>
          <w:rFonts w:asciiTheme="majorHAnsi" w:hAnsiTheme="majorHAnsi"/>
          <w:sz w:val="16"/>
          <w:szCs w:val="16"/>
          <w:lang w:val="es-ES"/>
        </w:rPr>
        <w:t>Par. 330.</w:t>
      </w:r>
    </w:p>
  </w:footnote>
  <w:footnote w:id="74">
    <w:p w14:paraId="79E5038F" w14:textId="77777777" w:rsidR="00977580" w:rsidRPr="00517ACA" w:rsidRDefault="00977580">
      <w:pPr>
        <w:pStyle w:val="FootnoteText"/>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3D3B11">
        <w:rPr>
          <w:rFonts w:asciiTheme="majorHAnsi" w:hAnsiTheme="majorHAnsi"/>
          <w:sz w:val="16"/>
          <w:szCs w:val="16"/>
          <w:lang w:val="es-ES"/>
        </w:rPr>
        <w:t xml:space="preserve"> CIDH. </w:t>
      </w:r>
      <w:hyperlink r:id="rId9" w:history="1">
        <w:r w:rsidRPr="003D3B11">
          <w:rPr>
            <w:rStyle w:val="Hyperlink"/>
            <w:rFonts w:asciiTheme="majorHAnsi" w:hAnsiTheme="majorHAnsi"/>
            <w:sz w:val="16"/>
            <w:szCs w:val="16"/>
            <w:lang w:val="es-ES"/>
          </w:rPr>
          <w:t>Protesta y Derechos Humanos</w:t>
        </w:r>
      </w:hyperlink>
      <w:r w:rsidRPr="003D3B11">
        <w:rPr>
          <w:rFonts w:asciiTheme="majorHAnsi" w:hAnsiTheme="majorHAnsi"/>
          <w:sz w:val="16"/>
          <w:szCs w:val="16"/>
          <w:lang w:val="es-ES"/>
        </w:rPr>
        <w:t xml:space="preserve">. OEA/Ser.L/V/II. </w:t>
      </w:r>
      <w:r w:rsidRPr="00517ACA">
        <w:rPr>
          <w:rFonts w:asciiTheme="majorHAnsi" w:hAnsiTheme="majorHAnsi"/>
          <w:sz w:val="16"/>
          <w:szCs w:val="16"/>
          <w:lang w:val="pt-BR"/>
        </w:rPr>
        <w:t>CIDH/RELE/INF.22/19. Setembro 2019. Par. 330.</w:t>
      </w:r>
    </w:p>
  </w:footnote>
  <w:footnote w:id="75">
    <w:p w14:paraId="61C687D9" w14:textId="77777777" w:rsidR="00977580" w:rsidRPr="00517ACA" w:rsidRDefault="00977580" w:rsidP="002649F0">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CIDH. Relatório Anual 2015, Capítulo IV A, par. 79. </w:t>
      </w:r>
    </w:p>
  </w:footnote>
  <w:footnote w:id="76">
    <w:p w14:paraId="18567643" w14:textId="77777777" w:rsidR="00977580" w:rsidRPr="00517ACA" w:rsidRDefault="00977580">
      <w:pPr>
        <w:pStyle w:val="FootnoteText"/>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CIDH. </w:t>
      </w:r>
      <w:hyperlink r:id="rId10" w:history="1">
        <w:r w:rsidRPr="00517ACA">
          <w:rPr>
            <w:rStyle w:val="Hyperlink"/>
            <w:rFonts w:asciiTheme="majorHAnsi" w:hAnsiTheme="majorHAnsi"/>
            <w:sz w:val="16"/>
            <w:szCs w:val="16"/>
            <w:lang w:val="pt-BR"/>
          </w:rPr>
          <w:t>Protesta e Direitos Humanos</w:t>
        </w:r>
      </w:hyperlink>
      <w:r w:rsidRPr="00517ACA">
        <w:rPr>
          <w:rFonts w:asciiTheme="majorHAnsi" w:hAnsiTheme="majorHAnsi"/>
          <w:sz w:val="16"/>
          <w:szCs w:val="16"/>
          <w:lang w:val="pt-BR"/>
        </w:rPr>
        <w:t>. OEA/Ser.L/V/II. CIDH/RELE/INF.22/19. Setembro 2019. Par. 102.</w:t>
      </w:r>
    </w:p>
  </w:footnote>
  <w:footnote w:id="77">
    <w:p w14:paraId="4803A76E" w14:textId="77777777" w:rsidR="00977580" w:rsidRPr="00517ACA" w:rsidRDefault="00977580" w:rsidP="002649F0">
      <w:pPr>
        <w:tabs>
          <w:tab w:val="left" w:pos="426"/>
          <w:tab w:val="left" w:pos="567"/>
        </w:tabs>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Corte IDH. Sentença Caso Atenco, par. 172. </w:t>
      </w:r>
    </w:p>
  </w:footnote>
  <w:footnote w:id="78">
    <w:p w14:paraId="4F3AFE8D" w14:textId="77777777" w:rsidR="00977580" w:rsidRPr="00517ACA" w:rsidRDefault="00977580" w:rsidP="002649F0">
      <w:pPr>
        <w:pStyle w:val="FootnoteText"/>
        <w:tabs>
          <w:tab w:val="left" w:pos="426"/>
        </w:tabs>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Corte IDH. Sentença Caso Atenco, par. 172.</w:t>
      </w:r>
    </w:p>
  </w:footnote>
  <w:footnote w:id="79">
    <w:p w14:paraId="25444E07" w14:textId="77777777" w:rsidR="00977580" w:rsidRPr="00517ACA" w:rsidRDefault="00977580" w:rsidP="002649F0">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CIDH. </w:t>
      </w:r>
      <w:r w:rsidRPr="00517ACA">
        <w:rPr>
          <w:rFonts w:asciiTheme="majorHAnsi" w:hAnsiTheme="majorHAnsi"/>
          <w:i/>
          <w:sz w:val="16"/>
          <w:szCs w:val="16"/>
          <w:lang w:val="pt-BR"/>
        </w:rPr>
        <w:t>Relatório Anual da Comissão Interamericana de Direitos Humanos 2005</w:t>
      </w:r>
      <w:r w:rsidRPr="00517ACA">
        <w:rPr>
          <w:rFonts w:asciiTheme="majorHAnsi" w:hAnsiTheme="majorHAnsi"/>
          <w:sz w:val="16"/>
          <w:szCs w:val="16"/>
          <w:lang w:val="pt-BR"/>
        </w:rPr>
        <w:t>. Volume III: Relatório da Relatoria para a Liberdade de Expressão. Capítulo V: As manifestações públicas como exercício da liberdade de expressão e da liberdade de reunião, par. 91.</w:t>
      </w:r>
    </w:p>
  </w:footnote>
  <w:footnote w:id="80">
    <w:p w14:paraId="48721E1C" w14:textId="77777777" w:rsidR="00977580" w:rsidRPr="003D3B11" w:rsidRDefault="00977580" w:rsidP="00565F62">
      <w:pPr>
        <w:pStyle w:val="FootnoteText"/>
        <w:rPr>
          <w:rFonts w:asciiTheme="majorHAnsi" w:hAnsiTheme="majorHAnsi"/>
          <w:sz w:val="16"/>
          <w:szCs w:val="16"/>
          <w:lang w:val="es-ES"/>
        </w:rPr>
      </w:pPr>
      <w:r w:rsidRPr="00517ACA">
        <w:rPr>
          <w:rStyle w:val="FootnoteReference"/>
          <w:rFonts w:asciiTheme="majorHAnsi" w:hAnsiTheme="majorHAnsi"/>
          <w:sz w:val="16"/>
          <w:szCs w:val="16"/>
          <w:lang w:val="pt-BR"/>
        </w:rPr>
        <w:footnoteRef/>
      </w:r>
      <w:r w:rsidRPr="003D3B11">
        <w:rPr>
          <w:rFonts w:asciiTheme="majorHAnsi" w:hAnsiTheme="majorHAnsi"/>
          <w:sz w:val="16"/>
          <w:szCs w:val="16"/>
          <w:lang w:val="es-ES"/>
        </w:rPr>
        <w:t xml:space="preserve"> CIDH. </w:t>
      </w:r>
      <w:hyperlink r:id="rId11" w:history="1">
        <w:r w:rsidRPr="003D3B11">
          <w:rPr>
            <w:rStyle w:val="Hyperlink"/>
            <w:rFonts w:asciiTheme="majorHAnsi" w:hAnsiTheme="majorHAnsi"/>
            <w:sz w:val="16"/>
            <w:szCs w:val="16"/>
            <w:lang w:val="es-ES"/>
          </w:rPr>
          <w:t>Protesta y Derechos Humanos</w:t>
        </w:r>
      </w:hyperlink>
      <w:r w:rsidRPr="003D3B11">
        <w:rPr>
          <w:rFonts w:asciiTheme="majorHAnsi" w:hAnsiTheme="majorHAnsi"/>
          <w:sz w:val="16"/>
          <w:szCs w:val="16"/>
          <w:lang w:val="es-ES"/>
        </w:rPr>
        <w:t xml:space="preserve">. </w:t>
      </w:r>
      <w:r w:rsidRPr="00517ACA">
        <w:rPr>
          <w:rFonts w:asciiTheme="majorHAnsi" w:hAnsiTheme="majorHAnsi"/>
          <w:sz w:val="16"/>
          <w:szCs w:val="16"/>
          <w:lang w:val="pt-BR"/>
        </w:rPr>
        <w:t xml:space="preserve">OEA/Ser.L/V/II. CIDH/RELE/INF.22/19. Setembro 2019. </w:t>
      </w:r>
      <w:r w:rsidRPr="003D3B11">
        <w:rPr>
          <w:rFonts w:asciiTheme="majorHAnsi" w:hAnsiTheme="majorHAnsi"/>
          <w:sz w:val="16"/>
          <w:szCs w:val="16"/>
          <w:lang w:val="es-ES"/>
        </w:rPr>
        <w:t>Par. 95.</w:t>
      </w:r>
    </w:p>
  </w:footnote>
  <w:footnote w:id="81">
    <w:p w14:paraId="5CFA0185" w14:textId="77777777" w:rsidR="00977580" w:rsidRPr="003D3B11" w:rsidRDefault="00977580" w:rsidP="00565F62">
      <w:pPr>
        <w:pStyle w:val="FootnoteText"/>
        <w:rPr>
          <w:rFonts w:asciiTheme="majorHAnsi" w:hAnsiTheme="majorHAnsi"/>
          <w:sz w:val="16"/>
          <w:szCs w:val="16"/>
          <w:lang w:val="es-ES"/>
        </w:rPr>
      </w:pPr>
      <w:r w:rsidRPr="00517ACA">
        <w:rPr>
          <w:rStyle w:val="FootnoteReference"/>
          <w:rFonts w:asciiTheme="majorHAnsi" w:hAnsiTheme="majorHAnsi"/>
          <w:sz w:val="16"/>
          <w:szCs w:val="16"/>
          <w:lang w:val="pt-BR"/>
        </w:rPr>
        <w:footnoteRef/>
      </w:r>
      <w:r w:rsidRPr="003D3B11">
        <w:rPr>
          <w:rFonts w:asciiTheme="majorHAnsi" w:hAnsiTheme="majorHAnsi"/>
          <w:sz w:val="16"/>
          <w:szCs w:val="16"/>
          <w:lang w:val="es-ES"/>
        </w:rPr>
        <w:t xml:space="preserve"> CIDH. </w:t>
      </w:r>
      <w:hyperlink r:id="rId12" w:history="1">
        <w:r w:rsidRPr="003D3B11">
          <w:rPr>
            <w:rStyle w:val="Hyperlink"/>
            <w:rFonts w:asciiTheme="majorHAnsi" w:hAnsiTheme="majorHAnsi"/>
            <w:sz w:val="16"/>
            <w:szCs w:val="16"/>
            <w:lang w:val="es-ES"/>
          </w:rPr>
          <w:t>Protesta y Derechos Humanos</w:t>
        </w:r>
      </w:hyperlink>
      <w:r w:rsidRPr="003D3B11">
        <w:rPr>
          <w:rFonts w:asciiTheme="majorHAnsi" w:hAnsiTheme="majorHAnsi"/>
          <w:sz w:val="16"/>
          <w:szCs w:val="16"/>
          <w:lang w:val="es-ES"/>
        </w:rPr>
        <w:t xml:space="preserve">. OEA/Ser.L/V/II. </w:t>
      </w:r>
      <w:r w:rsidRPr="00517ACA">
        <w:rPr>
          <w:rFonts w:asciiTheme="majorHAnsi" w:hAnsiTheme="majorHAnsi"/>
          <w:sz w:val="16"/>
          <w:szCs w:val="16"/>
          <w:lang w:val="pt-BR"/>
        </w:rPr>
        <w:t xml:space="preserve">CIDH/RELE/INF.22/19. Setembro 2019. </w:t>
      </w:r>
      <w:r w:rsidRPr="003D3B11">
        <w:rPr>
          <w:rFonts w:asciiTheme="majorHAnsi" w:hAnsiTheme="majorHAnsi"/>
          <w:sz w:val="16"/>
          <w:szCs w:val="16"/>
          <w:lang w:val="es-ES"/>
        </w:rPr>
        <w:t>Par. 156.</w:t>
      </w:r>
    </w:p>
  </w:footnote>
  <w:footnote w:id="82">
    <w:p w14:paraId="7E1933FD" w14:textId="77777777" w:rsidR="00977580" w:rsidRPr="00517ACA" w:rsidRDefault="00977580" w:rsidP="00565F62">
      <w:pPr>
        <w:pStyle w:val="FootnoteText"/>
        <w:rPr>
          <w:lang w:val="pt-BR"/>
        </w:rPr>
      </w:pPr>
      <w:r w:rsidRPr="00517ACA">
        <w:rPr>
          <w:rStyle w:val="FootnoteReference"/>
          <w:rFonts w:asciiTheme="majorHAnsi" w:hAnsiTheme="majorHAnsi"/>
          <w:sz w:val="16"/>
          <w:szCs w:val="16"/>
          <w:lang w:val="pt-BR"/>
        </w:rPr>
        <w:footnoteRef/>
      </w:r>
      <w:r w:rsidRPr="003D3B11">
        <w:rPr>
          <w:rFonts w:asciiTheme="majorHAnsi" w:hAnsiTheme="majorHAnsi"/>
          <w:sz w:val="16"/>
          <w:szCs w:val="16"/>
          <w:lang w:val="es-ES"/>
        </w:rPr>
        <w:t xml:space="preserve"> CIDH. </w:t>
      </w:r>
      <w:hyperlink r:id="rId13" w:history="1">
        <w:r w:rsidRPr="003D3B11">
          <w:rPr>
            <w:rStyle w:val="Hyperlink"/>
            <w:rFonts w:asciiTheme="majorHAnsi" w:hAnsiTheme="majorHAnsi"/>
            <w:sz w:val="16"/>
            <w:szCs w:val="16"/>
            <w:lang w:val="es-ES"/>
          </w:rPr>
          <w:t>Protesta y Derechos Humanos</w:t>
        </w:r>
      </w:hyperlink>
      <w:r w:rsidRPr="003D3B11">
        <w:rPr>
          <w:rFonts w:asciiTheme="majorHAnsi" w:hAnsiTheme="majorHAnsi"/>
          <w:sz w:val="16"/>
          <w:szCs w:val="16"/>
          <w:lang w:val="es-ES"/>
        </w:rPr>
        <w:t xml:space="preserve">. OEA/Ser.L/V/II. </w:t>
      </w:r>
      <w:r w:rsidRPr="00517ACA">
        <w:rPr>
          <w:rFonts w:asciiTheme="majorHAnsi" w:hAnsiTheme="majorHAnsi"/>
          <w:sz w:val="16"/>
          <w:szCs w:val="16"/>
          <w:lang w:val="pt-BR"/>
        </w:rPr>
        <w:t>CIDH/RELE/INF.22/19. Setembro 2019. Par. 73.</w:t>
      </w:r>
    </w:p>
  </w:footnote>
  <w:footnote w:id="83">
    <w:p w14:paraId="27EC6799" w14:textId="77777777" w:rsidR="00977580" w:rsidRPr="00517ACA" w:rsidRDefault="00977580" w:rsidP="00D653C8">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O artigo 8.1 da Convenção estabele</w:t>
      </w:r>
      <w:r w:rsidRPr="00517ACA">
        <w:rPr>
          <w:rFonts w:ascii="Cambria" w:hAnsi="Cambria"/>
          <w:sz w:val="16"/>
          <w:szCs w:val="16"/>
          <w:lang w:val="pt-BR"/>
        </w:rPr>
        <w:t>ce: “</w:t>
      </w:r>
      <w:r w:rsidRPr="00517ACA">
        <w:rPr>
          <w:rFonts w:ascii="Cambria" w:hAnsi="Cambria"/>
          <w:spacing w:val="-3"/>
          <w:sz w:val="16"/>
          <w:szCs w:val="16"/>
          <w:lang w:val="pt-BR"/>
        </w:rPr>
        <w:t>Toda pessoa tem direito a ser ouvida, com as devidas garantias e dentro de um prazo razoável, por um juiz ou tribunal competente, independente e imparcial, estabelecido anteriormente por lei, na apuração de qualquer acusação penal formulada contra ela, ou para que se determinem seus direitos ou obrigações de natureza civil, trabalhista, fiscal ou de qualquer outra natureza”</w:t>
      </w:r>
      <w:r w:rsidRPr="00517ACA">
        <w:rPr>
          <w:rFonts w:asciiTheme="majorHAnsi" w:hAnsiTheme="majorHAnsi" w:cs="Tahoma"/>
          <w:sz w:val="16"/>
          <w:szCs w:val="16"/>
          <w:lang w:val="pt-BR"/>
        </w:rPr>
        <w:t>.</w:t>
      </w:r>
    </w:p>
  </w:footnote>
  <w:footnote w:id="84">
    <w:p w14:paraId="334F27A2" w14:textId="77777777" w:rsidR="00977580" w:rsidRPr="00517ACA" w:rsidRDefault="00977580" w:rsidP="00D653C8">
      <w:pPr>
        <w:pStyle w:val="FootnoteText"/>
        <w:jc w:val="both"/>
        <w:rPr>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O artigo 25.1 da Convenção </w:t>
      </w:r>
      <w:r w:rsidRPr="00517ACA">
        <w:rPr>
          <w:rFonts w:ascii="Cambria" w:hAnsi="Cambria"/>
          <w:sz w:val="16"/>
          <w:szCs w:val="16"/>
          <w:lang w:val="pt-BR"/>
        </w:rPr>
        <w:t>estabelece: “</w:t>
      </w:r>
      <w:r w:rsidRPr="00517ACA">
        <w:rPr>
          <w:rFonts w:ascii="Cambria" w:hAnsi="Cambria"/>
          <w:spacing w:val="-3"/>
          <w:sz w:val="16"/>
          <w:szCs w:val="16"/>
          <w:lang w:val="pt-BR"/>
        </w:rPr>
        <w:t>Toda pessoa tem direito a um recurso simples e rápido ou a qualquer outro recurso efetivo, perante os juízes ou tribunais competentes, que a proteja contra atos que violem seus direitos fundamentais reconhecidos pela constituição, pela lei ou pela presente Convenção, mesmo quando tal violação seja cometida por pessoas que estejam atuando no exercício de suas funções oficiais”</w:t>
      </w:r>
      <w:r w:rsidRPr="00517ACA">
        <w:rPr>
          <w:rFonts w:asciiTheme="majorHAnsi" w:hAnsiTheme="majorHAnsi" w:cs="Verdana"/>
          <w:sz w:val="16"/>
          <w:szCs w:val="16"/>
          <w:lang w:val="pt-BR" w:bidi="en-US"/>
        </w:rPr>
        <w:t>.</w:t>
      </w:r>
    </w:p>
  </w:footnote>
  <w:footnote w:id="85">
    <w:p w14:paraId="7EB03D87" w14:textId="77777777" w:rsidR="00977580" w:rsidRPr="00517ACA" w:rsidRDefault="00977580" w:rsidP="00D653C8">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Corte IDH. Caso Barrios Altos Vs. Peru. Mérito. Sentença de 14 de março de 2001. Série C No. 75, par. 48.</w:t>
      </w:r>
    </w:p>
  </w:footnote>
  <w:footnote w:id="86">
    <w:p w14:paraId="4A354F6A" w14:textId="77777777" w:rsidR="00977580" w:rsidRPr="00517ACA" w:rsidRDefault="00977580" w:rsidP="002649F0">
      <w:pPr>
        <w:pStyle w:val="NormalWeb"/>
        <w:spacing w:before="0" w:beforeAutospacing="0" w:after="0" w:afterAutospacing="0"/>
        <w:jc w:val="both"/>
        <w:rPr>
          <w:rFonts w:asciiTheme="majorHAnsi" w:hAnsiTheme="majorHAnsi"/>
          <w:sz w:val="16"/>
          <w:szCs w:val="16"/>
          <w:lang w:val="pt-BR"/>
        </w:rPr>
      </w:pPr>
      <w:r w:rsidRPr="00517ACA">
        <w:rPr>
          <w:rStyle w:val="FootnoteReference"/>
          <w:rFonts w:asciiTheme="majorHAnsi" w:eastAsia="Trebuchet MS" w:hAnsiTheme="majorHAnsi"/>
          <w:sz w:val="16"/>
          <w:szCs w:val="16"/>
          <w:lang w:val="pt-BR"/>
        </w:rPr>
        <w:footnoteRef/>
      </w:r>
      <w:r w:rsidRPr="00517ACA">
        <w:rPr>
          <w:rFonts w:asciiTheme="majorHAnsi" w:hAnsiTheme="majorHAnsi"/>
          <w:sz w:val="16"/>
          <w:szCs w:val="16"/>
          <w:lang w:val="pt-BR"/>
        </w:rPr>
        <w:t xml:space="preserve"> CIDH. Relatório 71/15. Caso 12.879. Mérito. Vladimir Herzog e outros. Brasil. 28 de outubro de 2015, par. 192; CIDH. Relatório 40/04, Caso 12.053. Comunidade Indígena Maya. Belize, par. 174; CIDH. Relatório 54/01. Caso 12.051, Maria da Penha Fernandes. Brasil. 16 de abril de 2001, par. 37.</w:t>
      </w:r>
      <w:r w:rsidRPr="00517ACA">
        <w:rPr>
          <w:rFonts w:asciiTheme="majorHAnsi" w:hAnsiTheme="majorHAnsi" w:cs="Arial"/>
          <w:sz w:val="16"/>
          <w:szCs w:val="16"/>
          <w:lang w:val="pt-BR"/>
        </w:rPr>
        <w:t xml:space="preserve"> </w:t>
      </w:r>
    </w:p>
  </w:footnote>
  <w:footnote w:id="87">
    <w:p w14:paraId="7A347A95" w14:textId="77777777" w:rsidR="00977580" w:rsidRPr="00517ACA" w:rsidRDefault="00977580" w:rsidP="002649F0">
      <w:pPr>
        <w:pStyle w:val="FootnoteText"/>
        <w:jc w:val="both"/>
        <w:rPr>
          <w:rFonts w:asciiTheme="majorHAnsi" w:hAnsiTheme="majorHAnsi"/>
          <w:color w:val="auto"/>
          <w:sz w:val="16"/>
          <w:szCs w:val="16"/>
          <w:lang w:val="pt-BR"/>
        </w:rPr>
      </w:pPr>
      <w:r w:rsidRPr="00517ACA">
        <w:rPr>
          <w:rStyle w:val="FootnoteReference"/>
          <w:rFonts w:asciiTheme="majorHAnsi" w:hAnsiTheme="majorHAnsi"/>
          <w:color w:val="auto"/>
          <w:sz w:val="16"/>
          <w:szCs w:val="16"/>
          <w:lang w:val="pt-BR"/>
        </w:rPr>
        <w:footnoteRef/>
      </w:r>
      <w:r w:rsidRPr="00517ACA">
        <w:rPr>
          <w:rFonts w:asciiTheme="majorHAnsi" w:hAnsiTheme="majorHAnsi"/>
          <w:color w:val="auto"/>
          <w:sz w:val="16"/>
          <w:szCs w:val="16"/>
          <w:lang w:val="pt-BR"/>
        </w:rPr>
        <w:t xml:space="preserve"> Corte IDH. Caso Velásquez Rodríguez Vs. Honduras. Mérito. Sentença de 29 de julho de 1988. Série C No. 4, (“Corte IDH. Sentença Velásquez Rodríguez”) par. 177; Corte IDH. </w:t>
      </w:r>
      <w:r w:rsidRPr="00517ACA">
        <w:rPr>
          <w:rFonts w:asciiTheme="majorHAnsi" w:hAnsiTheme="majorHAnsi"/>
          <w:bCs/>
          <w:color w:val="auto"/>
          <w:sz w:val="16"/>
          <w:szCs w:val="16"/>
          <w:lang w:val="pt-BR"/>
        </w:rPr>
        <w:t>Caso Cantoral Huamaní e Garc</w:t>
      </w:r>
      <w:r>
        <w:rPr>
          <w:rFonts w:asciiTheme="majorHAnsi" w:hAnsiTheme="majorHAnsi"/>
          <w:bCs/>
          <w:color w:val="auto"/>
          <w:sz w:val="16"/>
          <w:szCs w:val="16"/>
          <w:lang w:val="pt-BR"/>
        </w:rPr>
        <w:t>í</w:t>
      </w:r>
      <w:r w:rsidRPr="00517ACA">
        <w:rPr>
          <w:rFonts w:asciiTheme="majorHAnsi" w:hAnsiTheme="majorHAnsi"/>
          <w:bCs/>
          <w:color w:val="auto"/>
          <w:sz w:val="16"/>
          <w:szCs w:val="16"/>
          <w:lang w:val="pt-BR"/>
        </w:rPr>
        <w:t xml:space="preserve">a Santa Cruz vs. Peru. </w:t>
      </w:r>
      <w:r w:rsidRPr="00517ACA">
        <w:rPr>
          <w:rFonts w:asciiTheme="majorHAnsi" w:hAnsiTheme="majorHAnsi"/>
          <w:color w:val="auto"/>
          <w:sz w:val="16"/>
          <w:szCs w:val="16"/>
          <w:lang w:val="pt-BR"/>
        </w:rPr>
        <w:t xml:space="preserve">Exceção Preliminar, Mérito, Reparações e Custas. Sentença de 10 de julho de 2007. Série C No. 167 (“Corte IDH. Sentença Cantoral Huamaní”), par. 131. </w:t>
      </w:r>
    </w:p>
  </w:footnote>
  <w:footnote w:id="88">
    <w:p w14:paraId="4A4FA79B" w14:textId="77777777" w:rsidR="00977580" w:rsidRPr="00517ACA" w:rsidRDefault="00977580" w:rsidP="002649F0">
      <w:pPr>
        <w:tabs>
          <w:tab w:val="left" w:pos="567"/>
        </w:tabs>
        <w:jc w:val="both"/>
        <w:rPr>
          <w:rFonts w:asciiTheme="majorHAnsi" w:hAnsiTheme="majorHAnsi" w:cs="Calibri"/>
          <w:color w:val="000000"/>
          <w:sz w:val="16"/>
          <w:szCs w:val="16"/>
          <w:u w:color="000000"/>
          <w:lang w:val="pt-BR" w:eastAsia="es-ES"/>
        </w:rPr>
      </w:pPr>
      <w:r w:rsidRPr="00517ACA">
        <w:rPr>
          <w:rStyle w:val="FootnoteReference"/>
          <w:rFonts w:asciiTheme="majorHAnsi" w:hAnsiTheme="majorHAnsi"/>
          <w:spacing w:val="-6"/>
          <w:sz w:val="16"/>
          <w:szCs w:val="16"/>
          <w:lang w:val="pt-BR"/>
        </w:rPr>
        <w:footnoteRef/>
      </w:r>
      <w:r w:rsidRPr="00517ACA">
        <w:rPr>
          <w:rFonts w:asciiTheme="majorHAnsi" w:hAnsiTheme="majorHAnsi" w:cs="Calibri"/>
          <w:color w:val="000000"/>
          <w:sz w:val="16"/>
          <w:szCs w:val="16"/>
          <w:u w:color="000000"/>
          <w:lang w:val="pt-BR" w:eastAsia="es-ES"/>
        </w:rPr>
        <w:t xml:space="preserve"> Corte IDH. Sentença Velásquez Rodríguez, par. 177; Corte IDH. Caso Veliz Franco e outros vs. Guatemala. Exceções Preliminares, Mérito, Reparações e Custas. Sentença de 19 de maio de 2014. Série C No. 277, par. 183.</w:t>
      </w:r>
    </w:p>
  </w:footnote>
  <w:footnote w:id="89">
    <w:p w14:paraId="6CDDBA5A" w14:textId="77777777" w:rsidR="00977580" w:rsidRPr="00517ACA" w:rsidRDefault="00977580" w:rsidP="00AE16D9">
      <w:pPr>
        <w:pStyle w:val="FootnoteText"/>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CIDH. </w:t>
      </w:r>
      <w:hyperlink r:id="rId14" w:history="1">
        <w:r w:rsidRPr="00517ACA">
          <w:rPr>
            <w:rStyle w:val="Hyperlink"/>
            <w:rFonts w:asciiTheme="majorHAnsi" w:hAnsiTheme="majorHAnsi"/>
            <w:sz w:val="16"/>
            <w:szCs w:val="16"/>
            <w:lang w:val="pt-BR"/>
          </w:rPr>
          <w:t>Protesta y Derechos Humanos</w:t>
        </w:r>
      </w:hyperlink>
      <w:r w:rsidRPr="00517ACA">
        <w:rPr>
          <w:rFonts w:asciiTheme="majorHAnsi" w:hAnsiTheme="majorHAnsi"/>
          <w:sz w:val="16"/>
          <w:szCs w:val="16"/>
          <w:lang w:val="pt-BR"/>
        </w:rPr>
        <w:t>. OEA/Ser.L/V/II. CIDH/RELE/INF.22/19. Setembro 2019. Par. 246.</w:t>
      </w:r>
    </w:p>
  </w:footnote>
  <w:footnote w:id="90">
    <w:p w14:paraId="1142EEC2" w14:textId="77777777" w:rsidR="00977580" w:rsidRPr="00517ACA" w:rsidRDefault="00977580" w:rsidP="002649F0">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CIDH. Relatório 85/13. Caso 12.251. Admissibilidade e Mérito. Vereda la Esperanza. Colômbia. 4 de novembro de 2013, par. 242; Corte IDH. Caso Kawas Fernández Vs. Honduras. Mérito, Reparações e Custas. Sentença de 3 de abril de 2009. Série C No. 196, par. 101.</w:t>
      </w:r>
    </w:p>
  </w:footnote>
  <w:footnote w:id="91">
    <w:p w14:paraId="4FCE36DB" w14:textId="77777777" w:rsidR="00977580" w:rsidRPr="00517ACA" w:rsidRDefault="00977580" w:rsidP="002649F0">
      <w:pPr>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CIDH. Relatório 55/97. Caso 11.137. Mérito. Juan Carlos Abella. Argentina. 18 de novembro de 1997, par. 412.</w:t>
      </w:r>
    </w:p>
  </w:footnote>
  <w:footnote w:id="92">
    <w:p w14:paraId="351B5A1C" w14:textId="77777777" w:rsidR="00977580" w:rsidRPr="00517ACA" w:rsidRDefault="00977580" w:rsidP="002649F0">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CIDH. Mérito Camargo Filho, par. 109. Ver também CIDH, </w:t>
      </w:r>
      <w:r w:rsidRPr="00517ACA">
        <w:rPr>
          <w:rFonts w:asciiTheme="majorHAnsi" w:hAnsiTheme="majorHAnsi"/>
          <w:i/>
          <w:sz w:val="16"/>
          <w:szCs w:val="16"/>
          <w:lang w:val="pt-BR"/>
        </w:rPr>
        <w:t>Acesso à justiça para mulheres vítimas de violência nas Américas</w:t>
      </w:r>
      <w:r w:rsidRPr="00517ACA">
        <w:rPr>
          <w:rFonts w:asciiTheme="majorHAnsi" w:hAnsiTheme="majorHAnsi"/>
          <w:sz w:val="16"/>
          <w:szCs w:val="16"/>
          <w:lang w:val="pt-BR"/>
        </w:rPr>
        <w:t>. OEA/Ser. L/V/II. doc. 68, 20 de janeiro de 2007, par. 41.</w:t>
      </w:r>
    </w:p>
  </w:footnote>
  <w:footnote w:id="93">
    <w:p w14:paraId="755CA2E2" w14:textId="77777777" w:rsidR="00977580" w:rsidRPr="00517ACA" w:rsidRDefault="00977580" w:rsidP="002649F0">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3D3B11">
        <w:rPr>
          <w:rFonts w:asciiTheme="majorHAnsi" w:hAnsiTheme="majorHAnsi"/>
          <w:sz w:val="16"/>
          <w:szCs w:val="16"/>
          <w:lang w:val="es-ES"/>
        </w:rPr>
        <w:t xml:space="preserve"> Corte IDH. </w:t>
      </w:r>
      <w:r w:rsidRPr="003D3B11">
        <w:rPr>
          <w:rFonts w:asciiTheme="majorHAnsi" w:hAnsiTheme="majorHAnsi"/>
          <w:iCs/>
          <w:sz w:val="16"/>
          <w:szCs w:val="16"/>
          <w:lang w:val="es-ES"/>
        </w:rPr>
        <w:t xml:space="preserve">Caso “Niños de la Calle” (Villagrán Morales e outros) Vs. </w:t>
      </w:r>
      <w:r w:rsidRPr="00517ACA">
        <w:rPr>
          <w:rFonts w:asciiTheme="majorHAnsi" w:hAnsiTheme="majorHAnsi"/>
          <w:iCs/>
          <w:sz w:val="16"/>
          <w:szCs w:val="16"/>
          <w:lang w:val="pt-BR"/>
        </w:rPr>
        <w:t>Guatemala.</w:t>
      </w:r>
      <w:r w:rsidRPr="00517ACA">
        <w:rPr>
          <w:rFonts w:asciiTheme="majorHAnsi" w:hAnsiTheme="majorHAnsi"/>
          <w:sz w:val="16"/>
          <w:szCs w:val="16"/>
          <w:lang w:val="pt-BR"/>
        </w:rPr>
        <w:t xml:space="preserve"> Sentença de 19 de novembro de 1999. Série C No. 63, par. 230. Ver também CIDH, </w:t>
      </w:r>
      <w:r w:rsidRPr="00517ACA">
        <w:rPr>
          <w:rFonts w:asciiTheme="majorHAnsi" w:hAnsiTheme="majorHAnsi"/>
          <w:i/>
          <w:sz w:val="16"/>
          <w:szCs w:val="16"/>
          <w:lang w:val="pt-BR"/>
        </w:rPr>
        <w:t>Acesso à justiça para mulheres vítimas de violência nas Américas</w:t>
      </w:r>
      <w:r w:rsidRPr="00517ACA">
        <w:rPr>
          <w:rFonts w:asciiTheme="majorHAnsi" w:hAnsiTheme="majorHAnsi"/>
          <w:sz w:val="16"/>
          <w:szCs w:val="16"/>
          <w:lang w:val="pt-BR"/>
        </w:rPr>
        <w:t>. OEA/Ser. L/V/II. doc. 68, 20 de janeiro de 2007, par. 41.</w:t>
      </w:r>
    </w:p>
  </w:footnote>
  <w:footnote w:id="94">
    <w:p w14:paraId="7DE1B993" w14:textId="77777777" w:rsidR="00977580" w:rsidRPr="00517ACA" w:rsidRDefault="00977580" w:rsidP="002649F0">
      <w:pPr>
        <w:pStyle w:val="FootnoteText"/>
        <w:jc w:val="both"/>
        <w:rPr>
          <w:rFonts w:asciiTheme="majorHAnsi" w:hAnsiTheme="majorHAnsi"/>
          <w:color w:val="auto"/>
          <w:sz w:val="16"/>
          <w:szCs w:val="16"/>
          <w:lang w:val="pt-BR"/>
        </w:rPr>
      </w:pPr>
      <w:r w:rsidRPr="00517ACA">
        <w:rPr>
          <w:rStyle w:val="FootnoteReference"/>
          <w:rFonts w:asciiTheme="majorHAnsi" w:hAnsiTheme="majorHAnsi"/>
          <w:color w:val="auto"/>
          <w:sz w:val="16"/>
          <w:szCs w:val="16"/>
          <w:lang w:val="pt-BR"/>
        </w:rPr>
        <w:footnoteRef/>
      </w:r>
      <w:r w:rsidRPr="00517ACA">
        <w:rPr>
          <w:rFonts w:asciiTheme="majorHAnsi" w:hAnsiTheme="majorHAnsi"/>
          <w:color w:val="auto"/>
          <w:sz w:val="16"/>
          <w:szCs w:val="16"/>
          <w:lang w:val="pt-BR"/>
        </w:rPr>
        <w:t xml:space="preserve"> Corte IDH. Sentença </w:t>
      </w:r>
      <w:r w:rsidRPr="00517ACA">
        <w:rPr>
          <w:rFonts w:asciiTheme="majorHAnsi" w:hAnsiTheme="majorHAnsi"/>
          <w:sz w:val="16"/>
          <w:szCs w:val="16"/>
          <w:shd w:val="clear" w:color="auto" w:fill="FFFFFF"/>
          <w:lang w:val="pt-BR"/>
        </w:rPr>
        <w:t>González Medina</w:t>
      </w:r>
      <w:r w:rsidRPr="00517ACA">
        <w:rPr>
          <w:rFonts w:asciiTheme="majorHAnsi" w:hAnsiTheme="majorHAnsi"/>
          <w:color w:val="auto"/>
          <w:sz w:val="16"/>
          <w:szCs w:val="16"/>
          <w:lang w:val="pt-BR"/>
        </w:rPr>
        <w:t>, par. 115.</w:t>
      </w:r>
    </w:p>
  </w:footnote>
  <w:footnote w:id="95">
    <w:p w14:paraId="579937CF" w14:textId="77777777" w:rsidR="00977580" w:rsidRPr="00517ACA" w:rsidRDefault="00977580" w:rsidP="002649F0">
      <w:pPr>
        <w:pStyle w:val="FootnoteText"/>
        <w:jc w:val="both"/>
        <w:rPr>
          <w:rFonts w:asciiTheme="majorHAnsi" w:hAnsiTheme="majorHAnsi"/>
          <w:color w:val="auto"/>
          <w:sz w:val="16"/>
          <w:szCs w:val="16"/>
          <w:lang w:val="pt-BR"/>
        </w:rPr>
      </w:pPr>
      <w:r w:rsidRPr="00517ACA">
        <w:rPr>
          <w:rStyle w:val="FootnoteReference"/>
          <w:rFonts w:asciiTheme="majorHAnsi" w:hAnsiTheme="majorHAnsi"/>
          <w:color w:val="auto"/>
          <w:sz w:val="16"/>
          <w:szCs w:val="16"/>
          <w:lang w:val="pt-BR"/>
        </w:rPr>
        <w:footnoteRef/>
      </w:r>
      <w:r w:rsidRPr="00517ACA">
        <w:rPr>
          <w:rFonts w:asciiTheme="majorHAnsi" w:hAnsiTheme="majorHAnsi"/>
          <w:color w:val="auto"/>
          <w:sz w:val="16"/>
          <w:szCs w:val="16"/>
          <w:lang w:val="pt-BR"/>
        </w:rPr>
        <w:t xml:space="preserve"> Corte IDH. </w:t>
      </w:r>
      <w:r w:rsidRPr="00517ACA">
        <w:rPr>
          <w:rFonts w:asciiTheme="majorHAnsi" w:hAnsiTheme="majorHAnsi"/>
          <w:sz w:val="16"/>
          <w:szCs w:val="16"/>
          <w:shd w:val="clear" w:color="auto" w:fill="FFFFFF"/>
          <w:lang w:val="pt-BR"/>
        </w:rPr>
        <w:t>Caso Uzcátegui e outros vs. Venezuela. Mérito e Reparações. Sentença de 3 de setembro de 2012. Série C No. 249</w:t>
      </w:r>
      <w:r w:rsidRPr="00517ACA">
        <w:rPr>
          <w:rFonts w:asciiTheme="majorHAnsi" w:hAnsiTheme="majorHAnsi"/>
          <w:color w:val="auto"/>
          <w:sz w:val="16"/>
          <w:szCs w:val="16"/>
          <w:lang w:val="pt-BR"/>
        </w:rPr>
        <w:t>, par. 225.</w:t>
      </w:r>
    </w:p>
  </w:footnote>
  <w:footnote w:id="96">
    <w:p w14:paraId="2BFEE055" w14:textId="77777777" w:rsidR="00977580" w:rsidRPr="00517ACA" w:rsidRDefault="00977580" w:rsidP="002649F0">
      <w:pPr>
        <w:tabs>
          <w:tab w:val="left" w:pos="900"/>
          <w:tab w:val="left" w:pos="1080"/>
        </w:tabs>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Corte IDH. Caso las Palmeras Vs. Colômbia. Mérito. Sentença de 6 de dezembro de 2001. Série C No. 90, par. 53.</w:t>
      </w:r>
    </w:p>
  </w:footnote>
  <w:footnote w:id="97">
    <w:p w14:paraId="6BF0F870" w14:textId="77777777" w:rsidR="00977580" w:rsidRPr="00517ACA" w:rsidRDefault="00977580" w:rsidP="00542466">
      <w:pPr>
        <w:tabs>
          <w:tab w:val="left" w:pos="900"/>
          <w:tab w:val="left" w:pos="1080"/>
        </w:tabs>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Corte IDH. Caso Radilla Pacheco Vs. México. Exceções Preliminares, Mérito, Reparações e Custas. Sentença de 23 de novembro de 2009. Série C No. 209, par. 272.</w:t>
      </w:r>
    </w:p>
  </w:footnote>
  <w:footnote w:id="98">
    <w:p w14:paraId="1677DF8B" w14:textId="77777777" w:rsidR="00977580" w:rsidRPr="00517ACA" w:rsidRDefault="00977580" w:rsidP="00542466">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w:t>
      </w:r>
      <w:r w:rsidRPr="00517ACA">
        <w:rPr>
          <w:rFonts w:asciiTheme="majorHAnsi" w:hAnsiTheme="majorHAnsi"/>
          <w:smallCaps/>
          <w:sz w:val="16"/>
          <w:szCs w:val="16"/>
          <w:lang w:val="pt-BR"/>
        </w:rPr>
        <w:t xml:space="preserve">CIDH. </w:t>
      </w:r>
      <w:hyperlink r:id="rId15" w:history="1">
        <w:r w:rsidRPr="00517ACA">
          <w:rPr>
            <w:rStyle w:val="Hyperlink"/>
            <w:rFonts w:asciiTheme="majorHAnsi" w:hAnsiTheme="majorHAnsi"/>
            <w:i/>
            <w:sz w:val="16"/>
            <w:szCs w:val="16"/>
            <w:lang w:val="pt-BR"/>
          </w:rPr>
          <w:t>Relatório sobre a situação dos direitos humanos no Brasil</w:t>
        </w:r>
      </w:hyperlink>
      <w:r w:rsidRPr="00517ACA">
        <w:rPr>
          <w:rFonts w:asciiTheme="majorHAnsi" w:hAnsiTheme="majorHAnsi"/>
          <w:sz w:val="16"/>
          <w:szCs w:val="16"/>
          <w:lang w:val="pt-BR"/>
        </w:rPr>
        <w:t>, par. 95(i).</w:t>
      </w:r>
    </w:p>
  </w:footnote>
  <w:footnote w:id="99">
    <w:p w14:paraId="0FC79EE8" w14:textId="77777777" w:rsidR="00977580" w:rsidRPr="00517ACA" w:rsidRDefault="00977580" w:rsidP="00542466">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w:t>
      </w:r>
      <w:r w:rsidRPr="00517ACA">
        <w:rPr>
          <w:rFonts w:asciiTheme="majorHAnsi" w:hAnsiTheme="majorHAnsi"/>
          <w:smallCaps/>
          <w:sz w:val="16"/>
          <w:szCs w:val="16"/>
          <w:lang w:val="pt-BR"/>
        </w:rPr>
        <w:t xml:space="preserve">CIDH. </w:t>
      </w:r>
      <w:hyperlink r:id="rId16" w:history="1">
        <w:r w:rsidRPr="00517ACA">
          <w:rPr>
            <w:rStyle w:val="Hyperlink"/>
            <w:rFonts w:asciiTheme="majorHAnsi" w:hAnsiTheme="majorHAnsi"/>
            <w:i/>
            <w:sz w:val="16"/>
            <w:szCs w:val="16"/>
            <w:lang w:val="pt-BR"/>
          </w:rPr>
          <w:t>Relatório sobre a situação dos direitos humanos no Brasil</w:t>
        </w:r>
      </w:hyperlink>
      <w:r w:rsidRPr="00517ACA">
        <w:rPr>
          <w:rFonts w:asciiTheme="majorHAnsi" w:hAnsiTheme="majorHAnsi"/>
          <w:sz w:val="16"/>
          <w:szCs w:val="16"/>
          <w:lang w:val="pt-BR"/>
        </w:rPr>
        <w:t>, par. 77.</w:t>
      </w:r>
    </w:p>
  </w:footnote>
  <w:footnote w:id="100">
    <w:p w14:paraId="7827E1BA" w14:textId="77777777" w:rsidR="00977580" w:rsidRPr="00517ACA" w:rsidRDefault="00977580">
      <w:pPr>
        <w:pStyle w:val="FootnoteText"/>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CIDH, Relatório No. 33/04, Caso 11.634, Jailton Neri da Fonseca, 11 de março de 2002, par. 102.</w:t>
      </w:r>
    </w:p>
  </w:footnote>
  <w:footnote w:id="101">
    <w:p w14:paraId="2D0B864C" w14:textId="77777777" w:rsidR="00977580" w:rsidRPr="00517ACA" w:rsidRDefault="00977580" w:rsidP="00833562">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Corte IDH. </w:t>
      </w:r>
      <w:r w:rsidRPr="00517ACA">
        <w:rPr>
          <w:rFonts w:asciiTheme="majorHAnsi" w:hAnsiTheme="majorHAnsi"/>
          <w:i/>
          <w:sz w:val="16"/>
          <w:szCs w:val="16"/>
          <w:lang w:val="pt-BR"/>
        </w:rPr>
        <w:t>Caso Gomes Lund e outros (“Guerrilha do Araguaia”) Vs. Brasil.</w:t>
      </w:r>
      <w:r w:rsidRPr="00517ACA">
        <w:rPr>
          <w:rFonts w:asciiTheme="majorHAnsi" w:hAnsiTheme="majorHAnsi"/>
          <w:sz w:val="16"/>
          <w:szCs w:val="16"/>
          <w:lang w:val="pt-BR"/>
        </w:rPr>
        <w:t xml:space="preserve"> Exceções Preliminares, Mérito, Reparações e Custas. Sentença de 24 de novembro de 2010. Série C No. 219, par. 257.</w:t>
      </w:r>
    </w:p>
  </w:footnote>
  <w:footnote w:id="102">
    <w:p w14:paraId="2E2BD07A" w14:textId="77777777" w:rsidR="00977580" w:rsidRPr="00517ACA" w:rsidRDefault="00977580" w:rsidP="00833562">
      <w:pPr>
        <w:pStyle w:val="FootnoteText"/>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Corte IDH. Caso Herzog e outros Vs. Brasil. Exceções Preliminares, Mérito, Reparações e Custas. Sentença de 15 de março de 2018. Série C No. 353, par. 247. </w:t>
      </w:r>
    </w:p>
  </w:footnote>
  <w:footnote w:id="103">
    <w:p w14:paraId="61E99B01" w14:textId="77777777" w:rsidR="00977580" w:rsidRPr="00517ACA" w:rsidRDefault="00977580" w:rsidP="009661C6">
      <w:pPr>
        <w:pStyle w:val="FootnoteText"/>
        <w:jc w:val="both"/>
        <w:rPr>
          <w:rFonts w:asciiTheme="majorHAnsi" w:hAnsiTheme="majorHAnsi"/>
          <w:lang w:val="pt-BR"/>
        </w:rPr>
      </w:pPr>
      <w:r w:rsidRPr="00517ACA">
        <w:rPr>
          <w:rStyle w:val="FootnoteReference"/>
          <w:rFonts w:asciiTheme="majorHAnsi" w:hAnsiTheme="majorHAnsi"/>
          <w:sz w:val="16"/>
          <w:szCs w:val="16"/>
          <w:lang w:val="pt-BR"/>
        </w:rPr>
        <w:footnoteRef/>
      </w:r>
      <w:r w:rsidRPr="00517ACA">
        <w:rPr>
          <w:rStyle w:val="Hyperlink"/>
          <w:rFonts w:asciiTheme="majorHAnsi" w:hAnsiTheme="majorHAnsi" w:cstheme="minorHAnsi"/>
          <w:sz w:val="16"/>
          <w:szCs w:val="16"/>
          <w:u w:val="none"/>
          <w:lang w:val="pt-BR"/>
        </w:rPr>
        <w:t>Lei Federal 8.457/92 (redação original antes da alteração promovida pela lei federal 13.774/18): Art. 16. São duas as espécies de Conselhos de Justiça: a) Conselho Especial de Justiça, constituído pelo Juiz-Auditor e quatro Juízes militares, sob a presidência, dentre estes, de um oficial-general ou oficial superior, de posto mais elevado que o dos demais juízes, ou de maior antiguidade, no caso de igualdade; b) Conselho Permanente de Justiça, constituído pelo Juiz-Auditor, por um oficial superior, que será o presidente, e três oficiais de posto até capitão-tenente ou capitão.</w:t>
      </w:r>
      <w:r w:rsidRPr="00517ACA">
        <w:rPr>
          <w:rStyle w:val="Hyperlink"/>
          <w:rFonts w:asciiTheme="minorHAnsi" w:hAnsiTheme="minorHAnsi" w:cstheme="minorHAnsi"/>
          <w:sz w:val="16"/>
          <w:szCs w:val="16"/>
          <w:u w:val="none"/>
          <w:lang w:val="pt-BR"/>
        </w:rPr>
        <w:t> </w:t>
      </w:r>
      <w:r w:rsidRPr="00517ACA">
        <w:rPr>
          <w:rStyle w:val="Hyperlink"/>
          <w:rFonts w:asciiTheme="majorHAnsi" w:hAnsiTheme="majorHAnsi" w:cstheme="minorHAnsi"/>
          <w:sz w:val="16"/>
          <w:szCs w:val="16"/>
          <w:u w:val="none"/>
          <w:lang w:val="pt-BR"/>
        </w:rPr>
        <w:t>Art. 18. Os juízes militares dos Conselhos Especial e Permanente são sorteados dentre oficiais da Marinha, Exército e Aeronáutica, em serviço ativo na sede da Auditoria, recorrendo-se a oficiais fora deste local, porém no âmbito da jurisdição da Auditoria, quando insuficientes os da sede.</w:t>
      </w:r>
    </w:p>
  </w:footnote>
  <w:footnote w:id="104">
    <w:p w14:paraId="59EC6887" w14:textId="77777777" w:rsidR="00977580" w:rsidRPr="00517ACA" w:rsidRDefault="00977580" w:rsidP="009661C6">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Corte IDH, </w:t>
      </w:r>
      <w:r w:rsidRPr="00517ACA">
        <w:rPr>
          <w:rFonts w:asciiTheme="majorHAnsi" w:hAnsiTheme="majorHAnsi"/>
          <w:i/>
          <w:sz w:val="16"/>
          <w:szCs w:val="16"/>
          <w:lang w:val="pt-BR"/>
        </w:rPr>
        <w:t>Caso dos Massacres de Ituango</w:t>
      </w:r>
      <w:r w:rsidRPr="00517ACA">
        <w:rPr>
          <w:rFonts w:asciiTheme="majorHAnsi" w:hAnsiTheme="majorHAnsi"/>
          <w:sz w:val="16"/>
          <w:szCs w:val="16"/>
          <w:lang w:val="pt-BR"/>
        </w:rPr>
        <w:t>. Sentença de 1</w:t>
      </w:r>
      <w:r>
        <w:rPr>
          <w:rFonts w:asciiTheme="majorHAnsi" w:hAnsiTheme="majorHAnsi"/>
          <w:sz w:val="16"/>
          <w:szCs w:val="16"/>
          <w:lang w:val="pt-BR"/>
        </w:rPr>
        <w:t>º</w:t>
      </w:r>
      <w:r w:rsidRPr="00517ACA">
        <w:rPr>
          <w:rFonts w:asciiTheme="majorHAnsi" w:hAnsiTheme="majorHAnsi"/>
          <w:sz w:val="16"/>
          <w:szCs w:val="16"/>
          <w:lang w:val="pt-BR"/>
        </w:rPr>
        <w:t xml:space="preserve"> de julho de 2006. Série C No. 148,</w:t>
      </w:r>
      <w:r w:rsidRPr="00517ACA">
        <w:rPr>
          <w:rFonts w:asciiTheme="majorHAnsi" w:hAnsiTheme="majorHAnsi"/>
          <w:i/>
          <w:sz w:val="16"/>
          <w:szCs w:val="16"/>
          <w:lang w:val="pt-BR"/>
        </w:rPr>
        <w:t xml:space="preserve"> </w:t>
      </w:r>
      <w:r w:rsidRPr="00517ACA">
        <w:rPr>
          <w:rFonts w:asciiTheme="majorHAnsi" w:hAnsiTheme="majorHAnsi"/>
          <w:sz w:val="16"/>
          <w:szCs w:val="16"/>
          <w:lang w:val="pt-BR"/>
        </w:rPr>
        <w:t xml:space="preserve">par. 91.par. 340; Caso Cepeda Vargas Vs. Colômbia. Exceções Preliminares, Mérito e Reparações. Sentença de 26 de maio de 2010. Série C No. 213, pars. 130, 131, 139 e 140; Corte IDH. Caso Massacre de Santo Domingo Vs. Colômbia. Exceções Preliminares, Mérito e Reparações. Sentença de 30 de novembro de 2012. Série C No. 259, par. 37. </w:t>
      </w:r>
    </w:p>
  </w:footnote>
  <w:footnote w:id="105">
    <w:p w14:paraId="5D72E3D9" w14:textId="77777777" w:rsidR="00977580" w:rsidRPr="00517ACA" w:rsidRDefault="00977580" w:rsidP="002649F0">
      <w:pPr>
        <w:ind w:right="-86"/>
        <w:jc w:val="both"/>
        <w:rPr>
          <w:rFonts w:asciiTheme="majorHAnsi" w:hAnsiTheme="majorHAnsi" w:cs="Verdana"/>
          <w:bCs/>
          <w:sz w:val="16"/>
          <w:szCs w:val="16"/>
          <w:lang w:val="pt-BR" w:eastAsia="x-none"/>
        </w:rPr>
      </w:pPr>
      <w:r w:rsidRPr="00517ACA">
        <w:rPr>
          <w:rStyle w:val="FootnoteReference"/>
          <w:rFonts w:asciiTheme="majorHAnsi" w:hAnsiTheme="majorHAnsi"/>
          <w:sz w:val="16"/>
          <w:szCs w:val="16"/>
          <w:lang w:val="pt-BR"/>
        </w:rPr>
        <w:footnoteRef/>
      </w:r>
      <w:r w:rsidRPr="00517ACA">
        <w:rPr>
          <w:rStyle w:val="FootnoteReference"/>
          <w:rFonts w:asciiTheme="majorHAnsi" w:hAnsiTheme="majorHAnsi"/>
          <w:sz w:val="16"/>
          <w:szCs w:val="16"/>
          <w:lang w:val="pt-BR"/>
        </w:rPr>
        <w:t xml:space="preserve"> </w:t>
      </w:r>
      <w:r w:rsidRPr="00517ACA">
        <w:rPr>
          <w:rFonts w:asciiTheme="majorHAnsi" w:hAnsiTheme="majorHAnsi"/>
          <w:sz w:val="16"/>
          <w:szCs w:val="16"/>
          <w:lang w:val="pt-BR"/>
        </w:rPr>
        <w:t>Corte IDH</w:t>
      </w:r>
      <w:r w:rsidRPr="00517ACA">
        <w:rPr>
          <w:rFonts w:asciiTheme="majorHAnsi" w:hAnsiTheme="majorHAnsi"/>
          <w:i/>
          <w:sz w:val="16"/>
          <w:szCs w:val="16"/>
          <w:lang w:val="pt-BR" w:eastAsia="x-none"/>
        </w:rPr>
        <w:t xml:space="preserve">. </w:t>
      </w:r>
      <w:r w:rsidRPr="00517ACA">
        <w:rPr>
          <w:rFonts w:asciiTheme="majorHAnsi" w:hAnsiTheme="majorHAnsi"/>
          <w:bCs/>
          <w:sz w:val="16"/>
          <w:szCs w:val="16"/>
          <w:lang w:val="pt-BR" w:eastAsia="x-none"/>
        </w:rPr>
        <w:t xml:space="preserve">Caso Genie Lacayo Vs. Nicarágua. </w:t>
      </w:r>
      <w:r w:rsidRPr="00517ACA">
        <w:rPr>
          <w:rFonts w:asciiTheme="majorHAnsi" w:hAnsiTheme="majorHAnsi"/>
          <w:sz w:val="16"/>
          <w:szCs w:val="16"/>
          <w:lang w:val="pt-BR" w:eastAsia="x-none"/>
        </w:rPr>
        <w:t xml:space="preserve">Mérito, Reparações e Custas. Sentença de 29 de janeiro de 1997. Série C No. 30, par. 77; </w:t>
      </w:r>
      <w:r w:rsidRPr="00517ACA">
        <w:rPr>
          <w:rFonts w:asciiTheme="majorHAnsi" w:hAnsiTheme="majorHAnsi" w:cs="Verdana"/>
          <w:bCs/>
          <w:sz w:val="16"/>
          <w:szCs w:val="16"/>
          <w:lang w:val="pt-BR" w:eastAsia="x-none"/>
        </w:rPr>
        <w:t>Caso Diaz Peña vs. Venezuela. Exceção Preliminar, Mérito, Reparações e Custas. Sentença de 26 de junho de 2012. Série C No. 244, (“Corte IDH. Sentença Diaz Peña”) par. 49.</w:t>
      </w:r>
    </w:p>
  </w:footnote>
  <w:footnote w:id="106">
    <w:p w14:paraId="1B9BEFC0" w14:textId="77777777" w:rsidR="00977580" w:rsidRPr="00517ACA" w:rsidRDefault="00977580" w:rsidP="002649F0">
      <w:pPr>
        <w:ind w:right="-86"/>
        <w:jc w:val="both"/>
        <w:rPr>
          <w:rFonts w:asciiTheme="majorHAnsi" w:hAnsiTheme="majorHAnsi"/>
          <w:sz w:val="16"/>
          <w:szCs w:val="16"/>
          <w:lang w:val="pt-BR" w:eastAsia="x-none"/>
        </w:rPr>
      </w:pPr>
      <w:r w:rsidRPr="00517ACA">
        <w:rPr>
          <w:rStyle w:val="FootnoteReference"/>
          <w:rFonts w:asciiTheme="majorHAnsi" w:hAnsiTheme="majorHAnsi"/>
          <w:sz w:val="16"/>
          <w:szCs w:val="16"/>
          <w:lang w:val="pt-BR"/>
        </w:rPr>
        <w:footnoteRef/>
      </w:r>
      <w:r w:rsidRPr="00517ACA">
        <w:rPr>
          <w:rStyle w:val="FootnoteReference"/>
          <w:rFonts w:asciiTheme="majorHAnsi" w:hAnsiTheme="majorHAnsi"/>
          <w:sz w:val="16"/>
          <w:szCs w:val="16"/>
          <w:lang w:val="pt-BR"/>
        </w:rPr>
        <w:t xml:space="preserve"> </w:t>
      </w:r>
      <w:r w:rsidRPr="00517ACA">
        <w:rPr>
          <w:rFonts w:asciiTheme="majorHAnsi" w:hAnsiTheme="majorHAnsi"/>
          <w:sz w:val="16"/>
          <w:szCs w:val="16"/>
          <w:lang w:val="pt-BR"/>
        </w:rPr>
        <w:t>Corte IDH.</w:t>
      </w:r>
      <w:r w:rsidRPr="00517ACA">
        <w:rPr>
          <w:rFonts w:asciiTheme="majorHAnsi" w:hAnsiTheme="majorHAnsi"/>
          <w:spacing w:val="-2"/>
          <w:sz w:val="16"/>
          <w:szCs w:val="16"/>
          <w:vertAlign w:val="superscript"/>
          <w:lang w:val="pt-BR"/>
        </w:rPr>
        <w:t xml:space="preserve"> </w:t>
      </w:r>
      <w:r w:rsidRPr="00517ACA">
        <w:rPr>
          <w:rFonts w:asciiTheme="majorHAnsi" w:hAnsiTheme="majorHAnsi"/>
          <w:bCs/>
          <w:iCs/>
          <w:spacing w:val="-2"/>
          <w:sz w:val="16"/>
          <w:szCs w:val="16"/>
          <w:lang w:val="pt-BR"/>
        </w:rPr>
        <w:t xml:space="preserve">Caso Valle Jaramillo e outros Vs. Colômbia. </w:t>
      </w:r>
      <w:r w:rsidRPr="00517ACA">
        <w:rPr>
          <w:rFonts w:asciiTheme="majorHAnsi" w:hAnsiTheme="majorHAnsi" w:cs="Verdana"/>
          <w:sz w:val="16"/>
          <w:szCs w:val="16"/>
          <w:lang w:val="pt-BR"/>
        </w:rPr>
        <w:t>Mérito, Reparações e Custas. Sentença de 27 de novembro de 2008. Série C No. 192</w:t>
      </w:r>
      <w:r w:rsidRPr="00517ACA">
        <w:rPr>
          <w:rFonts w:asciiTheme="majorHAnsi" w:hAnsiTheme="majorHAnsi"/>
          <w:spacing w:val="-2"/>
          <w:sz w:val="16"/>
          <w:szCs w:val="16"/>
          <w:lang w:val="pt-BR"/>
        </w:rPr>
        <w:t xml:space="preserve">, (“Corte IDH. Sentença Valle Jaramillo e outros”) par. 155; Corte IDH. Sentença </w:t>
      </w:r>
      <w:r w:rsidRPr="00517ACA">
        <w:rPr>
          <w:rFonts w:asciiTheme="majorHAnsi" w:hAnsiTheme="majorHAnsi" w:cs="Verdana"/>
          <w:bCs/>
          <w:sz w:val="16"/>
          <w:szCs w:val="16"/>
          <w:lang w:val="pt-BR"/>
        </w:rPr>
        <w:t>Diaz Peña</w:t>
      </w:r>
      <w:r w:rsidRPr="00517ACA">
        <w:rPr>
          <w:rFonts w:asciiTheme="majorHAnsi" w:hAnsiTheme="majorHAnsi" w:cs="Verdana"/>
          <w:bCs/>
          <w:sz w:val="16"/>
          <w:szCs w:val="16"/>
          <w:lang w:val="pt-BR" w:eastAsia="x-none"/>
        </w:rPr>
        <w:t xml:space="preserve">, </w:t>
      </w:r>
      <w:r w:rsidRPr="00517ACA">
        <w:rPr>
          <w:rFonts w:asciiTheme="majorHAnsi" w:hAnsiTheme="majorHAnsi" w:cs="Verdana"/>
          <w:bCs/>
          <w:sz w:val="16"/>
          <w:szCs w:val="16"/>
          <w:lang w:val="pt-BR"/>
        </w:rPr>
        <w:t>par. 49.</w:t>
      </w:r>
    </w:p>
  </w:footnote>
  <w:footnote w:id="107">
    <w:p w14:paraId="48494C27" w14:textId="77777777" w:rsidR="00977580" w:rsidRPr="00517ACA" w:rsidRDefault="00977580" w:rsidP="002649F0">
      <w:pPr>
        <w:jc w:val="both"/>
        <w:rPr>
          <w:rFonts w:asciiTheme="majorHAnsi" w:hAnsiTheme="majorHAnsi"/>
          <w:sz w:val="16"/>
          <w:szCs w:val="16"/>
          <w:lang w:val="pt-BR" w:eastAsia="x-none"/>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Corte IDH.</w:t>
      </w:r>
      <w:r w:rsidRPr="00517ACA">
        <w:rPr>
          <w:rFonts w:asciiTheme="majorHAnsi" w:hAnsiTheme="majorHAnsi"/>
          <w:sz w:val="16"/>
          <w:szCs w:val="16"/>
          <w:lang w:val="pt-BR" w:eastAsia="x-none"/>
        </w:rPr>
        <w:t xml:space="preserve"> Caso Salvador Chiriboga Vs. Equador. Exceção Preliminar e Mérito. Sentença de 6 de maio de 2008. Série C No. 179, par. 83; Corte IDH. </w:t>
      </w:r>
      <w:r w:rsidRPr="00517ACA">
        <w:rPr>
          <w:rFonts w:asciiTheme="majorHAnsi" w:hAnsiTheme="majorHAnsi" w:cs="Verdana"/>
          <w:bCs/>
          <w:sz w:val="16"/>
          <w:szCs w:val="16"/>
          <w:lang w:val="pt-BR" w:eastAsia="x-none"/>
        </w:rPr>
        <w:t>Caso Acevedo Buend</w:t>
      </w:r>
      <w:r>
        <w:rPr>
          <w:rFonts w:asciiTheme="majorHAnsi" w:hAnsiTheme="majorHAnsi" w:cs="Verdana"/>
          <w:bCs/>
          <w:sz w:val="16"/>
          <w:szCs w:val="16"/>
          <w:lang w:val="pt-BR" w:eastAsia="x-none"/>
        </w:rPr>
        <w:t>í</w:t>
      </w:r>
      <w:r w:rsidRPr="00517ACA">
        <w:rPr>
          <w:rFonts w:asciiTheme="majorHAnsi" w:hAnsiTheme="majorHAnsi" w:cs="Verdana"/>
          <w:bCs/>
          <w:sz w:val="16"/>
          <w:szCs w:val="16"/>
          <w:lang w:val="pt-BR" w:eastAsia="x-none"/>
        </w:rPr>
        <w:t>a e outros (“Cesantes y Jubilados de la Contraloria”) vs. Peru. Exceção Preliminar, Mérito, Reparações e Custas. Sentença de 1</w:t>
      </w:r>
      <w:r>
        <w:rPr>
          <w:rFonts w:asciiTheme="majorHAnsi" w:hAnsiTheme="majorHAnsi" w:cs="Verdana"/>
          <w:bCs/>
          <w:sz w:val="16"/>
          <w:szCs w:val="16"/>
          <w:lang w:val="pt-BR" w:eastAsia="x-none"/>
        </w:rPr>
        <w:t>º</w:t>
      </w:r>
      <w:r w:rsidRPr="00517ACA">
        <w:rPr>
          <w:rFonts w:asciiTheme="majorHAnsi" w:hAnsiTheme="majorHAnsi" w:cs="Verdana"/>
          <w:bCs/>
          <w:sz w:val="16"/>
          <w:szCs w:val="16"/>
          <w:lang w:val="pt-BR" w:eastAsia="x-none"/>
        </w:rPr>
        <w:t xml:space="preserve"> de julho de 2009. Série C No. 198</w:t>
      </w:r>
      <w:r w:rsidRPr="00517ACA">
        <w:rPr>
          <w:rFonts w:asciiTheme="majorHAnsi" w:hAnsiTheme="majorHAnsi" w:cs="Verdana"/>
          <w:sz w:val="16"/>
          <w:szCs w:val="16"/>
          <w:lang w:val="pt-BR" w:eastAsia="x-none"/>
        </w:rPr>
        <w:t xml:space="preserve">, </w:t>
      </w:r>
      <w:r w:rsidRPr="00517ACA">
        <w:rPr>
          <w:rFonts w:asciiTheme="majorHAnsi" w:hAnsiTheme="majorHAnsi"/>
          <w:sz w:val="16"/>
          <w:szCs w:val="16"/>
          <w:lang w:val="pt-BR" w:eastAsia="x-none"/>
        </w:rPr>
        <w:t>par. 76.</w:t>
      </w:r>
    </w:p>
  </w:footnote>
  <w:footnote w:id="108">
    <w:p w14:paraId="3EFB3EDF" w14:textId="77777777" w:rsidR="00977580" w:rsidRPr="00517ACA" w:rsidRDefault="00977580" w:rsidP="002649F0">
      <w:pPr>
        <w:pStyle w:val="FootnoteText"/>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CIDH. Relatório 111/10. Caso 12.539. Mérito. Sebastián Claus Furlan e família. Argentina. 21 de outubro de 2010, par. 117.</w:t>
      </w:r>
      <w:r w:rsidRPr="00517ACA">
        <w:rPr>
          <w:rFonts w:asciiTheme="majorHAnsi" w:hAnsiTheme="majorHAnsi"/>
          <w:color w:val="595959" w:themeColor="text1" w:themeTint="A6"/>
          <w:sz w:val="16"/>
          <w:szCs w:val="16"/>
          <w:lang w:val="pt-BR"/>
        </w:rPr>
        <w:t xml:space="preserve"> </w:t>
      </w:r>
    </w:p>
  </w:footnote>
  <w:footnote w:id="109">
    <w:p w14:paraId="47A7CE86" w14:textId="77777777" w:rsidR="00977580" w:rsidRPr="00517ACA" w:rsidRDefault="00977580" w:rsidP="002649F0">
      <w:pPr>
        <w:jc w:val="both"/>
        <w:rPr>
          <w:rFonts w:asciiTheme="majorHAnsi" w:hAnsiTheme="majorHAnsi"/>
          <w:sz w:val="16"/>
          <w:szCs w:val="16"/>
          <w:lang w:val="pt-BR"/>
        </w:rPr>
      </w:pPr>
      <w:r w:rsidRPr="00517ACA">
        <w:rPr>
          <w:rStyle w:val="FootnoteReference"/>
          <w:rFonts w:asciiTheme="majorHAnsi" w:hAnsiTheme="majorHAnsi" w:cs="Arial"/>
          <w:sz w:val="16"/>
          <w:szCs w:val="16"/>
          <w:lang w:val="pt-BR"/>
        </w:rPr>
        <w:footnoteRef/>
      </w:r>
      <w:r w:rsidRPr="00517ACA">
        <w:rPr>
          <w:rFonts w:asciiTheme="majorHAnsi" w:hAnsiTheme="majorHAnsi" w:cs="Arial"/>
          <w:sz w:val="16"/>
          <w:szCs w:val="16"/>
          <w:lang w:val="pt-BR"/>
        </w:rPr>
        <w:t xml:space="preserve"> Corte IDH. </w:t>
      </w:r>
      <w:r w:rsidRPr="00517ACA">
        <w:rPr>
          <w:rFonts w:asciiTheme="majorHAnsi" w:hAnsiTheme="majorHAnsi" w:cs="Arial"/>
          <w:bCs/>
          <w:sz w:val="16"/>
          <w:szCs w:val="16"/>
          <w:lang w:val="pt-BR"/>
        </w:rPr>
        <w:t>Sentença Cantoral Huamaní</w:t>
      </w:r>
      <w:r w:rsidRPr="00517ACA">
        <w:rPr>
          <w:rFonts w:asciiTheme="majorHAnsi" w:hAnsiTheme="majorHAnsi" w:cs="Arial"/>
          <w:sz w:val="16"/>
          <w:szCs w:val="16"/>
          <w:lang w:val="pt-BR"/>
        </w:rPr>
        <w:t xml:space="preserve">, par. 112; Caso Bueno Alves Vs. Argentina. Mérito, Reparações e Custas. Sentença de 11 de maio de 2007. Série C. No. 164, par. 102. </w:t>
      </w:r>
    </w:p>
  </w:footnote>
  <w:footnote w:id="110">
    <w:p w14:paraId="0BAAB889" w14:textId="77777777" w:rsidR="00977580" w:rsidRPr="00517ACA" w:rsidRDefault="00977580" w:rsidP="002649F0">
      <w:pPr>
        <w:jc w:val="both"/>
        <w:rPr>
          <w:rFonts w:asciiTheme="majorHAnsi" w:hAnsiTheme="majorHAnsi"/>
          <w:sz w:val="16"/>
          <w:szCs w:val="16"/>
          <w:lang w:val="pt-BR"/>
        </w:rPr>
      </w:pPr>
      <w:r w:rsidRPr="00517ACA">
        <w:rPr>
          <w:rStyle w:val="FootnoteReference"/>
          <w:rFonts w:asciiTheme="majorHAnsi" w:hAnsiTheme="majorHAnsi" w:cs="Arial"/>
          <w:sz w:val="16"/>
          <w:szCs w:val="16"/>
          <w:lang w:val="pt-BR"/>
        </w:rPr>
        <w:footnoteRef/>
      </w:r>
      <w:r w:rsidRPr="00517ACA">
        <w:rPr>
          <w:rFonts w:asciiTheme="majorHAnsi" w:hAnsiTheme="majorHAnsi" w:cs="Arial"/>
          <w:sz w:val="16"/>
          <w:szCs w:val="16"/>
          <w:lang w:val="pt-BR"/>
        </w:rPr>
        <w:t xml:space="preserve"> Corte IDH. Sentença </w:t>
      </w:r>
      <w:r w:rsidRPr="00517ACA">
        <w:rPr>
          <w:rFonts w:asciiTheme="majorHAnsi" w:hAnsiTheme="majorHAnsi" w:cs="Arial"/>
          <w:bCs/>
          <w:sz w:val="16"/>
          <w:szCs w:val="16"/>
          <w:lang w:val="pt-BR"/>
        </w:rPr>
        <w:t>Cantoral Huamaní</w:t>
      </w:r>
      <w:r w:rsidRPr="00517ACA">
        <w:rPr>
          <w:rFonts w:asciiTheme="majorHAnsi" w:hAnsiTheme="majorHAnsi" w:cs="Arial"/>
          <w:sz w:val="16"/>
          <w:szCs w:val="16"/>
          <w:lang w:val="pt-BR"/>
        </w:rPr>
        <w:t>, par. 112; Caso Vargas Areco vs. Paragua</w:t>
      </w:r>
      <w:r>
        <w:rPr>
          <w:rFonts w:asciiTheme="majorHAnsi" w:hAnsiTheme="majorHAnsi" w:cs="Arial"/>
          <w:sz w:val="16"/>
          <w:szCs w:val="16"/>
          <w:lang w:val="pt-BR"/>
        </w:rPr>
        <w:t>i</w:t>
      </w:r>
      <w:r w:rsidRPr="00517ACA">
        <w:rPr>
          <w:rFonts w:asciiTheme="majorHAnsi" w:hAnsiTheme="majorHAnsi" w:cs="Arial"/>
          <w:sz w:val="16"/>
          <w:szCs w:val="16"/>
          <w:lang w:val="pt-BR"/>
        </w:rPr>
        <w:t>. Sentença de 26 de setembro de 2006. Série C No. 155, par. 96.</w:t>
      </w:r>
    </w:p>
  </w:footnote>
  <w:footnote w:id="111">
    <w:p w14:paraId="2F7608AF" w14:textId="77777777" w:rsidR="00977580" w:rsidRPr="00517ACA" w:rsidRDefault="00977580" w:rsidP="002649F0">
      <w:pPr>
        <w:pStyle w:val="FootnoteText"/>
        <w:jc w:val="both"/>
        <w:rPr>
          <w:rFonts w:asciiTheme="majorHAnsi" w:hAnsiTheme="majorHAnsi"/>
          <w:sz w:val="16"/>
          <w:szCs w:val="16"/>
          <w:lang w:val="pt-BR"/>
        </w:rPr>
      </w:pPr>
      <w:r w:rsidRPr="00517ACA">
        <w:rPr>
          <w:rStyle w:val="FootnoteReference"/>
          <w:rFonts w:asciiTheme="majorHAnsi" w:hAnsiTheme="majorHAnsi"/>
          <w:sz w:val="16"/>
          <w:szCs w:val="16"/>
          <w:lang w:val="pt-BR"/>
        </w:rPr>
        <w:footnoteRef/>
      </w:r>
      <w:r w:rsidRPr="00517ACA">
        <w:rPr>
          <w:rFonts w:asciiTheme="majorHAnsi" w:hAnsiTheme="majorHAnsi"/>
          <w:sz w:val="16"/>
          <w:szCs w:val="16"/>
          <w:lang w:val="pt-BR"/>
        </w:rPr>
        <w:t xml:space="preserve"> Corte IDH. Sentença Valle Jaramillo e outros, par. 102; Casso do Massacre de la Rochela Vs. Colômbia. Mérito, Reparações e Custas. Sentença de 11 de maio de 2007, Série C No. 163, par. 195; Caso Heliodoro Portugal Vs. Panamá. Exceções Preliminares, Mérito, Reparações e Custas. Sentença de 12 de agosto de 2008. Série C No. 186, par. 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FE60" w14:textId="77777777" w:rsidR="00977580" w:rsidRDefault="00977580" w:rsidP="0095348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716820A" w14:textId="77777777" w:rsidR="00977580" w:rsidRDefault="00977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908B" w14:textId="77777777" w:rsidR="00977580" w:rsidRDefault="00977580" w:rsidP="00A50FCF">
    <w:pPr>
      <w:pStyle w:val="Header"/>
      <w:tabs>
        <w:tab w:val="clear" w:pos="4320"/>
        <w:tab w:val="clear" w:pos="8640"/>
      </w:tabs>
      <w:jc w:val="center"/>
      <w:rPr>
        <w:sz w:val="22"/>
        <w:szCs w:val="22"/>
      </w:rPr>
    </w:pPr>
    <w:r>
      <w:rPr>
        <w:noProof/>
        <w:sz w:val="22"/>
        <w:szCs w:val="22"/>
      </w:rPr>
      <w:drawing>
        <wp:inline distT="0" distB="0" distL="0" distR="0" wp14:anchorId="3F477499" wp14:editId="3350E008">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2E2EF59" w14:textId="77777777" w:rsidR="00977580" w:rsidRPr="00EC7D62" w:rsidRDefault="004738E5" w:rsidP="00A50FCF">
    <w:pPr>
      <w:pStyle w:val="Header"/>
      <w:tabs>
        <w:tab w:val="clear" w:pos="4320"/>
        <w:tab w:val="clear" w:pos="8640"/>
      </w:tabs>
      <w:jc w:val="center"/>
      <w:rPr>
        <w:sz w:val="22"/>
        <w:szCs w:val="22"/>
      </w:rPr>
    </w:pPr>
    <w:r>
      <w:rPr>
        <w:noProof/>
        <w:sz w:val="22"/>
        <w:szCs w:val="22"/>
        <w:bdr w:val="nil"/>
      </w:rPr>
      <w:pict w14:anchorId="40AF7390">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1"/>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755490E"/>
    <w:multiLevelType w:val="hybridMultilevel"/>
    <w:tmpl w:val="7C009E02"/>
    <w:lvl w:ilvl="0" w:tplc="5FF6CC16">
      <w:start w:val="1"/>
      <w:numFmt w:val="upperLetter"/>
      <w:pStyle w:val="Heading2"/>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44B54"/>
    <w:multiLevelType w:val="multilevel"/>
    <w:tmpl w:val="10C6C0C6"/>
    <w:styleLink w:val="List1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1"/>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1"/>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1"/>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0714FBF"/>
    <w:multiLevelType w:val="hybridMultilevel"/>
    <w:tmpl w:val="417473A2"/>
    <w:lvl w:ilvl="0" w:tplc="0D4C857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2647F"/>
    <w:multiLevelType w:val="multilevel"/>
    <w:tmpl w:val="BB5E788C"/>
    <w:styleLink w:val="List4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1"/>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1"/>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E2638A"/>
    <w:multiLevelType w:val="hybridMultilevel"/>
    <w:tmpl w:val="FA66A742"/>
    <w:lvl w:ilvl="0" w:tplc="ABA20EF0">
      <w:start w:val="2"/>
      <w:numFmt w:val="upperLetter"/>
      <w:lvlText w:val="%1."/>
      <w:lvlJc w:val="left"/>
      <w:pPr>
        <w:ind w:left="1260" w:hanging="360"/>
      </w:pPr>
      <w:rPr>
        <w:rFonts w:ascii="Times New Roman" w:eastAsia="Arial Unicode MS"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9949EB"/>
    <w:multiLevelType w:val="multilevel"/>
    <w:tmpl w:val="3844DD14"/>
    <w:styleLink w:val="List5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2"/>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B8905C2"/>
    <w:multiLevelType w:val="hybridMultilevel"/>
    <w:tmpl w:val="851C2664"/>
    <w:lvl w:ilvl="0" w:tplc="55BA4174">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4C7B4261"/>
    <w:multiLevelType w:val="multilevel"/>
    <w:tmpl w:val="BA48D7F6"/>
    <w:styleLink w:val="List34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1"/>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1"/>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D2F28CB"/>
    <w:multiLevelType w:val="hybridMultilevel"/>
    <w:tmpl w:val="AE28C488"/>
    <w:lvl w:ilvl="0" w:tplc="9FDC50E4">
      <w:start w:val="4"/>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61291D94"/>
    <w:multiLevelType w:val="multilevel"/>
    <w:tmpl w:val="6C22F246"/>
    <w:styleLink w:val="List27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1ED15A8"/>
    <w:multiLevelType w:val="hybridMultilevel"/>
    <w:tmpl w:val="55CA8C28"/>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62B8097C"/>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66260CBE"/>
    <w:multiLevelType w:val="multilevel"/>
    <w:tmpl w:val="1D885D8E"/>
    <w:styleLink w:val="List8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8E60472"/>
    <w:multiLevelType w:val="hybridMultilevel"/>
    <w:tmpl w:val="E2325D48"/>
    <w:lvl w:ilvl="0" w:tplc="1DC6A5DC">
      <w:start w:val="1"/>
      <w:numFmt w:val="decimal"/>
      <w:lvlText w:val="%1."/>
      <w:lvlJc w:val="left"/>
      <w:pPr>
        <w:ind w:left="711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074BF8"/>
    <w:multiLevelType w:val="multilevel"/>
    <w:tmpl w:val="E1B8E896"/>
    <w:styleLink w:val="List131"/>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1"/>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0786ED7"/>
    <w:multiLevelType w:val="hybridMultilevel"/>
    <w:tmpl w:val="8E40A564"/>
    <w:lvl w:ilvl="0" w:tplc="76F63628">
      <w:start w:val="1"/>
      <w:numFmt w:val="upperRoman"/>
      <w:pStyle w:val="Heading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2"/>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1"/>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E64D32"/>
    <w:multiLevelType w:val="hybridMultilevel"/>
    <w:tmpl w:val="75A2624C"/>
    <w:lvl w:ilvl="0" w:tplc="8BD6FFCA">
      <w:start w:val="1"/>
      <w:numFmt w:val="decimal"/>
      <w:pStyle w:val="Estilo1"/>
      <w:lvlText w:val="%1."/>
      <w:lvlJc w:val="left"/>
      <w:pPr>
        <w:tabs>
          <w:tab w:val="num" w:pos="6042"/>
        </w:tabs>
      </w:pPr>
      <w:rPr>
        <w:rFonts w:ascii="Verdana" w:eastAsia="Times New Roman" w:hAnsi="Verdana" w:cs="Times New Roman" w:hint="default"/>
        <w:b w:val="0"/>
        <w:i w:val="0"/>
        <w:strike w:val="0"/>
        <w:color w:val="auto"/>
        <w:sz w:val="20"/>
        <w:lang w:val="es-ES"/>
      </w:rPr>
    </w:lvl>
    <w:lvl w:ilvl="1" w:tplc="8D765A30">
      <w:start w:val="1"/>
      <w:numFmt w:val="lowerLetter"/>
      <w:pStyle w:val="Estilo2"/>
      <w:lvlText w:val="%2)"/>
      <w:lvlJc w:val="left"/>
      <w:pPr>
        <w:tabs>
          <w:tab w:val="num" w:pos="4767"/>
        </w:tabs>
        <w:ind w:left="4767" w:hanging="360"/>
      </w:pPr>
      <w:rPr>
        <w:rFonts w:cs="Times New Roman" w:hint="default"/>
        <w:b w:val="0"/>
        <w:i w:val="0"/>
        <w:sz w:val="20"/>
      </w:rPr>
    </w:lvl>
    <w:lvl w:ilvl="2" w:tplc="FED61C0C">
      <w:start w:val="1"/>
      <w:numFmt w:val="lowerRoman"/>
      <w:pStyle w:val="PrrafodeSentencia"/>
      <w:lvlText w:val="%3."/>
      <w:lvlJc w:val="right"/>
      <w:pPr>
        <w:tabs>
          <w:tab w:val="num" w:pos="890"/>
        </w:tabs>
        <w:ind w:left="890" w:hanging="180"/>
      </w:pPr>
      <w:rPr>
        <w:rFonts w:cs="Times New Roman"/>
        <w:i/>
      </w:rPr>
    </w:lvl>
    <w:lvl w:ilvl="3" w:tplc="0C0A000F">
      <w:start w:val="1"/>
      <w:numFmt w:val="decimal"/>
      <w:lvlText w:val="%4."/>
      <w:lvlJc w:val="left"/>
      <w:pPr>
        <w:tabs>
          <w:tab w:val="num" w:pos="6567"/>
        </w:tabs>
        <w:ind w:left="6567" w:hanging="360"/>
      </w:pPr>
      <w:rPr>
        <w:rFonts w:cs="Times New Roman"/>
      </w:rPr>
    </w:lvl>
    <w:lvl w:ilvl="4" w:tplc="0C0A0019">
      <w:start w:val="1"/>
      <w:numFmt w:val="lowerLetter"/>
      <w:lvlText w:val="%5."/>
      <w:lvlJc w:val="left"/>
      <w:pPr>
        <w:tabs>
          <w:tab w:val="num" w:pos="7287"/>
        </w:tabs>
        <w:ind w:left="7287" w:hanging="360"/>
      </w:pPr>
      <w:rPr>
        <w:rFonts w:cs="Times New Roman"/>
      </w:rPr>
    </w:lvl>
    <w:lvl w:ilvl="5" w:tplc="0C0A001B">
      <w:start w:val="1"/>
      <w:numFmt w:val="lowerRoman"/>
      <w:lvlText w:val="%6."/>
      <w:lvlJc w:val="right"/>
      <w:pPr>
        <w:tabs>
          <w:tab w:val="num" w:pos="8007"/>
        </w:tabs>
        <w:ind w:left="8007" w:hanging="180"/>
      </w:pPr>
      <w:rPr>
        <w:rFonts w:cs="Times New Roman"/>
      </w:rPr>
    </w:lvl>
    <w:lvl w:ilvl="6" w:tplc="0C0A000F">
      <w:start w:val="1"/>
      <w:numFmt w:val="decimal"/>
      <w:lvlText w:val="%7."/>
      <w:lvlJc w:val="left"/>
      <w:pPr>
        <w:tabs>
          <w:tab w:val="num" w:pos="8727"/>
        </w:tabs>
        <w:ind w:left="8727" w:hanging="360"/>
      </w:pPr>
      <w:rPr>
        <w:rFonts w:cs="Times New Roman"/>
      </w:rPr>
    </w:lvl>
    <w:lvl w:ilvl="7" w:tplc="0C0A0019">
      <w:start w:val="1"/>
      <w:numFmt w:val="lowerLetter"/>
      <w:lvlText w:val="%8."/>
      <w:lvlJc w:val="left"/>
      <w:pPr>
        <w:tabs>
          <w:tab w:val="num" w:pos="9447"/>
        </w:tabs>
        <w:ind w:left="9447" w:hanging="360"/>
      </w:pPr>
      <w:rPr>
        <w:rFonts w:cs="Times New Roman"/>
      </w:rPr>
    </w:lvl>
    <w:lvl w:ilvl="8" w:tplc="0C0A001B">
      <w:start w:val="1"/>
      <w:numFmt w:val="lowerRoman"/>
      <w:lvlText w:val="%9."/>
      <w:lvlJc w:val="right"/>
      <w:pPr>
        <w:tabs>
          <w:tab w:val="num" w:pos="10167"/>
        </w:tabs>
        <w:ind w:left="10167" w:hanging="180"/>
      </w:pPr>
      <w:rPr>
        <w:rFonts w:cs="Times New Roman"/>
      </w:rPr>
    </w:lvl>
  </w:abstractNum>
  <w:abstractNum w:abstractNumId="63" w15:restartNumberingAfterBreak="0">
    <w:nsid w:val="7EAB4C36"/>
    <w:multiLevelType w:val="multilevel"/>
    <w:tmpl w:val="DBBC6382"/>
    <w:styleLink w:val="List26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8"/>
  </w:num>
  <w:num w:numId="4">
    <w:abstractNumId w:val="21"/>
  </w:num>
  <w:num w:numId="5">
    <w:abstractNumId w:val="49"/>
  </w:num>
  <w:num w:numId="6">
    <w:abstractNumId w:val="26"/>
  </w:num>
  <w:num w:numId="7">
    <w:abstractNumId w:val="6"/>
  </w:num>
  <w:num w:numId="8">
    <w:abstractNumId w:val="17"/>
  </w:num>
  <w:num w:numId="9">
    <w:abstractNumId w:val="42"/>
  </w:num>
  <w:num w:numId="10">
    <w:abstractNumId w:val="0"/>
  </w:num>
  <w:num w:numId="11">
    <w:abstractNumId w:val="37"/>
  </w:num>
  <w:num w:numId="12">
    <w:abstractNumId w:val="38"/>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4"/>
  </w:num>
  <w:num w:numId="38">
    <w:abstractNumId w:val="35"/>
  </w:num>
  <w:num w:numId="39">
    <w:abstractNumId w:val="39"/>
  </w:num>
  <w:num w:numId="40">
    <w:abstractNumId w:val="40"/>
  </w:num>
  <w:num w:numId="41">
    <w:abstractNumId w:val="46"/>
  </w:num>
  <w:num w:numId="42">
    <w:abstractNumId w:val="52"/>
  </w:num>
  <w:num w:numId="43">
    <w:abstractNumId w:val="53"/>
  </w:num>
  <w:num w:numId="44">
    <w:abstractNumId w:val="56"/>
  </w:num>
  <w:num w:numId="45">
    <w:abstractNumId w:val="57"/>
  </w:num>
  <w:num w:numId="46">
    <w:abstractNumId w:val="59"/>
  </w:num>
  <w:num w:numId="47">
    <w:abstractNumId w:val="60"/>
  </w:num>
  <w:num w:numId="48">
    <w:abstractNumId w:val="61"/>
  </w:num>
  <w:num w:numId="49">
    <w:abstractNumId w:val="63"/>
  </w:num>
  <w:num w:numId="50">
    <w:abstractNumId w:val="64"/>
  </w:num>
  <w:num w:numId="51">
    <w:abstractNumId w:val="20"/>
  </w:num>
  <w:num w:numId="52">
    <w:abstractNumId w:val="41"/>
  </w:num>
  <w:num w:numId="53">
    <w:abstractNumId w:val="55"/>
  </w:num>
  <w:num w:numId="54">
    <w:abstractNumId w:val="44"/>
  </w:num>
  <w:num w:numId="55">
    <w:abstractNumId w:val="50"/>
  </w:num>
  <w:num w:numId="56">
    <w:abstractNumId w:val="47"/>
  </w:num>
  <w:num w:numId="57">
    <w:abstractNumId w:val="12"/>
  </w:num>
  <w:num w:numId="58">
    <w:abstractNumId w:val="48"/>
  </w:num>
  <w:num w:numId="59">
    <w:abstractNumId w:val="33"/>
  </w:num>
  <w:num w:numId="60">
    <w:abstractNumId w:val="54"/>
  </w:num>
  <w:num w:numId="61">
    <w:abstractNumId w:val="45"/>
  </w:num>
  <w:num w:numId="62">
    <w:abstractNumId w:val="62"/>
  </w:num>
  <w:num w:numId="63">
    <w:abstractNumId w:val="5"/>
  </w:num>
  <w:num w:numId="64">
    <w:abstractNumId w:val="51"/>
  </w:num>
  <w:num w:numId="65">
    <w:abstractNumId w:val="36"/>
  </w:num>
  <w:num w:numId="66">
    <w:abstractNumId w:val="5"/>
    <w:lvlOverride w:ilvl="0">
      <w:startOverride w:val="1"/>
    </w:lvlOverride>
  </w:num>
  <w:num w:numId="67">
    <w:abstractNumId w:val="5"/>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20"/>
    <w:rsid w:val="000034DE"/>
    <w:rsid w:val="00006E1F"/>
    <w:rsid w:val="000070D7"/>
    <w:rsid w:val="00010861"/>
    <w:rsid w:val="000156C9"/>
    <w:rsid w:val="0001788C"/>
    <w:rsid w:val="0002682A"/>
    <w:rsid w:val="00026C34"/>
    <w:rsid w:val="00030019"/>
    <w:rsid w:val="0003449B"/>
    <w:rsid w:val="00040C3A"/>
    <w:rsid w:val="0004192B"/>
    <w:rsid w:val="00044ED0"/>
    <w:rsid w:val="00046659"/>
    <w:rsid w:val="0005539E"/>
    <w:rsid w:val="00055622"/>
    <w:rsid w:val="00055A7B"/>
    <w:rsid w:val="000663A8"/>
    <w:rsid w:val="000716C5"/>
    <w:rsid w:val="00075E23"/>
    <w:rsid w:val="0008648B"/>
    <w:rsid w:val="00091061"/>
    <w:rsid w:val="0009171A"/>
    <w:rsid w:val="0009344A"/>
    <w:rsid w:val="00094ECD"/>
    <w:rsid w:val="000A392E"/>
    <w:rsid w:val="000A4A79"/>
    <w:rsid w:val="000A575F"/>
    <w:rsid w:val="000B0B6E"/>
    <w:rsid w:val="000B2CCA"/>
    <w:rsid w:val="000B3A6F"/>
    <w:rsid w:val="000B6979"/>
    <w:rsid w:val="000D088B"/>
    <w:rsid w:val="000D10DB"/>
    <w:rsid w:val="000D17B7"/>
    <w:rsid w:val="000D2A81"/>
    <w:rsid w:val="000D4C4F"/>
    <w:rsid w:val="000E5EB5"/>
    <w:rsid w:val="000F35ED"/>
    <w:rsid w:val="001032A6"/>
    <w:rsid w:val="00106DE5"/>
    <w:rsid w:val="00107131"/>
    <w:rsid w:val="0010736F"/>
    <w:rsid w:val="00113F73"/>
    <w:rsid w:val="00121CC2"/>
    <w:rsid w:val="001276EE"/>
    <w:rsid w:val="00132E8F"/>
    <w:rsid w:val="00133EE5"/>
    <w:rsid w:val="00135385"/>
    <w:rsid w:val="00135406"/>
    <w:rsid w:val="00135454"/>
    <w:rsid w:val="00143756"/>
    <w:rsid w:val="00150ED4"/>
    <w:rsid w:val="00152D85"/>
    <w:rsid w:val="00154D0D"/>
    <w:rsid w:val="00156036"/>
    <w:rsid w:val="00167A34"/>
    <w:rsid w:val="00176C72"/>
    <w:rsid w:val="00181B29"/>
    <w:rsid w:val="00193AAA"/>
    <w:rsid w:val="001A08C5"/>
    <w:rsid w:val="001A3D19"/>
    <w:rsid w:val="001A7870"/>
    <w:rsid w:val="001C1B41"/>
    <w:rsid w:val="001C325B"/>
    <w:rsid w:val="001C5D60"/>
    <w:rsid w:val="001D2336"/>
    <w:rsid w:val="001D5EF3"/>
    <w:rsid w:val="001D65EF"/>
    <w:rsid w:val="001E14AB"/>
    <w:rsid w:val="001E2392"/>
    <w:rsid w:val="001E7651"/>
    <w:rsid w:val="001E7B6F"/>
    <w:rsid w:val="001F0105"/>
    <w:rsid w:val="001F0958"/>
    <w:rsid w:val="001F0AB1"/>
    <w:rsid w:val="00205A9C"/>
    <w:rsid w:val="00205EB8"/>
    <w:rsid w:val="002105E1"/>
    <w:rsid w:val="00211659"/>
    <w:rsid w:val="00217759"/>
    <w:rsid w:val="002250A3"/>
    <w:rsid w:val="00235217"/>
    <w:rsid w:val="00246D1F"/>
    <w:rsid w:val="00247403"/>
    <w:rsid w:val="00247542"/>
    <w:rsid w:val="00252C4F"/>
    <w:rsid w:val="00253C80"/>
    <w:rsid w:val="00254A36"/>
    <w:rsid w:val="002649F0"/>
    <w:rsid w:val="00266B61"/>
    <w:rsid w:val="0026712A"/>
    <w:rsid w:val="002704DB"/>
    <w:rsid w:val="002709AC"/>
    <w:rsid w:val="00271DE2"/>
    <w:rsid w:val="00273663"/>
    <w:rsid w:val="00283758"/>
    <w:rsid w:val="00293EA8"/>
    <w:rsid w:val="002A0AAE"/>
    <w:rsid w:val="002A264B"/>
    <w:rsid w:val="002A2EB3"/>
    <w:rsid w:val="002A3BB2"/>
    <w:rsid w:val="002A5820"/>
    <w:rsid w:val="002C30A6"/>
    <w:rsid w:val="002D14E9"/>
    <w:rsid w:val="002D2B26"/>
    <w:rsid w:val="002D4AE6"/>
    <w:rsid w:val="002D5805"/>
    <w:rsid w:val="002D7172"/>
    <w:rsid w:val="002D7EA2"/>
    <w:rsid w:val="002E187C"/>
    <w:rsid w:val="002F419C"/>
    <w:rsid w:val="00302733"/>
    <w:rsid w:val="003028F6"/>
    <w:rsid w:val="00314078"/>
    <w:rsid w:val="0031535D"/>
    <w:rsid w:val="003171F3"/>
    <w:rsid w:val="003178DA"/>
    <w:rsid w:val="003207BF"/>
    <w:rsid w:val="00322402"/>
    <w:rsid w:val="00327B88"/>
    <w:rsid w:val="0033169F"/>
    <w:rsid w:val="00336FAF"/>
    <w:rsid w:val="003373F3"/>
    <w:rsid w:val="00337DD7"/>
    <w:rsid w:val="00346C95"/>
    <w:rsid w:val="00347AE8"/>
    <w:rsid w:val="003511AD"/>
    <w:rsid w:val="00355F01"/>
    <w:rsid w:val="00356185"/>
    <w:rsid w:val="00360380"/>
    <w:rsid w:val="003611D8"/>
    <w:rsid w:val="003627F4"/>
    <w:rsid w:val="003705A2"/>
    <w:rsid w:val="0037519E"/>
    <w:rsid w:val="003802C1"/>
    <w:rsid w:val="003807B1"/>
    <w:rsid w:val="00386CF0"/>
    <w:rsid w:val="00393B13"/>
    <w:rsid w:val="003C51D1"/>
    <w:rsid w:val="003C571A"/>
    <w:rsid w:val="003C676B"/>
    <w:rsid w:val="003D3B11"/>
    <w:rsid w:val="003D3BC2"/>
    <w:rsid w:val="003E3ED6"/>
    <w:rsid w:val="003E6CA1"/>
    <w:rsid w:val="00405A39"/>
    <w:rsid w:val="00416120"/>
    <w:rsid w:val="004165C2"/>
    <w:rsid w:val="00417BE8"/>
    <w:rsid w:val="004216F3"/>
    <w:rsid w:val="004272C7"/>
    <w:rsid w:val="0043545D"/>
    <w:rsid w:val="00441ECB"/>
    <w:rsid w:val="00454D37"/>
    <w:rsid w:val="00455F22"/>
    <w:rsid w:val="0046514D"/>
    <w:rsid w:val="00466630"/>
    <w:rsid w:val="00467B7E"/>
    <w:rsid w:val="0047317E"/>
    <w:rsid w:val="004738E5"/>
    <w:rsid w:val="00473D0D"/>
    <w:rsid w:val="0047489A"/>
    <w:rsid w:val="004754B6"/>
    <w:rsid w:val="00476A0D"/>
    <w:rsid w:val="00477592"/>
    <w:rsid w:val="0048377F"/>
    <w:rsid w:val="00486544"/>
    <w:rsid w:val="00486F1C"/>
    <w:rsid w:val="0049419D"/>
    <w:rsid w:val="004B4493"/>
    <w:rsid w:val="004C20D2"/>
    <w:rsid w:val="004C4B62"/>
    <w:rsid w:val="004C54C9"/>
    <w:rsid w:val="004D5B55"/>
    <w:rsid w:val="004D6025"/>
    <w:rsid w:val="004E2649"/>
    <w:rsid w:val="004F2BE4"/>
    <w:rsid w:val="004F729D"/>
    <w:rsid w:val="004F7E2E"/>
    <w:rsid w:val="00501399"/>
    <w:rsid w:val="00501D1D"/>
    <w:rsid w:val="0050633D"/>
    <w:rsid w:val="00507BC4"/>
    <w:rsid w:val="005128E4"/>
    <w:rsid w:val="005129DB"/>
    <w:rsid w:val="005133DB"/>
    <w:rsid w:val="00513D7E"/>
    <w:rsid w:val="00513DB4"/>
    <w:rsid w:val="00517ACA"/>
    <w:rsid w:val="0052190E"/>
    <w:rsid w:val="005241BB"/>
    <w:rsid w:val="00525560"/>
    <w:rsid w:val="00531653"/>
    <w:rsid w:val="00535D89"/>
    <w:rsid w:val="00542466"/>
    <w:rsid w:val="00544C49"/>
    <w:rsid w:val="00545ED8"/>
    <w:rsid w:val="00547CEB"/>
    <w:rsid w:val="00547FE2"/>
    <w:rsid w:val="00550CE8"/>
    <w:rsid w:val="005516A1"/>
    <w:rsid w:val="00552496"/>
    <w:rsid w:val="005536FD"/>
    <w:rsid w:val="005600A4"/>
    <w:rsid w:val="00561C8E"/>
    <w:rsid w:val="00565F62"/>
    <w:rsid w:val="00572827"/>
    <w:rsid w:val="0057402A"/>
    <w:rsid w:val="00574C68"/>
    <w:rsid w:val="005771D0"/>
    <w:rsid w:val="00585A5C"/>
    <w:rsid w:val="00585D35"/>
    <w:rsid w:val="0058776B"/>
    <w:rsid w:val="00587D84"/>
    <w:rsid w:val="0059102C"/>
    <w:rsid w:val="0059191A"/>
    <w:rsid w:val="005921FF"/>
    <w:rsid w:val="00597B04"/>
    <w:rsid w:val="005A6D0E"/>
    <w:rsid w:val="005B52B0"/>
    <w:rsid w:val="005B582A"/>
    <w:rsid w:val="005B6806"/>
    <w:rsid w:val="005C4225"/>
    <w:rsid w:val="005D3ACD"/>
    <w:rsid w:val="005D4D44"/>
    <w:rsid w:val="005F06B1"/>
    <w:rsid w:val="005F0DAD"/>
    <w:rsid w:val="005F0F33"/>
    <w:rsid w:val="005F55DC"/>
    <w:rsid w:val="0060059F"/>
    <w:rsid w:val="00600DEB"/>
    <w:rsid w:val="00616640"/>
    <w:rsid w:val="006175F2"/>
    <w:rsid w:val="00620E35"/>
    <w:rsid w:val="00621ECB"/>
    <w:rsid w:val="00622621"/>
    <w:rsid w:val="006234CC"/>
    <w:rsid w:val="00623C35"/>
    <w:rsid w:val="0062547E"/>
    <w:rsid w:val="00627C9F"/>
    <w:rsid w:val="006311E9"/>
    <w:rsid w:val="00632354"/>
    <w:rsid w:val="00640247"/>
    <w:rsid w:val="0064029C"/>
    <w:rsid w:val="006415B7"/>
    <w:rsid w:val="00642810"/>
    <w:rsid w:val="00642AA4"/>
    <w:rsid w:val="00652333"/>
    <w:rsid w:val="00657D72"/>
    <w:rsid w:val="006637BD"/>
    <w:rsid w:val="006657C4"/>
    <w:rsid w:val="00672FDB"/>
    <w:rsid w:val="00680090"/>
    <w:rsid w:val="0068009E"/>
    <w:rsid w:val="006808EF"/>
    <w:rsid w:val="00683AAF"/>
    <w:rsid w:val="006841B6"/>
    <w:rsid w:val="00684FF6"/>
    <w:rsid w:val="00692219"/>
    <w:rsid w:val="00696259"/>
    <w:rsid w:val="006A17D2"/>
    <w:rsid w:val="006A2D2E"/>
    <w:rsid w:val="006A4850"/>
    <w:rsid w:val="006A73E6"/>
    <w:rsid w:val="006B2D5C"/>
    <w:rsid w:val="006C4EB1"/>
    <w:rsid w:val="006D1C74"/>
    <w:rsid w:val="006E0166"/>
    <w:rsid w:val="006E085B"/>
    <w:rsid w:val="006E610A"/>
    <w:rsid w:val="006E6D53"/>
    <w:rsid w:val="006E7B34"/>
    <w:rsid w:val="006F0AB7"/>
    <w:rsid w:val="00700267"/>
    <w:rsid w:val="0070088E"/>
    <w:rsid w:val="00705E2B"/>
    <w:rsid w:val="0070697F"/>
    <w:rsid w:val="00716884"/>
    <w:rsid w:val="0072199C"/>
    <w:rsid w:val="00722C9F"/>
    <w:rsid w:val="007253B8"/>
    <w:rsid w:val="0073741F"/>
    <w:rsid w:val="007458E3"/>
    <w:rsid w:val="00745CBD"/>
    <w:rsid w:val="00750325"/>
    <w:rsid w:val="0076643F"/>
    <w:rsid w:val="00775BB2"/>
    <w:rsid w:val="007779B4"/>
    <w:rsid w:val="00777F63"/>
    <w:rsid w:val="00791EE6"/>
    <w:rsid w:val="00794F22"/>
    <w:rsid w:val="00795010"/>
    <w:rsid w:val="007A145E"/>
    <w:rsid w:val="007A1947"/>
    <w:rsid w:val="007A2D0A"/>
    <w:rsid w:val="007A5817"/>
    <w:rsid w:val="007A5CB9"/>
    <w:rsid w:val="007A71CD"/>
    <w:rsid w:val="007B4372"/>
    <w:rsid w:val="007B60E9"/>
    <w:rsid w:val="007B6CC3"/>
    <w:rsid w:val="007B79C0"/>
    <w:rsid w:val="007C1EDA"/>
    <w:rsid w:val="007C3334"/>
    <w:rsid w:val="007D1FAA"/>
    <w:rsid w:val="007D2B98"/>
    <w:rsid w:val="007D4C46"/>
    <w:rsid w:val="007E21BC"/>
    <w:rsid w:val="007E78B1"/>
    <w:rsid w:val="007F3328"/>
    <w:rsid w:val="00803F1C"/>
    <w:rsid w:val="0080600E"/>
    <w:rsid w:val="008120A7"/>
    <w:rsid w:val="00816324"/>
    <w:rsid w:val="00817612"/>
    <w:rsid w:val="00827676"/>
    <w:rsid w:val="00833562"/>
    <w:rsid w:val="008338A4"/>
    <w:rsid w:val="00837C45"/>
    <w:rsid w:val="00842FD1"/>
    <w:rsid w:val="00844730"/>
    <w:rsid w:val="008457C2"/>
    <w:rsid w:val="00847B4A"/>
    <w:rsid w:val="00854BC6"/>
    <w:rsid w:val="00857A82"/>
    <w:rsid w:val="008617AD"/>
    <w:rsid w:val="008617D5"/>
    <w:rsid w:val="00871B01"/>
    <w:rsid w:val="00871BBE"/>
    <w:rsid w:val="00873836"/>
    <w:rsid w:val="00880A06"/>
    <w:rsid w:val="00883990"/>
    <w:rsid w:val="00885737"/>
    <w:rsid w:val="00890650"/>
    <w:rsid w:val="00897E12"/>
    <w:rsid w:val="008A7E0F"/>
    <w:rsid w:val="008B12F5"/>
    <w:rsid w:val="008C66F8"/>
    <w:rsid w:val="008D768D"/>
    <w:rsid w:val="008E3759"/>
    <w:rsid w:val="008F0177"/>
    <w:rsid w:val="008F1868"/>
    <w:rsid w:val="008F1912"/>
    <w:rsid w:val="008F3D40"/>
    <w:rsid w:val="008F43DA"/>
    <w:rsid w:val="00902408"/>
    <w:rsid w:val="0090270B"/>
    <w:rsid w:val="009031C5"/>
    <w:rsid w:val="00903B1A"/>
    <w:rsid w:val="009041DC"/>
    <w:rsid w:val="00910971"/>
    <w:rsid w:val="00911438"/>
    <w:rsid w:val="00917B5A"/>
    <w:rsid w:val="00920A58"/>
    <w:rsid w:val="00920A8C"/>
    <w:rsid w:val="00927E16"/>
    <w:rsid w:val="00934A2C"/>
    <w:rsid w:val="00937620"/>
    <w:rsid w:val="0094285F"/>
    <w:rsid w:val="0094446B"/>
    <w:rsid w:val="00945B80"/>
    <w:rsid w:val="00953481"/>
    <w:rsid w:val="009559CB"/>
    <w:rsid w:val="00956B36"/>
    <w:rsid w:val="00963354"/>
    <w:rsid w:val="009661C6"/>
    <w:rsid w:val="0096706E"/>
    <w:rsid w:val="00975C4E"/>
    <w:rsid w:val="0097722E"/>
    <w:rsid w:val="00977318"/>
    <w:rsid w:val="00977580"/>
    <w:rsid w:val="00981A34"/>
    <w:rsid w:val="00981FBA"/>
    <w:rsid w:val="009940F9"/>
    <w:rsid w:val="00995C01"/>
    <w:rsid w:val="00997BC5"/>
    <w:rsid w:val="009A4F41"/>
    <w:rsid w:val="009A7684"/>
    <w:rsid w:val="009B381B"/>
    <w:rsid w:val="009C4F60"/>
    <w:rsid w:val="009D0D03"/>
    <w:rsid w:val="009D1753"/>
    <w:rsid w:val="009D7611"/>
    <w:rsid w:val="009E0B61"/>
    <w:rsid w:val="009E3E40"/>
    <w:rsid w:val="009E4B2B"/>
    <w:rsid w:val="009E53DE"/>
    <w:rsid w:val="009E70B6"/>
    <w:rsid w:val="00A101A6"/>
    <w:rsid w:val="00A1637F"/>
    <w:rsid w:val="00A2242B"/>
    <w:rsid w:val="00A22F34"/>
    <w:rsid w:val="00A3040B"/>
    <w:rsid w:val="00A328B3"/>
    <w:rsid w:val="00A35DE2"/>
    <w:rsid w:val="00A4096B"/>
    <w:rsid w:val="00A42421"/>
    <w:rsid w:val="00A47A50"/>
    <w:rsid w:val="00A50FCF"/>
    <w:rsid w:val="00A5158F"/>
    <w:rsid w:val="00A51A0D"/>
    <w:rsid w:val="00A5274C"/>
    <w:rsid w:val="00A528D1"/>
    <w:rsid w:val="00A610CD"/>
    <w:rsid w:val="00A65ADA"/>
    <w:rsid w:val="00A75D18"/>
    <w:rsid w:val="00A7621C"/>
    <w:rsid w:val="00A80FEC"/>
    <w:rsid w:val="00A90070"/>
    <w:rsid w:val="00A9135C"/>
    <w:rsid w:val="00A9182A"/>
    <w:rsid w:val="00A9243B"/>
    <w:rsid w:val="00A97B5B"/>
    <w:rsid w:val="00AA09A2"/>
    <w:rsid w:val="00AA2DEA"/>
    <w:rsid w:val="00AA7996"/>
    <w:rsid w:val="00AB0179"/>
    <w:rsid w:val="00AB7F30"/>
    <w:rsid w:val="00AC19CB"/>
    <w:rsid w:val="00AC57AA"/>
    <w:rsid w:val="00AD0C98"/>
    <w:rsid w:val="00AD6004"/>
    <w:rsid w:val="00AD7290"/>
    <w:rsid w:val="00AE0DB8"/>
    <w:rsid w:val="00AE16D9"/>
    <w:rsid w:val="00AE5488"/>
    <w:rsid w:val="00AE6F91"/>
    <w:rsid w:val="00AF08F0"/>
    <w:rsid w:val="00AF0C0D"/>
    <w:rsid w:val="00AF5571"/>
    <w:rsid w:val="00B07341"/>
    <w:rsid w:val="00B13C02"/>
    <w:rsid w:val="00B146A8"/>
    <w:rsid w:val="00B25958"/>
    <w:rsid w:val="00B30539"/>
    <w:rsid w:val="00B3098F"/>
    <w:rsid w:val="00B314DB"/>
    <w:rsid w:val="00B31E48"/>
    <w:rsid w:val="00B361F2"/>
    <w:rsid w:val="00B3717C"/>
    <w:rsid w:val="00B3718B"/>
    <w:rsid w:val="00B42161"/>
    <w:rsid w:val="00B42A60"/>
    <w:rsid w:val="00B4632A"/>
    <w:rsid w:val="00B46710"/>
    <w:rsid w:val="00B530F1"/>
    <w:rsid w:val="00B56B68"/>
    <w:rsid w:val="00B579FB"/>
    <w:rsid w:val="00B606B3"/>
    <w:rsid w:val="00B6237A"/>
    <w:rsid w:val="00B65A5D"/>
    <w:rsid w:val="00B77DCE"/>
    <w:rsid w:val="00B83D48"/>
    <w:rsid w:val="00B87F4A"/>
    <w:rsid w:val="00B90782"/>
    <w:rsid w:val="00B93F20"/>
    <w:rsid w:val="00B97F2D"/>
    <w:rsid w:val="00BA111B"/>
    <w:rsid w:val="00BA276C"/>
    <w:rsid w:val="00BA29E4"/>
    <w:rsid w:val="00BB2C20"/>
    <w:rsid w:val="00BB306F"/>
    <w:rsid w:val="00BB5219"/>
    <w:rsid w:val="00BD0978"/>
    <w:rsid w:val="00BD3AB3"/>
    <w:rsid w:val="00BD4B89"/>
    <w:rsid w:val="00BD5C64"/>
    <w:rsid w:val="00BE0356"/>
    <w:rsid w:val="00BE2E69"/>
    <w:rsid w:val="00BE496A"/>
    <w:rsid w:val="00BF02CB"/>
    <w:rsid w:val="00BF6FD8"/>
    <w:rsid w:val="00BF6FE3"/>
    <w:rsid w:val="00BF7DA6"/>
    <w:rsid w:val="00C03680"/>
    <w:rsid w:val="00C04798"/>
    <w:rsid w:val="00C054DF"/>
    <w:rsid w:val="00C142A1"/>
    <w:rsid w:val="00C20DB9"/>
    <w:rsid w:val="00C21762"/>
    <w:rsid w:val="00C24543"/>
    <w:rsid w:val="00C256A2"/>
    <w:rsid w:val="00C3212C"/>
    <w:rsid w:val="00C341DD"/>
    <w:rsid w:val="00C350BB"/>
    <w:rsid w:val="00C400E7"/>
    <w:rsid w:val="00C474BD"/>
    <w:rsid w:val="00C51515"/>
    <w:rsid w:val="00C54DB4"/>
    <w:rsid w:val="00C54DFE"/>
    <w:rsid w:val="00C5660B"/>
    <w:rsid w:val="00C57688"/>
    <w:rsid w:val="00C6461F"/>
    <w:rsid w:val="00C66B72"/>
    <w:rsid w:val="00C70406"/>
    <w:rsid w:val="00C81014"/>
    <w:rsid w:val="00C9497B"/>
    <w:rsid w:val="00C9537C"/>
    <w:rsid w:val="00C9567A"/>
    <w:rsid w:val="00CA6F81"/>
    <w:rsid w:val="00CA7940"/>
    <w:rsid w:val="00CB13AB"/>
    <w:rsid w:val="00CB212D"/>
    <w:rsid w:val="00CB2660"/>
    <w:rsid w:val="00CC4F19"/>
    <w:rsid w:val="00CC5E90"/>
    <w:rsid w:val="00CD046C"/>
    <w:rsid w:val="00CD132F"/>
    <w:rsid w:val="00CD31E8"/>
    <w:rsid w:val="00CE076C"/>
    <w:rsid w:val="00CE5199"/>
    <w:rsid w:val="00CE66D5"/>
    <w:rsid w:val="00CF037E"/>
    <w:rsid w:val="00CF637A"/>
    <w:rsid w:val="00CF66C7"/>
    <w:rsid w:val="00D03965"/>
    <w:rsid w:val="00D04B91"/>
    <w:rsid w:val="00D059DE"/>
    <w:rsid w:val="00D103A5"/>
    <w:rsid w:val="00D13FCE"/>
    <w:rsid w:val="00D22683"/>
    <w:rsid w:val="00D23C1B"/>
    <w:rsid w:val="00D306D1"/>
    <w:rsid w:val="00D34786"/>
    <w:rsid w:val="00D37BFC"/>
    <w:rsid w:val="00D46AA1"/>
    <w:rsid w:val="00D47A8E"/>
    <w:rsid w:val="00D528AE"/>
    <w:rsid w:val="00D52A2C"/>
    <w:rsid w:val="00D52D14"/>
    <w:rsid w:val="00D5460A"/>
    <w:rsid w:val="00D55011"/>
    <w:rsid w:val="00D61CAB"/>
    <w:rsid w:val="00D63EE2"/>
    <w:rsid w:val="00D653C8"/>
    <w:rsid w:val="00D712D3"/>
    <w:rsid w:val="00D71422"/>
    <w:rsid w:val="00D72DC6"/>
    <w:rsid w:val="00D74A93"/>
    <w:rsid w:val="00D7558D"/>
    <w:rsid w:val="00D804DF"/>
    <w:rsid w:val="00D81D92"/>
    <w:rsid w:val="00D83648"/>
    <w:rsid w:val="00DA7B5F"/>
    <w:rsid w:val="00DB7541"/>
    <w:rsid w:val="00DB7BCC"/>
    <w:rsid w:val="00DC11E7"/>
    <w:rsid w:val="00DC32C2"/>
    <w:rsid w:val="00DC3EAA"/>
    <w:rsid w:val="00DC6AFB"/>
    <w:rsid w:val="00DC7023"/>
    <w:rsid w:val="00DC769A"/>
    <w:rsid w:val="00DD3D86"/>
    <w:rsid w:val="00DD515B"/>
    <w:rsid w:val="00DD6DB2"/>
    <w:rsid w:val="00DE334A"/>
    <w:rsid w:val="00DE37D7"/>
    <w:rsid w:val="00DE7DC1"/>
    <w:rsid w:val="00DF1C77"/>
    <w:rsid w:val="00DF1EC4"/>
    <w:rsid w:val="00DF5906"/>
    <w:rsid w:val="00E0138F"/>
    <w:rsid w:val="00E0340B"/>
    <w:rsid w:val="00E04A90"/>
    <w:rsid w:val="00E16B25"/>
    <w:rsid w:val="00E219C7"/>
    <w:rsid w:val="00E23320"/>
    <w:rsid w:val="00E26335"/>
    <w:rsid w:val="00E327B7"/>
    <w:rsid w:val="00E3390D"/>
    <w:rsid w:val="00E3657A"/>
    <w:rsid w:val="00E365F9"/>
    <w:rsid w:val="00E430A3"/>
    <w:rsid w:val="00E43157"/>
    <w:rsid w:val="00E461CE"/>
    <w:rsid w:val="00E46227"/>
    <w:rsid w:val="00E55D9B"/>
    <w:rsid w:val="00E6602C"/>
    <w:rsid w:val="00E66041"/>
    <w:rsid w:val="00E720CA"/>
    <w:rsid w:val="00E77A8B"/>
    <w:rsid w:val="00E84EB5"/>
    <w:rsid w:val="00E85662"/>
    <w:rsid w:val="00E8789F"/>
    <w:rsid w:val="00E8790E"/>
    <w:rsid w:val="00E93AA6"/>
    <w:rsid w:val="00E97B71"/>
    <w:rsid w:val="00EA3D34"/>
    <w:rsid w:val="00EA706F"/>
    <w:rsid w:val="00EB1D51"/>
    <w:rsid w:val="00EB454D"/>
    <w:rsid w:val="00EC4793"/>
    <w:rsid w:val="00ED76BE"/>
    <w:rsid w:val="00EE09D3"/>
    <w:rsid w:val="00EE5D07"/>
    <w:rsid w:val="00EF1E92"/>
    <w:rsid w:val="00EF57FC"/>
    <w:rsid w:val="00EF619B"/>
    <w:rsid w:val="00F00B55"/>
    <w:rsid w:val="00F01FF6"/>
    <w:rsid w:val="00F02AD1"/>
    <w:rsid w:val="00F032CA"/>
    <w:rsid w:val="00F062CC"/>
    <w:rsid w:val="00F115D8"/>
    <w:rsid w:val="00F134B2"/>
    <w:rsid w:val="00F2107E"/>
    <w:rsid w:val="00F253CC"/>
    <w:rsid w:val="00F26998"/>
    <w:rsid w:val="00F33296"/>
    <w:rsid w:val="00F34507"/>
    <w:rsid w:val="00F37106"/>
    <w:rsid w:val="00F37852"/>
    <w:rsid w:val="00F519CF"/>
    <w:rsid w:val="00F56BA5"/>
    <w:rsid w:val="00F60E22"/>
    <w:rsid w:val="00F6370E"/>
    <w:rsid w:val="00F6715A"/>
    <w:rsid w:val="00F673C7"/>
    <w:rsid w:val="00F76553"/>
    <w:rsid w:val="00F774A4"/>
    <w:rsid w:val="00F80716"/>
    <w:rsid w:val="00F81395"/>
    <w:rsid w:val="00F8743A"/>
    <w:rsid w:val="00F907ED"/>
    <w:rsid w:val="00F91670"/>
    <w:rsid w:val="00F917D1"/>
    <w:rsid w:val="00F9653B"/>
    <w:rsid w:val="00FB1092"/>
    <w:rsid w:val="00FB30F5"/>
    <w:rsid w:val="00FB33B4"/>
    <w:rsid w:val="00FB62CF"/>
    <w:rsid w:val="00FC2F62"/>
    <w:rsid w:val="00FD1F0A"/>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433A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E46227"/>
    <w:pPr>
      <w:keepNext/>
      <w:keepLines/>
      <w:numPr>
        <w:numId w:val="53"/>
      </w:numPr>
      <w:tabs>
        <w:tab w:val="num" w:pos="360"/>
      </w:tabs>
      <w:ind w:left="0" w:firstLine="720"/>
      <w:outlineLvl w:val="0"/>
    </w:pPr>
    <w:rPr>
      <w:rFonts w:asciiTheme="majorHAnsi" w:eastAsia="Batang" w:hAnsiTheme="majorHAnsi" w:cstheme="majorBidi"/>
      <w:b/>
      <w:bCs/>
      <w:sz w:val="20"/>
      <w:szCs w:val="20"/>
      <w:bdr w:val="none" w:sz="0" w:space="0" w:color="auto"/>
      <w:lang w:val="es-ES" w:eastAsia="es-ES"/>
    </w:rPr>
  </w:style>
  <w:style w:type="paragraph" w:styleId="Heading2">
    <w:name w:val="heading 2"/>
    <w:basedOn w:val="Normal"/>
    <w:next w:val="Normal"/>
    <w:link w:val="Heading2Char"/>
    <w:qFormat/>
    <w:rsid w:val="00E46227"/>
    <w:pPr>
      <w:keepNext/>
      <w:numPr>
        <w:numId w:val="63"/>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Theme="majorHAnsi" w:eastAsia="Batang" w:hAnsiTheme="majorHAnsi" w:cs="Arial"/>
      <w:b/>
      <w:bCs/>
      <w:iCs/>
      <w:color w:val="000000"/>
      <w:sz w:val="20"/>
      <w:szCs w:val="20"/>
      <w:u w:color="000000"/>
      <w:bdr w:val="none" w:sz="0" w:space="0" w:color="auto"/>
      <w:lang w:val="es-ES" w:eastAsia="es-ES"/>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qFormat/>
    <w:rsid w:val="002649F0"/>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Subtle Emphasis1,Footnote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
    <w:name w:val="List 21"/>
    <w:basedOn w:val="Estiloimportado3"/>
  </w:style>
  <w:style w:type="numbering" w:customStyle="1" w:styleId="Estiloimportado3">
    <w:name w:val="Estilo importado 3"/>
  </w:style>
  <w:style w:type="numbering" w:customStyle="1" w:styleId="List31">
    <w:name w:val="List 31"/>
    <w:basedOn w:val="Estiloimportado4"/>
  </w:style>
  <w:style w:type="numbering" w:customStyle="1" w:styleId="Estiloimportado4">
    <w:name w:val="Estilo importado 4"/>
  </w:style>
  <w:style w:type="numbering" w:customStyle="1" w:styleId="List41">
    <w:name w:val="List 41"/>
    <w:basedOn w:val="Estiloimportado5"/>
  </w:style>
  <w:style w:type="numbering" w:customStyle="1" w:styleId="Estiloimportado5">
    <w:name w:val="Estilo importado 5"/>
  </w:style>
  <w:style w:type="numbering" w:customStyle="1" w:styleId="List51">
    <w:name w:val="List 51"/>
    <w:basedOn w:val="Estiloimportado6"/>
  </w:style>
  <w:style w:type="numbering" w:customStyle="1" w:styleId="Estiloimportado6">
    <w:name w:val="Estilo importado 6"/>
  </w:style>
  <w:style w:type="numbering" w:customStyle="1" w:styleId="List6">
    <w:name w:val="List 6"/>
    <w:basedOn w:val="Estiloimportado7"/>
  </w:style>
  <w:style w:type="numbering" w:customStyle="1" w:styleId="Estiloimportado7">
    <w:name w:val="Estilo importado 7"/>
  </w:style>
  <w:style w:type="numbering" w:customStyle="1" w:styleId="List7">
    <w:name w:val="List 7"/>
    <w:basedOn w:val="Estiloimportado8"/>
  </w:style>
  <w:style w:type="numbering" w:customStyle="1" w:styleId="Estiloimportado8">
    <w:name w:val="Estilo importado 8"/>
  </w:style>
  <w:style w:type="numbering" w:customStyle="1" w:styleId="List8">
    <w:name w:val="List 8"/>
    <w:basedOn w:val="Estiloimportado9"/>
  </w:style>
  <w:style w:type="numbering" w:customStyle="1" w:styleId="Estiloimportado9">
    <w:name w:val="Estilo importado 9"/>
  </w:style>
  <w:style w:type="numbering" w:customStyle="1" w:styleId="List9">
    <w:name w:val="List 9"/>
    <w:basedOn w:val="Estiloimportado10"/>
  </w:style>
  <w:style w:type="numbering" w:customStyle="1" w:styleId="Estiloimportado10">
    <w:name w:val="Estilo importado 10"/>
  </w:style>
  <w:style w:type="numbering" w:customStyle="1" w:styleId="List10">
    <w:name w:val="List 10"/>
    <w:basedOn w:val="Estiloimportado11"/>
  </w:style>
  <w:style w:type="numbering" w:customStyle="1" w:styleId="Estiloimportado11">
    <w:name w:val="Estilo importado 11"/>
  </w:style>
  <w:style w:type="numbering" w:customStyle="1" w:styleId="List11">
    <w:name w:val="List 11"/>
    <w:basedOn w:val="Estiloimportado12"/>
  </w:style>
  <w:style w:type="numbering" w:customStyle="1" w:styleId="Estiloimportado12">
    <w:name w:val="Estilo importado 12"/>
  </w:style>
  <w:style w:type="numbering" w:customStyle="1" w:styleId="List12">
    <w:name w:val="List 12"/>
    <w:basedOn w:val="Estiloimportado13"/>
  </w:style>
  <w:style w:type="numbering" w:customStyle="1" w:styleId="Estiloimportado13">
    <w:name w:val="Estilo importado 13"/>
  </w:style>
  <w:style w:type="numbering" w:customStyle="1" w:styleId="List13">
    <w:name w:val="List 13"/>
    <w:basedOn w:val="Estiloimportado14"/>
  </w:style>
  <w:style w:type="numbering" w:customStyle="1" w:styleId="Estiloimportado14">
    <w:name w:val="Estilo importado 14"/>
  </w:style>
  <w:style w:type="numbering" w:customStyle="1" w:styleId="List14">
    <w:name w:val="List 14"/>
    <w:basedOn w:val="Estiloimportado15"/>
  </w:style>
  <w:style w:type="numbering" w:customStyle="1" w:styleId="Estiloimportado15">
    <w:name w:val="Estilo importado 15"/>
  </w:style>
  <w:style w:type="numbering" w:customStyle="1" w:styleId="List15">
    <w:name w:val="List 15"/>
    <w:basedOn w:val="Estiloimportado16"/>
  </w:style>
  <w:style w:type="numbering" w:customStyle="1" w:styleId="Estiloimportado16">
    <w:name w:val="Estilo importado 16"/>
  </w:style>
  <w:style w:type="numbering" w:customStyle="1" w:styleId="List16">
    <w:name w:val="List 16"/>
    <w:basedOn w:val="Estiloimportado16"/>
  </w:style>
  <w:style w:type="numbering" w:customStyle="1" w:styleId="List17">
    <w:name w:val="List 17"/>
    <w:basedOn w:val="Estiloimportado17"/>
  </w:style>
  <w:style w:type="numbering" w:customStyle="1" w:styleId="Estiloimportado17">
    <w:name w:val="Estilo importado 17"/>
  </w:style>
  <w:style w:type="numbering" w:customStyle="1" w:styleId="List18">
    <w:name w:val="List 18"/>
    <w:basedOn w:val="Estiloimportado18"/>
  </w:style>
  <w:style w:type="numbering" w:customStyle="1" w:styleId="Estiloimportado18">
    <w:name w:val="Estilo importado 18"/>
  </w:style>
  <w:style w:type="numbering" w:customStyle="1" w:styleId="List19">
    <w:name w:val="List 19"/>
    <w:basedOn w:val="Estiloimportado10"/>
  </w:style>
  <w:style w:type="numbering" w:customStyle="1" w:styleId="List20">
    <w:name w:val="List 20"/>
    <w:basedOn w:val="Estiloimportado12"/>
  </w:style>
  <w:style w:type="numbering" w:customStyle="1" w:styleId="List210">
    <w:name w:val="List 21"/>
    <w:basedOn w:val="Estiloimportado19"/>
  </w:style>
  <w:style w:type="numbering" w:customStyle="1" w:styleId="Estiloimportado19">
    <w:name w:val="Estilo importado 19"/>
  </w:style>
  <w:style w:type="numbering" w:customStyle="1" w:styleId="List22">
    <w:name w:val="List 22"/>
    <w:basedOn w:val="Estiloimportado19"/>
  </w:style>
  <w:style w:type="numbering" w:customStyle="1" w:styleId="List23">
    <w:name w:val="List 23"/>
    <w:basedOn w:val="Estiloimportado19"/>
  </w:style>
  <w:style w:type="numbering" w:customStyle="1" w:styleId="List24">
    <w:name w:val="List 24"/>
    <w:basedOn w:val="Estiloimportado20"/>
  </w:style>
  <w:style w:type="numbering" w:customStyle="1" w:styleId="Estiloimportado20">
    <w:name w:val="Estilo importado 20"/>
  </w:style>
  <w:style w:type="numbering" w:customStyle="1" w:styleId="List25">
    <w:name w:val="List 25"/>
    <w:basedOn w:val="Estiloimportado21"/>
  </w:style>
  <w:style w:type="numbering" w:customStyle="1" w:styleId="Estiloimportado21">
    <w:name w:val="Estilo importado 21"/>
  </w:style>
  <w:style w:type="numbering" w:customStyle="1" w:styleId="List26">
    <w:name w:val="List 26"/>
    <w:basedOn w:val="Estiloimportado22"/>
  </w:style>
  <w:style w:type="numbering" w:customStyle="1" w:styleId="Estiloimportado22">
    <w:name w:val="Estilo importado 22"/>
  </w:style>
  <w:style w:type="numbering" w:customStyle="1" w:styleId="List27">
    <w:name w:val="List 27"/>
    <w:basedOn w:val="Estiloimportado23"/>
  </w:style>
  <w:style w:type="numbering" w:customStyle="1" w:styleId="Estiloimportado23">
    <w:name w:val="Estilo importado 23"/>
  </w:style>
  <w:style w:type="numbering" w:customStyle="1" w:styleId="List28">
    <w:name w:val="List 28"/>
    <w:basedOn w:val="Estiloimportado24"/>
  </w:style>
  <w:style w:type="numbering" w:customStyle="1" w:styleId="Estiloimportado24">
    <w:name w:val="Estilo importado 24"/>
  </w:style>
  <w:style w:type="numbering" w:customStyle="1" w:styleId="List29">
    <w:name w:val="List 29"/>
    <w:basedOn w:val="Estiloimportado25"/>
  </w:style>
  <w:style w:type="numbering" w:customStyle="1" w:styleId="Estiloimportado25">
    <w:name w:val="Estilo importado 25"/>
  </w:style>
  <w:style w:type="numbering" w:customStyle="1" w:styleId="List30">
    <w:name w:val="List 30"/>
    <w:basedOn w:val="Estiloimportado26"/>
  </w:style>
  <w:style w:type="numbering" w:customStyle="1" w:styleId="Estiloimportado26">
    <w:name w:val="Estilo importado 26"/>
  </w:style>
  <w:style w:type="numbering" w:customStyle="1" w:styleId="List310">
    <w:name w:val="List 31"/>
    <w:basedOn w:val="Estiloimportado27"/>
  </w:style>
  <w:style w:type="numbering" w:customStyle="1" w:styleId="Estiloimportado27">
    <w:name w:val="Estilo importado 27"/>
  </w:style>
  <w:style w:type="numbering" w:customStyle="1" w:styleId="List32">
    <w:name w:val="List 32"/>
    <w:basedOn w:val="Estiloimportado28"/>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style>
  <w:style w:type="numbering" w:customStyle="1" w:styleId="Estiloimportado31">
    <w:name w:val="Estilo importado 31"/>
  </w:style>
  <w:style w:type="numbering" w:customStyle="1" w:styleId="List36">
    <w:name w:val="List 36"/>
    <w:basedOn w:val="Estiloimportado32"/>
  </w:style>
  <w:style w:type="numbering" w:customStyle="1" w:styleId="Estiloimportado32">
    <w:name w:val="Estilo importado 32"/>
  </w:style>
  <w:style w:type="numbering" w:customStyle="1" w:styleId="List37">
    <w:name w:val="List 37"/>
    <w:basedOn w:val="Estiloimportado33"/>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style>
  <w:style w:type="numbering" w:customStyle="1" w:styleId="Estiloimportado35">
    <w:name w:val="Estilo importado 35"/>
  </w:style>
  <w:style w:type="numbering" w:customStyle="1" w:styleId="List40">
    <w:name w:val="List 40"/>
    <w:basedOn w:val="Estiloimportado36"/>
  </w:style>
  <w:style w:type="numbering" w:customStyle="1" w:styleId="Estiloimportado36">
    <w:name w:val="Estilo importado 36"/>
  </w:style>
  <w:style w:type="numbering" w:customStyle="1" w:styleId="List410">
    <w:name w:val="List 41"/>
    <w:basedOn w:val="Estiloimportado37"/>
  </w:style>
  <w:style w:type="numbering" w:customStyle="1" w:styleId="Estiloimportado37">
    <w:name w:val="Estilo importado 37"/>
  </w:style>
  <w:style w:type="numbering" w:customStyle="1" w:styleId="List42">
    <w:name w:val="List 42"/>
    <w:basedOn w:val="Estiloimportado12"/>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style>
  <w:style w:type="numbering" w:customStyle="1" w:styleId="Estiloimportado41">
    <w:name w:val="Estilo importado 41"/>
  </w:style>
  <w:style w:type="numbering" w:customStyle="1" w:styleId="List47">
    <w:name w:val="List 47"/>
    <w:basedOn w:val="Estiloimportado42"/>
  </w:style>
  <w:style w:type="numbering" w:customStyle="1" w:styleId="Estiloimportado42">
    <w:name w:val="Estilo importado 42"/>
  </w:style>
  <w:style w:type="numbering" w:customStyle="1" w:styleId="List48">
    <w:name w:val="List 48"/>
    <w:basedOn w:val="Estiloimportado43"/>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unhideWhenUsed/>
    <w:rsid w:val="009B381B"/>
    <w:rPr>
      <w:rFonts w:ascii="Tahoma" w:hAnsi="Tahoma" w:cs="Tahoma"/>
      <w:sz w:val="16"/>
      <w:szCs w:val="16"/>
    </w:rPr>
  </w:style>
  <w:style w:type="character" w:customStyle="1" w:styleId="BalloonTextChar">
    <w:name w:val="Balloon Text Char"/>
    <w:basedOn w:val="DefaultParagraphFont"/>
    <w:link w:val="BalloonText"/>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46227"/>
    <w:rPr>
      <w:rFonts w:asciiTheme="majorHAnsi" w:eastAsia="Batang" w:hAnsiTheme="majorHAnsi" w:cstheme="majorBidi"/>
      <w:b/>
      <w:bCs/>
      <w:bdr w:val="none" w:sz="0" w:space="0" w:color="auto"/>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953481"/>
    <w:pPr>
      <w:tabs>
        <w:tab w:val="left" w:pos="1440"/>
        <w:tab w:val="right" w:leader="dot" w:pos="9350"/>
      </w:tabs>
      <w:spacing w:after="100"/>
      <w:ind w:left="720"/>
    </w:pPr>
    <w:rPr>
      <w:rFonts w:asciiTheme="majorHAnsi" w:hAnsiTheme="majorHAnsi"/>
      <w:b/>
      <w:noProof/>
      <w:sz w:val="20"/>
      <w:szCs w:val="20"/>
      <w:lang w:val="es-ES"/>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E46227"/>
    <w:rPr>
      <w:rFonts w:asciiTheme="majorHAnsi" w:eastAsia="Batang" w:hAnsiTheme="majorHAnsi" w:cs="Arial"/>
      <w:b/>
      <w:bCs/>
      <w:iCs/>
      <w:color w:val="000000"/>
      <w:u w:color="000000"/>
      <w:bdr w:val="none" w:sz="0" w:space="0" w:color="auto"/>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5348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Subtle Emphasis1 Char,Footnote1 Char"/>
    <w:link w:val="ListParagraph"/>
    <w:uiPriority w:val="34"/>
    <w:locked/>
    <w:rsid w:val="00953481"/>
    <w:rPr>
      <w:rFonts w:ascii="Cambria" w:eastAsia="Cambria" w:hAnsi="Cambria" w:cs="Cambria"/>
      <w:color w:val="000000"/>
      <w:sz w:val="24"/>
      <w:szCs w:val="24"/>
      <w:u w:color="000000"/>
      <w:lang w:val="en-US"/>
    </w:rPr>
  </w:style>
  <w:style w:type="paragraph" w:customStyle="1" w:styleId="indent">
    <w:name w:val="indent"/>
    <w:basedOn w:val="Normal"/>
    <w:rsid w:val="009534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953481"/>
  </w:style>
  <w:style w:type="paragraph" w:styleId="NormalWeb">
    <w:name w:val="Normal (Web)"/>
    <w:aliases w:val="Normal (Web) Char1,Normal (Web) Char Char,Normal (Web) Char1 Char,Normal (Web) Char Char Char"/>
    <w:basedOn w:val="Normal"/>
    <w:uiPriority w:val="99"/>
    <w:unhideWhenUsed/>
    <w:rsid w:val="009534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953481"/>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9534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qFormat/>
    <w:locked/>
    <w:rsid w:val="00953481"/>
    <w:rPr>
      <w:rFonts w:ascii="Calibri" w:hAnsi="Calibri"/>
      <w:color w:val="000000"/>
      <w:u w:color="000000"/>
    </w:rPr>
  </w:style>
  <w:style w:type="paragraph" w:customStyle="1" w:styleId="Footnotes">
    <w:name w:val="Footnotes"/>
    <w:basedOn w:val="FootnoteText"/>
    <w:qFormat/>
    <w:rsid w:val="00953481"/>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53481"/>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953481"/>
  </w:style>
  <w:style w:type="character" w:customStyle="1" w:styleId="apple-style-span">
    <w:name w:val="apple-style-span"/>
    <w:basedOn w:val="DefaultParagraphFont"/>
    <w:rsid w:val="00953481"/>
    <w:rPr>
      <w:rFonts w:cs="Times New Roman"/>
    </w:rPr>
  </w:style>
  <w:style w:type="character" w:customStyle="1" w:styleId="sb8d990e2">
    <w:name w:val="sb8d990e2"/>
    <w:rsid w:val="00953481"/>
  </w:style>
  <w:style w:type="numbering" w:styleId="111111">
    <w:name w:val="Outline List 2"/>
    <w:basedOn w:val="NoList"/>
    <w:uiPriority w:val="99"/>
    <w:semiHidden/>
    <w:unhideWhenUsed/>
    <w:rsid w:val="00953481"/>
    <w:pPr>
      <w:numPr>
        <w:numId w:val="55"/>
      </w:numPr>
    </w:pPr>
  </w:style>
  <w:style w:type="character" w:styleId="CommentReference">
    <w:name w:val="annotation reference"/>
    <w:basedOn w:val="DefaultParagraphFont"/>
    <w:unhideWhenUsed/>
    <w:rsid w:val="00953481"/>
    <w:rPr>
      <w:sz w:val="16"/>
      <w:szCs w:val="16"/>
    </w:rPr>
  </w:style>
  <w:style w:type="paragraph" w:styleId="CommentText">
    <w:name w:val="annotation text"/>
    <w:basedOn w:val="Normal"/>
    <w:link w:val="CommentTextChar"/>
    <w:unhideWhenUsed/>
    <w:rsid w:val="00953481"/>
    <w:rPr>
      <w:sz w:val="20"/>
      <w:szCs w:val="20"/>
    </w:rPr>
  </w:style>
  <w:style w:type="character" w:customStyle="1" w:styleId="CommentTextChar">
    <w:name w:val="Comment Text Char"/>
    <w:basedOn w:val="DefaultParagraphFont"/>
    <w:link w:val="CommentText"/>
    <w:rsid w:val="00953481"/>
    <w:rPr>
      <w:lang w:val="en-US" w:eastAsia="en-US"/>
    </w:rPr>
  </w:style>
  <w:style w:type="paragraph" w:styleId="CommentSubject">
    <w:name w:val="annotation subject"/>
    <w:basedOn w:val="CommentText"/>
    <w:next w:val="CommentText"/>
    <w:link w:val="CommentSubjectChar"/>
    <w:unhideWhenUsed/>
    <w:rsid w:val="00953481"/>
    <w:rPr>
      <w:b/>
      <w:bCs/>
    </w:rPr>
  </w:style>
  <w:style w:type="character" w:customStyle="1" w:styleId="CommentSubjectChar">
    <w:name w:val="Comment Subject Char"/>
    <w:basedOn w:val="CommentTextChar"/>
    <w:link w:val="CommentSubject"/>
    <w:rsid w:val="00953481"/>
    <w:rPr>
      <w:b/>
      <w:bCs/>
      <w:lang w:val="en-US" w:eastAsia="en-US"/>
    </w:rPr>
  </w:style>
  <w:style w:type="paragraph" w:styleId="Revision">
    <w:name w:val="Revision"/>
    <w:hidden/>
    <w:uiPriority w:val="99"/>
    <w:semiHidden/>
    <w:rsid w:val="0095348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953481"/>
    <w:rPr>
      <w:b/>
      <w:bCs/>
    </w:rPr>
  </w:style>
  <w:style w:type="table" w:styleId="TableGrid">
    <w:name w:val="Table Grid"/>
    <w:basedOn w:val="TableNormal"/>
    <w:uiPriority w:val="59"/>
    <w:rsid w:val="0095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953481"/>
    <w:rPr>
      <w:color w:val="800080" w:themeColor="followedHyperlink"/>
      <w:u w:val="single"/>
    </w:rPr>
  </w:style>
  <w:style w:type="paragraph" w:customStyle="1" w:styleId="parrafos">
    <w:name w:val="parrafos"/>
    <w:basedOn w:val="Normal"/>
    <w:link w:val="parrafosChar"/>
    <w:qFormat/>
    <w:rsid w:val="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953481"/>
    <w:rPr>
      <w:rFonts w:asciiTheme="majorHAnsi" w:hAnsiTheme="majorHAnsi"/>
      <w:color w:val="000000" w:themeColor="text1"/>
      <w:lang w:val="en-US" w:eastAsia="en-US"/>
    </w:rPr>
  </w:style>
  <w:style w:type="character" w:customStyle="1" w:styleId="Heading4Char">
    <w:name w:val="Heading 4 Char"/>
    <w:basedOn w:val="DefaultParagraphFont"/>
    <w:link w:val="Heading4"/>
    <w:rsid w:val="002649F0"/>
    <w:rPr>
      <w:rFonts w:eastAsia="Times New Roman"/>
      <w:b/>
      <w:bCs/>
      <w:sz w:val="28"/>
      <w:szCs w:val="28"/>
      <w:bdr w:val="none" w:sz="0" w:space="0" w:color="auto"/>
      <w:lang w:eastAsia="en-US"/>
    </w:rPr>
  </w:style>
  <w:style w:type="character" w:customStyle="1" w:styleId="BodyTextIndentChar">
    <w:name w:val="Body Text Indent Char"/>
    <w:basedOn w:val="DefaultParagraphFont"/>
    <w:link w:val="BodyTextIndent"/>
    <w:rsid w:val="002649F0"/>
    <w:rPr>
      <w:rFonts w:eastAsia="Times New Roman"/>
      <w:color w:val="000000"/>
      <w:sz w:val="24"/>
      <w:szCs w:val="24"/>
      <w:u w:color="000000"/>
      <w:lang w:val="es-ES_tradnl"/>
    </w:rPr>
  </w:style>
  <w:style w:type="numbering" w:customStyle="1" w:styleId="List01">
    <w:name w:val="List 01"/>
    <w:basedOn w:val="Estiloimportado1"/>
    <w:rsid w:val="002649F0"/>
    <w:pPr>
      <w:numPr>
        <w:numId w:val="31"/>
      </w:numPr>
    </w:pPr>
  </w:style>
  <w:style w:type="numbering" w:customStyle="1" w:styleId="List110">
    <w:name w:val="List 110"/>
    <w:basedOn w:val="Estiloimportado2"/>
    <w:rsid w:val="002649F0"/>
    <w:pPr>
      <w:numPr>
        <w:numId w:val="1"/>
      </w:numPr>
    </w:pPr>
  </w:style>
  <w:style w:type="numbering" w:customStyle="1" w:styleId="List211">
    <w:name w:val="List 211"/>
    <w:basedOn w:val="Estiloimportado3"/>
    <w:rsid w:val="002649F0"/>
    <w:pPr>
      <w:numPr>
        <w:numId w:val="52"/>
      </w:numPr>
    </w:pPr>
  </w:style>
  <w:style w:type="numbering" w:customStyle="1" w:styleId="List311">
    <w:name w:val="List 311"/>
    <w:basedOn w:val="Estiloimportado4"/>
    <w:rsid w:val="002649F0"/>
    <w:pPr>
      <w:numPr>
        <w:numId w:val="51"/>
      </w:numPr>
    </w:pPr>
  </w:style>
  <w:style w:type="numbering" w:customStyle="1" w:styleId="List411">
    <w:name w:val="List 411"/>
    <w:basedOn w:val="Estiloimportado5"/>
    <w:rsid w:val="002649F0"/>
    <w:pPr>
      <w:numPr>
        <w:numId w:val="2"/>
      </w:numPr>
    </w:pPr>
  </w:style>
  <w:style w:type="numbering" w:customStyle="1" w:styleId="List511">
    <w:name w:val="List 511"/>
    <w:basedOn w:val="Estiloimportado6"/>
    <w:rsid w:val="002649F0"/>
    <w:pPr>
      <w:numPr>
        <w:numId w:val="54"/>
      </w:numPr>
    </w:pPr>
  </w:style>
  <w:style w:type="numbering" w:customStyle="1" w:styleId="List61">
    <w:name w:val="List 61"/>
    <w:basedOn w:val="Estiloimportado7"/>
    <w:rsid w:val="002649F0"/>
    <w:pPr>
      <w:numPr>
        <w:numId w:val="3"/>
      </w:numPr>
    </w:pPr>
  </w:style>
  <w:style w:type="numbering" w:customStyle="1" w:styleId="List71">
    <w:name w:val="List 71"/>
    <w:basedOn w:val="Estiloimportado8"/>
    <w:rsid w:val="002649F0"/>
    <w:pPr>
      <w:numPr>
        <w:numId w:val="4"/>
      </w:numPr>
    </w:pPr>
  </w:style>
  <w:style w:type="numbering" w:customStyle="1" w:styleId="List81">
    <w:name w:val="List 81"/>
    <w:basedOn w:val="Estiloimportado9"/>
    <w:rsid w:val="002649F0"/>
    <w:pPr>
      <w:numPr>
        <w:numId w:val="5"/>
      </w:numPr>
    </w:pPr>
  </w:style>
  <w:style w:type="numbering" w:customStyle="1" w:styleId="List91">
    <w:name w:val="List 91"/>
    <w:basedOn w:val="Estiloimportado10"/>
    <w:rsid w:val="002649F0"/>
    <w:pPr>
      <w:numPr>
        <w:numId w:val="22"/>
      </w:numPr>
    </w:pPr>
  </w:style>
  <w:style w:type="numbering" w:customStyle="1" w:styleId="List101">
    <w:name w:val="List 101"/>
    <w:basedOn w:val="Estiloimportado11"/>
    <w:rsid w:val="002649F0"/>
    <w:pPr>
      <w:numPr>
        <w:numId w:val="6"/>
      </w:numPr>
    </w:pPr>
  </w:style>
  <w:style w:type="numbering" w:customStyle="1" w:styleId="List111">
    <w:name w:val="List 111"/>
    <w:basedOn w:val="Estiloimportado12"/>
    <w:rsid w:val="002649F0"/>
    <w:pPr>
      <w:numPr>
        <w:numId w:val="7"/>
      </w:numPr>
    </w:pPr>
  </w:style>
  <w:style w:type="numbering" w:customStyle="1" w:styleId="List121">
    <w:name w:val="List 121"/>
    <w:basedOn w:val="Estiloimportado13"/>
    <w:rsid w:val="002649F0"/>
    <w:pPr>
      <w:numPr>
        <w:numId w:val="36"/>
      </w:numPr>
    </w:pPr>
  </w:style>
  <w:style w:type="numbering" w:customStyle="1" w:styleId="List131">
    <w:name w:val="List 131"/>
    <w:basedOn w:val="Estiloimportado14"/>
    <w:rsid w:val="002649F0"/>
    <w:pPr>
      <w:numPr>
        <w:numId w:val="42"/>
      </w:numPr>
    </w:pPr>
  </w:style>
  <w:style w:type="numbering" w:customStyle="1" w:styleId="List141">
    <w:name w:val="List 141"/>
    <w:basedOn w:val="Estiloimportado15"/>
    <w:rsid w:val="002649F0"/>
    <w:pPr>
      <w:numPr>
        <w:numId w:val="17"/>
      </w:numPr>
    </w:pPr>
  </w:style>
  <w:style w:type="numbering" w:customStyle="1" w:styleId="List151">
    <w:name w:val="List 151"/>
    <w:basedOn w:val="Estiloimportado16"/>
    <w:rsid w:val="002649F0"/>
    <w:pPr>
      <w:numPr>
        <w:numId w:val="16"/>
      </w:numPr>
    </w:pPr>
  </w:style>
  <w:style w:type="numbering" w:customStyle="1" w:styleId="List161">
    <w:name w:val="List 161"/>
    <w:basedOn w:val="Estiloimportado16"/>
    <w:rsid w:val="002649F0"/>
    <w:pPr>
      <w:numPr>
        <w:numId w:val="10"/>
      </w:numPr>
    </w:pPr>
  </w:style>
  <w:style w:type="numbering" w:customStyle="1" w:styleId="List171">
    <w:name w:val="List 171"/>
    <w:basedOn w:val="Estiloimportado17"/>
    <w:rsid w:val="002649F0"/>
    <w:pPr>
      <w:numPr>
        <w:numId w:val="25"/>
      </w:numPr>
    </w:pPr>
  </w:style>
  <w:style w:type="numbering" w:customStyle="1" w:styleId="List181">
    <w:name w:val="List 181"/>
    <w:basedOn w:val="Estiloimportado18"/>
    <w:rsid w:val="002649F0"/>
    <w:pPr>
      <w:numPr>
        <w:numId w:val="27"/>
      </w:numPr>
    </w:pPr>
  </w:style>
  <w:style w:type="numbering" w:customStyle="1" w:styleId="List191">
    <w:name w:val="List 191"/>
    <w:basedOn w:val="Estiloimportado10"/>
    <w:rsid w:val="002649F0"/>
    <w:pPr>
      <w:numPr>
        <w:numId w:val="19"/>
      </w:numPr>
    </w:pPr>
  </w:style>
  <w:style w:type="numbering" w:customStyle="1" w:styleId="List201">
    <w:name w:val="List 201"/>
    <w:basedOn w:val="Estiloimportado12"/>
    <w:rsid w:val="002649F0"/>
    <w:pPr>
      <w:numPr>
        <w:numId w:val="43"/>
      </w:numPr>
    </w:pPr>
  </w:style>
  <w:style w:type="numbering" w:customStyle="1" w:styleId="List212">
    <w:name w:val="List 212"/>
    <w:basedOn w:val="Estiloimportado19"/>
    <w:rsid w:val="002649F0"/>
    <w:pPr>
      <w:numPr>
        <w:numId w:val="38"/>
      </w:numPr>
    </w:pPr>
  </w:style>
  <w:style w:type="numbering" w:customStyle="1" w:styleId="List221">
    <w:name w:val="List 221"/>
    <w:basedOn w:val="Estiloimportado19"/>
    <w:rsid w:val="002649F0"/>
    <w:pPr>
      <w:numPr>
        <w:numId w:val="28"/>
      </w:numPr>
    </w:pPr>
  </w:style>
  <w:style w:type="numbering" w:customStyle="1" w:styleId="List231">
    <w:name w:val="List 231"/>
    <w:basedOn w:val="Estiloimportado19"/>
    <w:rsid w:val="002649F0"/>
    <w:pPr>
      <w:numPr>
        <w:numId w:val="18"/>
      </w:numPr>
    </w:pPr>
  </w:style>
  <w:style w:type="numbering" w:customStyle="1" w:styleId="List241">
    <w:name w:val="List 241"/>
    <w:basedOn w:val="Estiloimportado20"/>
    <w:rsid w:val="002649F0"/>
    <w:pPr>
      <w:numPr>
        <w:numId w:val="13"/>
      </w:numPr>
    </w:pPr>
  </w:style>
  <w:style w:type="numbering" w:customStyle="1" w:styleId="List251">
    <w:name w:val="List 251"/>
    <w:basedOn w:val="Estiloimportado21"/>
    <w:rsid w:val="002649F0"/>
    <w:pPr>
      <w:numPr>
        <w:numId w:val="15"/>
      </w:numPr>
    </w:pPr>
  </w:style>
  <w:style w:type="numbering" w:customStyle="1" w:styleId="List261">
    <w:name w:val="List 261"/>
    <w:basedOn w:val="Estiloimportado22"/>
    <w:rsid w:val="002649F0"/>
    <w:pPr>
      <w:numPr>
        <w:numId w:val="49"/>
      </w:numPr>
    </w:pPr>
  </w:style>
  <w:style w:type="numbering" w:customStyle="1" w:styleId="List271">
    <w:name w:val="List 271"/>
    <w:basedOn w:val="Estiloimportado23"/>
    <w:rsid w:val="002649F0"/>
    <w:pPr>
      <w:numPr>
        <w:numId w:val="41"/>
      </w:numPr>
    </w:pPr>
  </w:style>
  <w:style w:type="numbering" w:customStyle="1" w:styleId="List281">
    <w:name w:val="List 281"/>
    <w:basedOn w:val="Estiloimportado24"/>
    <w:rsid w:val="002649F0"/>
    <w:pPr>
      <w:numPr>
        <w:numId w:val="30"/>
      </w:numPr>
    </w:pPr>
  </w:style>
  <w:style w:type="numbering" w:customStyle="1" w:styleId="List291">
    <w:name w:val="List 291"/>
    <w:basedOn w:val="Estiloimportado25"/>
    <w:rsid w:val="002649F0"/>
    <w:pPr>
      <w:numPr>
        <w:numId w:val="34"/>
      </w:numPr>
    </w:pPr>
  </w:style>
  <w:style w:type="numbering" w:customStyle="1" w:styleId="List301">
    <w:name w:val="List 301"/>
    <w:basedOn w:val="Estiloimportado26"/>
    <w:rsid w:val="002649F0"/>
    <w:pPr>
      <w:numPr>
        <w:numId w:val="32"/>
      </w:numPr>
    </w:pPr>
  </w:style>
  <w:style w:type="numbering" w:customStyle="1" w:styleId="List312">
    <w:name w:val="List 312"/>
    <w:basedOn w:val="Estiloimportado27"/>
    <w:rsid w:val="002649F0"/>
    <w:pPr>
      <w:numPr>
        <w:numId w:val="45"/>
      </w:numPr>
    </w:pPr>
  </w:style>
  <w:style w:type="numbering" w:customStyle="1" w:styleId="List321">
    <w:name w:val="List 321"/>
    <w:basedOn w:val="Estiloimportado28"/>
    <w:rsid w:val="002649F0"/>
    <w:pPr>
      <w:numPr>
        <w:numId w:val="48"/>
      </w:numPr>
    </w:pPr>
  </w:style>
  <w:style w:type="numbering" w:customStyle="1" w:styleId="List331">
    <w:name w:val="List 331"/>
    <w:basedOn w:val="Estiloimportado29"/>
    <w:rsid w:val="002649F0"/>
    <w:pPr>
      <w:numPr>
        <w:numId w:val="26"/>
      </w:numPr>
    </w:pPr>
  </w:style>
  <w:style w:type="numbering" w:customStyle="1" w:styleId="List341">
    <w:name w:val="List 341"/>
    <w:basedOn w:val="Estiloimportado30"/>
    <w:rsid w:val="002649F0"/>
    <w:pPr>
      <w:numPr>
        <w:numId w:val="11"/>
      </w:numPr>
    </w:pPr>
  </w:style>
  <w:style w:type="numbering" w:customStyle="1" w:styleId="List351">
    <w:name w:val="List 351"/>
    <w:basedOn w:val="Estiloimportado31"/>
    <w:rsid w:val="002649F0"/>
    <w:pPr>
      <w:numPr>
        <w:numId w:val="8"/>
      </w:numPr>
    </w:pPr>
  </w:style>
  <w:style w:type="numbering" w:customStyle="1" w:styleId="List361">
    <w:name w:val="List 361"/>
    <w:basedOn w:val="Estiloimportado32"/>
    <w:rsid w:val="002649F0"/>
    <w:pPr>
      <w:numPr>
        <w:numId w:val="14"/>
      </w:numPr>
    </w:pPr>
  </w:style>
  <w:style w:type="numbering" w:customStyle="1" w:styleId="List371">
    <w:name w:val="List 371"/>
    <w:basedOn w:val="Estiloimportado33"/>
    <w:rsid w:val="002649F0"/>
    <w:pPr>
      <w:numPr>
        <w:numId w:val="47"/>
      </w:numPr>
    </w:pPr>
  </w:style>
  <w:style w:type="numbering" w:customStyle="1" w:styleId="List381">
    <w:name w:val="List 381"/>
    <w:basedOn w:val="Estiloimportado34"/>
    <w:rsid w:val="002649F0"/>
    <w:pPr>
      <w:numPr>
        <w:numId w:val="35"/>
      </w:numPr>
    </w:pPr>
  </w:style>
  <w:style w:type="numbering" w:customStyle="1" w:styleId="List391">
    <w:name w:val="List 391"/>
    <w:basedOn w:val="Estiloimportado35"/>
    <w:rsid w:val="002649F0"/>
    <w:pPr>
      <w:numPr>
        <w:numId w:val="46"/>
      </w:numPr>
    </w:pPr>
  </w:style>
  <w:style w:type="numbering" w:customStyle="1" w:styleId="List401">
    <w:name w:val="List 401"/>
    <w:basedOn w:val="Estiloimportado36"/>
    <w:rsid w:val="002649F0"/>
    <w:pPr>
      <w:numPr>
        <w:numId w:val="21"/>
      </w:numPr>
    </w:pPr>
  </w:style>
  <w:style w:type="numbering" w:customStyle="1" w:styleId="List412">
    <w:name w:val="List 412"/>
    <w:basedOn w:val="Estiloimportado37"/>
    <w:rsid w:val="002649F0"/>
    <w:pPr>
      <w:numPr>
        <w:numId w:val="44"/>
      </w:numPr>
    </w:pPr>
  </w:style>
  <w:style w:type="numbering" w:customStyle="1" w:styleId="List421">
    <w:name w:val="List 421"/>
    <w:basedOn w:val="Estiloimportado12"/>
    <w:rsid w:val="002649F0"/>
    <w:pPr>
      <w:numPr>
        <w:numId w:val="12"/>
      </w:numPr>
    </w:pPr>
  </w:style>
  <w:style w:type="numbering" w:customStyle="1" w:styleId="List431">
    <w:name w:val="List 431"/>
    <w:basedOn w:val="Estiloimportado38"/>
    <w:rsid w:val="002649F0"/>
    <w:pPr>
      <w:numPr>
        <w:numId w:val="23"/>
      </w:numPr>
    </w:pPr>
  </w:style>
  <w:style w:type="numbering" w:customStyle="1" w:styleId="List441">
    <w:name w:val="List 441"/>
    <w:basedOn w:val="Estiloimportado39"/>
    <w:rsid w:val="002649F0"/>
    <w:pPr>
      <w:numPr>
        <w:numId w:val="40"/>
      </w:numPr>
    </w:pPr>
  </w:style>
  <w:style w:type="numbering" w:customStyle="1" w:styleId="List451">
    <w:name w:val="List 451"/>
    <w:basedOn w:val="Estiloimportado40"/>
    <w:rsid w:val="002649F0"/>
    <w:pPr>
      <w:numPr>
        <w:numId w:val="20"/>
      </w:numPr>
    </w:pPr>
  </w:style>
  <w:style w:type="numbering" w:customStyle="1" w:styleId="List461">
    <w:name w:val="List 461"/>
    <w:basedOn w:val="Estiloimportado41"/>
    <w:rsid w:val="002649F0"/>
    <w:pPr>
      <w:numPr>
        <w:numId w:val="24"/>
      </w:numPr>
    </w:pPr>
  </w:style>
  <w:style w:type="numbering" w:customStyle="1" w:styleId="List471">
    <w:name w:val="List 471"/>
    <w:basedOn w:val="Estiloimportado42"/>
    <w:rsid w:val="002649F0"/>
    <w:pPr>
      <w:numPr>
        <w:numId w:val="29"/>
      </w:numPr>
    </w:pPr>
  </w:style>
  <w:style w:type="numbering" w:customStyle="1" w:styleId="List481">
    <w:name w:val="List 481"/>
    <w:basedOn w:val="Estiloimportado43"/>
    <w:rsid w:val="002649F0"/>
    <w:pPr>
      <w:numPr>
        <w:numId w:val="50"/>
      </w:numPr>
    </w:pPr>
  </w:style>
  <w:style w:type="numbering" w:customStyle="1" w:styleId="List491">
    <w:name w:val="List 491"/>
    <w:basedOn w:val="Estiloimportado44"/>
    <w:rsid w:val="002649F0"/>
    <w:pPr>
      <w:numPr>
        <w:numId w:val="39"/>
      </w:numPr>
    </w:pPr>
  </w:style>
  <w:style w:type="numbering" w:customStyle="1" w:styleId="List501">
    <w:name w:val="List 501"/>
    <w:basedOn w:val="Estiloimportado45"/>
    <w:rsid w:val="002649F0"/>
    <w:pPr>
      <w:numPr>
        <w:numId w:val="37"/>
      </w:numPr>
    </w:pPr>
  </w:style>
  <w:style w:type="numbering" w:customStyle="1" w:styleId="List512">
    <w:name w:val="List 512"/>
    <w:basedOn w:val="Estiloimportado46"/>
    <w:rsid w:val="002649F0"/>
    <w:pPr>
      <w:numPr>
        <w:numId w:val="33"/>
      </w:numPr>
    </w:pPr>
  </w:style>
  <w:style w:type="numbering" w:customStyle="1" w:styleId="List521">
    <w:name w:val="List 521"/>
    <w:basedOn w:val="Estiloimportado1"/>
    <w:rsid w:val="002649F0"/>
    <w:pPr>
      <w:numPr>
        <w:numId w:val="9"/>
      </w:numPr>
    </w:pPr>
  </w:style>
  <w:style w:type="numbering" w:customStyle="1" w:styleId="List2111">
    <w:name w:val="List 2111"/>
    <w:basedOn w:val="Estiloimportado3"/>
    <w:rsid w:val="002649F0"/>
  </w:style>
  <w:style w:type="numbering" w:customStyle="1" w:styleId="List3111">
    <w:name w:val="List 3111"/>
    <w:basedOn w:val="Estiloimportado4"/>
    <w:rsid w:val="002649F0"/>
  </w:style>
  <w:style w:type="numbering" w:customStyle="1" w:styleId="List4111">
    <w:name w:val="List 4111"/>
    <w:basedOn w:val="Estiloimportado5"/>
    <w:rsid w:val="002649F0"/>
  </w:style>
  <w:style w:type="numbering" w:customStyle="1" w:styleId="List5111">
    <w:name w:val="List 5111"/>
    <w:basedOn w:val="Estiloimportado6"/>
    <w:rsid w:val="002649F0"/>
  </w:style>
  <w:style w:type="paragraph" w:customStyle="1" w:styleId="1">
    <w:name w:val="1"/>
    <w:basedOn w:val="Normal"/>
    <w:rsid w:val="002649F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numbering" w:customStyle="1" w:styleId="NoList1">
    <w:name w:val="No List1"/>
    <w:next w:val="NoList"/>
    <w:semiHidden/>
    <w:rsid w:val="002649F0"/>
  </w:style>
  <w:style w:type="paragraph" w:styleId="BlockText">
    <w:name w:val="Block Text"/>
    <w:basedOn w:val="Normal"/>
    <w:rsid w:val="002649F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Batang" w:hAnsi="Verdana" w:cs="Verdana"/>
      <w:sz w:val="16"/>
      <w:szCs w:val="16"/>
      <w:bdr w:val="none" w:sz="0" w:space="0" w:color="auto"/>
      <w:lang w:val="es-ES_tradnl"/>
    </w:rPr>
  </w:style>
  <w:style w:type="paragraph" w:customStyle="1" w:styleId="Sangradetindependiente2">
    <w:name w:val="SangrÌa de t. independiente2"/>
    <w:basedOn w:val="Normal"/>
    <w:rsid w:val="002649F0"/>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Batang" w:hAnsi="Arial"/>
      <w:szCs w:val="20"/>
      <w:bdr w:val="none" w:sz="0" w:space="0" w:color="auto"/>
      <w:lang w:val="es-ES_tradnl" w:eastAsia="es-ES"/>
    </w:rPr>
  </w:style>
  <w:style w:type="character" w:customStyle="1" w:styleId="JuParaChar">
    <w:name w:val="Ju_Para Char"/>
    <w:link w:val="JuPara"/>
    <w:locked/>
    <w:rsid w:val="002649F0"/>
    <w:rPr>
      <w:sz w:val="24"/>
      <w:lang w:val="fr-FR" w:eastAsia="fr-FR"/>
    </w:rPr>
  </w:style>
  <w:style w:type="paragraph" w:customStyle="1" w:styleId="JuPara">
    <w:name w:val="Ju_Para"/>
    <w:basedOn w:val="Normal"/>
    <w:link w:val="JuParaChar"/>
    <w:rsid w:val="002649F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284"/>
      <w:jc w:val="both"/>
    </w:pPr>
    <w:rPr>
      <w:szCs w:val="20"/>
      <w:lang w:val="fr-FR" w:eastAsia="fr-FR"/>
    </w:rPr>
  </w:style>
  <w:style w:type="paragraph" w:styleId="DocumentMap">
    <w:name w:val="Document Map"/>
    <w:basedOn w:val="Normal"/>
    <w:link w:val="DocumentMapChar"/>
    <w:semiHidden/>
    <w:rsid w:val="002649F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Batang" w:hAnsi="Tahoma" w:cs="Tahoma"/>
      <w:sz w:val="20"/>
      <w:szCs w:val="20"/>
      <w:bdr w:val="none" w:sz="0" w:space="0" w:color="auto"/>
      <w:lang w:val="es-UY"/>
    </w:rPr>
  </w:style>
  <w:style w:type="character" w:customStyle="1" w:styleId="DocumentMapChar">
    <w:name w:val="Document Map Char"/>
    <w:basedOn w:val="DefaultParagraphFont"/>
    <w:link w:val="DocumentMap"/>
    <w:semiHidden/>
    <w:rsid w:val="002649F0"/>
    <w:rPr>
      <w:rFonts w:ascii="Tahoma" w:eastAsia="Batang" w:hAnsi="Tahoma" w:cs="Tahoma"/>
      <w:bdr w:val="none" w:sz="0" w:space="0" w:color="auto"/>
      <w:shd w:val="clear" w:color="auto" w:fill="000080"/>
      <w:lang w:val="es-UY" w:eastAsia="en-US"/>
    </w:rPr>
  </w:style>
  <w:style w:type="table" w:customStyle="1" w:styleId="TableGrid1">
    <w:name w:val="Table Grid1"/>
    <w:basedOn w:val="TableNormal"/>
    <w:next w:val="TableGrid"/>
    <w:rsid w:val="002649F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demandas">
    <w:name w:val="Título 2 demandas"/>
    <w:basedOn w:val="Normal"/>
    <w:next w:val="Normal"/>
    <w:rsid w:val="002649F0"/>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Univers" w:eastAsia="Times New Roman" w:hAnsi="Univers"/>
      <w:b/>
      <w:bCs/>
      <w:iCs/>
      <w:sz w:val="22"/>
      <w:szCs w:val="22"/>
      <w:bdr w:val="none" w:sz="0" w:space="0" w:color="auto"/>
      <w:lang w:val="en-GB"/>
    </w:rPr>
  </w:style>
  <w:style w:type="paragraph" w:customStyle="1" w:styleId="ColorfulList-Accent12">
    <w:name w:val="Colorful List - Accent 12"/>
    <w:basedOn w:val="Normal"/>
    <w:uiPriority w:val="34"/>
    <w:qFormat/>
    <w:rsid w:val="002649F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Batang"/>
      <w:bdr w:val="none" w:sz="0" w:space="0" w:color="auto"/>
      <w:lang w:val="es-UY"/>
    </w:rPr>
  </w:style>
  <w:style w:type="character" w:customStyle="1" w:styleId="shorttext">
    <w:name w:val="short_text"/>
    <w:rsid w:val="002649F0"/>
  </w:style>
  <w:style w:type="paragraph" w:styleId="HTMLPreformatted">
    <w:name w:val="HTML Preformatted"/>
    <w:basedOn w:val="Normal"/>
    <w:link w:val="HTMLPreformattedChar"/>
    <w:uiPriority w:val="99"/>
    <w:unhideWhenUsed/>
    <w:rsid w:val="002649F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2649F0"/>
    <w:rPr>
      <w:rFonts w:ascii="Courier New" w:eastAsia="Times New Roman" w:hAnsi="Courier New" w:cs="Courier New"/>
      <w:bdr w:val="none" w:sz="0" w:space="0" w:color="auto"/>
      <w:lang w:val="en-US" w:eastAsia="en-US"/>
    </w:rPr>
  </w:style>
  <w:style w:type="character" w:customStyle="1" w:styleId="skypepnhprintcontainer">
    <w:name w:val="skype_pnh_print_container"/>
    <w:rsid w:val="002649F0"/>
    <w:rPr>
      <w:rFonts w:cs="Times New Roman"/>
    </w:rPr>
  </w:style>
  <w:style w:type="character" w:customStyle="1" w:styleId="skypepnhcontainer">
    <w:name w:val="skype_pnh_container"/>
    <w:rsid w:val="002649F0"/>
    <w:rPr>
      <w:rFonts w:cs="Times New Roman"/>
    </w:rPr>
  </w:style>
  <w:style w:type="character" w:customStyle="1" w:styleId="s6b621b36">
    <w:name w:val="s6b621b36"/>
    <w:rsid w:val="002649F0"/>
    <w:rPr>
      <w:rFonts w:cs="Times New Roman"/>
    </w:rPr>
  </w:style>
  <w:style w:type="table" w:styleId="ColorfulList-Accent1">
    <w:name w:val="Colorful List Accent 1"/>
    <w:basedOn w:val="TableNormal"/>
    <w:uiPriority w:val="34"/>
    <w:rsid w:val="002649F0"/>
    <w:rPr>
      <w:rFonts w:eastAsia="Batang"/>
      <w:sz w:val="24"/>
      <w:szCs w:val="24"/>
      <w:lang w:val="es-UY"/>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v11n">
    <w:name w:val="v11n"/>
    <w:basedOn w:val="Normal"/>
    <w:rsid w:val="002649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a">
    <w:name w:val="_"/>
    <w:basedOn w:val="DefaultParagraphFont"/>
    <w:rsid w:val="002649F0"/>
  </w:style>
  <w:style w:type="paragraph" w:styleId="BodyText2">
    <w:name w:val="Body Text 2"/>
    <w:basedOn w:val="Normal"/>
    <w:link w:val="BodyText2Char"/>
    <w:uiPriority w:val="99"/>
    <w:semiHidden/>
    <w:unhideWhenUsed/>
    <w:rsid w:val="002649F0"/>
    <w:pPr>
      <w:spacing w:after="120" w:line="480" w:lineRule="auto"/>
    </w:pPr>
  </w:style>
  <w:style w:type="character" w:customStyle="1" w:styleId="BodyText2Char">
    <w:name w:val="Body Text 2 Char"/>
    <w:basedOn w:val="DefaultParagraphFont"/>
    <w:link w:val="BodyText2"/>
    <w:uiPriority w:val="99"/>
    <w:semiHidden/>
    <w:rsid w:val="002649F0"/>
    <w:rPr>
      <w:sz w:val="24"/>
      <w:szCs w:val="24"/>
      <w:lang w:val="en-US" w:eastAsia="en-US"/>
    </w:rPr>
  </w:style>
  <w:style w:type="paragraph" w:customStyle="1" w:styleId="blockquote">
    <w:name w:val="blockquote"/>
    <w:basedOn w:val="Normal"/>
    <w:rsid w:val="002649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Numberedparagraphs">
    <w:name w:val="Numbered paragraphs"/>
    <w:basedOn w:val="Normal"/>
    <w:qFormat/>
    <w:rsid w:val="002649F0"/>
    <w:pPr>
      <w:numPr>
        <w:numId w:val="60"/>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Verdana" w:eastAsia="MS Mincho" w:hAnsi="Verdana"/>
      <w:color w:val="000000"/>
      <w:sz w:val="20"/>
      <w:szCs w:val="20"/>
      <w:bdr w:val="none" w:sz="0" w:space="0" w:color="auto"/>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2649F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Verdana" w:eastAsiaTheme="minorHAnsi" w:hAnsi="Verdana" w:cs="Verdana"/>
      <w:sz w:val="16"/>
      <w:szCs w:val="16"/>
      <w:bdr w:val="none" w:sz="0" w:space="0" w:color="auto"/>
      <w:vertAlign w:val="superscript"/>
      <w:lang w:val="es-CR"/>
    </w:rPr>
  </w:style>
  <w:style w:type="paragraph" w:customStyle="1" w:styleId="PrrafodeSentencia">
    <w:name w:val="*. Párrafo de Sentencia"/>
    <w:autoRedefine/>
    <w:qFormat/>
    <w:rsid w:val="002649F0"/>
    <w:pPr>
      <w:numPr>
        <w:ilvl w:val="2"/>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ind w:left="0" w:firstLine="567"/>
      <w:jc w:val="both"/>
    </w:pPr>
    <w:rPr>
      <w:rFonts w:ascii="Verdana" w:hAnsi="Verdana"/>
      <w:b/>
      <w:i/>
      <w:bdr w:val="none" w:sz="0" w:space="0" w:color="auto"/>
      <w:lang w:val="es-ES_tradnl" w:eastAsia="es-MX"/>
    </w:rPr>
  </w:style>
  <w:style w:type="paragraph" w:customStyle="1" w:styleId="Estilo1">
    <w:name w:val="Estilo1"/>
    <w:basedOn w:val="Normal"/>
    <w:link w:val="Estilo1Car"/>
    <w:qFormat/>
    <w:rsid w:val="002649F0"/>
    <w:pPr>
      <w:numPr>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s>
      <w:spacing w:after="120"/>
      <w:jc w:val="both"/>
    </w:pPr>
    <w:rPr>
      <w:rFonts w:ascii="Verdana" w:eastAsia="Calibri" w:hAnsi="Verdana"/>
      <w:sz w:val="20"/>
      <w:szCs w:val="20"/>
      <w:bdr w:val="none" w:sz="0" w:space="0" w:color="auto"/>
      <w:lang w:val="es-ES" w:eastAsia="x-none"/>
    </w:rPr>
  </w:style>
  <w:style w:type="paragraph" w:customStyle="1" w:styleId="Estilo2">
    <w:name w:val="Estilo2"/>
    <w:basedOn w:val="Normal"/>
    <w:qFormat/>
    <w:rsid w:val="002649F0"/>
    <w:pPr>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s>
      <w:spacing w:after="120"/>
      <w:ind w:left="0" w:firstLine="357"/>
      <w:jc w:val="both"/>
    </w:pPr>
    <w:rPr>
      <w:rFonts w:ascii="Verdana" w:eastAsia="Calibri" w:hAnsi="Verdana"/>
      <w:sz w:val="20"/>
      <w:szCs w:val="20"/>
      <w:bdr w:val="none" w:sz="0" w:space="0" w:color="auto"/>
      <w:lang w:val="x-none" w:eastAsia="x-none"/>
    </w:rPr>
  </w:style>
  <w:style w:type="character" w:customStyle="1" w:styleId="Estilo1Car">
    <w:name w:val="Estilo1 Car"/>
    <w:link w:val="Estilo1"/>
    <w:rsid w:val="002649F0"/>
    <w:rPr>
      <w:rFonts w:ascii="Verdana" w:eastAsia="Calibri" w:hAnsi="Verdana"/>
      <w:bdr w:val="none" w:sz="0" w:space="0" w:color="auto"/>
      <w:lang w:eastAsia="x-none"/>
    </w:rPr>
  </w:style>
  <w:style w:type="paragraph" w:styleId="PlainText">
    <w:name w:val="Plain Text"/>
    <w:basedOn w:val="Normal"/>
    <w:link w:val="PlainTextChar"/>
    <w:uiPriority w:val="99"/>
    <w:unhideWhenUsed/>
    <w:rsid w:val="0097758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977580"/>
    <w:rPr>
      <w:rFonts w:ascii="Calibri" w:eastAsiaTheme="minorHAnsi" w:hAnsi="Calibri" w:cstheme="minorBidi"/>
      <w:sz w:val="22"/>
      <w:szCs w:val="21"/>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as.org/es/cidh/expresion/informes/Protesta%20y%20DDHH%20Final.pdf" TargetMode="External"/><Relationship Id="rId13" Type="http://schemas.openxmlformats.org/officeDocument/2006/relationships/hyperlink" Target="https://www.oas.org/es/cidh/expresion/informes/Protesta%20y%20DDHH%20Final.pdf" TargetMode="External"/><Relationship Id="rId3" Type="http://schemas.openxmlformats.org/officeDocument/2006/relationships/hyperlink" Target="https://cidh.oas.org/annualrep/2009port/Brasil12310port.htm" TargetMode="External"/><Relationship Id="rId7" Type="http://schemas.openxmlformats.org/officeDocument/2006/relationships/hyperlink" Target="http://hudoc.echr.coe.int/fre" TargetMode="External"/><Relationship Id="rId12" Type="http://schemas.openxmlformats.org/officeDocument/2006/relationships/hyperlink" Target="https://www.oas.org/es/cidh/expresion/informes/Protesta%20y%20DDHH%20Final.pdf" TargetMode="External"/><Relationship Id="rId2" Type="http://schemas.openxmlformats.org/officeDocument/2006/relationships/hyperlink" Target="https://www.refworld.org.es/country,,UNCHR,,BRA,,52b055b44,0.html" TargetMode="External"/><Relationship Id="rId16" Type="http://schemas.openxmlformats.org/officeDocument/2006/relationships/hyperlink" Target="http://www.cidh.org/countryrep/Brasesp97/indice.htm" TargetMode="External"/><Relationship Id="rId1" Type="http://schemas.openxmlformats.org/officeDocument/2006/relationships/hyperlink" Target="https://cidh.oas.org/annualrep/2009port/Brasil12310port.htm" TargetMode="External"/><Relationship Id="rId6" Type="http://schemas.openxmlformats.org/officeDocument/2006/relationships/hyperlink" Target="https://www.oas.org/es/cidh/expresion/informes/Protesta%20y%20DDHH%20Final.pdf" TargetMode="External"/><Relationship Id="rId11" Type="http://schemas.openxmlformats.org/officeDocument/2006/relationships/hyperlink" Target="https://www.oas.org/es/cidh/expresion/informes/Protesta%20y%20DDHH%20Final.pdf" TargetMode="External"/><Relationship Id="rId5" Type="http://schemas.openxmlformats.org/officeDocument/2006/relationships/hyperlink" Target="https://www.ohchr.org/SP/ProfessionalInterest/Pages/UseOfForceAndFirearms.aspx" TargetMode="External"/><Relationship Id="rId15" Type="http://schemas.openxmlformats.org/officeDocument/2006/relationships/hyperlink" Target="http://www.cidh.org/countryrep/Brasesp97/indice.htm" TargetMode="External"/><Relationship Id="rId10" Type="http://schemas.openxmlformats.org/officeDocument/2006/relationships/hyperlink" Target="https://www.oas.org/es/cidh/expresion/informes/Protesta%20y%20DDHH%20Final.pdf" TargetMode="External"/><Relationship Id="rId4"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9" Type="http://schemas.openxmlformats.org/officeDocument/2006/relationships/hyperlink" Target="https://www.oas.org/es/cidh/expresion/informes/Protesta%20y%20DDHH%20Final.pdf" TargetMode="External"/><Relationship Id="rId14" Type="http://schemas.openxmlformats.org/officeDocument/2006/relationships/hyperlink" Target="https://www.oas.org/es/cidh/expresion/informes/Protesta%20y%20DDHH%20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DDF1A-FBEC-4B5A-A359-A5744341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10333</Words>
  <Characters>58899</Characters>
  <Application>Microsoft Office Word</Application>
  <DocSecurity>0</DocSecurity>
  <Lines>490</Lines>
  <Paragraphs>138</Paragraphs>
  <ScaleCrop>false</ScaleCrop>
  <Company/>
  <LinksUpToDate>false</LinksUpToDate>
  <CharactersWithSpaces>69094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2021-04-12T21:44:00Z</dcterms:created>
  <dcterms:modified xsi:type="dcterms:W3CDTF">2021-04-12T21:44:00Z</dcterms:modified>
</cp:coreProperties>
</file>