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1437" w14:textId="14C988CA" w:rsidR="00C7545F" w:rsidRDefault="00AF31EC" w:rsidP="00FC0CB6">
      <w:pPr>
        <w:pStyle w:val="Body"/>
        <w:ind w:firstLine="0"/>
        <w:jc w:val="left"/>
        <w:rPr>
          <w:b/>
          <w:bCs/>
          <w:lang w:val="pt-BR"/>
        </w:rPr>
      </w:pPr>
      <w:r>
        <w:rPr>
          <w:noProof/>
        </w:rPr>
        <w:drawing>
          <wp:anchor distT="0" distB="0" distL="114300" distR="114300" simplePos="0" relativeHeight="251667456" behindDoc="1" locked="0" layoutInCell="1" allowOverlap="1" wp14:anchorId="42AB77A2" wp14:editId="6AAD48AA">
            <wp:simplePos x="0" y="0"/>
            <wp:positionH relativeFrom="column">
              <wp:posOffset>1401288</wp:posOffset>
            </wp:positionH>
            <wp:positionV relativeFrom="paragraph">
              <wp:posOffset>-285008</wp:posOffset>
            </wp:positionV>
            <wp:extent cx="2469515" cy="582806"/>
            <wp:effectExtent l="0" t="0" r="6985" b="8255"/>
            <wp:wrapNone/>
            <wp:docPr id="12" name="Picture 12"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waterfall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69515" cy="582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3B22B" w14:textId="0B59ACC6" w:rsidR="00C7545F" w:rsidRDefault="00C7545F" w:rsidP="00FC0CB6">
      <w:pPr>
        <w:pStyle w:val="Body"/>
        <w:ind w:firstLine="0"/>
        <w:jc w:val="left"/>
        <w:rPr>
          <w:b/>
          <w:bCs/>
          <w:lang w:val="pt-BR"/>
        </w:rPr>
      </w:pPr>
    </w:p>
    <w:p w14:paraId="4F175098" w14:textId="72BF2C99" w:rsidR="007C2EFF" w:rsidRPr="00C62DF2" w:rsidRDefault="007C2EFF" w:rsidP="00FC0CB6">
      <w:pPr>
        <w:pStyle w:val="Body"/>
        <w:ind w:firstLine="0"/>
        <w:jc w:val="left"/>
        <w:rPr>
          <w:b/>
          <w:bCs/>
          <w:lang w:val="pt-BR"/>
        </w:rPr>
      </w:pPr>
      <w:r w:rsidRPr="00C62DF2">
        <w:rPr>
          <w:noProof/>
          <w:lang w:val="pt-BR" w:eastAsia="en-US"/>
        </w:rPr>
        <mc:AlternateContent>
          <mc:Choice Requires="wps">
            <w:drawing>
              <wp:anchor distT="0" distB="0" distL="0" distR="0" simplePos="0" relativeHeight="251659264" behindDoc="0" locked="0" layoutInCell="1" allowOverlap="1" wp14:anchorId="20A6A4A9" wp14:editId="0B1F4165">
                <wp:simplePos x="0" y="0"/>
                <wp:positionH relativeFrom="column">
                  <wp:posOffset>-416115</wp:posOffset>
                </wp:positionH>
                <wp:positionV relativeFrom="line">
                  <wp:posOffset>-439420</wp:posOffset>
                </wp:positionV>
                <wp:extent cx="1543050" cy="9096375"/>
                <wp:effectExtent l="0" t="0" r="6350" b="0"/>
                <wp:wrapNone/>
                <wp:docPr id="1073741827" name="officeArt object"/>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w="12700" cap="flat">
                          <a:noFill/>
                          <a:miter lim="400000"/>
                        </a:ln>
                        <a:effectLst/>
                      </wps:spPr>
                      <wps:bodyPr/>
                    </wps:wsp>
                  </a:graphicData>
                </a:graphic>
              </wp:anchor>
            </w:drawing>
          </mc:Choice>
          <mc:Fallback>
            <w:pict>
              <v:rect w14:anchorId="63B71D3F" id="officeArt object" o:spid="_x0000_s1026" style="position:absolute;margin-left:-32.75pt;margin-top:-34.6pt;width:121.5pt;height:716.2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" fillcolor="#ffc000" stroked="f" strokeweight="1pt">
                <v:stroke miterlimit="4"/>
                <w10:wrap anchory="line"/>
              </v:rect>
            </w:pict>
          </mc:Fallback>
        </mc:AlternateContent>
      </w:r>
      <w:r w:rsidRPr="00C62DF2">
        <w:rPr>
          <w:b/>
          <w:bCs/>
          <w:lang w:val="pt-BR"/>
        </w:rPr>
        <w:t xml:space="preserve"> </w:t>
      </w:r>
    </w:p>
    <w:p w14:paraId="4C7BAF42" w14:textId="74CCA711" w:rsidR="007C2EFF" w:rsidRPr="00C62DF2" w:rsidRDefault="007C2EFF" w:rsidP="00FC0CB6">
      <w:pPr>
        <w:pStyle w:val="Body"/>
        <w:suppressAutoHyphens/>
        <w:ind w:firstLine="0"/>
        <w:rPr>
          <w:lang w:val="pt-BR"/>
        </w:rPr>
      </w:pPr>
    </w:p>
    <w:p w14:paraId="3FFF613A" w14:textId="27C669AA" w:rsidR="007C2EFF" w:rsidRPr="00C62DF2" w:rsidRDefault="007C2EFF" w:rsidP="00FC0CB6">
      <w:pPr>
        <w:pStyle w:val="Body"/>
        <w:suppressAutoHyphens/>
        <w:ind w:firstLine="0"/>
        <w:rPr>
          <w:lang w:val="pt-BR"/>
        </w:rPr>
      </w:pPr>
    </w:p>
    <w:p w14:paraId="4341B746" w14:textId="0D6346B2" w:rsidR="007C2EFF" w:rsidRPr="00C62DF2" w:rsidRDefault="007C2EFF" w:rsidP="00FC0CB6">
      <w:pPr>
        <w:pStyle w:val="Body"/>
        <w:suppressAutoHyphens/>
        <w:ind w:firstLine="0"/>
        <w:rPr>
          <w:lang w:val="pt-BR"/>
        </w:rPr>
      </w:pPr>
    </w:p>
    <w:p w14:paraId="4B20E407" w14:textId="77777777" w:rsidR="007C2EFF" w:rsidRPr="00C62DF2" w:rsidRDefault="007C2EFF" w:rsidP="00FC0CB6">
      <w:pPr>
        <w:pStyle w:val="Body"/>
        <w:suppressAutoHyphens/>
        <w:ind w:firstLine="0"/>
        <w:rPr>
          <w:lang w:val="pt-BR"/>
        </w:rPr>
      </w:pPr>
    </w:p>
    <w:p w14:paraId="47D8B416" w14:textId="77777777" w:rsidR="007C2EFF" w:rsidRPr="00C62DF2" w:rsidRDefault="007C2EFF" w:rsidP="00FC0CB6">
      <w:pPr>
        <w:pStyle w:val="Body"/>
        <w:suppressAutoHyphens/>
        <w:ind w:firstLine="0"/>
        <w:rPr>
          <w:lang w:val="pt-BR"/>
        </w:rPr>
      </w:pPr>
    </w:p>
    <w:p w14:paraId="5F819E23" w14:textId="77777777" w:rsidR="007C2EFF" w:rsidRPr="00C62DF2" w:rsidRDefault="007C2EFF" w:rsidP="00FC0CB6">
      <w:pPr>
        <w:pStyle w:val="Body"/>
        <w:suppressAutoHyphens/>
        <w:ind w:firstLine="0"/>
        <w:rPr>
          <w:lang w:val="pt-BR"/>
        </w:rPr>
      </w:pPr>
    </w:p>
    <w:p w14:paraId="0A9C7F02" w14:textId="77777777" w:rsidR="007C2EFF" w:rsidRPr="00C62DF2" w:rsidRDefault="007C2EFF" w:rsidP="00FC0CB6">
      <w:pPr>
        <w:pStyle w:val="Body"/>
        <w:suppressAutoHyphens/>
        <w:ind w:firstLine="0"/>
        <w:rPr>
          <w:lang w:val="pt-BR"/>
        </w:rPr>
      </w:pPr>
    </w:p>
    <w:p w14:paraId="30C11E7C" w14:textId="77777777" w:rsidR="007C2EFF" w:rsidRPr="00C62DF2" w:rsidRDefault="007C2EFF" w:rsidP="00FC0CB6">
      <w:pPr>
        <w:pStyle w:val="Body"/>
        <w:suppressAutoHyphens/>
        <w:ind w:firstLine="0"/>
        <w:rPr>
          <w:lang w:val="pt-BR"/>
        </w:rPr>
      </w:pPr>
    </w:p>
    <w:p w14:paraId="7BBB3BB5" w14:textId="77777777" w:rsidR="007C2EFF" w:rsidRPr="00C62DF2" w:rsidRDefault="007C2EFF" w:rsidP="00FC0CB6">
      <w:pPr>
        <w:pStyle w:val="Body"/>
        <w:suppressAutoHyphens/>
        <w:ind w:firstLine="0"/>
        <w:rPr>
          <w:lang w:val="pt-BR"/>
        </w:rPr>
      </w:pPr>
    </w:p>
    <w:p w14:paraId="58EE8597" w14:textId="77777777" w:rsidR="007C2EFF" w:rsidRPr="00C62DF2" w:rsidRDefault="007C2EFF" w:rsidP="00FC0CB6">
      <w:pPr>
        <w:pStyle w:val="Body"/>
        <w:suppressAutoHyphens/>
        <w:ind w:firstLine="0"/>
        <w:rPr>
          <w:lang w:val="pt-BR"/>
        </w:rPr>
      </w:pPr>
    </w:p>
    <w:p w14:paraId="5187CEFE" w14:textId="77777777" w:rsidR="007C2EFF" w:rsidRPr="00C62DF2" w:rsidRDefault="007C2EFF" w:rsidP="00FC0CB6">
      <w:pPr>
        <w:pStyle w:val="Body"/>
        <w:suppressAutoHyphens/>
        <w:ind w:firstLine="0"/>
        <w:rPr>
          <w:lang w:val="pt-BR"/>
        </w:rPr>
      </w:pPr>
    </w:p>
    <w:p w14:paraId="621CB7A5" w14:textId="77777777" w:rsidR="007C2EFF" w:rsidRPr="00C62DF2" w:rsidRDefault="007C2EFF" w:rsidP="00FC0CB6">
      <w:pPr>
        <w:pStyle w:val="Body"/>
        <w:suppressAutoHyphens/>
        <w:ind w:firstLine="0"/>
        <w:rPr>
          <w:lang w:val="pt-BR"/>
        </w:rPr>
      </w:pPr>
    </w:p>
    <w:p w14:paraId="02BE18D3" w14:textId="77777777" w:rsidR="007C2EFF" w:rsidRPr="00C62DF2" w:rsidRDefault="007C2EFF" w:rsidP="00FC0CB6">
      <w:pPr>
        <w:pStyle w:val="Body"/>
        <w:suppressAutoHyphens/>
        <w:ind w:firstLine="0"/>
        <w:rPr>
          <w:lang w:val="pt-BR"/>
        </w:rPr>
      </w:pPr>
      <w:r w:rsidRPr="00C62DF2">
        <w:rPr>
          <w:noProof/>
          <w:lang w:val="pt-BR" w:eastAsia="en-US"/>
        </w:rPr>
        <mc:AlternateContent>
          <mc:Choice Requires="wps">
            <w:drawing>
              <wp:anchor distT="0" distB="0" distL="0" distR="0" simplePos="0" relativeHeight="251660288" behindDoc="0" locked="0" layoutInCell="1" allowOverlap="1" wp14:anchorId="24C4380E" wp14:editId="16A72BD5">
                <wp:simplePos x="0" y="0"/>
                <wp:positionH relativeFrom="column">
                  <wp:posOffset>1352550</wp:posOffset>
                </wp:positionH>
                <wp:positionV relativeFrom="line">
                  <wp:posOffset>107315</wp:posOffset>
                </wp:positionV>
                <wp:extent cx="4441190" cy="218122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441190" cy="2181225"/>
                        </a:xfrm>
                        <a:prstGeom prst="rect">
                          <a:avLst/>
                        </a:prstGeom>
                        <a:noFill/>
                        <a:ln w="12700" cap="flat">
                          <a:noFill/>
                          <a:miter lim="400000"/>
                        </a:ln>
                        <a:effectLst/>
                      </wps:spPr>
                      <wps:txbx>
                        <w:txbxContent>
                          <w:p w14:paraId="346FF4C3" w14:textId="77777777" w:rsidR="00DA5DAC" w:rsidRPr="00A950E0" w:rsidRDefault="00DA5DAC" w:rsidP="007C2EFF">
                            <w:pPr>
                              <w:pStyle w:val="Body"/>
                              <w:spacing w:line="276" w:lineRule="auto"/>
                              <w:rPr>
                                <w:b/>
                                <w:bCs/>
                                <w:color w:val="0D0D0D"/>
                                <w:sz w:val="36"/>
                                <w:szCs w:val="36"/>
                                <w:u w:color="0D0D0D"/>
                                <w:lang w:val="pt-BR"/>
                              </w:rPr>
                            </w:pPr>
                            <w:r w:rsidRPr="00A950E0">
                              <w:rPr>
                                <w:b/>
                                <w:bCs/>
                                <w:color w:val="0D0D0D"/>
                                <w:sz w:val="36"/>
                                <w:szCs w:val="36"/>
                                <w:u w:color="0D0D0D"/>
                                <w:lang w:val="pt-BR"/>
                              </w:rPr>
                              <w:t>RELAT</w:t>
                            </w:r>
                            <w:r>
                              <w:rPr>
                                <w:b/>
                                <w:bCs/>
                                <w:color w:val="0D0D0D"/>
                                <w:sz w:val="36"/>
                                <w:szCs w:val="36"/>
                                <w:u w:color="0D0D0D"/>
                                <w:lang w:val="pt-BR"/>
                              </w:rPr>
                              <w:t>Ó</w:t>
                            </w:r>
                            <w:r w:rsidRPr="00A950E0">
                              <w:rPr>
                                <w:b/>
                                <w:bCs/>
                                <w:color w:val="0D0D0D"/>
                                <w:sz w:val="36"/>
                                <w:szCs w:val="36"/>
                                <w:u w:color="0D0D0D"/>
                                <w:lang w:val="pt-BR"/>
                              </w:rPr>
                              <w:t>RIO Nº 265/21</w:t>
                            </w:r>
                          </w:p>
                          <w:p w14:paraId="460D9BC8" w14:textId="77777777" w:rsidR="00DA5DAC" w:rsidRPr="00A950E0" w:rsidRDefault="00DA5DAC" w:rsidP="007C2EFF">
                            <w:pPr>
                              <w:pStyle w:val="Body"/>
                              <w:spacing w:line="276" w:lineRule="auto"/>
                              <w:rPr>
                                <w:b/>
                                <w:bCs/>
                                <w:color w:val="0D0D0D"/>
                                <w:sz w:val="36"/>
                                <w:szCs w:val="36"/>
                                <w:u w:color="0D0D0D"/>
                                <w:lang w:val="pt-BR"/>
                              </w:rPr>
                            </w:pPr>
                            <w:r w:rsidRPr="00A950E0">
                              <w:rPr>
                                <w:b/>
                                <w:bCs/>
                                <w:color w:val="0D0D0D"/>
                                <w:sz w:val="36"/>
                                <w:szCs w:val="36"/>
                                <w:u w:color="0D0D0D"/>
                                <w:lang w:val="pt-BR"/>
                              </w:rPr>
                              <w:t>CASO 13.713</w:t>
                            </w:r>
                          </w:p>
                          <w:p w14:paraId="131E1150" w14:textId="2F7BA741" w:rsidR="00DA5DAC" w:rsidRPr="00A950E0" w:rsidRDefault="00DA5DAC" w:rsidP="007C2EFF">
                            <w:pPr>
                              <w:pStyle w:val="Body"/>
                              <w:spacing w:line="276" w:lineRule="auto"/>
                              <w:rPr>
                                <w:color w:val="0D0D0D"/>
                                <w:sz w:val="24"/>
                                <w:u w:color="0D0D0D"/>
                                <w:lang w:val="pt-BR"/>
                              </w:rPr>
                            </w:pPr>
                            <w:r w:rsidRPr="00A950E0">
                              <w:rPr>
                                <w:color w:val="0D0D0D"/>
                                <w:sz w:val="24"/>
                                <w:u w:color="0D0D0D"/>
                                <w:lang w:val="pt-BR"/>
                              </w:rPr>
                              <w:t>RELAT</w:t>
                            </w:r>
                            <w:r>
                              <w:rPr>
                                <w:color w:val="0D0D0D"/>
                                <w:sz w:val="24"/>
                                <w:u w:color="0D0D0D"/>
                                <w:lang w:val="pt-BR"/>
                              </w:rPr>
                              <w:t>Ó</w:t>
                            </w:r>
                            <w:r w:rsidRPr="00A950E0">
                              <w:rPr>
                                <w:color w:val="0D0D0D"/>
                                <w:sz w:val="24"/>
                                <w:u w:color="0D0D0D"/>
                                <w:lang w:val="pt-BR"/>
                              </w:rPr>
                              <w:t xml:space="preserve">RIO DE </w:t>
                            </w:r>
                            <w:r w:rsidR="00884749">
                              <w:rPr>
                                <w:color w:val="0D0D0D"/>
                                <w:sz w:val="24"/>
                                <w:u w:color="0D0D0D"/>
                                <w:lang w:val="pt-BR"/>
                              </w:rPr>
                              <w:t>MÉRITO</w:t>
                            </w:r>
                            <w:r w:rsidRPr="00A950E0">
                              <w:rPr>
                                <w:color w:val="0D0D0D"/>
                                <w:sz w:val="24"/>
                                <w:u w:color="0D0D0D"/>
                                <w:lang w:val="pt-BR"/>
                              </w:rPr>
                              <w:t xml:space="preserve"> </w:t>
                            </w:r>
                          </w:p>
                          <w:p w14:paraId="038AF2BF" w14:textId="77777777" w:rsidR="00DA5DAC" w:rsidRPr="00A950E0" w:rsidRDefault="00DA5DAC" w:rsidP="007C2EFF">
                            <w:pPr>
                              <w:pStyle w:val="Body"/>
                              <w:spacing w:line="276" w:lineRule="auto"/>
                              <w:rPr>
                                <w:color w:val="0D0D0D"/>
                                <w:u w:color="0D0D0D"/>
                                <w:lang w:val="pt-BR"/>
                              </w:rPr>
                            </w:pPr>
                          </w:p>
                          <w:p w14:paraId="048F4436" w14:textId="77777777" w:rsidR="00DA5DAC" w:rsidRPr="00A950E0" w:rsidRDefault="00DA5DAC" w:rsidP="007C2EFF">
                            <w:pPr>
                              <w:pStyle w:val="Body"/>
                              <w:spacing w:line="276" w:lineRule="auto"/>
                              <w:ind w:left="634" w:firstLine="0"/>
                              <w:rPr>
                                <w:color w:val="0D0D0D"/>
                                <w:sz w:val="24"/>
                                <w:u w:color="0D0D0D"/>
                                <w:lang w:val="pt-BR"/>
                              </w:rPr>
                            </w:pPr>
                            <w:r w:rsidRPr="00A950E0">
                              <w:rPr>
                                <w:color w:val="0D0D0D"/>
                                <w:sz w:val="24"/>
                                <w:u w:color="0D0D0D"/>
                                <w:lang w:val="pt-BR"/>
                              </w:rPr>
                              <w:t>DENISE PERES CRISPIM, EDUARDO COLLEN LEITE E OUTROS</w:t>
                            </w:r>
                          </w:p>
                          <w:p w14:paraId="07386F49" w14:textId="77777777" w:rsidR="00DA5DAC" w:rsidRPr="00A950E0" w:rsidRDefault="00DA5DAC" w:rsidP="007C2EFF">
                            <w:pPr>
                              <w:pStyle w:val="Body"/>
                              <w:spacing w:line="276" w:lineRule="auto"/>
                              <w:rPr>
                                <w:sz w:val="24"/>
                                <w:lang w:val="pt-BR"/>
                              </w:rPr>
                            </w:pPr>
                            <w:r w:rsidRPr="00A950E0">
                              <w:rPr>
                                <w:color w:val="0D0D0D"/>
                                <w:sz w:val="24"/>
                                <w:u w:color="0D0D0D"/>
                                <w:lang w:val="pt-BR"/>
                              </w:rPr>
                              <w:t>BRASIL</w:t>
                            </w:r>
                          </w:p>
                        </w:txbxContent>
                      </wps:txbx>
                      <wps:bodyPr wrap="square" lIns="45719" tIns="45719" rIns="45719" bIns="45719" numCol="1" anchor="t">
                        <a:noAutofit/>
                      </wps:bodyPr>
                    </wps:wsp>
                  </a:graphicData>
                </a:graphic>
              </wp:anchor>
            </w:drawing>
          </mc:Choice>
          <mc:Fallback>
            <w:pict>
              <v:rect w14:anchorId="24C4380E" id="officeArt object" o:spid="_x0000_s1026" style="position:absolute;left:0;text-align:left;margin-left:106.5pt;margin-top:8.45pt;width:349.7pt;height:171.7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" filled="f" stroked="f" strokeweight="1pt">
                <v:stroke miterlimit="4"/>
                <v:textbox inset="1.27mm,1.27mm,1.27mm,1.27mm">
                  <w:txbxContent>
                    <w:p w14:paraId="346FF4C3" w14:textId="77777777" w:rsidR="00DA5DAC" w:rsidRPr="00A950E0" w:rsidRDefault="00DA5DAC" w:rsidP="007C2EFF">
                      <w:pPr>
                        <w:pStyle w:val="Body"/>
                        <w:spacing w:line="276" w:lineRule="auto"/>
                        <w:rPr>
                          <w:b/>
                          <w:bCs/>
                          <w:color w:val="0D0D0D"/>
                          <w:sz w:val="36"/>
                          <w:szCs w:val="36"/>
                          <w:u w:color="0D0D0D"/>
                          <w:lang w:val="pt-BR"/>
                        </w:rPr>
                      </w:pPr>
                      <w:r w:rsidRPr="00A950E0">
                        <w:rPr>
                          <w:b/>
                          <w:bCs/>
                          <w:color w:val="0D0D0D"/>
                          <w:sz w:val="36"/>
                          <w:szCs w:val="36"/>
                          <w:u w:color="0D0D0D"/>
                          <w:lang w:val="pt-BR"/>
                        </w:rPr>
                        <w:t>RELAT</w:t>
                      </w:r>
                      <w:r>
                        <w:rPr>
                          <w:b/>
                          <w:bCs/>
                          <w:color w:val="0D0D0D"/>
                          <w:sz w:val="36"/>
                          <w:szCs w:val="36"/>
                          <w:u w:color="0D0D0D"/>
                          <w:lang w:val="pt-BR"/>
                        </w:rPr>
                        <w:t>Ó</w:t>
                      </w:r>
                      <w:r w:rsidRPr="00A950E0">
                        <w:rPr>
                          <w:b/>
                          <w:bCs/>
                          <w:color w:val="0D0D0D"/>
                          <w:sz w:val="36"/>
                          <w:szCs w:val="36"/>
                          <w:u w:color="0D0D0D"/>
                          <w:lang w:val="pt-BR"/>
                        </w:rPr>
                        <w:t>RIO Nº 265/21</w:t>
                      </w:r>
                    </w:p>
                    <w:p w14:paraId="460D9BC8" w14:textId="77777777" w:rsidR="00DA5DAC" w:rsidRPr="00A950E0" w:rsidRDefault="00DA5DAC" w:rsidP="007C2EFF">
                      <w:pPr>
                        <w:pStyle w:val="Body"/>
                        <w:spacing w:line="276" w:lineRule="auto"/>
                        <w:rPr>
                          <w:b/>
                          <w:bCs/>
                          <w:color w:val="0D0D0D"/>
                          <w:sz w:val="36"/>
                          <w:szCs w:val="36"/>
                          <w:u w:color="0D0D0D"/>
                          <w:lang w:val="pt-BR"/>
                        </w:rPr>
                      </w:pPr>
                      <w:r w:rsidRPr="00A950E0">
                        <w:rPr>
                          <w:b/>
                          <w:bCs/>
                          <w:color w:val="0D0D0D"/>
                          <w:sz w:val="36"/>
                          <w:szCs w:val="36"/>
                          <w:u w:color="0D0D0D"/>
                          <w:lang w:val="pt-BR"/>
                        </w:rPr>
                        <w:t>CASO 13.713</w:t>
                      </w:r>
                    </w:p>
                    <w:p w14:paraId="131E1150" w14:textId="2F7BA741" w:rsidR="00DA5DAC" w:rsidRPr="00A950E0" w:rsidRDefault="00DA5DAC" w:rsidP="007C2EFF">
                      <w:pPr>
                        <w:pStyle w:val="Body"/>
                        <w:spacing w:line="276" w:lineRule="auto"/>
                        <w:rPr>
                          <w:color w:val="0D0D0D"/>
                          <w:sz w:val="24"/>
                          <w:u w:color="0D0D0D"/>
                          <w:lang w:val="pt-BR"/>
                        </w:rPr>
                      </w:pPr>
                      <w:r w:rsidRPr="00A950E0">
                        <w:rPr>
                          <w:color w:val="0D0D0D"/>
                          <w:sz w:val="24"/>
                          <w:u w:color="0D0D0D"/>
                          <w:lang w:val="pt-BR"/>
                        </w:rPr>
                        <w:t>RELAT</w:t>
                      </w:r>
                      <w:r>
                        <w:rPr>
                          <w:color w:val="0D0D0D"/>
                          <w:sz w:val="24"/>
                          <w:u w:color="0D0D0D"/>
                          <w:lang w:val="pt-BR"/>
                        </w:rPr>
                        <w:t>Ó</w:t>
                      </w:r>
                      <w:r w:rsidRPr="00A950E0">
                        <w:rPr>
                          <w:color w:val="0D0D0D"/>
                          <w:sz w:val="24"/>
                          <w:u w:color="0D0D0D"/>
                          <w:lang w:val="pt-BR"/>
                        </w:rPr>
                        <w:t xml:space="preserve">RIO DE </w:t>
                      </w:r>
                      <w:r w:rsidR="00884749">
                        <w:rPr>
                          <w:color w:val="0D0D0D"/>
                          <w:sz w:val="24"/>
                          <w:u w:color="0D0D0D"/>
                          <w:lang w:val="pt-BR"/>
                        </w:rPr>
                        <w:t>MÉRITO</w:t>
                      </w:r>
                      <w:r w:rsidRPr="00A950E0">
                        <w:rPr>
                          <w:color w:val="0D0D0D"/>
                          <w:sz w:val="24"/>
                          <w:u w:color="0D0D0D"/>
                          <w:lang w:val="pt-BR"/>
                        </w:rPr>
                        <w:t xml:space="preserve"> </w:t>
                      </w:r>
                    </w:p>
                    <w:p w14:paraId="038AF2BF" w14:textId="77777777" w:rsidR="00DA5DAC" w:rsidRPr="00A950E0" w:rsidRDefault="00DA5DAC" w:rsidP="007C2EFF">
                      <w:pPr>
                        <w:pStyle w:val="Body"/>
                        <w:spacing w:line="276" w:lineRule="auto"/>
                        <w:rPr>
                          <w:color w:val="0D0D0D"/>
                          <w:u w:color="0D0D0D"/>
                          <w:lang w:val="pt-BR"/>
                        </w:rPr>
                      </w:pPr>
                    </w:p>
                    <w:p w14:paraId="048F4436" w14:textId="77777777" w:rsidR="00DA5DAC" w:rsidRPr="00A950E0" w:rsidRDefault="00DA5DAC" w:rsidP="007C2EFF">
                      <w:pPr>
                        <w:pStyle w:val="Body"/>
                        <w:spacing w:line="276" w:lineRule="auto"/>
                        <w:ind w:left="634" w:firstLine="0"/>
                        <w:rPr>
                          <w:color w:val="0D0D0D"/>
                          <w:sz w:val="24"/>
                          <w:u w:color="0D0D0D"/>
                          <w:lang w:val="pt-BR"/>
                        </w:rPr>
                      </w:pPr>
                      <w:r w:rsidRPr="00A950E0">
                        <w:rPr>
                          <w:color w:val="0D0D0D"/>
                          <w:sz w:val="24"/>
                          <w:u w:color="0D0D0D"/>
                          <w:lang w:val="pt-BR"/>
                        </w:rPr>
                        <w:t>DENISE PERES CRISPIM, EDUARDO COLLEN LEITE E OUTROS</w:t>
                      </w:r>
                    </w:p>
                    <w:p w14:paraId="07386F49" w14:textId="77777777" w:rsidR="00DA5DAC" w:rsidRPr="00A950E0" w:rsidRDefault="00DA5DAC" w:rsidP="007C2EFF">
                      <w:pPr>
                        <w:pStyle w:val="Body"/>
                        <w:spacing w:line="276" w:lineRule="auto"/>
                        <w:rPr>
                          <w:sz w:val="24"/>
                          <w:lang w:val="pt-BR"/>
                        </w:rPr>
                      </w:pPr>
                      <w:r w:rsidRPr="00A950E0">
                        <w:rPr>
                          <w:color w:val="0D0D0D"/>
                          <w:sz w:val="24"/>
                          <w:u w:color="0D0D0D"/>
                          <w:lang w:val="pt-BR"/>
                        </w:rPr>
                        <w:t>BRASIL</w:t>
                      </w:r>
                    </w:p>
                  </w:txbxContent>
                </v:textbox>
                <w10:wrap anchory="line"/>
              </v:rect>
            </w:pict>
          </mc:Fallback>
        </mc:AlternateContent>
      </w:r>
    </w:p>
    <w:p w14:paraId="51CB0EFF" w14:textId="77777777" w:rsidR="007C2EFF" w:rsidRPr="00C62DF2" w:rsidRDefault="007C2EFF" w:rsidP="00FC0CB6">
      <w:pPr>
        <w:pStyle w:val="Body"/>
        <w:suppressAutoHyphens/>
        <w:ind w:firstLine="0"/>
        <w:rPr>
          <w:lang w:val="pt-BR"/>
        </w:rPr>
      </w:pPr>
      <w:r w:rsidRPr="00C62DF2">
        <w:rPr>
          <w:noProof/>
          <w:lang w:val="pt-BR" w:eastAsia="en-US"/>
        </w:rPr>
        <mc:AlternateContent>
          <mc:Choice Requires="wps">
            <w:drawing>
              <wp:anchor distT="0" distB="0" distL="0" distR="0" simplePos="0" relativeHeight="251662336" behindDoc="0" locked="0" layoutInCell="1" allowOverlap="1" wp14:anchorId="26494D71" wp14:editId="652CB154">
                <wp:simplePos x="0" y="0"/>
                <wp:positionH relativeFrom="column">
                  <wp:posOffset>-482930</wp:posOffset>
                </wp:positionH>
                <wp:positionV relativeFrom="line">
                  <wp:posOffset>73127</wp:posOffset>
                </wp:positionV>
                <wp:extent cx="1601470" cy="137477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601470" cy="1374775"/>
                        </a:xfrm>
                        <a:prstGeom prst="rect">
                          <a:avLst/>
                        </a:prstGeom>
                        <a:noFill/>
                        <a:ln w="12700" cap="flat">
                          <a:noFill/>
                          <a:miter lim="400000"/>
                        </a:ln>
                        <a:effectLst/>
                      </wps:spPr>
                      <wps:txbx>
                        <w:txbxContent>
                          <w:p w14:paraId="1DE3C7CA" w14:textId="2A39C131" w:rsidR="00DA5DAC" w:rsidRPr="00F12D3B" w:rsidRDefault="00DA5DAC" w:rsidP="007C2EFF">
                            <w:pPr>
                              <w:pStyle w:val="Body"/>
                              <w:spacing w:line="276" w:lineRule="auto"/>
                              <w:jc w:val="right"/>
                              <w:rPr>
                                <w:rFonts w:ascii="Calibri" w:eastAsia="Calibri" w:hAnsi="Calibri" w:cs="Calibri"/>
                                <w:color w:val="auto"/>
                                <w:szCs w:val="22"/>
                                <w:u w:color="FFFFFF"/>
                                <w:lang w:val="pt-BR"/>
                              </w:rPr>
                            </w:pPr>
                            <w:r w:rsidRPr="00F12D3B">
                              <w:rPr>
                                <w:rFonts w:ascii="Calibri" w:eastAsia="Calibri" w:hAnsi="Calibri" w:cs="Calibri"/>
                                <w:color w:val="auto"/>
                                <w:szCs w:val="22"/>
                                <w:u w:color="FFFFFF"/>
                                <w:lang w:val="pt-BR"/>
                              </w:rPr>
                              <w:t>OEA/Ser.L/V/II</w:t>
                            </w:r>
                          </w:p>
                          <w:p w14:paraId="46745C49" w14:textId="77777777" w:rsidR="00DA5DAC" w:rsidRPr="00F12D3B" w:rsidRDefault="00DA5DAC" w:rsidP="007C2EFF">
                            <w:pPr>
                              <w:pStyle w:val="Body"/>
                              <w:spacing w:line="276" w:lineRule="auto"/>
                              <w:jc w:val="right"/>
                              <w:rPr>
                                <w:rFonts w:ascii="Calibri" w:eastAsia="Calibri" w:hAnsi="Calibri" w:cs="Calibri"/>
                                <w:color w:val="auto"/>
                                <w:szCs w:val="22"/>
                                <w:u w:color="FFFFFF"/>
                                <w:lang w:val="pt-BR"/>
                              </w:rPr>
                            </w:pPr>
                            <w:r w:rsidRPr="00F12D3B">
                              <w:rPr>
                                <w:rFonts w:ascii="Calibri" w:eastAsia="Calibri" w:hAnsi="Calibri" w:cs="Calibri"/>
                                <w:color w:val="auto"/>
                                <w:szCs w:val="22"/>
                                <w:u w:color="FFFFFF"/>
                                <w:lang w:val="pt-BR"/>
                              </w:rPr>
                              <w:t>Doc. 273</w:t>
                            </w:r>
                          </w:p>
                          <w:p w14:paraId="7905366E" w14:textId="31ACF68F" w:rsidR="00DA5DAC" w:rsidRPr="00F12D3B" w:rsidRDefault="00DA5DAC" w:rsidP="007C2EFF">
                            <w:pPr>
                              <w:pStyle w:val="Body"/>
                              <w:spacing w:line="276" w:lineRule="auto"/>
                              <w:jc w:val="right"/>
                              <w:rPr>
                                <w:rFonts w:ascii="Calibri" w:eastAsia="Calibri" w:hAnsi="Calibri" w:cs="Calibri"/>
                                <w:color w:val="auto"/>
                                <w:szCs w:val="22"/>
                                <w:u w:color="FFFFFF"/>
                                <w:lang w:val="pt-BR"/>
                              </w:rPr>
                            </w:pPr>
                            <w:r w:rsidRPr="00F12D3B">
                              <w:rPr>
                                <w:rFonts w:ascii="Calibri" w:eastAsia="Calibri" w:hAnsi="Calibri" w:cs="Calibri"/>
                                <w:color w:val="auto"/>
                                <w:szCs w:val="22"/>
                                <w:u w:color="FFFFFF"/>
                                <w:lang w:val="pt-BR"/>
                              </w:rPr>
                              <w:t>17 setembro 2021</w:t>
                            </w:r>
                          </w:p>
                          <w:p w14:paraId="580618F7" w14:textId="63182F8C" w:rsidR="00DA5DAC" w:rsidRPr="00F12D3B" w:rsidRDefault="00DA5DAC" w:rsidP="007C2EFF">
                            <w:pPr>
                              <w:pStyle w:val="Body"/>
                              <w:spacing w:line="276" w:lineRule="auto"/>
                              <w:jc w:val="right"/>
                              <w:rPr>
                                <w:color w:val="auto"/>
                                <w:sz w:val="18"/>
                                <w:lang w:val="pt-BR"/>
                              </w:rPr>
                            </w:pPr>
                            <w:r w:rsidRPr="00F12D3B">
                              <w:rPr>
                                <w:rFonts w:ascii="Calibri" w:eastAsia="Calibri" w:hAnsi="Calibri" w:cs="Calibri"/>
                                <w:color w:val="auto"/>
                                <w:szCs w:val="22"/>
                                <w:u w:color="FFFFFF"/>
                                <w:lang w:val="pt-BR"/>
                              </w:rPr>
                              <w:t xml:space="preserve">Original: </w:t>
                            </w:r>
                            <w:r w:rsidR="00AF31EC">
                              <w:rPr>
                                <w:rFonts w:ascii="Calibri" w:eastAsia="Calibri" w:hAnsi="Calibri" w:cs="Calibri"/>
                                <w:color w:val="auto"/>
                                <w:szCs w:val="22"/>
                                <w:u w:color="FFFFFF"/>
                                <w:lang w:val="pt-BR"/>
                              </w:rPr>
                              <w:t>portuguës</w:t>
                            </w:r>
                          </w:p>
                        </w:txbxContent>
                      </wps:txbx>
                      <wps:bodyPr wrap="square" lIns="45719" tIns="45719" rIns="45719" bIns="45719" numCol="1" anchor="t">
                        <a:noAutofit/>
                      </wps:bodyPr>
                    </wps:wsp>
                  </a:graphicData>
                </a:graphic>
                <wp14:sizeRelH relativeFrom="margin">
                  <wp14:pctWidth>0</wp14:pctWidth>
                </wp14:sizeRelH>
              </wp:anchor>
            </w:drawing>
          </mc:Choice>
          <mc:Fallback>
            <w:pict>
              <v:rect w14:anchorId="26494D71" id="_x0000_s1027" style="position:absolute;left:0;text-align:left;margin-left:-38.05pt;margin-top:5.75pt;width:126.1pt;height:108.25pt;z-index:251662336;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" filled="f" stroked="f" strokeweight="1pt">
                <v:stroke miterlimit="4"/>
                <v:textbox inset="1.27mm,1.27mm,1.27mm,1.27mm">
                  <w:txbxContent>
                    <w:p w14:paraId="1DE3C7CA" w14:textId="2A39C131" w:rsidR="00DA5DAC" w:rsidRPr="00F12D3B" w:rsidRDefault="00DA5DAC" w:rsidP="007C2EFF">
                      <w:pPr>
                        <w:pStyle w:val="Body"/>
                        <w:spacing w:line="276" w:lineRule="auto"/>
                        <w:jc w:val="right"/>
                        <w:rPr>
                          <w:rFonts w:ascii="Calibri" w:eastAsia="Calibri" w:hAnsi="Calibri" w:cs="Calibri"/>
                          <w:color w:val="auto"/>
                          <w:szCs w:val="22"/>
                          <w:u w:color="FFFFFF"/>
                          <w:lang w:val="pt-BR"/>
                        </w:rPr>
                      </w:pPr>
                      <w:r w:rsidRPr="00F12D3B">
                        <w:rPr>
                          <w:rFonts w:ascii="Calibri" w:eastAsia="Calibri" w:hAnsi="Calibri" w:cs="Calibri"/>
                          <w:color w:val="auto"/>
                          <w:szCs w:val="22"/>
                          <w:u w:color="FFFFFF"/>
                          <w:lang w:val="pt-BR"/>
                        </w:rPr>
                        <w:t>OEA/Ser.L/V/II</w:t>
                      </w:r>
                    </w:p>
                    <w:p w14:paraId="46745C49" w14:textId="77777777" w:rsidR="00DA5DAC" w:rsidRPr="00F12D3B" w:rsidRDefault="00DA5DAC" w:rsidP="007C2EFF">
                      <w:pPr>
                        <w:pStyle w:val="Body"/>
                        <w:spacing w:line="276" w:lineRule="auto"/>
                        <w:jc w:val="right"/>
                        <w:rPr>
                          <w:rFonts w:ascii="Calibri" w:eastAsia="Calibri" w:hAnsi="Calibri" w:cs="Calibri"/>
                          <w:color w:val="auto"/>
                          <w:szCs w:val="22"/>
                          <w:u w:color="FFFFFF"/>
                          <w:lang w:val="pt-BR"/>
                        </w:rPr>
                      </w:pPr>
                      <w:r w:rsidRPr="00F12D3B">
                        <w:rPr>
                          <w:rFonts w:ascii="Calibri" w:eastAsia="Calibri" w:hAnsi="Calibri" w:cs="Calibri"/>
                          <w:color w:val="auto"/>
                          <w:szCs w:val="22"/>
                          <w:u w:color="FFFFFF"/>
                          <w:lang w:val="pt-BR"/>
                        </w:rPr>
                        <w:t>Doc. 273</w:t>
                      </w:r>
                    </w:p>
                    <w:p w14:paraId="7905366E" w14:textId="31ACF68F" w:rsidR="00DA5DAC" w:rsidRPr="00F12D3B" w:rsidRDefault="00DA5DAC" w:rsidP="007C2EFF">
                      <w:pPr>
                        <w:pStyle w:val="Body"/>
                        <w:spacing w:line="276" w:lineRule="auto"/>
                        <w:jc w:val="right"/>
                        <w:rPr>
                          <w:rFonts w:ascii="Calibri" w:eastAsia="Calibri" w:hAnsi="Calibri" w:cs="Calibri"/>
                          <w:color w:val="auto"/>
                          <w:szCs w:val="22"/>
                          <w:u w:color="FFFFFF"/>
                          <w:lang w:val="pt-BR"/>
                        </w:rPr>
                      </w:pPr>
                      <w:r w:rsidRPr="00F12D3B">
                        <w:rPr>
                          <w:rFonts w:ascii="Calibri" w:eastAsia="Calibri" w:hAnsi="Calibri" w:cs="Calibri"/>
                          <w:color w:val="auto"/>
                          <w:szCs w:val="22"/>
                          <w:u w:color="FFFFFF"/>
                          <w:lang w:val="pt-BR"/>
                        </w:rPr>
                        <w:t>17 setembro 2021</w:t>
                      </w:r>
                    </w:p>
                    <w:p w14:paraId="580618F7" w14:textId="63182F8C" w:rsidR="00DA5DAC" w:rsidRPr="00F12D3B" w:rsidRDefault="00DA5DAC" w:rsidP="007C2EFF">
                      <w:pPr>
                        <w:pStyle w:val="Body"/>
                        <w:spacing w:line="276" w:lineRule="auto"/>
                        <w:jc w:val="right"/>
                        <w:rPr>
                          <w:color w:val="auto"/>
                          <w:sz w:val="18"/>
                          <w:lang w:val="pt-BR"/>
                        </w:rPr>
                      </w:pPr>
                      <w:r w:rsidRPr="00F12D3B">
                        <w:rPr>
                          <w:rFonts w:ascii="Calibri" w:eastAsia="Calibri" w:hAnsi="Calibri" w:cs="Calibri"/>
                          <w:color w:val="auto"/>
                          <w:szCs w:val="22"/>
                          <w:u w:color="FFFFFF"/>
                          <w:lang w:val="pt-BR"/>
                        </w:rPr>
                        <w:t xml:space="preserve">Original: </w:t>
                      </w:r>
                      <w:r w:rsidR="00AF31EC">
                        <w:rPr>
                          <w:rFonts w:ascii="Calibri" w:eastAsia="Calibri" w:hAnsi="Calibri" w:cs="Calibri"/>
                          <w:color w:val="auto"/>
                          <w:szCs w:val="22"/>
                          <w:u w:color="FFFFFF"/>
                          <w:lang w:val="pt-BR"/>
                        </w:rPr>
                        <w:t>portuguës</w:t>
                      </w:r>
                    </w:p>
                  </w:txbxContent>
                </v:textbox>
                <w10:wrap anchory="line"/>
              </v:rect>
            </w:pict>
          </mc:Fallback>
        </mc:AlternateContent>
      </w:r>
    </w:p>
    <w:p w14:paraId="760B3D41" w14:textId="77777777" w:rsidR="007C2EFF" w:rsidRPr="00C62DF2" w:rsidRDefault="007C2EFF" w:rsidP="00FC0CB6">
      <w:pPr>
        <w:pStyle w:val="Body"/>
        <w:suppressAutoHyphens/>
        <w:ind w:firstLine="0"/>
        <w:rPr>
          <w:lang w:val="pt-BR"/>
        </w:rPr>
      </w:pPr>
    </w:p>
    <w:p w14:paraId="2839D7AF" w14:textId="77777777" w:rsidR="007C2EFF" w:rsidRPr="00C62DF2" w:rsidRDefault="007C2EFF" w:rsidP="00FC0CB6">
      <w:pPr>
        <w:pStyle w:val="Body"/>
        <w:suppressAutoHyphens/>
        <w:ind w:firstLine="0"/>
        <w:rPr>
          <w:lang w:val="pt-BR"/>
        </w:rPr>
      </w:pPr>
    </w:p>
    <w:p w14:paraId="4E140BCC" w14:textId="77777777" w:rsidR="007C2EFF" w:rsidRPr="00C62DF2" w:rsidRDefault="007C2EFF" w:rsidP="00FC0CB6">
      <w:pPr>
        <w:pStyle w:val="Body"/>
        <w:suppressAutoHyphens/>
        <w:ind w:firstLine="0"/>
        <w:rPr>
          <w:lang w:val="pt-BR"/>
        </w:rPr>
      </w:pPr>
    </w:p>
    <w:p w14:paraId="721565ED" w14:textId="77777777" w:rsidR="007C2EFF" w:rsidRPr="00C62DF2" w:rsidRDefault="007C2EFF" w:rsidP="00FC0CB6">
      <w:pPr>
        <w:pStyle w:val="Body"/>
        <w:suppressAutoHyphens/>
        <w:ind w:firstLine="0"/>
        <w:rPr>
          <w:lang w:val="pt-BR"/>
        </w:rPr>
      </w:pPr>
    </w:p>
    <w:p w14:paraId="39F4269D" w14:textId="77777777" w:rsidR="007C2EFF" w:rsidRPr="00C62DF2" w:rsidRDefault="007C2EFF" w:rsidP="00FC0CB6">
      <w:pPr>
        <w:pStyle w:val="Body"/>
        <w:suppressAutoHyphens/>
        <w:ind w:firstLine="0"/>
        <w:rPr>
          <w:lang w:val="pt-BR"/>
        </w:rPr>
      </w:pPr>
    </w:p>
    <w:p w14:paraId="667A3611" w14:textId="77777777" w:rsidR="007C2EFF" w:rsidRPr="00C62DF2" w:rsidRDefault="007C2EFF" w:rsidP="00FC0CB6">
      <w:pPr>
        <w:pStyle w:val="Body"/>
        <w:suppressAutoHyphens/>
        <w:ind w:firstLine="0"/>
        <w:rPr>
          <w:lang w:val="pt-BR"/>
        </w:rPr>
      </w:pPr>
    </w:p>
    <w:p w14:paraId="79790CA1" w14:textId="77777777" w:rsidR="007C2EFF" w:rsidRPr="00C62DF2" w:rsidRDefault="007C2EFF" w:rsidP="00FC0CB6">
      <w:pPr>
        <w:pStyle w:val="Body"/>
        <w:suppressAutoHyphens/>
        <w:ind w:firstLine="0"/>
        <w:rPr>
          <w:lang w:val="pt-BR"/>
        </w:rPr>
      </w:pPr>
    </w:p>
    <w:p w14:paraId="33E67041" w14:textId="77777777" w:rsidR="007C2EFF" w:rsidRPr="00C62DF2" w:rsidRDefault="007C2EFF" w:rsidP="00FC0CB6">
      <w:pPr>
        <w:pStyle w:val="Body"/>
        <w:suppressAutoHyphens/>
        <w:ind w:firstLine="0"/>
        <w:rPr>
          <w:lang w:val="pt-BR"/>
        </w:rPr>
      </w:pPr>
    </w:p>
    <w:p w14:paraId="2A6D3984" w14:textId="77777777" w:rsidR="007C2EFF" w:rsidRPr="00C62DF2" w:rsidRDefault="007C2EFF" w:rsidP="00FC0CB6">
      <w:pPr>
        <w:pStyle w:val="Body"/>
        <w:suppressAutoHyphens/>
        <w:ind w:firstLine="0"/>
        <w:rPr>
          <w:lang w:val="pt-BR"/>
        </w:rPr>
      </w:pPr>
    </w:p>
    <w:p w14:paraId="3B4456DE" w14:textId="77777777" w:rsidR="007C2EFF" w:rsidRPr="00C62DF2" w:rsidRDefault="007C2EFF" w:rsidP="00FC0CB6">
      <w:pPr>
        <w:pStyle w:val="Body"/>
        <w:suppressAutoHyphens/>
        <w:ind w:firstLine="0"/>
        <w:rPr>
          <w:lang w:val="pt-BR"/>
        </w:rPr>
      </w:pPr>
    </w:p>
    <w:p w14:paraId="47C55B4A" w14:textId="77777777" w:rsidR="007C2EFF" w:rsidRPr="00C62DF2" w:rsidRDefault="007C2EFF" w:rsidP="00FC0CB6">
      <w:pPr>
        <w:pStyle w:val="Body"/>
        <w:suppressAutoHyphens/>
        <w:ind w:firstLine="0"/>
        <w:rPr>
          <w:lang w:val="pt-BR"/>
        </w:rPr>
      </w:pPr>
    </w:p>
    <w:p w14:paraId="794BFB26" w14:textId="77777777" w:rsidR="007C2EFF" w:rsidRPr="00C62DF2" w:rsidRDefault="007C2EFF" w:rsidP="00FC0CB6">
      <w:pPr>
        <w:pStyle w:val="Body"/>
        <w:suppressAutoHyphens/>
        <w:ind w:firstLine="0"/>
        <w:rPr>
          <w:lang w:val="pt-BR"/>
        </w:rPr>
      </w:pPr>
    </w:p>
    <w:p w14:paraId="72EED5C4" w14:textId="77777777" w:rsidR="007C2EFF" w:rsidRPr="00C62DF2" w:rsidRDefault="007C2EFF" w:rsidP="00FC0CB6">
      <w:pPr>
        <w:pStyle w:val="Body"/>
        <w:suppressAutoHyphens/>
        <w:ind w:firstLine="0"/>
        <w:rPr>
          <w:lang w:val="pt-BR"/>
        </w:rPr>
      </w:pPr>
    </w:p>
    <w:p w14:paraId="4F8BAEDF" w14:textId="77777777" w:rsidR="007C2EFF" w:rsidRPr="00C62DF2" w:rsidRDefault="007C2EFF" w:rsidP="00FC0CB6">
      <w:pPr>
        <w:pStyle w:val="Body"/>
        <w:suppressAutoHyphens/>
        <w:ind w:firstLine="0"/>
        <w:rPr>
          <w:lang w:val="pt-BR"/>
        </w:rPr>
      </w:pPr>
    </w:p>
    <w:p w14:paraId="3CC085CA" w14:textId="77777777" w:rsidR="007C2EFF" w:rsidRPr="00C62DF2" w:rsidRDefault="007C2EFF" w:rsidP="00FC0CB6">
      <w:pPr>
        <w:pStyle w:val="Body"/>
        <w:suppressAutoHyphens/>
        <w:ind w:firstLine="0"/>
        <w:rPr>
          <w:lang w:val="pt-BR"/>
        </w:rPr>
      </w:pPr>
    </w:p>
    <w:p w14:paraId="40D97BFC" w14:textId="77777777" w:rsidR="007C2EFF" w:rsidRPr="00C62DF2" w:rsidRDefault="007C2EFF" w:rsidP="00FC0CB6">
      <w:pPr>
        <w:pStyle w:val="Body"/>
        <w:suppressAutoHyphens/>
        <w:ind w:firstLine="0"/>
        <w:rPr>
          <w:lang w:val="pt-BR"/>
        </w:rPr>
      </w:pPr>
    </w:p>
    <w:p w14:paraId="72765812" w14:textId="77777777" w:rsidR="007C2EFF" w:rsidRPr="00C62DF2" w:rsidRDefault="007C2EFF" w:rsidP="00FC0CB6">
      <w:pPr>
        <w:pStyle w:val="Body"/>
        <w:suppressAutoHyphens/>
        <w:ind w:firstLine="0"/>
        <w:rPr>
          <w:lang w:val="pt-BR"/>
        </w:rPr>
      </w:pPr>
    </w:p>
    <w:p w14:paraId="411DAF76" w14:textId="77777777" w:rsidR="007C2EFF" w:rsidRPr="00C62DF2" w:rsidRDefault="007C2EFF" w:rsidP="00FC0CB6">
      <w:pPr>
        <w:pStyle w:val="Body"/>
        <w:suppressAutoHyphens/>
        <w:ind w:firstLine="0"/>
        <w:rPr>
          <w:lang w:val="pt-BR"/>
        </w:rPr>
      </w:pPr>
    </w:p>
    <w:p w14:paraId="2AE124B3" w14:textId="77777777" w:rsidR="007C2EFF" w:rsidRPr="00C62DF2" w:rsidRDefault="007C2EFF" w:rsidP="00FC0CB6">
      <w:pPr>
        <w:pStyle w:val="Body"/>
        <w:suppressAutoHyphens/>
        <w:ind w:firstLine="0"/>
        <w:rPr>
          <w:lang w:val="pt-BR"/>
        </w:rPr>
      </w:pPr>
    </w:p>
    <w:p w14:paraId="1A49B0E9" w14:textId="77777777" w:rsidR="007C2EFF" w:rsidRPr="00C62DF2" w:rsidRDefault="007C2EFF" w:rsidP="00FC0CB6">
      <w:pPr>
        <w:pStyle w:val="Body"/>
        <w:suppressAutoHyphens/>
        <w:ind w:firstLine="0"/>
        <w:rPr>
          <w:lang w:val="pt-BR"/>
        </w:rPr>
      </w:pPr>
    </w:p>
    <w:p w14:paraId="181491DF" w14:textId="77777777" w:rsidR="007C2EFF" w:rsidRPr="00C62DF2" w:rsidRDefault="007C2EFF" w:rsidP="00FC0CB6">
      <w:pPr>
        <w:pStyle w:val="Body"/>
        <w:suppressAutoHyphens/>
        <w:ind w:firstLine="0"/>
        <w:rPr>
          <w:lang w:val="pt-BR"/>
        </w:rPr>
      </w:pPr>
    </w:p>
    <w:p w14:paraId="682CC677" w14:textId="77777777" w:rsidR="007C2EFF" w:rsidRPr="00C62DF2" w:rsidRDefault="007C2EFF" w:rsidP="00FC0CB6">
      <w:pPr>
        <w:pStyle w:val="Body"/>
        <w:suppressAutoHyphens/>
        <w:ind w:firstLine="0"/>
        <w:rPr>
          <w:lang w:val="pt-BR"/>
        </w:rPr>
      </w:pPr>
    </w:p>
    <w:p w14:paraId="18C6B4C0" w14:textId="77777777" w:rsidR="007C2EFF" w:rsidRPr="00C62DF2" w:rsidRDefault="007C2EFF" w:rsidP="00FC0CB6">
      <w:pPr>
        <w:pStyle w:val="Body"/>
        <w:suppressAutoHyphens/>
        <w:ind w:firstLine="0"/>
        <w:rPr>
          <w:lang w:val="pt-BR"/>
        </w:rPr>
      </w:pPr>
    </w:p>
    <w:p w14:paraId="1A10E459" w14:textId="77777777" w:rsidR="007C2EFF" w:rsidRPr="00C62DF2" w:rsidRDefault="007C2EFF" w:rsidP="00FC0CB6">
      <w:pPr>
        <w:pStyle w:val="Body"/>
        <w:suppressAutoHyphens/>
        <w:ind w:firstLine="0"/>
        <w:rPr>
          <w:lang w:val="pt-BR"/>
        </w:rPr>
      </w:pPr>
    </w:p>
    <w:p w14:paraId="1514DF76" w14:textId="77777777" w:rsidR="007C2EFF" w:rsidRPr="00C62DF2" w:rsidRDefault="007C2EFF" w:rsidP="00FC0CB6">
      <w:pPr>
        <w:pStyle w:val="Body"/>
        <w:suppressAutoHyphens/>
        <w:ind w:firstLine="0"/>
        <w:rPr>
          <w:lang w:val="pt-BR"/>
        </w:rPr>
      </w:pPr>
    </w:p>
    <w:p w14:paraId="5CCD5D06" w14:textId="77777777" w:rsidR="007C2EFF" w:rsidRPr="00C62DF2" w:rsidRDefault="007C2EFF" w:rsidP="00FC0CB6">
      <w:pPr>
        <w:pStyle w:val="Body"/>
        <w:suppressAutoHyphens/>
        <w:ind w:firstLine="0"/>
        <w:rPr>
          <w:lang w:val="pt-BR"/>
        </w:rPr>
      </w:pPr>
    </w:p>
    <w:p w14:paraId="4D76A0FF" w14:textId="77777777" w:rsidR="007C2EFF" w:rsidRPr="00C62DF2" w:rsidRDefault="007C2EFF" w:rsidP="00FC0CB6">
      <w:pPr>
        <w:pStyle w:val="Body"/>
        <w:suppressAutoHyphens/>
        <w:ind w:firstLine="0"/>
        <w:rPr>
          <w:lang w:val="pt-BR"/>
        </w:rPr>
      </w:pPr>
    </w:p>
    <w:p w14:paraId="5B0B2D1A" w14:textId="77777777" w:rsidR="007C2EFF" w:rsidRPr="00C62DF2" w:rsidRDefault="007C2EFF" w:rsidP="00FC0CB6">
      <w:pPr>
        <w:pStyle w:val="Body"/>
        <w:suppressAutoHyphens/>
        <w:ind w:firstLine="0"/>
        <w:rPr>
          <w:lang w:val="pt-BR"/>
        </w:rPr>
      </w:pPr>
      <w:r w:rsidRPr="00C62DF2">
        <w:rPr>
          <w:noProof/>
          <w:lang w:val="pt-BR" w:eastAsia="en-US"/>
        </w:rPr>
        <mc:AlternateContent>
          <mc:Choice Requires="wps">
            <w:drawing>
              <wp:anchor distT="0" distB="0" distL="0" distR="0" simplePos="0" relativeHeight="251661312" behindDoc="0" locked="0" layoutInCell="1" allowOverlap="1" wp14:anchorId="7E9BD614" wp14:editId="3B70B30E">
                <wp:simplePos x="0" y="0"/>
                <wp:positionH relativeFrom="column">
                  <wp:posOffset>1152630</wp:posOffset>
                </wp:positionH>
                <wp:positionV relativeFrom="line">
                  <wp:posOffset>22225</wp:posOffset>
                </wp:positionV>
                <wp:extent cx="4933950" cy="664846"/>
                <wp:effectExtent l="0" t="0" r="0" b="1905"/>
                <wp:wrapNone/>
                <wp:docPr id="1073741831" name="officeArt object"/>
                <wp:cNvGraphicFramePr/>
                <a:graphic xmlns:a="http://schemas.openxmlformats.org/drawingml/2006/main">
                  <a:graphicData uri="http://schemas.microsoft.com/office/word/2010/wordprocessingShape">
                    <wps:wsp>
                      <wps:cNvSpPr/>
                      <wps:spPr>
                        <a:xfrm>
                          <a:off x="0" y="0"/>
                          <a:ext cx="4933950" cy="664846"/>
                        </a:xfrm>
                        <a:prstGeom prst="rect">
                          <a:avLst/>
                        </a:prstGeom>
                        <a:noFill/>
                        <a:ln w="12700" cap="flat">
                          <a:noFill/>
                          <a:miter lim="400000"/>
                        </a:ln>
                        <a:effectLst/>
                      </wps:spPr>
                      <wps:txbx>
                        <w:txbxContent>
                          <w:p w14:paraId="66E25B78" w14:textId="77777777" w:rsidR="00DA5DAC" w:rsidRPr="00A950E0" w:rsidRDefault="00DA5DAC" w:rsidP="007C2EFF">
                            <w:pPr>
                              <w:pStyle w:val="Body"/>
                              <w:tabs>
                                <w:tab w:val="center" w:pos="5400"/>
                              </w:tabs>
                              <w:ind w:firstLine="0"/>
                              <w:rPr>
                                <w:color w:val="0D0D0D"/>
                                <w:sz w:val="18"/>
                                <w:szCs w:val="18"/>
                                <w:u w:color="0D0D0D"/>
                                <w:lang w:val="pt-BR"/>
                              </w:rPr>
                            </w:pPr>
                            <w:r w:rsidRPr="00A950E0">
                              <w:rPr>
                                <w:color w:val="0D0D0D"/>
                                <w:sz w:val="18"/>
                                <w:szCs w:val="18"/>
                                <w:u w:color="0D0D0D"/>
                                <w:lang w:val="pt-BR"/>
                              </w:rPr>
                              <w:t>Aprovado pela Comissão eletronicamente em 17 de setembro de 2021</w:t>
                            </w:r>
                          </w:p>
                        </w:txbxContent>
                      </wps:txbx>
                      <wps:bodyPr wrap="square" lIns="45719" tIns="45719" rIns="45719" bIns="45719" numCol="1" anchor="t">
                        <a:noAutofit/>
                      </wps:bodyPr>
                    </wps:wsp>
                  </a:graphicData>
                </a:graphic>
              </wp:anchor>
            </w:drawing>
          </mc:Choice>
          <mc:Fallback>
            <w:pict>
              <v:rect w14:anchorId="7E9BD614" id="_x0000_s1028" style="position:absolute;left:0;text-align:left;margin-left:90.75pt;margin-top:1.75pt;width:388.5pt;height:52.3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" filled="f" stroked="f" strokeweight="1pt">
                <v:stroke miterlimit="4"/>
                <v:textbox inset="1.27mm,1.27mm,1.27mm,1.27mm">
                  <w:txbxContent>
                    <w:p w14:paraId="66E25B78" w14:textId="77777777" w:rsidR="00DA5DAC" w:rsidRPr="00A950E0" w:rsidRDefault="00DA5DAC" w:rsidP="007C2EFF">
                      <w:pPr>
                        <w:pStyle w:val="Body"/>
                        <w:tabs>
                          <w:tab w:val="center" w:pos="5400"/>
                        </w:tabs>
                        <w:ind w:firstLine="0"/>
                        <w:rPr>
                          <w:color w:val="0D0D0D"/>
                          <w:sz w:val="18"/>
                          <w:szCs w:val="18"/>
                          <w:u w:color="0D0D0D"/>
                          <w:lang w:val="pt-BR"/>
                        </w:rPr>
                      </w:pPr>
                      <w:r w:rsidRPr="00A950E0">
                        <w:rPr>
                          <w:color w:val="0D0D0D"/>
                          <w:sz w:val="18"/>
                          <w:szCs w:val="18"/>
                          <w:u w:color="0D0D0D"/>
                          <w:lang w:val="pt-BR"/>
                        </w:rPr>
                        <w:t>Aprovado pela Comissão eletronicamente em 17 de setembro de 2021</w:t>
                      </w:r>
                    </w:p>
                  </w:txbxContent>
                </v:textbox>
                <w10:wrap anchory="line"/>
              </v:rect>
            </w:pict>
          </mc:Fallback>
        </mc:AlternateContent>
      </w:r>
    </w:p>
    <w:p w14:paraId="56CE2FD0" w14:textId="77777777" w:rsidR="007C2EFF" w:rsidRPr="00C62DF2" w:rsidRDefault="007C2EFF" w:rsidP="00FC0CB6">
      <w:pPr>
        <w:pStyle w:val="Body"/>
        <w:suppressAutoHyphens/>
        <w:ind w:firstLine="0"/>
        <w:rPr>
          <w:lang w:val="pt-BR"/>
        </w:rPr>
      </w:pPr>
    </w:p>
    <w:p w14:paraId="3F0D1195" w14:textId="77777777" w:rsidR="007C2EFF" w:rsidRPr="00C62DF2" w:rsidRDefault="007C2EFF" w:rsidP="00FC0CB6">
      <w:pPr>
        <w:pStyle w:val="Body"/>
        <w:suppressAutoHyphens/>
        <w:ind w:firstLine="0"/>
        <w:rPr>
          <w:lang w:val="pt-BR"/>
        </w:rPr>
      </w:pPr>
    </w:p>
    <w:p w14:paraId="736864DB" w14:textId="77777777" w:rsidR="007C2EFF" w:rsidRPr="00C62DF2" w:rsidRDefault="007C2EFF" w:rsidP="00FC0CB6">
      <w:pPr>
        <w:pStyle w:val="Body"/>
        <w:suppressAutoHyphens/>
        <w:ind w:firstLine="0"/>
        <w:rPr>
          <w:lang w:val="pt-BR"/>
        </w:rPr>
      </w:pPr>
    </w:p>
    <w:p w14:paraId="06F21CB3" w14:textId="77777777" w:rsidR="007C2EFF" w:rsidRPr="00C62DF2" w:rsidRDefault="007C2EFF" w:rsidP="00FC0CB6">
      <w:pPr>
        <w:pStyle w:val="Body"/>
        <w:suppressAutoHyphens/>
        <w:ind w:firstLine="0"/>
        <w:rPr>
          <w:lang w:val="pt-BR"/>
        </w:rPr>
      </w:pPr>
    </w:p>
    <w:p w14:paraId="1143AB50" w14:textId="0863B943" w:rsidR="007C2EFF" w:rsidRPr="00C62DF2" w:rsidRDefault="00AF31EC" w:rsidP="00FC0CB6">
      <w:pPr>
        <w:pStyle w:val="Body"/>
        <w:suppressAutoHyphens/>
        <w:ind w:firstLine="0"/>
        <w:rPr>
          <w:lang w:val="pt-BR"/>
        </w:rPr>
      </w:pPr>
      <w:r w:rsidRPr="00C62DF2">
        <w:rPr>
          <w:noProof/>
          <w:lang w:val="pt-BR" w:eastAsia="en-US"/>
        </w:rPr>
        <mc:AlternateContent>
          <mc:Choice Requires="wps">
            <w:drawing>
              <wp:anchor distT="0" distB="0" distL="0" distR="0" simplePos="0" relativeHeight="251663360" behindDoc="0" locked="0" layoutInCell="1" allowOverlap="1" wp14:anchorId="6D91E83D" wp14:editId="68A450EC">
                <wp:simplePos x="0" y="0"/>
                <wp:positionH relativeFrom="column">
                  <wp:posOffset>1182426</wp:posOffset>
                </wp:positionH>
                <wp:positionV relativeFrom="line">
                  <wp:posOffset>5080</wp:posOffset>
                </wp:positionV>
                <wp:extent cx="4943475" cy="65722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943475" cy="657225"/>
                        </a:xfrm>
                        <a:prstGeom prst="rect">
                          <a:avLst/>
                        </a:prstGeom>
                        <a:noFill/>
                        <a:ln w="12700" cap="flat">
                          <a:noFill/>
                          <a:miter lim="400000"/>
                        </a:ln>
                        <a:effectLst/>
                      </wps:spPr>
                      <wps:txbx>
                        <w:txbxContent>
                          <w:p w14:paraId="555B2B07" w14:textId="7407DCE2" w:rsidR="00DA5DAC" w:rsidRDefault="00DA5DAC" w:rsidP="007C2EFF">
                            <w:pPr>
                              <w:pStyle w:val="Body"/>
                              <w:ind w:firstLine="0"/>
                            </w:pPr>
                            <w:r w:rsidRPr="001B27ED">
                              <w:rPr>
                                <w:b/>
                                <w:bCs/>
                                <w:color w:val="595959"/>
                                <w:sz w:val="18"/>
                                <w:szCs w:val="18"/>
                                <w:u w:color="595959"/>
                                <w:lang w:val="pt-BR"/>
                              </w:rPr>
                              <w:t>Citar como:</w:t>
                            </w:r>
                            <w:r w:rsidRPr="001B27ED">
                              <w:rPr>
                                <w:color w:val="595959"/>
                                <w:sz w:val="18"/>
                                <w:szCs w:val="18"/>
                                <w:u w:color="595959"/>
                                <w:lang w:val="pt-BR"/>
                              </w:rPr>
                              <w:t xml:space="preserve"> </w:t>
                            </w:r>
                            <w:r>
                              <w:rPr>
                                <w:color w:val="595959"/>
                                <w:sz w:val="18"/>
                                <w:szCs w:val="18"/>
                                <w:u w:color="595959"/>
                                <w:lang w:val="pt-BR"/>
                              </w:rPr>
                              <w:t xml:space="preserve">CIDH. </w:t>
                            </w:r>
                            <w:r w:rsidR="00566CD5">
                              <w:rPr>
                                <w:color w:val="595959"/>
                                <w:sz w:val="18"/>
                                <w:szCs w:val="18"/>
                                <w:u w:color="595959"/>
                                <w:lang w:val="pt-BR"/>
                              </w:rPr>
                              <w:t>Relatório</w:t>
                            </w:r>
                            <w:r>
                              <w:rPr>
                                <w:color w:val="595959"/>
                                <w:sz w:val="18"/>
                                <w:szCs w:val="18"/>
                                <w:u w:color="595959"/>
                                <w:lang w:val="pt-BR"/>
                              </w:rPr>
                              <w:t xml:space="preserve"> Nº 265/21. </w:t>
                            </w:r>
                            <w:r w:rsidR="00884749">
                              <w:rPr>
                                <w:color w:val="595959"/>
                                <w:sz w:val="18"/>
                                <w:szCs w:val="18"/>
                                <w:u w:color="595959"/>
                                <w:lang w:val="pt-BR"/>
                              </w:rPr>
                              <w:t>Mérito</w:t>
                            </w:r>
                            <w:r>
                              <w:rPr>
                                <w:color w:val="595959"/>
                                <w:sz w:val="18"/>
                                <w:szCs w:val="18"/>
                                <w:u w:color="595959"/>
                                <w:lang w:val="pt-BR"/>
                              </w:rPr>
                              <w:t>. Denise Peres Crispim, Eduardo Collen Leite e outros. Brasil. 17 de setembro de 2021</w:t>
                            </w:r>
                            <w:r>
                              <w:rPr>
                                <w:color w:val="595959"/>
                                <w:sz w:val="18"/>
                                <w:szCs w:val="18"/>
                                <w:u w:color="595959"/>
                                <w:lang w:val="es-ES_tradnl"/>
                              </w:rPr>
                              <w:t>.</w:t>
                            </w:r>
                          </w:p>
                        </w:txbxContent>
                      </wps:txbx>
                      <wps:bodyPr wrap="square" lIns="45719" tIns="45719" rIns="45719" bIns="45719" numCol="1" anchor="t">
                        <a:noAutofit/>
                      </wps:bodyPr>
                    </wps:wsp>
                  </a:graphicData>
                </a:graphic>
              </wp:anchor>
            </w:drawing>
          </mc:Choice>
          <mc:Fallback>
            <w:pict>
              <v:rect w14:anchorId="6D91E83D" id="_x0000_s1029" style="position:absolute;left:0;text-align:left;margin-left:93.1pt;margin-top:.4pt;width:389.25pt;height:51.7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" filled="f" stroked="f" strokeweight="1pt">
                <v:stroke miterlimit="4"/>
                <v:textbox inset="1.27mm,1.27mm,1.27mm,1.27mm">
                  <w:txbxContent>
                    <w:p w14:paraId="555B2B07" w14:textId="7407DCE2" w:rsidR="00DA5DAC" w:rsidRDefault="00DA5DAC" w:rsidP="007C2EFF">
                      <w:pPr>
                        <w:pStyle w:val="Body"/>
                        <w:ind w:firstLine="0"/>
                      </w:pPr>
                      <w:r w:rsidRPr="001B27ED">
                        <w:rPr>
                          <w:b/>
                          <w:bCs/>
                          <w:color w:val="595959"/>
                          <w:sz w:val="18"/>
                          <w:szCs w:val="18"/>
                          <w:u w:color="595959"/>
                          <w:lang w:val="pt-BR"/>
                        </w:rPr>
                        <w:t>Citar como:</w:t>
                      </w:r>
                      <w:r w:rsidRPr="001B27ED">
                        <w:rPr>
                          <w:color w:val="595959"/>
                          <w:sz w:val="18"/>
                          <w:szCs w:val="18"/>
                          <w:u w:color="595959"/>
                          <w:lang w:val="pt-BR"/>
                        </w:rPr>
                        <w:t xml:space="preserve"> </w:t>
                      </w:r>
                      <w:r>
                        <w:rPr>
                          <w:color w:val="595959"/>
                          <w:sz w:val="18"/>
                          <w:szCs w:val="18"/>
                          <w:u w:color="595959"/>
                          <w:lang w:val="pt-BR"/>
                        </w:rPr>
                        <w:t xml:space="preserve">CIDH. </w:t>
                      </w:r>
                      <w:r w:rsidR="00566CD5">
                        <w:rPr>
                          <w:color w:val="595959"/>
                          <w:sz w:val="18"/>
                          <w:szCs w:val="18"/>
                          <w:u w:color="595959"/>
                          <w:lang w:val="pt-BR"/>
                        </w:rPr>
                        <w:t>Relatório</w:t>
                      </w:r>
                      <w:r>
                        <w:rPr>
                          <w:color w:val="595959"/>
                          <w:sz w:val="18"/>
                          <w:szCs w:val="18"/>
                          <w:u w:color="595959"/>
                          <w:lang w:val="pt-BR"/>
                        </w:rPr>
                        <w:t xml:space="preserve"> Nº 265/21. </w:t>
                      </w:r>
                      <w:r w:rsidR="00884749">
                        <w:rPr>
                          <w:color w:val="595959"/>
                          <w:sz w:val="18"/>
                          <w:szCs w:val="18"/>
                          <w:u w:color="595959"/>
                          <w:lang w:val="pt-BR"/>
                        </w:rPr>
                        <w:t>Mérito</w:t>
                      </w:r>
                      <w:r>
                        <w:rPr>
                          <w:color w:val="595959"/>
                          <w:sz w:val="18"/>
                          <w:szCs w:val="18"/>
                          <w:u w:color="595959"/>
                          <w:lang w:val="pt-BR"/>
                        </w:rPr>
                        <w:t>. Denise Peres Crispim, Eduardo Collen Leite e outros. Brasil. 17 de setembro de 2021</w:t>
                      </w:r>
                      <w:r>
                        <w:rPr>
                          <w:color w:val="595959"/>
                          <w:sz w:val="18"/>
                          <w:szCs w:val="18"/>
                          <w:u w:color="595959"/>
                          <w:lang w:val="es-ES_tradnl"/>
                        </w:rPr>
                        <w:t>.</w:t>
                      </w:r>
                    </w:p>
                  </w:txbxContent>
                </v:textbox>
                <w10:wrap anchory="line"/>
              </v:rect>
            </w:pict>
          </mc:Fallback>
        </mc:AlternateContent>
      </w:r>
    </w:p>
    <w:p w14:paraId="6C0FDCF3" w14:textId="788E5BC6" w:rsidR="007C2EFF" w:rsidRPr="00C62DF2" w:rsidRDefault="007C2EFF" w:rsidP="00FC0CB6">
      <w:pPr>
        <w:pStyle w:val="Body"/>
        <w:suppressAutoHyphens/>
        <w:ind w:firstLine="0"/>
        <w:rPr>
          <w:lang w:val="pt-BR"/>
        </w:rPr>
      </w:pPr>
    </w:p>
    <w:p w14:paraId="379C3BA8" w14:textId="77777777" w:rsidR="007C2EFF" w:rsidRPr="00C62DF2" w:rsidRDefault="007C2EFF" w:rsidP="00FC0CB6">
      <w:pPr>
        <w:pStyle w:val="Body"/>
        <w:suppressAutoHyphens/>
        <w:ind w:firstLine="0"/>
        <w:rPr>
          <w:b/>
          <w:bCs/>
          <w:lang w:val="pt-BR"/>
        </w:rPr>
      </w:pPr>
      <w:r w:rsidRPr="00C62DF2">
        <w:rPr>
          <w:noProof/>
          <w:lang w:val="pt-BR" w:eastAsia="en-US"/>
        </w:rPr>
        <mc:AlternateContent>
          <mc:Choice Requires="wps">
            <w:drawing>
              <wp:anchor distT="0" distB="0" distL="0" distR="0" simplePos="0" relativeHeight="251664384" behindDoc="0" locked="0" layoutInCell="1" allowOverlap="1" wp14:anchorId="12DF22EA" wp14:editId="154B151F">
                <wp:simplePos x="0" y="0"/>
                <wp:positionH relativeFrom="column">
                  <wp:posOffset>-419100</wp:posOffset>
                </wp:positionH>
                <wp:positionV relativeFrom="line">
                  <wp:posOffset>686435</wp:posOffset>
                </wp:positionV>
                <wp:extent cx="1543050" cy="332741"/>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1543050" cy="332741"/>
                        </a:xfrm>
                        <a:prstGeom prst="rect">
                          <a:avLst/>
                        </a:prstGeom>
                        <a:noFill/>
                        <a:ln w="12700" cap="flat">
                          <a:noFill/>
                          <a:miter lim="400000"/>
                        </a:ln>
                        <a:effectLst/>
                      </wps:spPr>
                      <wps:txbx>
                        <w:txbxContent>
                          <w:p w14:paraId="67329730" w14:textId="77777777" w:rsidR="00DA5DAC" w:rsidRPr="00F12D3B" w:rsidRDefault="00DA5DAC" w:rsidP="007C2EFF">
                            <w:pPr>
                              <w:pStyle w:val="Body"/>
                              <w:ind w:firstLine="0"/>
                              <w:jc w:val="center"/>
                              <w:rPr>
                                <w:color w:val="auto"/>
                              </w:rPr>
                            </w:pPr>
                            <w:r w:rsidRPr="00F12D3B">
                              <w:rPr>
                                <w:rFonts w:ascii="Calibri" w:eastAsia="Calibri" w:hAnsi="Calibri" w:cs="Calibri"/>
                                <w:b/>
                                <w:bCs/>
                                <w:color w:val="auto"/>
                                <w:u w:color="FFFFFF"/>
                                <w:lang w:val="pt-PT"/>
                              </w:rPr>
                              <w:t>www.cidh.org</w:t>
                            </w:r>
                          </w:p>
                        </w:txbxContent>
                      </wps:txbx>
                      <wps:bodyPr wrap="square" lIns="45719" tIns="45719" rIns="45719" bIns="45719" numCol="1" anchor="t">
                        <a:noAutofit/>
                      </wps:bodyPr>
                    </wps:wsp>
                  </a:graphicData>
                </a:graphic>
                <wp14:sizeRelH relativeFrom="margin">
                  <wp14:pctWidth>0</wp14:pctWidth>
                </wp14:sizeRelH>
              </wp:anchor>
            </w:drawing>
          </mc:Choice>
          <mc:Fallback>
            <w:pict>
              <v:rect w14:anchorId="12DF22EA" id="_x0000_s1030" style="position:absolute;left:0;text-align:left;margin-left:-33pt;margin-top:54.05pt;width:121.5pt;height:26.2pt;z-index:251664384;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" filled="f" stroked="f" strokeweight="1pt">
                <v:stroke miterlimit="4"/>
                <v:textbox inset="1.27mm,1.27mm,1.27mm,1.27mm">
                  <w:txbxContent>
                    <w:p w14:paraId="67329730" w14:textId="77777777" w:rsidR="00DA5DAC" w:rsidRPr="00F12D3B" w:rsidRDefault="00DA5DAC" w:rsidP="007C2EFF">
                      <w:pPr>
                        <w:pStyle w:val="Body"/>
                        <w:ind w:firstLine="0"/>
                        <w:jc w:val="center"/>
                        <w:rPr>
                          <w:color w:val="auto"/>
                        </w:rPr>
                      </w:pPr>
                      <w:r w:rsidRPr="00F12D3B">
                        <w:rPr>
                          <w:rFonts w:ascii="Calibri" w:eastAsia="Calibri" w:hAnsi="Calibri" w:cs="Calibri"/>
                          <w:b/>
                          <w:bCs/>
                          <w:color w:val="auto"/>
                          <w:u w:color="FFFFFF"/>
                          <w:lang w:val="pt-PT"/>
                        </w:rPr>
                        <w:t>www.cidh.org</w:t>
                      </w:r>
                    </w:p>
                  </w:txbxContent>
                </v:textbox>
                <w10:wrap anchory="line"/>
              </v:rect>
            </w:pict>
          </mc:Fallback>
        </mc:AlternateContent>
      </w:r>
    </w:p>
    <w:p w14:paraId="7FA96CBA" w14:textId="4F03742B" w:rsidR="007C2EFF" w:rsidRPr="00C62DF2" w:rsidRDefault="00AF31EC" w:rsidP="00FC0CB6">
      <w:pPr>
        <w:pStyle w:val="Body"/>
        <w:suppressAutoHyphens/>
        <w:ind w:firstLine="0"/>
        <w:rPr>
          <w:lang w:val="pt-BR"/>
        </w:rPr>
        <w:sectPr w:rsidR="007C2EFF" w:rsidRPr="00C62DF2" w:rsidSect="007C2EFF">
          <w:headerReference w:type="default" r:id="rId9"/>
          <w:footerReference w:type="default" r:id="rId10"/>
          <w:footerReference w:type="first" r:id="rId11"/>
          <w:pgSz w:w="12240" w:h="15840"/>
          <w:pgMar w:top="1440" w:right="1440" w:bottom="1440" w:left="1440" w:header="720" w:footer="720" w:gutter="0"/>
          <w:pgNumType w:start="0"/>
          <w:cols w:space="720"/>
          <w:titlePg/>
        </w:sectPr>
      </w:pPr>
      <w:r w:rsidRPr="00D72DC6">
        <w:rPr>
          <w:noProof/>
          <w:color w:val="FFFFFF" w:themeColor="background1"/>
          <w14:textFill>
            <w14:noFill/>
          </w14:textFill>
        </w:rPr>
        <w:drawing>
          <wp:anchor distT="0" distB="0" distL="114300" distR="114300" simplePos="0" relativeHeight="251668480" behindDoc="0" locked="0" layoutInCell="1" allowOverlap="1" wp14:anchorId="2124AB94" wp14:editId="47B9CC1E">
            <wp:simplePos x="0" y="0"/>
            <wp:positionH relativeFrom="column">
              <wp:posOffset>1353251</wp:posOffset>
            </wp:positionH>
            <wp:positionV relativeFrom="paragraph">
              <wp:posOffset>388974</wp:posOffset>
            </wp:positionV>
            <wp:extent cx="1748891" cy="47870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48891" cy="478700"/>
                    </a:xfrm>
                    <a:prstGeom prst="rect">
                      <a:avLst/>
                    </a:prstGeom>
                    <a:noFill/>
                    <a:ln>
                      <a:noFill/>
                    </a:ln>
                  </pic:spPr>
                </pic:pic>
              </a:graphicData>
            </a:graphic>
          </wp:anchor>
        </w:drawing>
      </w:r>
    </w:p>
    <w:p w14:paraId="21BD0D77" w14:textId="77777777" w:rsidR="007C2EFF" w:rsidRPr="00C62DF2" w:rsidRDefault="007C2EFF" w:rsidP="00FC0CB6">
      <w:pPr>
        <w:pStyle w:val="Body"/>
        <w:suppressAutoHyphens/>
        <w:spacing w:line="276" w:lineRule="auto"/>
        <w:ind w:firstLine="0"/>
        <w:jc w:val="center"/>
        <w:rPr>
          <w:b/>
          <w:bCs/>
          <w:lang w:val="pt-BR"/>
        </w:rPr>
      </w:pPr>
      <w:r w:rsidRPr="00C62DF2">
        <w:rPr>
          <w:b/>
          <w:bCs/>
          <w:lang w:val="pt-BR"/>
        </w:rPr>
        <w:lastRenderedPageBreak/>
        <w:t>RELAT</w:t>
      </w:r>
      <w:r w:rsidR="00DB5913" w:rsidRPr="00C62DF2">
        <w:rPr>
          <w:b/>
          <w:bCs/>
          <w:lang w:val="pt-BR"/>
        </w:rPr>
        <w:t>Ó</w:t>
      </w:r>
      <w:r w:rsidRPr="00C62DF2">
        <w:rPr>
          <w:b/>
          <w:bCs/>
          <w:lang w:val="pt-BR"/>
        </w:rPr>
        <w:t>RIO Nº 265/21</w:t>
      </w:r>
    </w:p>
    <w:p w14:paraId="6CBA454D" w14:textId="77777777" w:rsidR="007C2EFF" w:rsidRPr="00C62DF2" w:rsidRDefault="007C2EFF" w:rsidP="00FC0CB6">
      <w:pPr>
        <w:pStyle w:val="Body"/>
        <w:suppressAutoHyphens/>
        <w:spacing w:line="276" w:lineRule="auto"/>
        <w:ind w:firstLine="0"/>
        <w:jc w:val="center"/>
        <w:rPr>
          <w:b/>
          <w:bCs/>
          <w:lang w:val="pt-BR"/>
        </w:rPr>
      </w:pPr>
      <w:r w:rsidRPr="00C62DF2">
        <w:rPr>
          <w:b/>
          <w:bCs/>
          <w:lang w:val="pt-BR"/>
        </w:rPr>
        <w:t>CASO 13.713</w:t>
      </w:r>
    </w:p>
    <w:p w14:paraId="41018838" w14:textId="26DBB6A3" w:rsidR="007C2EFF" w:rsidRPr="00C62DF2" w:rsidRDefault="00884749" w:rsidP="00FC0CB6">
      <w:pPr>
        <w:pStyle w:val="Body"/>
        <w:suppressAutoHyphens/>
        <w:spacing w:line="276" w:lineRule="auto"/>
        <w:ind w:firstLine="0"/>
        <w:jc w:val="center"/>
        <w:rPr>
          <w:lang w:val="pt-BR"/>
        </w:rPr>
      </w:pPr>
      <w:r w:rsidRPr="00C62DF2">
        <w:rPr>
          <w:lang w:val="pt-BR"/>
        </w:rPr>
        <w:t>MÉRITO</w:t>
      </w:r>
    </w:p>
    <w:p w14:paraId="72D39FE3" w14:textId="77777777" w:rsidR="007C2EFF" w:rsidRPr="00C62DF2" w:rsidRDefault="007C2EFF" w:rsidP="00FC0CB6">
      <w:pPr>
        <w:pStyle w:val="Body"/>
        <w:suppressAutoHyphens/>
        <w:spacing w:line="276" w:lineRule="auto"/>
        <w:ind w:firstLine="0"/>
        <w:jc w:val="center"/>
        <w:rPr>
          <w:lang w:val="pt-BR"/>
        </w:rPr>
      </w:pPr>
      <w:r w:rsidRPr="00C62DF2">
        <w:rPr>
          <w:lang w:val="pt-BR"/>
        </w:rPr>
        <w:t>DENISE PERES CRISPIM, EDUARDO COLLEN LEITE E OUTROS</w:t>
      </w:r>
    </w:p>
    <w:p w14:paraId="3BA9B59C" w14:textId="77777777" w:rsidR="007C2EFF" w:rsidRPr="00C62DF2" w:rsidRDefault="007C2EFF" w:rsidP="00FC0CB6">
      <w:pPr>
        <w:pStyle w:val="Body"/>
        <w:suppressAutoHyphens/>
        <w:spacing w:line="276" w:lineRule="auto"/>
        <w:ind w:firstLine="0"/>
        <w:jc w:val="center"/>
        <w:rPr>
          <w:lang w:val="pt-BR"/>
        </w:rPr>
      </w:pPr>
      <w:r w:rsidRPr="00C62DF2">
        <w:rPr>
          <w:lang w:val="pt-BR"/>
        </w:rPr>
        <w:t>BRASIL</w:t>
      </w:r>
    </w:p>
    <w:p w14:paraId="78A8FC1B" w14:textId="77777777" w:rsidR="007C2EFF" w:rsidRPr="00C62DF2" w:rsidRDefault="007C2EFF" w:rsidP="00FC0CB6">
      <w:pPr>
        <w:pStyle w:val="Body"/>
        <w:suppressAutoHyphens/>
        <w:spacing w:line="276" w:lineRule="auto"/>
        <w:ind w:firstLine="0"/>
        <w:jc w:val="center"/>
        <w:rPr>
          <w:lang w:val="pt-BR"/>
        </w:rPr>
      </w:pPr>
      <w:r w:rsidRPr="00C62DF2">
        <w:rPr>
          <w:lang w:val="pt-BR"/>
        </w:rPr>
        <w:t>17 de setembro de 2021</w:t>
      </w:r>
    </w:p>
    <w:p w14:paraId="05DCA13B" w14:textId="77777777" w:rsidR="007C2EFF" w:rsidRPr="00C62DF2" w:rsidRDefault="007C2EFF" w:rsidP="00FC0CB6">
      <w:pPr>
        <w:pStyle w:val="Body"/>
        <w:suppressAutoHyphens/>
        <w:spacing w:line="276" w:lineRule="auto"/>
        <w:ind w:firstLine="0"/>
        <w:rPr>
          <w:lang w:val="pt-BR"/>
        </w:rPr>
      </w:pPr>
    </w:p>
    <w:p w14:paraId="7C220D00" w14:textId="77777777" w:rsidR="007C2EFF" w:rsidRPr="00C62DF2" w:rsidRDefault="007C2EFF" w:rsidP="00FC0CB6">
      <w:pPr>
        <w:pStyle w:val="Body"/>
        <w:suppressAutoHyphens/>
        <w:spacing w:line="276" w:lineRule="auto"/>
        <w:ind w:firstLine="0"/>
        <w:jc w:val="center"/>
        <w:rPr>
          <w:b/>
          <w:bCs/>
          <w:lang w:val="pt-BR"/>
        </w:rPr>
      </w:pPr>
      <w:r w:rsidRPr="00C62DF2">
        <w:rPr>
          <w:b/>
          <w:bCs/>
          <w:lang w:val="pt-BR"/>
        </w:rPr>
        <w:t>ÍNDICE</w:t>
      </w:r>
    </w:p>
    <w:sdt>
      <w:sdtPr>
        <w:rPr>
          <w:rFonts w:ascii="Cambria" w:eastAsia="Arial Unicode MS" w:hAnsi="Cambria" w:cs="Times New Roman"/>
          <w:b w:val="0"/>
          <w:bCs w:val="0"/>
          <w:color w:val="auto"/>
          <w:sz w:val="20"/>
          <w:szCs w:val="20"/>
          <w:bdr w:val="nil"/>
          <w:lang w:val="pt-BR" w:eastAsia="en-US"/>
        </w:rPr>
        <w:id w:val="1843889828"/>
        <w:docPartObj>
          <w:docPartGallery w:val="Table of Contents"/>
          <w:docPartUnique/>
        </w:docPartObj>
      </w:sdtPr>
      <w:sdtEndPr>
        <w:rPr>
          <w:rFonts w:eastAsia="Times New Roman"/>
          <w:bdr w:val="none" w:sz="0" w:space="0" w:color="auto"/>
          <w:lang w:eastAsia="pt-BR"/>
        </w:rPr>
      </w:sdtEndPr>
      <w:sdtContent>
        <w:p w14:paraId="4159BE86" w14:textId="77777777" w:rsidR="007C2EFF" w:rsidRPr="00C62DF2" w:rsidRDefault="007C2EFF" w:rsidP="00FC0CB6">
          <w:pPr>
            <w:pStyle w:val="TOCHeading"/>
            <w:jc w:val="both"/>
            <w:rPr>
              <w:rFonts w:ascii="Cambria" w:hAnsi="Cambria"/>
              <w:sz w:val="20"/>
              <w:szCs w:val="20"/>
              <w:lang w:val="pt-BR"/>
            </w:rPr>
          </w:pPr>
        </w:p>
        <w:p w14:paraId="0DF4483D" w14:textId="1C91BAB5" w:rsidR="0089023D" w:rsidRPr="00C62DF2" w:rsidRDefault="007C2EFF" w:rsidP="00FC0CB6">
          <w:pPr>
            <w:pStyle w:val="TOC1"/>
            <w:rPr>
              <w:rFonts w:eastAsiaTheme="minorEastAsia" w:cstheme="minorBidi"/>
              <w:b w:val="0"/>
              <w:sz w:val="22"/>
              <w:szCs w:val="22"/>
              <w:lang w:val="pt-BR"/>
            </w:rPr>
          </w:pPr>
          <w:r w:rsidRPr="00C62DF2">
            <w:rPr>
              <w:noProof w:val="0"/>
              <w:lang w:val="pt-BR"/>
            </w:rPr>
            <w:fldChar w:fldCharType="begin"/>
          </w:r>
          <w:r w:rsidRPr="00C62DF2">
            <w:rPr>
              <w:noProof w:val="0"/>
              <w:lang w:val="pt-BR"/>
            </w:rPr>
            <w:instrText xml:space="preserve"> TOC \o "1-3" \h \z \u </w:instrText>
          </w:r>
          <w:r w:rsidRPr="00C62DF2">
            <w:rPr>
              <w:noProof w:val="0"/>
              <w:lang w:val="pt-BR"/>
            </w:rPr>
            <w:fldChar w:fldCharType="separate"/>
          </w:r>
          <w:hyperlink w:anchor="_Toc85894995" w:history="1">
            <w:r w:rsidR="0089023D" w:rsidRPr="00C62DF2">
              <w:rPr>
                <w:rStyle w:val="Hyperlink"/>
              </w:rPr>
              <w:t>I.</w:t>
            </w:r>
            <w:r w:rsidR="0089023D" w:rsidRPr="00C62DF2">
              <w:rPr>
                <w:rFonts w:eastAsiaTheme="minorEastAsia" w:cstheme="minorBidi"/>
                <w:b w:val="0"/>
                <w:sz w:val="22"/>
                <w:szCs w:val="22"/>
                <w:lang w:val="pt-BR"/>
              </w:rPr>
              <w:tab/>
            </w:r>
            <w:r w:rsidR="0089023D" w:rsidRPr="00C62DF2">
              <w:rPr>
                <w:rStyle w:val="Hyperlink"/>
                <w:lang w:val="pt-BR"/>
              </w:rPr>
              <w:t>RESUMO</w:t>
            </w:r>
            <w:r w:rsidR="0089023D" w:rsidRPr="00C62DF2">
              <w:rPr>
                <w:webHidden/>
              </w:rPr>
              <w:tab/>
            </w:r>
            <w:r w:rsidR="0089023D" w:rsidRPr="00C62DF2">
              <w:rPr>
                <w:webHidden/>
              </w:rPr>
              <w:fldChar w:fldCharType="begin"/>
            </w:r>
            <w:r w:rsidR="0089023D" w:rsidRPr="00C62DF2">
              <w:rPr>
                <w:webHidden/>
              </w:rPr>
              <w:instrText xml:space="preserve"> PAGEREF _Toc85894995 \h </w:instrText>
            </w:r>
            <w:r w:rsidR="0089023D" w:rsidRPr="00C62DF2">
              <w:rPr>
                <w:webHidden/>
              </w:rPr>
            </w:r>
            <w:r w:rsidR="0089023D" w:rsidRPr="00C62DF2">
              <w:rPr>
                <w:webHidden/>
              </w:rPr>
              <w:fldChar w:fldCharType="separate"/>
            </w:r>
            <w:r w:rsidR="00085ED9">
              <w:rPr>
                <w:webHidden/>
              </w:rPr>
              <w:t>3</w:t>
            </w:r>
            <w:r w:rsidR="0089023D" w:rsidRPr="00C62DF2">
              <w:rPr>
                <w:webHidden/>
              </w:rPr>
              <w:fldChar w:fldCharType="end"/>
            </w:r>
          </w:hyperlink>
        </w:p>
        <w:p w14:paraId="6F84113E" w14:textId="32F22FCD" w:rsidR="0089023D" w:rsidRPr="00C62DF2" w:rsidRDefault="00085ED9" w:rsidP="00FC0CB6">
          <w:pPr>
            <w:pStyle w:val="TOC1"/>
            <w:rPr>
              <w:rFonts w:eastAsiaTheme="minorEastAsia" w:cstheme="minorBidi"/>
              <w:b w:val="0"/>
              <w:sz w:val="22"/>
              <w:szCs w:val="22"/>
              <w:lang w:val="pt-BR"/>
            </w:rPr>
          </w:pPr>
          <w:hyperlink w:anchor="_Toc85894996" w:history="1">
            <w:r w:rsidR="0089023D" w:rsidRPr="00C62DF2">
              <w:rPr>
                <w:rStyle w:val="Hyperlink"/>
              </w:rPr>
              <w:t>II.</w:t>
            </w:r>
            <w:r w:rsidR="0089023D" w:rsidRPr="00C62DF2">
              <w:rPr>
                <w:rFonts w:eastAsiaTheme="minorEastAsia" w:cstheme="minorBidi"/>
                <w:b w:val="0"/>
                <w:sz w:val="22"/>
                <w:szCs w:val="22"/>
                <w:lang w:val="pt-BR"/>
              </w:rPr>
              <w:tab/>
            </w:r>
            <w:r w:rsidR="0089023D" w:rsidRPr="00C62DF2">
              <w:rPr>
                <w:rStyle w:val="Hyperlink"/>
                <w:lang w:val="pt-BR"/>
              </w:rPr>
              <w:t>ALEGAÇÕES DAS PARTES</w:t>
            </w:r>
            <w:r w:rsidR="0089023D" w:rsidRPr="00C62DF2">
              <w:rPr>
                <w:webHidden/>
              </w:rPr>
              <w:tab/>
            </w:r>
            <w:r w:rsidR="0089023D" w:rsidRPr="00C62DF2">
              <w:rPr>
                <w:webHidden/>
              </w:rPr>
              <w:fldChar w:fldCharType="begin"/>
            </w:r>
            <w:r w:rsidR="0089023D" w:rsidRPr="00C62DF2">
              <w:rPr>
                <w:webHidden/>
              </w:rPr>
              <w:instrText xml:space="preserve"> PAGEREF _Toc85894996 \h </w:instrText>
            </w:r>
            <w:r w:rsidR="0089023D" w:rsidRPr="00C62DF2">
              <w:rPr>
                <w:webHidden/>
              </w:rPr>
            </w:r>
            <w:r w:rsidR="0089023D" w:rsidRPr="00C62DF2">
              <w:rPr>
                <w:webHidden/>
              </w:rPr>
              <w:fldChar w:fldCharType="separate"/>
            </w:r>
            <w:r>
              <w:rPr>
                <w:webHidden/>
              </w:rPr>
              <w:t>3</w:t>
            </w:r>
            <w:r w:rsidR="0089023D" w:rsidRPr="00C62DF2">
              <w:rPr>
                <w:webHidden/>
              </w:rPr>
              <w:fldChar w:fldCharType="end"/>
            </w:r>
          </w:hyperlink>
        </w:p>
        <w:p w14:paraId="3896637F" w14:textId="4C5C434C" w:rsidR="0089023D" w:rsidRPr="00C62DF2" w:rsidRDefault="00085ED9" w:rsidP="00FC0CB6">
          <w:pPr>
            <w:pStyle w:val="TOC2"/>
            <w:ind w:firstLine="0"/>
            <w:rPr>
              <w:rFonts w:ascii="Cambria" w:eastAsiaTheme="minorEastAsia" w:hAnsi="Cambria" w:cstheme="minorBidi"/>
              <w:noProof/>
              <w:sz w:val="22"/>
              <w:szCs w:val="22"/>
            </w:rPr>
          </w:pPr>
          <w:hyperlink w:anchor="_Toc85894997" w:history="1">
            <w:r w:rsidR="0089023D" w:rsidRPr="00C62DF2">
              <w:rPr>
                <w:rStyle w:val="Hyperlink"/>
                <w:rFonts w:ascii="Cambria" w:hAnsi="Cambria"/>
                <w:noProof/>
                <w:lang w:val="es-ES_tradnl"/>
              </w:rPr>
              <w:t>A.</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A parte peticionária</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_Toc85894997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3</w:t>
            </w:r>
            <w:r w:rsidR="0089023D" w:rsidRPr="00C62DF2">
              <w:rPr>
                <w:rFonts w:ascii="Cambria" w:hAnsi="Cambria"/>
                <w:noProof/>
                <w:webHidden/>
              </w:rPr>
              <w:fldChar w:fldCharType="end"/>
            </w:r>
          </w:hyperlink>
        </w:p>
        <w:p w14:paraId="7C73CF3B" w14:textId="1DECCE67" w:rsidR="0089023D" w:rsidRPr="00C62DF2" w:rsidRDefault="00085ED9" w:rsidP="00FC0CB6">
          <w:pPr>
            <w:pStyle w:val="TOC2"/>
            <w:ind w:firstLine="0"/>
            <w:rPr>
              <w:rFonts w:ascii="Cambria" w:eastAsiaTheme="minorEastAsia" w:hAnsi="Cambria" w:cstheme="minorBidi"/>
              <w:noProof/>
              <w:sz w:val="22"/>
              <w:szCs w:val="22"/>
            </w:rPr>
          </w:pPr>
          <w:hyperlink w:anchor="_Toc85894998" w:history="1">
            <w:r w:rsidR="0089023D" w:rsidRPr="00C62DF2">
              <w:rPr>
                <w:rStyle w:val="Hyperlink"/>
                <w:rFonts w:ascii="Cambria" w:hAnsi="Cambria"/>
                <w:noProof/>
                <w:lang w:val="es-ES_tradnl"/>
              </w:rPr>
              <w:t>B.</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O Estado</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_Toc85894998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5</w:t>
            </w:r>
            <w:r w:rsidR="0089023D" w:rsidRPr="00C62DF2">
              <w:rPr>
                <w:rFonts w:ascii="Cambria" w:hAnsi="Cambria"/>
                <w:noProof/>
                <w:webHidden/>
              </w:rPr>
              <w:fldChar w:fldCharType="end"/>
            </w:r>
          </w:hyperlink>
        </w:p>
        <w:p w14:paraId="01E2114F" w14:textId="2B81E0CC" w:rsidR="0089023D" w:rsidRPr="00C62DF2" w:rsidRDefault="00085ED9" w:rsidP="00FC0CB6">
          <w:pPr>
            <w:pStyle w:val="TOC1"/>
            <w:rPr>
              <w:rFonts w:eastAsiaTheme="minorEastAsia" w:cstheme="minorBidi"/>
              <w:b w:val="0"/>
              <w:sz w:val="22"/>
              <w:szCs w:val="22"/>
              <w:lang w:val="pt-BR"/>
            </w:rPr>
          </w:pPr>
          <w:hyperlink w:anchor="_Toc85894999" w:history="1">
            <w:r w:rsidR="0089023D" w:rsidRPr="00C62DF2">
              <w:rPr>
                <w:rStyle w:val="Hyperlink"/>
              </w:rPr>
              <w:t>III.</w:t>
            </w:r>
            <w:r w:rsidR="0089023D" w:rsidRPr="00C62DF2">
              <w:rPr>
                <w:rFonts w:eastAsiaTheme="minorEastAsia" w:cstheme="minorBidi"/>
                <w:b w:val="0"/>
                <w:sz w:val="22"/>
                <w:szCs w:val="22"/>
                <w:lang w:val="pt-BR"/>
              </w:rPr>
              <w:tab/>
            </w:r>
            <w:r w:rsidR="0089023D" w:rsidRPr="00C62DF2">
              <w:rPr>
                <w:rStyle w:val="Hyperlink"/>
                <w:lang w:val="pt-BR"/>
              </w:rPr>
              <w:t>DETERMINAÇÕES DE FATO</w:t>
            </w:r>
            <w:r w:rsidR="0089023D" w:rsidRPr="00C62DF2">
              <w:rPr>
                <w:webHidden/>
              </w:rPr>
              <w:tab/>
            </w:r>
            <w:r w:rsidR="0089023D" w:rsidRPr="00C62DF2">
              <w:rPr>
                <w:webHidden/>
              </w:rPr>
              <w:fldChar w:fldCharType="begin"/>
            </w:r>
            <w:r w:rsidR="0089023D" w:rsidRPr="00C62DF2">
              <w:rPr>
                <w:webHidden/>
              </w:rPr>
              <w:instrText xml:space="preserve"> PAGEREF _Toc85894999 \h </w:instrText>
            </w:r>
            <w:r w:rsidR="0089023D" w:rsidRPr="00C62DF2">
              <w:rPr>
                <w:webHidden/>
              </w:rPr>
            </w:r>
            <w:r w:rsidR="0089023D" w:rsidRPr="00C62DF2">
              <w:rPr>
                <w:webHidden/>
              </w:rPr>
              <w:fldChar w:fldCharType="separate"/>
            </w:r>
            <w:r>
              <w:rPr>
                <w:webHidden/>
              </w:rPr>
              <w:t>7</w:t>
            </w:r>
            <w:r w:rsidR="0089023D" w:rsidRPr="00C62DF2">
              <w:rPr>
                <w:webHidden/>
              </w:rPr>
              <w:fldChar w:fldCharType="end"/>
            </w:r>
          </w:hyperlink>
        </w:p>
        <w:p w14:paraId="58BEB560" w14:textId="15CAAB1E" w:rsidR="0089023D" w:rsidRPr="00C62DF2" w:rsidRDefault="00085ED9" w:rsidP="00FC0CB6">
          <w:pPr>
            <w:pStyle w:val="TOC2"/>
            <w:ind w:firstLine="0"/>
            <w:rPr>
              <w:rFonts w:ascii="Cambria" w:eastAsiaTheme="minorEastAsia" w:hAnsi="Cambria" w:cstheme="minorBidi"/>
              <w:noProof/>
              <w:sz w:val="22"/>
              <w:szCs w:val="22"/>
            </w:rPr>
          </w:pPr>
          <w:hyperlink w:anchor="_Toc85895000" w:history="1">
            <w:r w:rsidR="0089023D" w:rsidRPr="00C62DF2">
              <w:rPr>
                <w:rStyle w:val="Hyperlink"/>
                <w:rFonts w:ascii="Cambria" w:hAnsi="Cambria"/>
                <w:noProof/>
                <w:lang w:val="es-ES_tradnl"/>
              </w:rPr>
              <w:t>A.</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Contexto da ditadura civil-militar brasileira</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_Toc85895000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7</w:t>
            </w:r>
            <w:r w:rsidR="0089023D" w:rsidRPr="00C62DF2">
              <w:rPr>
                <w:rFonts w:ascii="Cambria" w:hAnsi="Cambria"/>
                <w:noProof/>
                <w:webHidden/>
              </w:rPr>
              <w:fldChar w:fldCharType="end"/>
            </w:r>
          </w:hyperlink>
        </w:p>
        <w:p w14:paraId="27410E21" w14:textId="5189E600" w:rsidR="0089023D" w:rsidRPr="00C62DF2" w:rsidRDefault="00085ED9" w:rsidP="00FC0CB6">
          <w:pPr>
            <w:pStyle w:val="TOC2"/>
            <w:ind w:firstLine="0"/>
            <w:rPr>
              <w:rFonts w:ascii="Cambria" w:eastAsiaTheme="minorEastAsia" w:hAnsi="Cambria" w:cstheme="minorBidi"/>
              <w:noProof/>
              <w:sz w:val="22"/>
              <w:szCs w:val="22"/>
            </w:rPr>
          </w:pPr>
          <w:hyperlink w:anchor="_Toc85895001" w:history="1">
            <w:r w:rsidR="0089023D" w:rsidRPr="00C62DF2">
              <w:rPr>
                <w:rStyle w:val="Hyperlink"/>
                <w:rFonts w:ascii="Cambria" w:hAnsi="Cambria"/>
                <w:noProof/>
                <w:lang w:val="es-ES_tradnl"/>
              </w:rPr>
              <w:t>B.</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Sobre as supostas vítimas e suas ações contra a ditadura civil-militar brasileira</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_Toc85895001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11</w:t>
            </w:r>
            <w:r w:rsidR="0089023D" w:rsidRPr="00C62DF2">
              <w:rPr>
                <w:rFonts w:ascii="Cambria" w:hAnsi="Cambria"/>
                <w:noProof/>
                <w:webHidden/>
              </w:rPr>
              <w:fldChar w:fldCharType="end"/>
            </w:r>
          </w:hyperlink>
        </w:p>
        <w:p w14:paraId="05C7C1D6" w14:textId="45BF8DAA" w:rsidR="0089023D" w:rsidRPr="00C62DF2" w:rsidRDefault="00085ED9" w:rsidP="00FC0CB6">
          <w:pPr>
            <w:pStyle w:val="TOC2"/>
            <w:ind w:firstLine="0"/>
            <w:rPr>
              <w:rFonts w:ascii="Cambria" w:eastAsiaTheme="minorEastAsia" w:hAnsi="Cambria" w:cstheme="minorBidi"/>
              <w:noProof/>
              <w:sz w:val="22"/>
              <w:szCs w:val="22"/>
            </w:rPr>
          </w:pPr>
          <w:hyperlink w:anchor="_Toc85895002" w:history="1">
            <w:r w:rsidR="0089023D" w:rsidRPr="00C62DF2">
              <w:rPr>
                <w:rStyle w:val="Hyperlink"/>
                <w:rFonts w:ascii="Cambria" w:hAnsi="Cambria"/>
                <w:noProof/>
                <w:lang w:val="es-ES_tradnl"/>
              </w:rPr>
              <w:t>C.</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A detenção arbitrária e tortura de Denise Peres Crispim</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_Toc85895002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12</w:t>
            </w:r>
            <w:r w:rsidR="0089023D" w:rsidRPr="00C62DF2">
              <w:rPr>
                <w:rFonts w:ascii="Cambria" w:hAnsi="Cambria"/>
                <w:noProof/>
                <w:webHidden/>
              </w:rPr>
              <w:fldChar w:fldCharType="end"/>
            </w:r>
          </w:hyperlink>
        </w:p>
        <w:p w14:paraId="5B63EAE9" w14:textId="0A5675F5" w:rsidR="0089023D" w:rsidRPr="00C62DF2" w:rsidRDefault="00085ED9" w:rsidP="00FC0CB6">
          <w:pPr>
            <w:pStyle w:val="TOC2"/>
            <w:ind w:firstLine="0"/>
            <w:rPr>
              <w:rFonts w:ascii="Cambria" w:eastAsiaTheme="minorEastAsia" w:hAnsi="Cambria" w:cstheme="minorBidi"/>
              <w:noProof/>
              <w:sz w:val="22"/>
              <w:szCs w:val="22"/>
            </w:rPr>
          </w:pPr>
          <w:hyperlink w:anchor="_Toc85895003" w:history="1">
            <w:r w:rsidR="0089023D" w:rsidRPr="00C62DF2">
              <w:rPr>
                <w:rStyle w:val="Hyperlink"/>
                <w:rFonts w:ascii="Cambria" w:hAnsi="Cambria"/>
                <w:noProof/>
                <w:lang w:val="es-ES_tradnl"/>
              </w:rPr>
              <w:t>D.</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A detenção arbitrária, tortura e morte de Eduardo Collen Leite</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_Toc85895003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14</w:t>
            </w:r>
            <w:r w:rsidR="0089023D" w:rsidRPr="00C62DF2">
              <w:rPr>
                <w:rFonts w:ascii="Cambria" w:hAnsi="Cambria"/>
                <w:noProof/>
                <w:webHidden/>
              </w:rPr>
              <w:fldChar w:fldCharType="end"/>
            </w:r>
          </w:hyperlink>
        </w:p>
        <w:p w14:paraId="2337C104" w14:textId="0CAD5AE8" w:rsidR="0089023D" w:rsidRPr="00C62DF2" w:rsidRDefault="00085ED9" w:rsidP="00FC0CB6">
          <w:pPr>
            <w:pStyle w:val="TOC2"/>
            <w:ind w:firstLine="0"/>
            <w:rPr>
              <w:rFonts w:ascii="Cambria" w:eastAsiaTheme="minorEastAsia" w:hAnsi="Cambria" w:cstheme="minorBidi"/>
              <w:noProof/>
              <w:sz w:val="22"/>
              <w:szCs w:val="22"/>
            </w:rPr>
          </w:pPr>
          <w:hyperlink w:anchor="_Toc85895004" w:history="1">
            <w:r w:rsidR="0089023D" w:rsidRPr="00C62DF2">
              <w:rPr>
                <w:rStyle w:val="Hyperlink"/>
                <w:rFonts w:ascii="Cambria" w:hAnsi="Cambria"/>
                <w:noProof/>
                <w:lang w:val="es-ES_tradnl"/>
              </w:rPr>
              <w:t>E.</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O asilo forçado de Denise Peres Crispim e sua filha Eduarda</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_Toc85895004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16</w:t>
            </w:r>
            <w:r w:rsidR="0089023D" w:rsidRPr="00C62DF2">
              <w:rPr>
                <w:rFonts w:ascii="Cambria" w:hAnsi="Cambria"/>
                <w:noProof/>
                <w:webHidden/>
              </w:rPr>
              <w:fldChar w:fldCharType="end"/>
            </w:r>
          </w:hyperlink>
        </w:p>
        <w:p w14:paraId="2CF47E29" w14:textId="1BDF31D1" w:rsidR="0089023D" w:rsidRPr="00C62DF2" w:rsidRDefault="00085ED9" w:rsidP="00FC0CB6">
          <w:pPr>
            <w:pStyle w:val="TOC2"/>
            <w:ind w:firstLine="0"/>
            <w:rPr>
              <w:rFonts w:ascii="Cambria" w:eastAsiaTheme="minorEastAsia" w:hAnsi="Cambria" w:cstheme="minorBidi"/>
              <w:noProof/>
              <w:sz w:val="22"/>
              <w:szCs w:val="22"/>
            </w:rPr>
          </w:pPr>
          <w:hyperlink w:anchor="_Toc85895005" w:history="1">
            <w:r w:rsidR="0089023D" w:rsidRPr="00C62DF2">
              <w:rPr>
                <w:rStyle w:val="Hyperlink"/>
                <w:rFonts w:ascii="Cambria" w:hAnsi="Cambria"/>
                <w:noProof/>
                <w:lang w:val="es-ES_tradnl"/>
              </w:rPr>
              <w:t>F.</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Quanto às investigações realizadas no presente caso</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_Toc85895005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17</w:t>
            </w:r>
            <w:r w:rsidR="0089023D" w:rsidRPr="00C62DF2">
              <w:rPr>
                <w:rFonts w:ascii="Cambria" w:hAnsi="Cambria"/>
                <w:noProof/>
                <w:webHidden/>
              </w:rPr>
              <w:fldChar w:fldCharType="end"/>
            </w:r>
          </w:hyperlink>
        </w:p>
        <w:p w14:paraId="3A98BE37" w14:textId="3C567EAD" w:rsidR="0089023D" w:rsidRPr="00C62DF2" w:rsidRDefault="00085ED9" w:rsidP="00FC0CB6">
          <w:pPr>
            <w:pStyle w:val="TOC2"/>
            <w:ind w:firstLine="0"/>
            <w:rPr>
              <w:rFonts w:ascii="Cambria" w:eastAsiaTheme="minorEastAsia" w:hAnsi="Cambria" w:cstheme="minorBidi"/>
              <w:noProof/>
              <w:sz w:val="22"/>
              <w:szCs w:val="22"/>
            </w:rPr>
          </w:pPr>
          <w:hyperlink w:anchor="_Toc85895006" w:history="1">
            <w:r w:rsidR="0089023D" w:rsidRPr="00C62DF2">
              <w:rPr>
                <w:rStyle w:val="Hyperlink"/>
                <w:rFonts w:ascii="Cambria" w:hAnsi="Cambria"/>
                <w:noProof/>
                <w:lang w:val="es-ES_tradnl"/>
              </w:rPr>
              <w:t>G.</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Quanto às ações realizadas perante a Comissão de Anistia</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_Toc85895006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17</w:t>
            </w:r>
            <w:r w:rsidR="0089023D" w:rsidRPr="00C62DF2">
              <w:rPr>
                <w:rFonts w:ascii="Cambria" w:hAnsi="Cambria"/>
                <w:noProof/>
                <w:webHidden/>
              </w:rPr>
              <w:fldChar w:fldCharType="end"/>
            </w:r>
          </w:hyperlink>
        </w:p>
        <w:p w14:paraId="10C61D39" w14:textId="74B2E313" w:rsidR="0089023D" w:rsidRPr="00C62DF2" w:rsidRDefault="00085ED9" w:rsidP="00FC0CB6">
          <w:pPr>
            <w:pStyle w:val="TOC2"/>
            <w:ind w:firstLine="0"/>
            <w:rPr>
              <w:rFonts w:ascii="Cambria" w:eastAsiaTheme="minorEastAsia" w:hAnsi="Cambria" w:cstheme="minorBidi"/>
              <w:noProof/>
              <w:sz w:val="22"/>
              <w:szCs w:val="22"/>
            </w:rPr>
          </w:pPr>
          <w:hyperlink w:anchor="_Toc85895007" w:history="1">
            <w:r w:rsidR="0089023D" w:rsidRPr="00C62DF2">
              <w:rPr>
                <w:rStyle w:val="Hyperlink"/>
                <w:rFonts w:ascii="Cambria" w:hAnsi="Cambria"/>
                <w:noProof/>
                <w:lang w:val="es-ES_tradnl"/>
              </w:rPr>
              <w:t>H.</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Quanto às ações administrativas realizadas no presente caso</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_Toc85895007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18</w:t>
            </w:r>
            <w:r w:rsidR="0089023D" w:rsidRPr="00C62DF2">
              <w:rPr>
                <w:rFonts w:ascii="Cambria" w:hAnsi="Cambria"/>
                <w:noProof/>
                <w:webHidden/>
              </w:rPr>
              <w:fldChar w:fldCharType="end"/>
            </w:r>
          </w:hyperlink>
        </w:p>
        <w:p w14:paraId="1B5BD400" w14:textId="580B7974" w:rsidR="0089023D" w:rsidRPr="00C62DF2" w:rsidRDefault="00085ED9" w:rsidP="00FC0CB6">
          <w:pPr>
            <w:pStyle w:val="TOC1"/>
            <w:rPr>
              <w:rFonts w:eastAsiaTheme="minorEastAsia" w:cstheme="minorBidi"/>
              <w:b w:val="0"/>
              <w:sz w:val="22"/>
              <w:szCs w:val="22"/>
              <w:lang w:val="pt-BR"/>
            </w:rPr>
          </w:pPr>
          <w:hyperlink w:anchor="_Toc85895008" w:history="1">
            <w:r w:rsidR="0089023D" w:rsidRPr="00C62DF2">
              <w:rPr>
                <w:rStyle w:val="Hyperlink"/>
              </w:rPr>
              <w:t>IV.</w:t>
            </w:r>
            <w:r w:rsidR="0089023D" w:rsidRPr="00C62DF2">
              <w:rPr>
                <w:rFonts w:eastAsiaTheme="minorEastAsia" w:cstheme="minorBidi"/>
                <w:b w:val="0"/>
                <w:sz w:val="22"/>
                <w:szCs w:val="22"/>
                <w:lang w:val="pt-BR"/>
              </w:rPr>
              <w:tab/>
            </w:r>
            <w:r w:rsidR="0089023D" w:rsidRPr="00C62DF2">
              <w:rPr>
                <w:rStyle w:val="Hyperlink"/>
                <w:lang w:val="pt-BR"/>
              </w:rPr>
              <w:t>ANÁLISE DE DIREITO</w:t>
            </w:r>
            <w:r w:rsidR="0089023D" w:rsidRPr="00C62DF2">
              <w:rPr>
                <w:webHidden/>
              </w:rPr>
              <w:tab/>
            </w:r>
            <w:r w:rsidR="0089023D" w:rsidRPr="00C62DF2">
              <w:rPr>
                <w:webHidden/>
              </w:rPr>
              <w:fldChar w:fldCharType="begin"/>
            </w:r>
            <w:r w:rsidR="0089023D" w:rsidRPr="00C62DF2">
              <w:rPr>
                <w:webHidden/>
              </w:rPr>
              <w:instrText xml:space="preserve"> PAGEREF _Toc85895008 \h </w:instrText>
            </w:r>
            <w:r w:rsidR="0089023D" w:rsidRPr="00C62DF2">
              <w:rPr>
                <w:webHidden/>
              </w:rPr>
            </w:r>
            <w:r w:rsidR="0089023D" w:rsidRPr="00C62DF2">
              <w:rPr>
                <w:webHidden/>
              </w:rPr>
              <w:fldChar w:fldCharType="separate"/>
            </w:r>
            <w:r>
              <w:rPr>
                <w:webHidden/>
              </w:rPr>
              <w:t>19</w:t>
            </w:r>
            <w:r w:rsidR="0089023D" w:rsidRPr="00C62DF2">
              <w:rPr>
                <w:webHidden/>
              </w:rPr>
              <w:fldChar w:fldCharType="end"/>
            </w:r>
          </w:hyperlink>
        </w:p>
        <w:p w14:paraId="2CE0B1A2" w14:textId="52947B5D" w:rsidR="0089023D" w:rsidRPr="00C62DF2" w:rsidRDefault="00085ED9" w:rsidP="00FC0CB6">
          <w:pPr>
            <w:pStyle w:val="TOC2"/>
            <w:ind w:firstLine="0"/>
            <w:rPr>
              <w:rFonts w:ascii="Cambria" w:eastAsiaTheme="minorEastAsia" w:hAnsi="Cambria" w:cstheme="minorBidi"/>
              <w:noProof/>
              <w:sz w:val="22"/>
              <w:szCs w:val="22"/>
            </w:rPr>
          </w:pPr>
          <w:hyperlink w:anchor="_Toc85895009" w:history="1">
            <w:r w:rsidR="0089023D" w:rsidRPr="00C62DF2">
              <w:rPr>
                <w:rStyle w:val="Hyperlink"/>
                <w:rFonts w:ascii="Cambria" w:hAnsi="Cambria"/>
                <w:noProof/>
                <w:lang w:val="es-ES_tradnl"/>
              </w:rPr>
              <w:t>A.</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Direito à vida, à liberdade, à segurança e à integridade da pessoa (artigo I da Declaração Americana), direito à proteção da maternidade e infância (artigo VII da Declaração Americana) e direito à proteção contra detenção arbitrária (artigo XXV da Declaração Americana)</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_Toc85895009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19</w:t>
            </w:r>
            <w:r w:rsidR="0089023D" w:rsidRPr="00C62DF2">
              <w:rPr>
                <w:rFonts w:ascii="Cambria" w:hAnsi="Cambria"/>
                <w:noProof/>
                <w:webHidden/>
              </w:rPr>
              <w:fldChar w:fldCharType="end"/>
            </w:r>
          </w:hyperlink>
        </w:p>
        <w:p w14:paraId="430B5F14" w14:textId="289ABDFB" w:rsidR="0089023D" w:rsidRPr="00C62DF2" w:rsidRDefault="00085ED9" w:rsidP="00FC0CB6">
          <w:pPr>
            <w:pStyle w:val="TOC2"/>
            <w:ind w:firstLine="0"/>
            <w:rPr>
              <w:rFonts w:ascii="Cambria" w:eastAsiaTheme="minorEastAsia" w:hAnsi="Cambria" w:cstheme="minorBidi"/>
              <w:noProof/>
              <w:sz w:val="22"/>
              <w:szCs w:val="22"/>
            </w:rPr>
          </w:pPr>
          <w:hyperlink w:anchor="_Toc85895010" w:history="1">
            <w:r w:rsidR="0089023D" w:rsidRPr="00C62DF2">
              <w:rPr>
                <w:rStyle w:val="Hyperlink"/>
                <w:rFonts w:ascii="Cambria" w:hAnsi="Cambria"/>
                <w:noProof/>
                <w:lang w:val="es-ES_tradnl"/>
              </w:rPr>
              <w:t>B.</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Direito ao nome e à identidade (artigo 18 da Convenção Americana)</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_Toc85895010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27</w:t>
            </w:r>
            <w:r w:rsidR="0089023D" w:rsidRPr="00C62DF2">
              <w:rPr>
                <w:rFonts w:ascii="Cambria" w:hAnsi="Cambria"/>
                <w:noProof/>
                <w:webHidden/>
              </w:rPr>
              <w:fldChar w:fldCharType="end"/>
            </w:r>
          </w:hyperlink>
        </w:p>
        <w:p w14:paraId="264B6A31" w14:textId="1737AFDA" w:rsidR="0089023D" w:rsidRPr="00C62DF2" w:rsidRDefault="00085ED9" w:rsidP="00FC0CB6">
          <w:pPr>
            <w:pStyle w:val="TOC2"/>
            <w:ind w:firstLine="0"/>
            <w:rPr>
              <w:rFonts w:ascii="Cambria" w:eastAsiaTheme="minorEastAsia" w:hAnsi="Cambria" w:cstheme="minorBidi"/>
              <w:noProof/>
              <w:sz w:val="22"/>
              <w:szCs w:val="22"/>
            </w:rPr>
          </w:pPr>
          <w:hyperlink w:anchor="_Toc85895011" w:history="1">
            <w:r w:rsidR="0089023D" w:rsidRPr="00C62DF2">
              <w:rPr>
                <w:rStyle w:val="Hyperlink"/>
                <w:rFonts w:ascii="Cambria" w:hAnsi="Cambria"/>
                <w:noProof/>
                <w:lang w:val="es-ES_tradnl"/>
              </w:rPr>
              <w:t>C.</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Direito à justiça (artigo XVIII da Declaração Americana) e direitos às garantias judiciais e à proteção (artigos 8 e 25 da Convenção Americana com relação aos artigos 1.1 e 2 do mesmo instrumento); obrigação de investigar e punir a tortura (artigos 6 e 8 da Convenção Interamericana para Prevenir e Punir a Tortura), e dever de investigar os atos de violência contra a mulher (artigo 7 da Convenção de Belém do Pará)</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_Toc85895011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28</w:t>
            </w:r>
            <w:r w:rsidR="0089023D" w:rsidRPr="00C62DF2">
              <w:rPr>
                <w:rFonts w:ascii="Cambria" w:hAnsi="Cambria"/>
                <w:noProof/>
                <w:webHidden/>
              </w:rPr>
              <w:fldChar w:fldCharType="end"/>
            </w:r>
          </w:hyperlink>
        </w:p>
        <w:p w14:paraId="3635B12B" w14:textId="2163E3EC" w:rsidR="0089023D" w:rsidRPr="00C62DF2" w:rsidRDefault="00085ED9" w:rsidP="00FC0CB6">
          <w:pPr>
            <w:pStyle w:val="TOC3"/>
            <w:rPr>
              <w:rFonts w:ascii="Cambria" w:eastAsiaTheme="minorEastAsia" w:hAnsi="Cambria" w:cstheme="minorBidi"/>
              <w:noProof/>
              <w:sz w:val="22"/>
              <w:szCs w:val="22"/>
            </w:rPr>
          </w:pPr>
          <w:hyperlink w:anchor="_Toc85895012" w:history="1">
            <w:r w:rsidR="0089023D" w:rsidRPr="00C62DF2">
              <w:rPr>
                <w:rStyle w:val="Hyperlink"/>
                <w:rFonts w:ascii="Cambria" w:hAnsi="Cambria"/>
                <w:noProof/>
              </w:rPr>
              <w:t>1.</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Sobre a investigação realizada na justiça penal militar</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_Toc85895012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28</w:t>
            </w:r>
            <w:r w:rsidR="0089023D" w:rsidRPr="00C62DF2">
              <w:rPr>
                <w:rFonts w:ascii="Cambria" w:hAnsi="Cambria"/>
                <w:noProof/>
                <w:webHidden/>
              </w:rPr>
              <w:fldChar w:fldCharType="end"/>
            </w:r>
          </w:hyperlink>
        </w:p>
        <w:p w14:paraId="44DA9085" w14:textId="7345D811" w:rsidR="0089023D" w:rsidRPr="00C62DF2" w:rsidRDefault="00085ED9" w:rsidP="00FC0CB6">
          <w:pPr>
            <w:pStyle w:val="TOC3"/>
            <w:rPr>
              <w:rFonts w:ascii="Cambria" w:eastAsiaTheme="minorEastAsia" w:hAnsi="Cambria" w:cstheme="minorBidi"/>
              <w:noProof/>
              <w:sz w:val="22"/>
              <w:szCs w:val="22"/>
            </w:rPr>
          </w:pPr>
          <w:hyperlink w:anchor="_Toc85895013" w:history="1">
            <w:r w:rsidR="0089023D" w:rsidRPr="00C62DF2">
              <w:rPr>
                <w:rStyle w:val="Hyperlink"/>
                <w:rFonts w:ascii="Cambria" w:hAnsi="Cambria"/>
                <w:noProof/>
              </w:rPr>
              <w:t>1.1</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Considerações gerais</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_Toc85895013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28</w:t>
            </w:r>
            <w:r w:rsidR="0089023D" w:rsidRPr="00C62DF2">
              <w:rPr>
                <w:rFonts w:ascii="Cambria" w:hAnsi="Cambria"/>
                <w:noProof/>
                <w:webHidden/>
              </w:rPr>
              <w:fldChar w:fldCharType="end"/>
            </w:r>
          </w:hyperlink>
        </w:p>
        <w:p w14:paraId="0FE70640" w14:textId="79142C31" w:rsidR="0089023D" w:rsidRPr="00C62DF2" w:rsidRDefault="00085ED9" w:rsidP="00FC0CB6">
          <w:pPr>
            <w:pStyle w:val="TOC3"/>
            <w:rPr>
              <w:rFonts w:ascii="Cambria" w:eastAsiaTheme="minorEastAsia" w:hAnsi="Cambria" w:cstheme="minorBidi"/>
              <w:noProof/>
              <w:sz w:val="22"/>
              <w:szCs w:val="22"/>
            </w:rPr>
          </w:pPr>
          <w:hyperlink w:anchor="_Toc85895014" w:history="1">
            <w:r w:rsidR="0089023D" w:rsidRPr="00C62DF2">
              <w:rPr>
                <w:rStyle w:val="Hyperlink"/>
                <w:rFonts w:ascii="Cambria" w:hAnsi="Cambria"/>
                <w:noProof/>
              </w:rPr>
              <w:t>1.2</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Análise do presente caso</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_Toc85895014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31</w:t>
            </w:r>
            <w:r w:rsidR="0089023D" w:rsidRPr="00C62DF2">
              <w:rPr>
                <w:rFonts w:ascii="Cambria" w:hAnsi="Cambria"/>
                <w:noProof/>
                <w:webHidden/>
              </w:rPr>
              <w:fldChar w:fldCharType="end"/>
            </w:r>
          </w:hyperlink>
        </w:p>
        <w:p w14:paraId="2CE7871D" w14:textId="3E49ADE7" w:rsidR="0089023D" w:rsidRPr="00C62DF2" w:rsidRDefault="00085ED9" w:rsidP="00FC0CB6">
          <w:pPr>
            <w:pStyle w:val="TOC3"/>
            <w:rPr>
              <w:rFonts w:ascii="Cambria" w:eastAsiaTheme="minorEastAsia" w:hAnsi="Cambria" w:cstheme="minorBidi"/>
              <w:noProof/>
              <w:sz w:val="22"/>
              <w:szCs w:val="22"/>
            </w:rPr>
          </w:pPr>
          <w:hyperlink w:anchor="_Toc85895015" w:history="1">
            <w:r w:rsidR="0089023D" w:rsidRPr="00C62DF2">
              <w:rPr>
                <w:rStyle w:val="Hyperlink"/>
                <w:rFonts w:ascii="Cambria" w:hAnsi="Cambria"/>
                <w:noProof/>
              </w:rPr>
              <w:t>2.</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Sobre a investigação realizada na jurisdição ordinária</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_Toc85895015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31</w:t>
            </w:r>
            <w:r w:rsidR="0089023D" w:rsidRPr="00C62DF2">
              <w:rPr>
                <w:rFonts w:ascii="Cambria" w:hAnsi="Cambria"/>
                <w:noProof/>
                <w:webHidden/>
              </w:rPr>
              <w:fldChar w:fldCharType="end"/>
            </w:r>
          </w:hyperlink>
        </w:p>
        <w:p w14:paraId="49373069" w14:textId="67088F9F" w:rsidR="0089023D" w:rsidRPr="00C62DF2" w:rsidRDefault="00085ED9" w:rsidP="00FC0CB6">
          <w:pPr>
            <w:pStyle w:val="TOC3"/>
            <w:rPr>
              <w:rFonts w:ascii="Cambria" w:eastAsiaTheme="minorEastAsia" w:hAnsi="Cambria" w:cstheme="minorBidi"/>
              <w:noProof/>
              <w:sz w:val="22"/>
              <w:szCs w:val="22"/>
            </w:rPr>
          </w:pPr>
          <w:hyperlink w:anchor="_Toc85895016" w:history="1">
            <w:r w:rsidR="0089023D" w:rsidRPr="00C62DF2">
              <w:rPr>
                <w:rStyle w:val="Hyperlink"/>
                <w:rFonts w:ascii="Cambria" w:hAnsi="Cambria"/>
                <w:noProof/>
              </w:rPr>
              <w:t>2.1</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Considerações gerais</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_Toc85895016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31</w:t>
            </w:r>
            <w:r w:rsidR="0089023D" w:rsidRPr="00C62DF2">
              <w:rPr>
                <w:rFonts w:ascii="Cambria" w:hAnsi="Cambria"/>
                <w:noProof/>
                <w:webHidden/>
              </w:rPr>
              <w:fldChar w:fldCharType="end"/>
            </w:r>
          </w:hyperlink>
        </w:p>
        <w:p w14:paraId="654913EB" w14:textId="52C0567C" w:rsidR="0089023D" w:rsidRPr="00C62DF2" w:rsidRDefault="00085ED9" w:rsidP="00FC0CB6">
          <w:pPr>
            <w:pStyle w:val="TOC3"/>
            <w:rPr>
              <w:rFonts w:ascii="Cambria" w:eastAsiaTheme="minorEastAsia" w:hAnsi="Cambria" w:cstheme="minorBidi"/>
              <w:noProof/>
              <w:sz w:val="22"/>
              <w:szCs w:val="22"/>
            </w:rPr>
          </w:pPr>
          <w:hyperlink w:anchor="_Toc85895017" w:history="1">
            <w:r w:rsidR="0089023D" w:rsidRPr="00C62DF2">
              <w:rPr>
                <w:rStyle w:val="Hyperlink"/>
                <w:rFonts w:ascii="Cambria" w:hAnsi="Cambria"/>
                <w:noProof/>
              </w:rPr>
              <w:t>2.2</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Análise do presente caso</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_Toc85895017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33</w:t>
            </w:r>
            <w:r w:rsidR="0089023D" w:rsidRPr="00C62DF2">
              <w:rPr>
                <w:rFonts w:ascii="Cambria" w:hAnsi="Cambria"/>
                <w:noProof/>
                <w:webHidden/>
              </w:rPr>
              <w:fldChar w:fldCharType="end"/>
            </w:r>
          </w:hyperlink>
        </w:p>
        <w:p w14:paraId="3F8E0E2A" w14:textId="44D95655" w:rsidR="0089023D" w:rsidRPr="00C62DF2" w:rsidRDefault="00085ED9" w:rsidP="00FC0CB6">
          <w:pPr>
            <w:pStyle w:val="TOC2"/>
            <w:ind w:firstLine="0"/>
            <w:rPr>
              <w:rFonts w:ascii="Cambria" w:eastAsiaTheme="minorEastAsia" w:hAnsi="Cambria" w:cstheme="minorBidi"/>
              <w:noProof/>
              <w:sz w:val="22"/>
              <w:szCs w:val="22"/>
            </w:rPr>
          </w:pPr>
          <w:hyperlink w:anchor="_Toc85895018" w:history="1">
            <w:r w:rsidR="0089023D" w:rsidRPr="00C62DF2">
              <w:rPr>
                <w:rStyle w:val="Hyperlink"/>
                <w:rFonts w:ascii="Cambria" w:hAnsi="Cambria"/>
                <w:noProof/>
                <w:lang w:val="es-ES_tradnl"/>
              </w:rPr>
              <w:t>D.</w:t>
            </w:r>
            <w:r w:rsidR="0089023D" w:rsidRPr="00C62DF2">
              <w:rPr>
                <w:rFonts w:ascii="Cambria" w:eastAsiaTheme="minorEastAsia" w:hAnsi="Cambria" w:cstheme="minorBidi"/>
                <w:noProof/>
                <w:sz w:val="22"/>
                <w:szCs w:val="22"/>
              </w:rPr>
              <w:tab/>
            </w:r>
            <w:r w:rsidR="0089023D" w:rsidRPr="00C62DF2">
              <w:rPr>
                <w:rStyle w:val="Hyperlink"/>
                <w:rFonts w:ascii="Cambria" w:hAnsi="Cambria"/>
                <w:noProof/>
              </w:rPr>
              <w:t>Direito de residência e trânsito (Artigo VIII da Declaração Americana), direito à proteção da infância (artigo VII da Declaração Americana), direito à integridade da pessoa (Artigo I da Declaração Americana) e direito à integridade pessoal (artigo 5 da Convenção Americana)</w:t>
            </w:r>
            <w:r w:rsidR="0089023D" w:rsidRPr="00C62DF2">
              <w:rPr>
                <w:rFonts w:ascii="Cambria" w:hAnsi="Cambria"/>
                <w:noProof/>
                <w:webHidden/>
              </w:rPr>
              <w:tab/>
            </w:r>
            <w:r w:rsidR="0089023D" w:rsidRPr="00C62DF2">
              <w:rPr>
                <w:rFonts w:ascii="Cambria" w:hAnsi="Cambria"/>
                <w:noProof/>
                <w:webHidden/>
              </w:rPr>
              <w:fldChar w:fldCharType="begin"/>
            </w:r>
            <w:r w:rsidR="0089023D" w:rsidRPr="00C62DF2">
              <w:rPr>
                <w:rFonts w:ascii="Cambria" w:hAnsi="Cambria"/>
                <w:noProof/>
                <w:webHidden/>
              </w:rPr>
              <w:instrText xml:space="preserve"> PAGEREF _Toc85895018 \h </w:instrText>
            </w:r>
            <w:r w:rsidR="0089023D" w:rsidRPr="00C62DF2">
              <w:rPr>
                <w:rFonts w:ascii="Cambria" w:hAnsi="Cambria"/>
                <w:noProof/>
                <w:webHidden/>
              </w:rPr>
            </w:r>
            <w:r w:rsidR="0089023D" w:rsidRPr="00C62DF2">
              <w:rPr>
                <w:rFonts w:ascii="Cambria" w:hAnsi="Cambria"/>
                <w:noProof/>
                <w:webHidden/>
              </w:rPr>
              <w:fldChar w:fldCharType="separate"/>
            </w:r>
            <w:r>
              <w:rPr>
                <w:rFonts w:ascii="Cambria" w:hAnsi="Cambria"/>
                <w:noProof/>
                <w:webHidden/>
              </w:rPr>
              <w:t>39</w:t>
            </w:r>
            <w:r w:rsidR="0089023D" w:rsidRPr="00C62DF2">
              <w:rPr>
                <w:rFonts w:ascii="Cambria" w:hAnsi="Cambria"/>
                <w:noProof/>
                <w:webHidden/>
              </w:rPr>
              <w:fldChar w:fldCharType="end"/>
            </w:r>
          </w:hyperlink>
        </w:p>
        <w:p w14:paraId="47C23B65" w14:textId="6C3C4FA0" w:rsidR="0089023D" w:rsidRPr="00C62DF2" w:rsidRDefault="00085ED9" w:rsidP="00FC0CB6">
          <w:pPr>
            <w:pStyle w:val="TOC1"/>
            <w:rPr>
              <w:rFonts w:eastAsiaTheme="minorEastAsia" w:cstheme="minorBidi"/>
              <w:b w:val="0"/>
              <w:sz w:val="22"/>
              <w:szCs w:val="22"/>
              <w:lang w:val="pt-BR"/>
            </w:rPr>
          </w:pPr>
          <w:hyperlink w:anchor="_Toc85895019" w:history="1">
            <w:r w:rsidR="0089023D" w:rsidRPr="00C62DF2">
              <w:rPr>
                <w:rStyle w:val="Hyperlink"/>
              </w:rPr>
              <w:t>V.</w:t>
            </w:r>
            <w:r w:rsidR="0089023D" w:rsidRPr="00C62DF2">
              <w:rPr>
                <w:rFonts w:eastAsiaTheme="minorEastAsia" w:cstheme="minorBidi"/>
                <w:b w:val="0"/>
                <w:sz w:val="22"/>
                <w:szCs w:val="22"/>
                <w:lang w:val="pt-BR"/>
              </w:rPr>
              <w:tab/>
            </w:r>
            <w:r w:rsidR="0089023D" w:rsidRPr="00C62DF2">
              <w:rPr>
                <w:rStyle w:val="Hyperlink"/>
                <w:lang w:val="pt-BR"/>
              </w:rPr>
              <w:t>CONCLUSÕES E RECOMENDAÇÕES</w:t>
            </w:r>
            <w:r w:rsidR="0089023D" w:rsidRPr="00C62DF2">
              <w:rPr>
                <w:webHidden/>
              </w:rPr>
              <w:tab/>
            </w:r>
            <w:r w:rsidR="0089023D" w:rsidRPr="00C62DF2">
              <w:rPr>
                <w:webHidden/>
              </w:rPr>
              <w:fldChar w:fldCharType="begin"/>
            </w:r>
            <w:r w:rsidR="0089023D" w:rsidRPr="00C62DF2">
              <w:rPr>
                <w:webHidden/>
              </w:rPr>
              <w:instrText xml:space="preserve"> PAGEREF _Toc85895019 \h </w:instrText>
            </w:r>
            <w:r w:rsidR="0089023D" w:rsidRPr="00C62DF2">
              <w:rPr>
                <w:webHidden/>
              </w:rPr>
            </w:r>
            <w:r w:rsidR="0089023D" w:rsidRPr="00C62DF2">
              <w:rPr>
                <w:webHidden/>
              </w:rPr>
              <w:fldChar w:fldCharType="separate"/>
            </w:r>
            <w:r>
              <w:rPr>
                <w:webHidden/>
              </w:rPr>
              <w:t>41</w:t>
            </w:r>
            <w:r w:rsidR="0089023D" w:rsidRPr="00C62DF2">
              <w:rPr>
                <w:webHidden/>
              </w:rPr>
              <w:fldChar w:fldCharType="end"/>
            </w:r>
          </w:hyperlink>
        </w:p>
        <w:p w14:paraId="3E63C5C1" w14:textId="016D7F3E" w:rsidR="007C2EFF" w:rsidRPr="00C62DF2" w:rsidRDefault="007C2EFF" w:rsidP="00FC0CB6">
          <w:pPr>
            <w:jc w:val="both"/>
            <w:rPr>
              <w:rFonts w:ascii="Cambria" w:hAnsi="Cambria"/>
              <w:sz w:val="20"/>
              <w:szCs w:val="20"/>
            </w:rPr>
          </w:pPr>
          <w:r w:rsidRPr="00C62DF2">
            <w:rPr>
              <w:rFonts w:ascii="Cambria" w:hAnsi="Cambria"/>
              <w:b/>
              <w:bCs/>
              <w:sz w:val="20"/>
              <w:szCs w:val="20"/>
            </w:rPr>
            <w:fldChar w:fldCharType="end"/>
          </w:r>
        </w:p>
      </w:sdtContent>
    </w:sdt>
    <w:p w14:paraId="14A654DB" w14:textId="77777777" w:rsidR="007C2EFF" w:rsidRPr="00C62DF2" w:rsidRDefault="007C2EFF" w:rsidP="00FC0CB6">
      <w:pPr>
        <w:pStyle w:val="Body"/>
        <w:suppressAutoHyphens/>
        <w:spacing w:line="276" w:lineRule="auto"/>
        <w:ind w:firstLine="0"/>
        <w:rPr>
          <w:lang w:val="pt-BR"/>
        </w:rPr>
      </w:pPr>
    </w:p>
    <w:p w14:paraId="4C1223EF" w14:textId="77777777" w:rsidR="007C2EFF" w:rsidRPr="00C62DF2" w:rsidRDefault="007C2EFF" w:rsidP="00FC0CB6">
      <w:pPr>
        <w:pStyle w:val="Body"/>
        <w:ind w:firstLine="0"/>
        <w:jc w:val="center"/>
        <w:rPr>
          <w:lang w:val="pt-BR"/>
        </w:rPr>
      </w:pPr>
      <w:r w:rsidRPr="00C62DF2">
        <w:rPr>
          <w:lang w:val="pt-BR"/>
        </w:rPr>
        <w:br w:type="page"/>
      </w:r>
    </w:p>
    <w:p w14:paraId="6EF96183" w14:textId="77777777" w:rsidR="007C2EFF" w:rsidRPr="00C62DF2" w:rsidRDefault="007C2EFF" w:rsidP="00FC0CB6">
      <w:pPr>
        <w:pStyle w:val="ListParagraph"/>
        <w:suppressAutoHyphens/>
        <w:ind w:left="0" w:firstLine="0"/>
        <w:rPr>
          <w:b/>
          <w:bCs/>
          <w:sz w:val="20"/>
          <w:szCs w:val="20"/>
          <w:lang w:val="pt-BR"/>
        </w:rPr>
      </w:pPr>
    </w:p>
    <w:p w14:paraId="701EC8B0" w14:textId="77777777" w:rsidR="007C2EFF" w:rsidRPr="00C62DF2" w:rsidRDefault="007C2EFF" w:rsidP="00FC0CB6">
      <w:pPr>
        <w:pStyle w:val="Heading1"/>
        <w:ind w:firstLine="0"/>
        <w:rPr>
          <w:lang w:val="pt-BR"/>
        </w:rPr>
      </w:pPr>
      <w:bookmarkStart w:id="0" w:name="_Toc85894995"/>
      <w:r w:rsidRPr="00C62DF2">
        <w:rPr>
          <w:lang w:val="pt-BR"/>
        </w:rPr>
        <w:t>RESUMO</w:t>
      </w:r>
      <w:bookmarkEnd w:id="0"/>
    </w:p>
    <w:p w14:paraId="6805E991" w14:textId="684511AB" w:rsidR="007C2EFF" w:rsidRPr="00C62DF2" w:rsidRDefault="007C2EFF" w:rsidP="00FC0CB6">
      <w:pPr>
        <w:pStyle w:val="Body"/>
        <w:ind w:firstLine="0"/>
        <w:rPr>
          <w:lang w:val="pt-BR"/>
        </w:rPr>
      </w:pPr>
    </w:p>
    <w:p w14:paraId="45DE5397" w14:textId="607B6EE5" w:rsidR="007C2EFF" w:rsidRPr="00C62DF2" w:rsidRDefault="007C2EFF" w:rsidP="00FC0CB6">
      <w:pPr>
        <w:pStyle w:val="Body"/>
        <w:numPr>
          <w:ilvl w:val="0"/>
          <w:numId w:val="2"/>
        </w:numPr>
        <w:ind w:firstLine="0"/>
        <w:rPr>
          <w:lang w:val="pt-BR"/>
        </w:rPr>
      </w:pPr>
      <w:r w:rsidRPr="00C62DF2">
        <w:rPr>
          <w:lang w:val="pt-BR"/>
        </w:rPr>
        <w:t xml:space="preserve">Em 22 de agosto de 2012 a Comissão Interamericana de Direitos Humanos (doravante “Comissão” ou “CIDH”) recebeu uma petição apresentada pelo Centro pela Justiça e o Direito Internacional (CEJIL/Brasil), na qual se alega a responsabilidade internacional da República Federativa do Brasil (doravante “Estado” ou “Brasil”) em detrimento de Eduardo Collen Leite (doravante “Bacuri”, “Eduardo” ou “Collen Leite”), Denise Peres Crispim (sua companheira na época dos fatos), Eduarda Crispim Leite (sua filha) e Leonardo Ditta (atual esposo da senhora Denise Peres Crispim). </w:t>
      </w:r>
    </w:p>
    <w:p w14:paraId="7D39A19E" w14:textId="77777777" w:rsidR="007C2EFF" w:rsidRPr="00C62DF2" w:rsidRDefault="007C2EFF" w:rsidP="00FC0CB6">
      <w:pPr>
        <w:pStyle w:val="Body"/>
        <w:ind w:left="720" w:firstLine="0"/>
        <w:rPr>
          <w:lang w:val="pt-BR"/>
        </w:rPr>
      </w:pPr>
    </w:p>
    <w:p w14:paraId="26FA1B78" w14:textId="700A6332" w:rsidR="007C2EFF" w:rsidRPr="00C62DF2" w:rsidRDefault="007C2EFF" w:rsidP="00FC0CB6">
      <w:pPr>
        <w:pStyle w:val="Body"/>
        <w:numPr>
          <w:ilvl w:val="0"/>
          <w:numId w:val="2"/>
        </w:numPr>
        <w:ind w:firstLine="0"/>
        <w:rPr>
          <w:lang w:val="pt-BR"/>
        </w:rPr>
      </w:pPr>
      <w:r w:rsidRPr="00C62DF2">
        <w:rPr>
          <w:lang w:val="pt-BR"/>
        </w:rPr>
        <w:t xml:space="preserve">Em 7 de dezembro de 2018, a CIDH aprovou o </w:t>
      </w:r>
      <w:r w:rsidR="00566CD5" w:rsidRPr="00C62DF2">
        <w:rPr>
          <w:lang w:val="pt-BR"/>
        </w:rPr>
        <w:t>relatório</w:t>
      </w:r>
      <w:r w:rsidRPr="00C62DF2">
        <w:rPr>
          <w:lang w:val="pt-BR"/>
        </w:rPr>
        <w:t xml:space="preserve"> Nº 145/18, mediante o qual declarou a admissibilidade da petição com relação aos artigos I (direito à vida, à liberdade, à segurança e à integridade da pessoa), VII (direito </w:t>
      </w:r>
      <w:r w:rsidR="006A4BC7" w:rsidRPr="00C62DF2">
        <w:rPr>
          <w:lang w:val="pt-BR"/>
        </w:rPr>
        <w:t>à</w:t>
      </w:r>
      <w:r w:rsidRPr="00C62DF2">
        <w:rPr>
          <w:lang w:val="pt-BR"/>
        </w:rPr>
        <w:t xml:space="preserve"> proteção da maternidade e da infância), XVIII (direito </w:t>
      </w:r>
      <w:r w:rsidR="00E23F4D" w:rsidRPr="00C62DF2">
        <w:rPr>
          <w:lang w:val="pt-BR"/>
        </w:rPr>
        <w:t>à</w:t>
      </w:r>
      <w:r w:rsidRPr="00C62DF2">
        <w:rPr>
          <w:lang w:val="pt-BR"/>
        </w:rPr>
        <w:t xml:space="preserve"> justiça), XXII (direito </w:t>
      </w:r>
      <w:r w:rsidR="00E23F4D" w:rsidRPr="00C62DF2">
        <w:rPr>
          <w:lang w:val="pt-BR"/>
        </w:rPr>
        <w:t>de</w:t>
      </w:r>
      <w:r w:rsidRPr="00C62DF2">
        <w:rPr>
          <w:lang w:val="pt-BR"/>
        </w:rPr>
        <w:t xml:space="preserve"> associação) e XXV (direito </w:t>
      </w:r>
      <w:r w:rsidR="006A4BC7" w:rsidRPr="00C62DF2">
        <w:rPr>
          <w:lang w:val="pt-BR"/>
        </w:rPr>
        <w:t>à</w:t>
      </w:r>
      <w:r w:rsidRPr="00C62DF2">
        <w:rPr>
          <w:lang w:val="pt-BR"/>
        </w:rPr>
        <w:t xml:space="preserve"> proteção contra a detenção arbitrária) da Declaração Americana, dos direitos consagrados nos artigos 5.1 (direito à integridade pessoal), 8.1 (</w:t>
      </w:r>
      <w:r w:rsidRPr="00C62DF2">
        <w:rPr>
          <w:bCs/>
          <w:lang w:val="pt-BR"/>
        </w:rPr>
        <w:t xml:space="preserve">garantias judiciais), 18 (nome) e </w:t>
      </w:r>
      <w:r w:rsidRPr="00C62DF2">
        <w:rPr>
          <w:lang w:val="pt-BR"/>
        </w:rPr>
        <w:t xml:space="preserve">25 (proteção judicial) da Convenção Americana, em conexão com as obrigações gerais estabelecidas  nos artigos 1.1 e 2 do mesmo instrumento; e dos artigos 1, 6 e 8 da Convenção Interamericana para Prevenir e </w:t>
      </w:r>
      <w:r w:rsidR="009714E6" w:rsidRPr="00C62DF2">
        <w:rPr>
          <w:lang w:val="pt-BR"/>
        </w:rPr>
        <w:t>Punir</w:t>
      </w:r>
      <w:r w:rsidRPr="00C62DF2">
        <w:rPr>
          <w:lang w:val="pt-BR"/>
        </w:rPr>
        <w:t xml:space="preserve"> a Tortura. </w:t>
      </w:r>
    </w:p>
    <w:p w14:paraId="63FC81D0" w14:textId="77777777" w:rsidR="007C2EFF" w:rsidRPr="00C62DF2" w:rsidRDefault="007C2EFF" w:rsidP="00FC0CB6">
      <w:pPr>
        <w:pStyle w:val="Body"/>
        <w:ind w:firstLine="0"/>
        <w:rPr>
          <w:lang w:val="pt-BR"/>
        </w:rPr>
      </w:pPr>
    </w:p>
    <w:p w14:paraId="690D03BE" w14:textId="77777777" w:rsidR="007C2EFF" w:rsidRPr="00C62DF2" w:rsidRDefault="007C2EFF" w:rsidP="00FC0CB6">
      <w:pPr>
        <w:pStyle w:val="Body"/>
        <w:ind w:firstLine="0"/>
        <w:rPr>
          <w:lang w:val="pt-BR"/>
        </w:rPr>
      </w:pPr>
    </w:p>
    <w:p w14:paraId="3355818A" w14:textId="77777777" w:rsidR="007C2EFF" w:rsidRPr="00C62DF2" w:rsidRDefault="007C2EFF" w:rsidP="00FC0CB6">
      <w:pPr>
        <w:pStyle w:val="Heading1"/>
        <w:ind w:firstLine="0"/>
        <w:rPr>
          <w:rFonts w:eastAsia="Times New Roman" w:cs="Times New Roman"/>
          <w:lang w:val="pt-BR"/>
        </w:rPr>
      </w:pPr>
      <w:bookmarkStart w:id="1" w:name="_Toc85894996"/>
      <w:r w:rsidRPr="00C62DF2">
        <w:rPr>
          <w:lang w:val="pt-BR"/>
        </w:rPr>
        <w:t>ALEGAÇÕES DAS PARTES</w:t>
      </w:r>
      <w:bookmarkEnd w:id="1"/>
    </w:p>
    <w:p w14:paraId="72576C16" w14:textId="77777777" w:rsidR="007C2EFF" w:rsidRPr="00C62DF2" w:rsidRDefault="007C2EFF" w:rsidP="00FC0CB6">
      <w:pPr>
        <w:pStyle w:val="ListParagraph"/>
        <w:suppressAutoHyphens/>
        <w:ind w:firstLine="0"/>
        <w:rPr>
          <w:b/>
          <w:bCs/>
          <w:sz w:val="20"/>
          <w:szCs w:val="20"/>
          <w:lang w:val="pt-BR"/>
        </w:rPr>
      </w:pPr>
    </w:p>
    <w:p w14:paraId="1EDA89D8" w14:textId="77777777" w:rsidR="007C2EFF" w:rsidRPr="00C62DF2" w:rsidRDefault="007C2EFF" w:rsidP="00FC0CB6">
      <w:pPr>
        <w:pStyle w:val="Heading2"/>
        <w:ind w:firstLine="0"/>
        <w:rPr>
          <w:lang w:val="pt-BR"/>
        </w:rPr>
      </w:pPr>
      <w:bookmarkStart w:id="2" w:name="_Toc85894997"/>
      <w:r w:rsidRPr="00C62DF2">
        <w:rPr>
          <w:lang w:val="pt-BR"/>
        </w:rPr>
        <w:t>A parte peticionária</w:t>
      </w:r>
      <w:bookmarkEnd w:id="2"/>
    </w:p>
    <w:p w14:paraId="40E6F511" w14:textId="77777777" w:rsidR="007C2EFF" w:rsidRPr="00C62DF2" w:rsidRDefault="007C2EFF" w:rsidP="00FC0CB6">
      <w:pPr>
        <w:rPr>
          <w:rFonts w:ascii="Cambria" w:hAnsi="Cambria"/>
          <w:sz w:val="20"/>
          <w:szCs w:val="20"/>
          <w:lang w:eastAsia="es-CL"/>
        </w:rPr>
      </w:pPr>
    </w:p>
    <w:p w14:paraId="77545F98" w14:textId="5D11AC81" w:rsidR="007C2EFF" w:rsidRPr="00C62DF2" w:rsidRDefault="007C2EFF" w:rsidP="00FC0CB6">
      <w:pPr>
        <w:pStyle w:val="Body"/>
        <w:numPr>
          <w:ilvl w:val="0"/>
          <w:numId w:val="2"/>
        </w:numPr>
        <w:ind w:firstLine="0"/>
        <w:rPr>
          <w:rStyle w:val="Emphasis"/>
          <w:i w:val="0"/>
          <w:iCs w:val="0"/>
          <w:color w:val="auto"/>
          <w:lang w:val="pt-BR"/>
        </w:rPr>
      </w:pPr>
      <w:r w:rsidRPr="00C62DF2">
        <w:rPr>
          <w:rStyle w:val="Emphasis"/>
          <w:rFonts w:cs="Arial"/>
          <w:i w:val="0"/>
          <w:lang w:val="pt-BR"/>
        </w:rPr>
        <w:t xml:space="preserve">Segundo a </w:t>
      </w:r>
      <w:r w:rsidR="005D32FC" w:rsidRPr="00C62DF2">
        <w:rPr>
          <w:rStyle w:val="Emphasis"/>
          <w:rFonts w:cs="Arial"/>
          <w:i w:val="0"/>
          <w:lang w:val="pt-BR"/>
        </w:rPr>
        <w:t xml:space="preserve">parte </w:t>
      </w:r>
      <w:r w:rsidRPr="00C62DF2">
        <w:rPr>
          <w:rStyle w:val="Emphasis"/>
          <w:rFonts w:cs="Arial"/>
          <w:i w:val="0"/>
          <w:lang w:val="pt-BR"/>
        </w:rPr>
        <w:t xml:space="preserve">peticionária, os fatos do presente caso ocorreram no âmbito do regime ditatorial no Brasil, iniciado com um golpe de Estado em 31 de março de 1964 e </w:t>
      </w:r>
      <w:r w:rsidR="00566CD5" w:rsidRPr="00C62DF2">
        <w:rPr>
          <w:rStyle w:val="Emphasis"/>
          <w:rFonts w:cs="Arial"/>
          <w:i w:val="0"/>
          <w:lang w:val="pt-BR"/>
        </w:rPr>
        <w:t>estendido</w:t>
      </w:r>
      <w:r w:rsidRPr="00C62DF2">
        <w:rPr>
          <w:rStyle w:val="Emphasis"/>
          <w:rFonts w:cs="Arial"/>
          <w:i w:val="0"/>
          <w:lang w:val="pt-BR"/>
        </w:rPr>
        <w:t xml:space="preserve"> até 1985. A respeito, alegaram que durante es</w:t>
      </w:r>
      <w:r w:rsidR="0027362F" w:rsidRPr="00C62DF2">
        <w:rPr>
          <w:rStyle w:val="Emphasis"/>
          <w:rFonts w:cs="Arial"/>
          <w:i w:val="0"/>
          <w:lang w:val="pt-BR"/>
        </w:rPr>
        <w:t>se</w:t>
      </w:r>
      <w:r w:rsidRPr="00C62DF2">
        <w:rPr>
          <w:rStyle w:val="Emphasis"/>
          <w:rFonts w:cs="Arial"/>
          <w:i w:val="0"/>
          <w:lang w:val="pt-BR"/>
        </w:rPr>
        <w:t xml:space="preserve"> período as forças de segurança mantiveram uma prática sistemática e generalizada de graves violações de direitos humanos contra líderes sindicais, dissidentes políticos, jornalistas</w:t>
      </w:r>
      <w:r w:rsidR="009803F4" w:rsidRPr="00C62DF2">
        <w:rPr>
          <w:rStyle w:val="Emphasis"/>
          <w:rFonts w:cs="Arial"/>
          <w:i w:val="0"/>
          <w:lang w:val="pt-BR"/>
        </w:rPr>
        <w:t xml:space="preserve"> e </w:t>
      </w:r>
      <w:r w:rsidRPr="00C62DF2">
        <w:rPr>
          <w:rStyle w:val="Emphasis"/>
          <w:rFonts w:cs="Arial"/>
          <w:i w:val="0"/>
          <w:lang w:val="pt-BR"/>
        </w:rPr>
        <w:t>estudantes, entre outros. Es</w:t>
      </w:r>
      <w:r w:rsidR="0027362F" w:rsidRPr="00C62DF2">
        <w:rPr>
          <w:rStyle w:val="Emphasis"/>
          <w:rFonts w:cs="Arial"/>
          <w:i w:val="0"/>
          <w:lang w:val="pt-BR"/>
        </w:rPr>
        <w:t>t</w:t>
      </w:r>
      <w:r w:rsidRPr="00C62DF2">
        <w:rPr>
          <w:rStyle w:val="Emphasis"/>
          <w:rFonts w:cs="Arial"/>
          <w:i w:val="0"/>
          <w:lang w:val="pt-BR"/>
        </w:rPr>
        <w:t xml:space="preserve">a prática incluía detenções arbitrárias, torturas e execuções extrajudiciais. Igualmente, apontaram a censura prévia imposta a meios de comunicação no país com o fim de garantir que não se difundissem notícias que prejudicassem a imagem de prosperidade desejada pelo regime de fato. </w:t>
      </w:r>
    </w:p>
    <w:p w14:paraId="7AE442ED" w14:textId="77777777" w:rsidR="007C2EFF" w:rsidRPr="00C62DF2" w:rsidRDefault="007C2EFF" w:rsidP="00FC0CB6">
      <w:pPr>
        <w:pStyle w:val="Body"/>
        <w:ind w:left="720" w:firstLine="0"/>
        <w:rPr>
          <w:rStyle w:val="Emphasis"/>
          <w:i w:val="0"/>
          <w:iCs w:val="0"/>
          <w:color w:val="auto"/>
          <w:lang w:val="pt-BR"/>
        </w:rPr>
      </w:pPr>
    </w:p>
    <w:p w14:paraId="21E86FEA" w14:textId="4CA793A4" w:rsidR="007C2EFF" w:rsidRPr="00C62DF2" w:rsidRDefault="007C2EFF" w:rsidP="00FC0CB6">
      <w:pPr>
        <w:pStyle w:val="Body"/>
        <w:numPr>
          <w:ilvl w:val="0"/>
          <w:numId w:val="2"/>
        </w:numPr>
        <w:ind w:firstLine="0"/>
        <w:rPr>
          <w:color w:val="auto"/>
          <w:lang w:val="pt-BR"/>
        </w:rPr>
      </w:pPr>
      <w:r w:rsidRPr="00C62DF2">
        <w:rPr>
          <w:rFonts w:cs="Arial"/>
          <w:lang w:val="pt-BR"/>
        </w:rPr>
        <w:t xml:space="preserve">Afirmou que Eduardo Collen Leite integrou </w:t>
      </w:r>
      <w:r w:rsidR="0027362F" w:rsidRPr="00C62DF2">
        <w:rPr>
          <w:rFonts w:cs="Arial"/>
          <w:lang w:val="pt-BR"/>
        </w:rPr>
        <w:t>grupos</w:t>
      </w:r>
      <w:r w:rsidRPr="00C62DF2">
        <w:rPr>
          <w:rFonts w:cs="Arial"/>
          <w:lang w:val="pt-BR"/>
        </w:rPr>
        <w:t xml:space="preserve"> e movimentos de oposição ao regime civil-militar brasileiro e suas atividades eram reconhecidas como de extrema relevância para a resistência à ditadura. A título de exemplo, indicou que Eduardo foi líder da Ação Nacional Libert</w:t>
      </w:r>
      <w:r w:rsidR="009803F4" w:rsidRPr="00C62DF2">
        <w:rPr>
          <w:rFonts w:cs="Arial"/>
          <w:lang w:val="pt-BR"/>
        </w:rPr>
        <w:t>adora</w:t>
      </w:r>
      <w:r w:rsidRPr="00C62DF2">
        <w:rPr>
          <w:rFonts w:cs="Arial"/>
          <w:lang w:val="pt-BR"/>
        </w:rPr>
        <w:t xml:space="preserve"> (doravante “ALN”) e </w:t>
      </w:r>
      <w:r w:rsidR="00E23F4D" w:rsidRPr="00C62DF2">
        <w:rPr>
          <w:rFonts w:cs="Arial"/>
          <w:lang w:val="pt-BR"/>
        </w:rPr>
        <w:t>fund</w:t>
      </w:r>
      <w:r w:rsidR="00884749" w:rsidRPr="00C62DF2">
        <w:rPr>
          <w:rFonts w:cs="Arial"/>
          <w:lang w:val="pt-BR"/>
        </w:rPr>
        <w:t>o</w:t>
      </w:r>
      <w:r w:rsidRPr="00C62DF2">
        <w:rPr>
          <w:rFonts w:cs="Arial"/>
          <w:lang w:val="pt-BR"/>
        </w:rPr>
        <w:t>u outros agrupamentos</w:t>
      </w:r>
      <w:r w:rsidR="009803F4" w:rsidRPr="00C62DF2">
        <w:rPr>
          <w:rFonts w:cs="Arial"/>
          <w:lang w:val="pt-BR"/>
        </w:rPr>
        <w:t>,</w:t>
      </w:r>
      <w:r w:rsidRPr="00C62DF2">
        <w:rPr>
          <w:rFonts w:cs="Arial"/>
          <w:lang w:val="pt-BR"/>
        </w:rPr>
        <w:t xml:space="preserve"> como a Resistência Democrática (REDE).</w:t>
      </w:r>
      <w:r w:rsidRPr="00C62DF2">
        <w:rPr>
          <w:lang w:val="pt-BR"/>
        </w:rPr>
        <w:t xml:space="preserve"> </w:t>
      </w:r>
      <w:r w:rsidRPr="00C62DF2">
        <w:rPr>
          <w:rFonts w:cs="Arial"/>
          <w:lang w:val="pt-BR"/>
        </w:rPr>
        <w:t xml:space="preserve">Alegou que o senhor Collen Leite recebeu o apelido “Bacuri”, que significa “menino”, em alusão à idade em que entrou nos movimentos políticos. </w:t>
      </w:r>
    </w:p>
    <w:p w14:paraId="6D1A3A8C" w14:textId="77777777" w:rsidR="007C2EFF" w:rsidRPr="00C62DF2" w:rsidRDefault="007C2EFF" w:rsidP="00FC0CB6">
      <w:pPr>
        <w:pStyle w:val="ListParagraph"/>
        <w:ind w:firstLine="0"/>
        <w:rPr>
          <w:rFonts w:cs="Arial"/>
          <w:sz w:val="20"/>
          <w:szCs w:val="20"/>
          <w:lang w:val="pt-BR"/>
        </w:rPr>
      </w:pPr>
    </w:p>
    <w:p w14:paraId="22450532" w14:textId="7B75BE30" w:rsidR="007C2EFF" w:rsidRPr="00C62DF2" w:rsidRDefault="007C2EFF" w:rsidP="00FC0CB6">
      <w:pPr>
        <w:pStyle w:val="Body"/>
        <w:numPr>
          <w:ilvl w:val="0"/>
          <w:numId w:val="2"/>
        </w:numPr>
        <w:ind w:firstLine="0"/>
        <w:rPr>
          <w:color w:val="auto"/>
          <w:lang w:val="pt-BR"/>
        </w:rPr>
      </w:pPr>
      <w:r w:rsidRPr="00C62DF2">
        <w:rPr>
          <w:rFonts w:cs="Arial"/>
          <w:lang w:val="pt-BR"/>
        </w:rPr>
        <w:t>Além disso, afirmou que Eduardo conheceu Denise Peres Crispim (doravante “senhora Denise Crispim” ou “Denise”) nos agrupamentos contra o regime civil militar. Nesse sentido, afirmou que Denise e Eduardo iniciaram um relacionamento amoroso e passaram a viver juntos</w:t>
      </w:r>
      <w:r w:rsidR="009803F4" w:rsidRPr="00C62DF2">
        <w:rPr>
          <w:rFonts w:cs="Arial"/>
          <w:lang w:val="pt-BR"/>
        </w:rPr>
        <w:t>;</w:t>
      </w:r>
      <w:r w:rsidRPr="00C62DF2">
        <w:rPr>
          <w:rFonts w:cs="Arial"/>
          <w:lang w:val="pt-BR"/>
        </w:rPr>
        <w:t xml:space="preserve"> em 1970, a senhora Denise Crispim ficou grávida da única filha que o casal teria, Eduarda Crispim Leite. A</w:t>
      </w:r>
      <w:r w:rsidR="009803F4" w:rsidRPr="00C62DF2">
        <w:rPr>
          <w:rFonts w:cs="Arial"/>
          <w:lang w:val="pt-BR"/>
        </w:rPr>
        <w:t>crescent</w:t>
      </w:r>
      <w:r w:rsidRPr="00C62DF2">
        <w:rPr>
          <w:rFonts w:cs="Arial"/>
          <w:lang w:val="pt-BR"/>
        </w:rPr>
        <w:t>ou que a residência de Denise Crispim e Eduardo Collen Leite era conhecida como a sede da REDE e nela se realizavam reuniões e estratégias da luta armada de resistência à repressão.</w:t>
      </w:r>
    </w:p>
    <w:p w14:paraId="4CE51E37" w14:textId="77777777" w:rsidR="007C2EFF" w:rsidRPr="00C62DF2" w:rsidRDefault="007C2EFF" w:rsidP="00FC0CB6">
      <w:pPr>
        <w:pStyle w:val="ListParagraph"/>
        <w:ind w:firstLine="0"/>
        <w:rPr>
          <w:rFonts w:cs="Arial"/>
          <w:sz w:val="20"/>
          <w:szCs w:val="20"/>
          <w:lang w:val="pt-BR"/>
        </w:rPr>
      </w:pPr>
    </w:p>
    <w:p w14:paraId="0CC4EFA9" w14:textId="42BD8CEB" w:rsidR="007C2EFF" w:rsidRPr="00C62DF2" w:rsidRDefault="007C2EFF" w:rsidP="00FC0CB6">
      <w:pPr>
        <w:pStyle w:val="Body"/>
        <w:numPr>
          <w:ilvl w:val="0"/>
          <w:numId w:val="2"/>
        </w:numPr>
        <w:ind w:firstLine="0"/>
        <w:rPr>
          <w:color w:val="auto"/>
          <w:lang w:val="pt-BR"/>
        </w:rPr>
      </w:pPr>
      <w:r w:rsidRPr="00C62DF2">
        <w:rPr>
          <w:rFonts w:cs="Arial"/>
          <w:lang w:val="pt-BR"/>
        </w:rPr>
        <w:t>Conforme a parte peticionária, em 21 de agosto de 1970</w:t>
      </w:r>
      <w:r w:rsidR="0027362F" w:rsidRPr="00C62DF2">
        <w:rPr>
          <w:rFonts w:cs="Arial"/>
          <w:lang w:val="pt-BR"/>
        </w:rPr>
        <w:t>,</w:t>
      </w:r>
      <w:r w:rsidRPr="00C62DF2">
        <w:rPr>
          <w:rFonts w:cs="Arial"/>
          <w:lang w:val="pt-BR"/>
        </w:rPr>
        <w:t xml:space="preserve"> o senhor Collen Leite foi privado de liberdade na cidade do Rio de Janeiro por agentes militares </w:t>
      </w:r>
      <w:r w:rsidR="009803F4" w:rsidRPr="00C62DF2">
        <w:rPr>
          <w:rFonts w:cs="Arial"/>
          <w:lang w:val="pt-BR"/>
        </w:rPr>
        <w:t>n</w:t>
      </w:r>
      <w:r w:rsidRPr="00C62DF2">
        <w:rPr>
          <w:rFonts w:cs="Arial"/>
          <w:lang w:val="pt-BR"/>
        </w:rPr>
        <w:t>uma operação executada pelo CENIMAR (</w:t>
      </w:r>
      <w:r w:rsidR="0027362F" w:rsidRPr="00C62DF2">
        <w:rPr>
          <w:rFonts w:cs="Arial"/>
          <w:lang w:val="pt-BR"/>
        </w:rPr>
        <w:t>Centro de Informações da Marinha</w:t>
      </w:r>
      <w:r w:rsidRPr="00C62DF2">
        <w:rPr>
          <w:rFonts w:cs="Arial"/>
          <w:lang w:val="pt-BR"/>
        </w:rPr>
        <w:t xml:space="preserve">) e pelo comissário Sérgio Paranho Fleury (doravante “comissário Fleury”), responsável pelo DOPS (Departamento de Ordem Política e Social, responsável pela repressão na ditadura). Afirmou que, </w:t>
      </w:r>
      <w:r w:rsidR="00566CD5" w:rsidRPr="00C62DF2">
        <w:rPr>
          <w:rFonts w:cs="Arial"/>
          <w:lang w:val="pt-BR"/>
        </w:rPr>
        <w:t>após</w:t>
      </w:r>
      <w:r w:rsidRPr="00C62DF2">
        <w:rPr>
          <w:rFonts w:cs="Arial"/>
          <w:lang w:val="pt-BR"/>
        </w:rPr>
        <w:t xml:space="preserve"> sua prisão, Bacuri foi levado a uma prisão clandestina localizada numa residência privada no Rio de Janeiro. A esse respeito, sustentou que a suposta vítima foi violentamente torturada, o que teria resultado em sua incapacidade locomotora. </w:t>
      </w:r>
      <w:r w:rsidR="009803F4" w:rsidRPr="00C62DF2">
        <w:rPr>
          <w:rFonts w:cs="Arial"/>
          <w:lang w:val="pt-BR"/>
        </w:rPr>
        <w:t>Além disso,</w:t>
      </w:r>
      <w:r w:rsidRPr="00C62DF2">
        <w:rPr>
          <w:rFonts w:cs="Arial"/>
          <w:lang w:val="pt-BR"/>
        </w:rPr>
        <w:t xml:space="preserve"> indicou que Eduardo também foi visto na sede do DOI-CODI (Destacamento de Operações de Informação – Centro de Operações de Defesa Interna) e foi trasladado ao 41º Distrito Policial, na cidade de São Paulo. Alegou que em outubro de 1970 foi colocado na cela 4, conhecida como “fundão do DOPS”, pois era uma cela isolada. </w:t>
      </w:r>
    </w:p>
    <w:p w14:paraId="7A2AEB66" w14:textId="77777777" w:rsidR="007C2EFF" w:rsidRPr="00C62DF2" w:rsidRDefault="007C2EFF" w:rsidP="00FC0CB6">
      <w:pPr>
        <w:pStyle w:val="ListParagraph"/>
        <w:ind w:firstLine="0"/>
        <w:rPr>
          <w:sz w:val="20"/>
          <w:szCs w:val="20"/>
          <w:lang w:val="pt-BR"/>
        </w:rPr>
      </w:pPr>
    </w:p>
    <w:p w14:paraId="5B95B36C" w14:textId="4D1FE23E" w:rsidR="007C2EFF" w:rsidRPr="00C62DF2" w:rsidRDefault="007C2EFF" w:rsidP="00FC0CB6">
      <w:pPr>
        <w:pStyle w:val="Body"/>
        <w:numPr>
          <w:ilvl w:val="0"/>
          <w:numId w:val="2"/>
        </w:numPr>
        <w:ind w:firstLine="0"/>
        <w:rPr>
          <w:color w:val="auto"/>
          <w:lang w:val="pt-BR"/>
        </w:rPr>
      </w:pPr>
      <w:r w:rsidRPr="00C62DF2">
        <w:rPr>
          <w:lang w:val="pt-BR"/>
        </w:rPr>
        <w:lastRenderedPageBreak/>
        <w:t>Alegou que em 24 de outubro de 1970 a imprensa divulgou uma nota oficial na qual indicou que um dos companheiros de militância de Eduardo Collen Leite, o dirigente da ALN, senhor Joaquim Câmara Ferreira</w:t>
      </w:r>
      <w:r w:rsidR="00AF65FE" w:rsidRPr="00C62DF2">
        <w:rPr>
          <w:lang w:val="pt-BR"/>
        </w:rPr>
        <w:t>,</w:t>
      </w:r>
      <w:r w:rsidRPr="00C62DF2">
        <w:rPr>
          <w:lang w:val="pt-BR"/>
        </w:rPr>
        <w:t xml:space="preserve"> havia falecido </w:t>
      </w:r>
      <w:r w:rsidR="0004603B" w:rsidRPr="00C62DF2">
        <w:rPr>
          <w:lang w:val="pt-BR"/>
        </w:rPr>
        <w:t>em um</w:t>
      </w:r>
      <w:r w:rsidRPr="00C62DF2">
        <w:rPr>
          <w:lang w:val="pt-BR"/>
        </w:rPr>
        <w:t xml:space="preserve"> confronto com os militares. Segundo essa nota, a suposta vítima escapou no momento da morte de Joaquim Câmara Ferreira. Segundo a peticionária, Bacuri teve conhecimento </w:t>
      </w:r>
      <w:r w:rsidR="00AF65FE" w:rsidRPr="00C62DF2">
        <w:rPr>
          <w:lang w:val="pt-BR"/>
        </w:rPr>
        <w:t>d</w:t>
      </w:r>
      <w:r w:rsidRPr="00C62DF2">
        <w:rPr>
          <w:lang w:val="pt-BR"/>
        </w:rPr>
        <w:t xml:space="preserve">essa nota </w:t>
      </w:r>
      <w:r w:rsidR="0004603B" w:rsidRPr="00C62DF2">
        <w:rPr>
          <w:lang w:val="pt-BR"/>
        </w:rPr>
        <w:t>através de um</w:t>
      </w:r>
      <w:r w:rsidRPr="00C62DF2">
        <w:rPr>
          <w:lang w:val="pt-BR"/>
        </w:rPr>
        <w:t xml:space="preserve"> comandante do batalhão de “choque” do DOPS</w:t>
      </w:r>
      <w:r w:rsidR="00AF65FE" w:rsidRPr="00C62DF2">
        <w:rPr>
          <w:lang w:val="pt-BR"/>
        </w:rPr>
        <w:t>;</w:t>
      </w:r>
      <w:r w:rsidRPr="00C62DF2">
        <w:rPr>
          <w:lang w:val="pt-BR"/>
        </w:rPr>
        <w:t xml:space="preserve"> por isso</w:t>
      </w:r>
      <w:r w:rsidR="00AF65FE" w:rsidRPr="00C62DF2">
        <w:rPr>
          <w:lang w:val="pt-BR"/>
        </w:rPr>
        <w:t>,</w:t>
      </w:r>
      <w:r w:rsidRPr="00C62DF2">
        <w:rPr>
          <w:lang w:val="pt-BR"/>
        </w:rPr>
        <w:t xml:space="preserve"> começou a gritar que tinha certeza que seria assassinado, </w:t>
      </w:r>
      <w:r w:rsidR="001E7AAE" w:rsidRPr="00C62DF2">
        <w:rPr>
          <w:lang w:val="pt-BR"/>
        </w:rPr>
        <w:t>ger</w:t>
      </w:r>
      <w:r w:rsidR="00566CD5" w:rsidRPr="00C62DF2">
        <w:rPr>
          <w:lang w:val="pt-BR"/>
        </w:rPr>
        <w:t>ando</w:t>
      </w:r>
      <w:r w:rsidRPr="00C62DF2">
        <w:rPr>
          <w:lang w:val="pt-BR"/>
        </w:rPr>
        <w:t xml:space="preserve"> uma vigília por parte dos outros presos políticos que estavam no DOPS. Em consequência, Eduardo teria sido tra</w:t>
      </w:r>
      <w:r w:rsidR="0004603B" w:rsidRPr="00C62DF2">
        <w:rPr>
          <w:lang w:val="pt-BR"/>
        </w:rPr>
        <w:t>nsferido</w:t>
      </w:r>
      <w:r w:rsidRPr="00C62DF2">
        <w:rPr>
          <w:lang w:val="pt-BR"/>
        </w:rPr>
        <w:t xml:space="preserve"> a uma nova cela, onde não era possível escutar seus gritos.</w:t>
      </w:r>
    </w:p>
    <w:p w14:paraId="19110A62" w14:textId="77777777" w:rsidR="007C2EFF" w:rsidRPr="00C62DF2" w:rsidRDefault="007C2EFF" w:rsidP="00FC0CB6">
      <w:pPr>
        <w:pStyle w:val="ListParagraph"/>
        <w:ind w:firstLine="0"/>
        <w:rPr>
          <w:rFonts w:cs="Arial"/>
          <w:sz w:val="20"/>
          <w:szCs w:val="20"/>
          <w:lang w:val="pt-BR"/>
        </w:rPr>
      </w:pPr>
    </w:p>
    <w:p w14:paraId="3DC80467" w14:textId="0EFC4BD0" w:rsidR="007C2EFF" w:rsidRPr="00C62DF2" w:rsidRDefault="007C2EFF" w:rsidP="00FC0CB6">
      <w:pPr>
        <w:pStyle w:val="Body"/>
        <w:numPr>
          <w:ilvl w:val="0"/>
          <w:numId w:val="2"/>
        </w:numPr>
        <w:ind w:firstLine="0"/>
        <w:rPr>
          <w:color w:val="auto"/>
          <w:lang w:val="pt-BR"/>
        </w:rPr>
      </w:pPr>
      <w:r w:rsidRPr="00C62DF2">
        <w:rPr>
          <w:rFonts w:cs="Arial"/>
          <w:lang w:val="pt-BR"/>
        </w:rPr>
        <w:t xml:space="preserve">Afirmou que, na madrugada de 27 de outubro de 1970, Bacuri foi levado do DOPS sob protestos dos outros presos e, desde esse dia, nunca mais foi visto por outros presos políticos. Nesse sentido, indicou que a </w:t>
      </w:r>
      <w:r w:rsidR="00566CD5" w:rsidRPr="00C62DF2">
        <w:rPr>
          <w:rFonts w:cs="Arial"/>
          <w:lang w:val="pt-BR"/>
        </w:rPr>
        <w:t>suposta</w:t>
      </w:r>
      <w:r w:rsidRPr="00C62DF2">
        <w:rPr>
          <w:rFonts w:cs="Arial"/>
          <w:lang w:val="pt-BR"/>
        </w:rPr>
        <w:t xml:space="preserve"> vítima foi levada ao Quartel de Andrade </w:t>
      </w:r>
      <w:r w:rsidR="001E7AAE" w:rsidRPr="00C62DF2">
        <w:rPr>
          <w:rFonts w:cs="Arial"/>
          <w:lang w:val="pt-BR"/>
        </w:rPr>
        <w:t>n</w:t>
      </w:r>
      <w:r w:rsidRPr="00C62DF2">
        <w:rPr>
          <w:rFonts w:cs="Arial"/>
          <w:lang w:val="pt-BR"/>
        </w:rPr>
        <w:t>uma bolsa de lona, com os pés e braços amarrados, com os olhos vendados</w:t>
      </w:r>
      <w:r w:rsidR="001E7AAE" w:rsidRPr="00C62DF2">
        <w:rPr>
          <w:rFonts w:cs="Arial"/>
          <w:lang w:val="pt-BR"/>
        </w:rPr>
        <w:t xml:space="preserve"> e</w:t>
      </w:r>
      <w:r w:rsidRPr="00C62DF2">
        <w:rPr>
          <w:rFonts w:cs="Arial"/>
          <w:lang w:val="pt-BR"/>
        </w:rPr>
        <w:t xml:space="preserve"> marcas de tortura e foi privado de liberdade </w:t>
      </w:r>
      <w:r w:rsidR="001E7AAE" w:rsidRPr="00C62DF2">
        <w:rPr>
          <w:rFonts w:cs="Arial"/>
          <w:lang w:val="pt-BR"/>
        </w:rPr>
        <w:t>n</w:t>
      </w:r>
      <w:r w:rsidRPr="00C62DF2">
        <w:rPr>
          <w:rFonts w:cs="Arial"/>
          <w:lang w:val="pt-BR"/>
        </w:rPr>
        <w:t xml:space="preserve">uma pequena cela solitária. </w:t>
      </w:r>
      <w:r w:rsidR="0004603B" w:rsidRPr="00C62DF2">
        <w:rPr>
          <w:rFonts w:cs="Arial"/>
          <w:lang w:val="pt-BR"/>
        </w:rPr>
        <w:t>Ademais</w:t>
      </w:r>
      <w:r w:rsidRPr="00C62DF2">
        <w:rPr>
          <w:rFonts w:cs="Arial"/>
          <w:lang w:val="pt-BR"/>
        </w:rPr>
        <w:t>, alegou que</w:t>
      </w:r>
      <w:r w:rsidR="001E7AAE" w:rsidRPr="00C62DF2">
        <w:rPr>
          <w:rFonts w:cs="Arial"/>
          <w:lang w:val="pt-BR"/>
        </w:rPr>
        <w:t>,</w:t>
      </w:r>
      <w:r w:rsidRPr="00C62DF2">
        <w:rPr>
          <w:rFonts w:cs="Arial"/>
          <w:lang w:val="pt-BR"/>
        </w:rPr>
        <w:t xml:space="preserve"> enquanto esteve no Quartel de Andr</w:t>
      </w:r>
      <w:r w:rsidR="00CA27DE" w:rsidRPr="00C62DF2">
        <w:rPr>
          <w:rFonts w:cs="Arial"/>
          <w:lang w:val="pt-BR"/>
        </w:rPr>
        <w:t>a</w:t>
      </w:r>
      <w:r w:rsidRPr="00C62DF2">
        <w:rPr>
          <w:rFonts w:cs="Arial"/>
          <w:lang w:val="pt-BR"/>
        </w:rPr>
        <w:t xml:space="preserve">de, Bacuri teve conhecimento de que havia sido </w:t>
      </w:r>
      <w:r w:rsidR="001E7AAE" w:rsidRPr="00C62DF2">
        <w:rPr>
          <w:rFonts w:cs="Arial"/>
          <w:lang w:val="pt-BR"/>
        </w:rPr>
        <w:t>orden</w:t>
      </w:r>
      <w:r w:rsidRPr="00C62DF2">
        <w:rPr>
          <w:rFonts w:cs="Arial"/>
          <w:lang w:val="pt-BR"/>
        </w:rPr>
        <w:t>ada sua prisão preventiva. Indicou que</w:t>
      </w:r>
      <w:r w:rsidR="001E7AAE" w:rsidRPr="00C62DF2">
        <w:rPr>
          <w:rFonts w:cs="Arial"/>
          <w:lang w:val="pt-BR"/>
        </w:rPr>
        <w:t>,</w:t>
      </w:r>
      <w:r w:rsidRPr="00C62DF2">
        <w:rPr>
          <w:rFonts w:cs="Arial"/>
          <w:lang w:val="pt-BR"/>
        </w:rPr>
        <w:t xml:space="preserve"> depois que a suposta vítima tentou fugir, foi </w:t>
      </w:r>
      <w:r w:rsidR="001E7AAE" w:rsidRPr="00C62DF2">
        <w:rPr>
          <w:rFonts w:cs="Arial"/>
          <w:lang w:val="pt-BR"/>
        </w:rPr>
        <w:t>algem</w:t>
      </w:r>
      <w:r w:rsidRPr="00C62DF2">
        <w:rPr>
          <w:rFonts w:cs="Arial"/>
          <w:lang w:val="pt-BR"/>
        </w:rPr>
        <w:t xml:space="preserve">ado </w:t>
      </w:r>
      <w:r w:rsidR="00566CD5" w:rsidRPr="00C62DF2">
        <w:rPr>
          <w:rFonts w:cs="Arial"/>
          <w:lang w:val="pt-BR"/>
        </w:rPr>
        <w:t>em</w:t>
      </w:r>
      <w:r w:rsidRPr="00C62DF2">
        <w:rPr>
          <w:rFonts w:cs="Arial"/>
          <w:lang w:val="pt-BR"/>
        </w:rPr>
        <w:t xml:space="preserve"> sua cela e, posteriormente, tra</w:t>
      </w:r>
      <w:r w:rsidR="0004603B" w:rsidRPr="00C62DF2">
        <w:rPr>
          <w:rFonts w:cs="Arial"/>
          <w:lang w:val="pt-BR"/>
        </w:rPr>
        <w:t>n</w:t>
      </w:r>
      <w:r w:rsidRPr="00C62DF2">
        <w:rPr>
          <w:rFonts w:cs="Arial"/>
          <w:lang w:val="pt-BR"/>
        </w:rPr>
        <w:t>s</w:t>
      </w:r>
      <w:r w:rsidR="0004603B" w:rsidRPr="00C62DF2">
        <w:rPr>
          <w:rFonts w:cs="Arial"/>
          <w:lang w:val="pt-BR"/>
        </w:rPr>
        <w:t>ferida</w:t>
      </w:r>
      <w:r w:rsidRPr="00C62DF2">
        <w:rPr>
          <w:rFonts w:cs="Arial"/>
          <w:lang w:val="pt-BR"/>
        </w:rPr>
        <w:t xml:space="preserve"> e levad</w:t>
      </w:r>
      <w:r w:rsidR="0004603B" w:rsidRPr="00C62DF2">
        <w:rPr>
          <w:rFonts w:cs="Arial"/>
          <w:lang w:val="pt-BR"/>
        </w:rPr>
        <w:t>a</w:t>
      </w:r>
      <w:r w:rsidRPr="00C62DF2">
        <w:rPr>
          <w:rFonts w:cs="Arial"/>
          <w:lang w:val="pt-BR"/>
        </w:rPr>
        <w:t xml:space="preserve"> a um túnel que funcionava como </w:t>
      </w:r>
      <w:r w:rsidR="00566CD5" w:rsidRPr="00C62DF2">
        <w:rPr>
          <w:rFonts w:cs="Arial"/>
          <w:lang w:val="pt-BR"/>
        </w:rPr>
        <w:t>depósito</w:t>
      </w:r>
      <w:r w:rsidRPr="00C62DF2">
        <w:rPr>
          <w:rFonts w:cs="Arial"/>
          <w:lang w:val="pt-BR"/>
        </w:rPr>
        <w:t xml:space="preserve"> de munições localizado a 3</w:t>
      </w:r>
      <w:r w:rsidR="001E7AAE" w:rsidRPr="00C62DF2">
        <w:rPr>
          <w:rFonts w:cs="Arial"/>
          <w:lang w:val="pt-BR"/>
        </w:rPr>
        <w:t xml:space="preserve"> </w:t>
      </w:r>
      <w:r w:rsidRPr="00C62DF2">
        <w:rPr>
          <w:rFonts w:cs="Arial"/>
          <w:lang w:val="pt-BR"/>
        </w:rPr>
        <w:t xml:space="preserve">km do Quartel, onde foi mantido </w:t>
      </w:r>
      <w:r w:rsidR="0004603B" w:rsidRPr="00C62DF2">
        <w:rPr>
          <w:rFonts w:cs="Arial"/>
          <w:lang w:val="pt-BR"/>
        </w:rPr>
        <w:t>em um</w:t>
      </w:r>
      <w:r w:rsidRPr="00C62DF2">
        <w:rPr>
          <w:rFonts w:cs="Arial"/>
          <w:lang w:val="pt-BR"/>
        </w:rPr>
        <w:t xml:space="preserve"> </w:t>
      </w:r>
      <w:r w:rsidR="00566CD5" w:rsidRPr="00C62DF2">
        <w:rPr>
          <w:rFonts w:cs="Arial"/>
          <w:lang w:val="pt-BR"/>
        </w:rPr>
        <w:t>banheiro</w:t>
      </w:r>
      <w:r w:rsidRPr="00C62DF2">
        <w:rPr>
          <w:rFonts w:cs="Arial"/>
          <w:lang w:val="pt-BR"/>
        </w:rPr>
        <w:t xml:space="preserve"> que não possuía iluminação ou ventilação. Afirmou que a suposta vítima se recusou a aceitar uma nova cela e solicitou que fosse </w:t>
      </w:r>
      <w:r w:rsidR="00566CD5" w:rsidRPr="00C62DF2">
        <w:rPr>
          <w:rFonts w:cs="Arial"/>
          <w:lang w:val="pt-BR"/>
        </w:rPr>
        <w:t>transferid</w:t>
      </w:r>
      <w:r w:rsidR="0004603B" w:rsidRPr="00C62DF2">
        <w:rPr>
          <w:rFonts w:cs="Arial"/>
          <w:lang w:val="pt-BR"/>
        </w:rPr>
        <w:t>a</w:t>
      </w:r>
      <w:r w:rsidRPr="00C62DF2">
        <w:rPr>
          <w:rFonts w:cs="Arial"/>
          <w:lang w:val="pt-BR"/>
        </w:rPr>
        <w:t xml:space="preserve"> para o hospital, o que não ocorreu</w:t>
      </w:r>
      <w:r w:rsidR="001E7AAE" w:rsidRPr="00C62DF2">
        <w:rPr>
          <w:rFonts w:cs="Arial"/>
          <w:lang w:val="pt-BR"/>
        </w:rPr>
        <w:t xml:space="preserve">; </w:t>
      </w:r>
      <w:r w:rsidRPr="00C62DF2">
        <w:rPr>
          <w:rFonts w:cs="Arial"/>
          <w:lang w:val="pt-BR"/>
        </w:rPr>
        <w:t>por isso</w:t>
      </w:r>
      <w:r w:rsidR="00AF65FE" w:rsidRPr="00C62DF2">
        <w:rPr>
          <w:rFonts w:cs="Arial"/>
          <w:lang w:val="pt-BR"/>
        </w:rPr>
        <w:t>,</w:t>
      </w:r>
      <w:r w:rsidRPr="00C62DF2">
        <w:rPr>
          <w:rFonts w:cs="Arial"/>
          <w:lang w:val="pt-BR"/>
        </w:rPr>
        <w:t xml:space="preserve"> </w:t>
      </w:r>
      <w:r w:rsidR="001E7AAE" w:rsidRPr="00C62DF2">
        <w:rPr>
          <w:rFonts w:cs="Arial"/>
          <w:lang w:val="pt-BR"/>
        </w:rPr>
        <w:t>começ</w:t>
      </w:r>
      <w:r w:rsidR="00566CD5" w:rsidRPr="00C62DF2">
        <w:rPr>
          <w:rFonts w:cs="Arial"/>
          <w:lang w:val="pt-BR"/>
        </w:rPr>
        <w:t>ou</w:t>
      </w:r>
      <w:r w:rsidRPr="00C62DF2">
        <w:rPr>
          <w:rFonts w:cs="Arial"/>
          <w:lang w:val="pt-BR"/>
        </w:rPr>
        <w:t xml:space="preserve"> </w:t>
      </w:r>
      <w:r w:rsidR="00566CD5" w:rsidRPr="00C62DF2">
        <w:rPr>
          <w:rFonts w:cs="Arial"/>
          <w:lang w:val="pt-BR"/>
        </w:rPr>
        <w:t>uma greve</w:t>
      </w:r>
      <w:r w:rsidRPr="00C62DF2">
        <w:rPr>
          <w:rFonts w:cs="Arial"/>
          <w:lang w:val="pt-BR"/>
        </w:rPr>
        <w:t xml:space="preserve"> de fome devido às condições desumanas em que se encontrava. Alegou que</w:t>
      </w:r>
      <w:r w:rsidR="001E7AAE" w:rsidRPr="00C62DF2">
        <w:rPr>
          <w:rFonts w:cs="Arial"/>
          <w:lang w:val="pt-BR"/>
        </w:rPr>
        <w:t>,</w:t>
      </w:r>
      <w:r w:rsidRPr="00C62DF2">
        <w:rPr>
          <w:rFonts w:cs="Arial"/>
          <w:lang w:val="pt-BR"/>
        </w:rPr>
        <w:t xml:space="preserve"> depois de 18 dias da greve de fome, no dia 7 de dezembro de 1970 o comandante Milton Wanderlei, o tenente Frota ou o tenente Alexandre e o recruta Rinaldo chegaram ao Quartel e se dirigiram à cela de Bacuri, dispararam contra ele e o assassinaram. </w:t>
      </w:r>
    </w:p>
    <w:p w14:paraId="3D5DC31A" w14:textId="77777777" w:rsidR="007C2EFF" w:rsidRPr="00C62DF2" w:rsidRDefault="007C2EFF" w:rsidP="00FC0CB6">
      <w:pPr>
        <w:pStyle w:val="Body"/>
        <w:ind w:left="720" w:firstLine="0"/>
        <w:rPr>
          <w:color w:val="auto"/>
          <w:lang w:val="pt-BR"/>
        </w:rPr>
      </w:pPr>
    </w:p>
    <w:p w14:paraId="5112948F" w14:textId="677F91C5" w:rsidR="007C2EFF" w:rsidRPr="00C62DF2" w:rsidRDefault="007C2EFF" w:rsidP="00FC0CB6">
      <w:pPr>
        <w:pStyle w:val="Body"/>
        <w:numPr>
          <w:ilvl w:val="0"/>
          <w:numId w:val="2"/>
        </w:numPr>
        <w:ind w:firstLine="0"/>
        <w:rPr>
          <w:color w:val="auto"/>
          <w:lang w:val="pt-BR"/>
        </w:rPr>
      </w:pPr>
      <w:r w:rsidRPr="00C62DF2">
        <w:rPr>
          <w:rFonts w:cs="Arial"/>
          <w:lang w:val="pt-BR"/>
        </w:rPr>
        <w:t xml:space="preserve">Indicou que em 8 de dezembro de 1970, 109 dias </w:t>
      </w:r>
      <w:r w:rsidR="001E7AAE" w:rsidRPr="00C62DF2">
        <w:rPr>
          <w:rFonts w:cs="Arial"/>
          <w:lang w:val="pt-BR"/>
        </w:rPr>
        <w:t xml:space="preserve">depois </w:t>
      </w:r>
      <w:r w:rsidRPr="00C62DF2">
        <w:rPr>
          <w:rFonts w:cs="Arial"/>
          <w:lang w:val="pt-BR"/>
        </w:rPr>
        <w:t xml:space="preserve">da prisão do senhor Collen Leite, os jornais publicaram uma nota oficial informando sua morte </w:t>
      </w:r>
      <w:r w:rsidR="001E7AAE" w:rsidRPr="00C62DF2">
        <w:rPr>
          <w:rFonts w:cs="Arial"/>
          <w:lang w:val="pt-BR"/>
        </w:rPr>
        <w:t>n</w:t>
      </w:r>
      <w:r w:rsidRPr="00C62DF2">
        <w:rPr>
          <w:rFonts w:cs="Arial"/>
          <w:lang w:val="pt-BR"/>
        </w:rPr>
        <w:t>um falso tiroteio na cidade de São Sebastião, em São Paulo. Alegou que o corpo da suposta vítima foi entregue à sua família e reconhecido por sua companheira, a senhora Denise Crispim, que observou que Eduardo tinha marcas de tortura, hematomas, escoriações, cortes</w:t>
      </w:r>
      <w:r w:rsidR="001E7AAE" w:rsidRPr="00C62DF2">
        <w:rPr>
          <w:rFonts w:cs="Arial"/>
          <w:lang w:val="pt-BR"/>
        </w:rPr>
        <w:t xml:space="preserve"> e</w:t>
      </w:r>
      <w:r w:rsidRPr="00C62DF2">
        <w:rPr>
          <w:rFonts w:cs="Arial"/>
          <w:lang w:val="pt-BR"/>
        </w:rPr>
        <w:t xml:space="preserve"> queimaduras e que seus dentes e orelhas foram arrancad</w:t>
      </w:r>
      <w:r w:rsidR="001E7AAE" w:rsidRPr="00C62DF2">
        <w:rPr>
          <w:rFonts w:cs="Arial"/>
          <w:lang w:val="pt-BR"/>
        </w:rPr>
        <w:t>o</w:t>
      </w:r>
      <w:r w:rsidRPr="00C62DF2">
        <w:rPr>
          <w:rFonts w:cs="Arial"/>
          <w:lang w:val="pt-BR"/>
        </w:rPr>
        <w:t xml:space="preserve">s e que seus olhos foram </w:t>
      </w:r>
      <w:r w:rsidR="00A56A2A" w:rsidRPr="00C62DF2">
        <w:rPr>
          <w:rFonts w:cs="Arial"/>
          <w:lang w:val="pt-BR"/>
        </w:rPr>
        <w:t>vaz</w:t>
      </w:r>
      <w:r w:rsidRPr="00C62DF2">
        <w:rPr>
          <w:rFonts w:cs="Arial"/>
          <w:lang w:val="pt-BR"/>
        </w:rPr>
        <w:t>ados. Destacou que</w:t>
      </w:r>
      <w:r w:rsidR="001E7AAE" w:rsidRPr="00C62DF2">
        <w:rPr>
          <w:rFonts w:cs="Arial"/>
          <w:lang w:val="pt-BR"/>
        </w:rPr>
        <w:t>,</w:t>
      </w:r>
      <w:r w:rsidRPr="00C62DF2">
        <w:rPr>
          <w:rFonts w:cs="Arial"/>
          <w:lang w:val="pt-BR"/>
        </w:rPr>
        <w:t xml:space="preserve"> não obstante todas essas marcas no corpo de Bacuri, o exame </w:t>
      </w:r>
      <w:r w:rsidR="00566CD5" w:rsidRPr="00C62DF2">
        <w:rPr>
          <w:rFonts w:cs="Arial"/>
          <w:lang w:val="pt-BR"/>
        </w:rPr>
        <w:t>necroscópico</w:t>
      </w:r>
      <w:r w:rsidRPr="00C62DF2">
        <w:rPr>
          <w:rFonts w:cs="Arial"/>
          <w:lang w:val="pt-BR"/>
        </w:rPr>
        <w:t xml:space="preserve"> assinado pelos médicos legistas Aloysio Fernandez e Décio Brandão Camargo so</w:t>
      </w:r>
      <w:r w:rsidR="00FF53FC" w:rsidRPr="00C62DF2">
        <w:rPr>
          <w:rFonts w:cs="Arial"/>
          <w:lang w:val="pt-BR"/>
        </w:rPr>
        <w:t>mente</w:t>
      </w:r>
      <w:r w:rsidRPr="00C62DF2">
        <w:rPr>
          <w:rFonts w:cs="Arial"/>
          <w:lang w:val="pt-BR"/>
        </w:rPr>
        <w:t xml:space="preserve"> descreveu dois disparos em seu corpo, um na cabeça e outro no coração, sem fazer qualquer referência aos evidentes sinais de tortura.</w:t>
      </w:r>
      <w:r w:rsidRPr="00C62DF2">
        <w:rPr>
          <w:lang w:val="pt-BR"/>
        </w:rPr>
        <w:t xml:space="preserve"> </w:t>
      </w:r>
      <w:r w:rsidRPr="00C62DF2">
        <w:rPr>
          <w:rFonts w:cs="Arial"/>
          <w:lang w:val="pt-BR"/>
        </w:rPr>
        <w:t xml:space="preserve">Destacou que essa ação serviu para que se criasse uma falsa versão “oficial” sobre a morte de Bacuri. </w:t>
      </w:r>
    </w:p>
    <w:p w14:paraId="50DA232A" w14:textId="77777777" w:rsidR="007C2EFF" w:rsidRPr="00C62DF2" w:rsidRDefault="007C2EFF" w:rsidP="00FC0CB6">
      <w:pPr>
        <w:pStyle w:val="Body"/>
        <w:ind w:firstLine="0"/>
        <w:rPr>
          <w:lang w:val="pt-BR"/>
        </w:rPr>
      </w:pPr>
    </w:p>
    <w:p w14:paraId="5B83EDB4" w14:textId="1247451A" w:rsidR="007C2EFF" w:rsidRPr="00C62DF2" w:rsidRDefault="007C2EFF" w:rsidP="00FC0CB6">
      <w:pPr>
        <w:pStyle w:val="Body"/>
        <w:numPr>
          <w:ilvl w:val="0"/>
          <w:numId w:val="2"/>
        </w:numPr>
        <w:ind w:firstLine="0"/>
        <w:rPr>
          <w:color w:val="auto"/>
          <w:lang w:val="pt-BR"/>
        </w:rPr>
      </w:pPr>
      <w:r w:rsidRPr="00C62DF2">
        <w:rPr>
          <w:rFonts w:cs="Arial"/>
          <w:lang w:val="pt-BR"/>
        </w:rPr>
        <w:t xml:space="preserve">Segundo a parte peticionária, a </w:t>
      </w:r>
      <w:r w:rsidR="0004603B" w:rsidRPr="00C62DF2">
        <w:rPr>
          <w:rFonts w:cs="Arial"/>
          <w:lang w:val="pt-BR"/>
        </w:rPr>
        <w:t>companheira</w:t>
      </w:r>
      <w:r w:rsidRPr="00C62DF2">
        <w:rPr>
          <w:rFonts w:cs="Arial"/>
          <w:lang w:val="pt-BR"/>
        </w:rPr>
        <w:t xml:space="preserve"> de Eduardo Collen Leite, Denise Crispim, militante da REDE, foi detida em 23 julho de 1970, </w:t>
      </w:r>
      <w:r w:rsidR="0004603B" w:rsidRPr="00C62DF2">
        <w:rPr>
          <w:rFonts w:cs="Arial"/>
          <w:lang w:val="pt-BR"/>
        </w:rPr>
        <w:t>em um</w:t>
      </w:r>
      <w:r w:rsidRPr="00C62DF2">
        <w:rPr>
          <w:rFonts w:cs="Arial"/>
          <w:lang w:val="pt-BR"/>
        </w:rPr>
        <w:t>a operação da Coordenação de Execução da Operação Bandeirantes, sob a acusação de crimes de subversão e terrorismo devido a suas atividades de oposição ao regime militar. Afirmou que Denise, que na</w:t>
      </w:r>
      <w:r w:rsidR="0004603B" w:rsidRPr="00C62DF2">
        <w:rPr>
          <w:rFonts w:cs="Arial"/>
          <w:lang w:val="pt-BR"/>
        </w:rPr>
        <w:t>quela</w:t>
      </w:r>
      <w:r w:rsidRPr="00C62DF2">
        <w:rPr>
          <w:rFonts w:cs="Arial"/>
          <w:lang w:val="pt-BR"/>
        </w:rPr>
        <w:t xml:space="preserve"> data se encontrava grávida, foi levada à Operação Bandeirantes (OBAN), um centro de informação e investigações do Estado, onde foi torturada e interrogada desde 23 de julho de 1970 até 30 de julho de 1970. Destacou que a condição de gravidez de Denise não impediu que os agentes estatais utilizassem de extrema violência: a </w:t>
      </w:r>
      <w:r w:rsidR="0004603B" w:rsidRPr="00C62DF2">
        <w:rPr>
          <w:rFonts w:cs="Arial"/>
          <w:lang w:val="pt-BR"/>
        </w:rPr>
        <w:t>agrediram</w:t>
      </w:r>
      <w:r w:rsidRPr="00C62DF2">
        <w:rPr>
          <w:rFonts w:cs="Arial"/>
          <w:lang w:val="pt-BR"/>
        </w:rPr>
        <w:t xml:space="preserve"> com paus</w:t>
      </w:r>
      <w:r w:rsidR="00FF53FC" w:rsidRPr="00C62DF2">
        <w:rPr>
          <w:rFonts w:cs="Arial"/>
          <w:lang w:val="pt-BR"/>
        </w:rPr>
        <w:t xml:space="preserve"> e</w:t>
      </w:r>
      <w:r w:rsidRPr="00C62DF2">
        <w:rPr>
          <w:rFonts w:cs="Arial"/>
          <w:lang w:val="pt-BR"/>
        </w:rPr>
        <w:t xml:space="preserve"> </w:t>
      </w:r>
      <w:r w:rsidR="0004603B" w:rsidRPr="00C62DF2">
        <w:rPr>
          <w:rFonts w:cs="Arial"/>
          <w:lang w:val="pt-BR"/>
        </w:rPr>
        <w:t>canos</w:t>
      </w:r>
      <w:r w:rsidRPr="00C62DF2">
        <w:rPr>
          <w:rFonts w:cs="Arial"/>
          <w:lang w:val="pt-BR"/>
        </w:rPr>
        <w:t xml:space="preserve"> de plástico, a privaram de água, alimentação e uso do banheiro. </w:t>
      </w:r>
      <w:r w:rsidR="0004603B" w:rsidRPr="00C62DF2">
        <w:rPr>
          <w:rFonts w:cs="Arial"/>
          <w:lang w:val="pt-BR"/>
        </w:rPr>
        <w:t>Ademais</w:t>
      </w:r>
      <w:r w:rsidRPr="00C62DF2">
        <w:rPr>
          <w:rFonts w:cs="Arial"/>
          <w:lang w:val="pt-BR"/>
        </w:rPr>
        <w:t xml:space="preserve">, informou que muitos </w:t>
      </w:r>
      <w:r w:rsidR="00566CD5" w:rsidRPr="00C62DF2">
        <w:rPr>
          <w:rFonts w:cs="Arial"/>
          <w:lang w:val="pt-BR"/>
        </w:rPr>
        <w:t>interrogatórios</w:t>
      </w:r>
      <w:r w:rsidRPr="00C62DF2">
        <w:rPr>
          <w:rFonts w:cs="Arial"/>
          <w:lang w:val="pt-BR"/>
        </w:rPr>
        <w:t xml:space="preserve"> ocorreram no </w:t>
      </w:r>
      <w:r w:rsidR="00566CD5" w:rsidRPr="00C62DF2">
        <w:rPr>
          <w:rFonts w:cs="Arial"/>
          <w:lang w:val="pt-BR"/>
        </w:rPr>
        <w:t>zoológico</w:t>
      </w:r>
      <w:r w:rsidRPr="00C62DF2">
        <w:rPr>
          <w:rFonts w:cs="Arial"/>
          <w:lang w:val="pt-BR"/>
        </w:rPr>
        <w:t xml:space="preserve"> de São Paulo, onde Denise foi amarrada, amordaçada e ameaçada de ser lançada aos tigres. </w:t>
      </w:r>
      <w:r w:rsidR="00FF53FC" w:rsidRPr="00C62DF2">
        <w:rPr>
          <w:rFonts w:cs="Arial"/>
          <w:lang w:val="pt-BR"/>
        </w:rPr>
        <w:t>N</w:t>
      </w:r>
      <w:r w:rsidRPr="00C62DF2">
        <w:rPr>
          <w:lang w:val="pt-BR"/>
        </w:rPr>
        <w:t xml:space="preserve">uma das sessões de tortura, Denise foi levada a um hospital militar </w:t>
      </w:r>
      <w:r w:rsidR="00FF53FC" w:rsidRPr="00C62DF2">
        <w:rPr>
          <w:lang w:val="pt-BR"/>
        </w:rPr>
        <w:t>por</w:t>
      </w:r>
      <w:r w:rsidRPr="00C62DF2">
        <w:rPr>
          <w:lang w:val="pt-BR"/>
        </w:rPr>
        <w:t xml:space="preserve"> ter vomitado sangue.</w:t>
      </w:r>
    </w:p>
    <w:p w14:paraId="6F42FE5C" w14:textId="77777777" w:rsidR="007C2EFF" w:rsidRPr="00C62DF2" w:rsidRDefault="007C2EFF" w:rsidP="00FC0CB6">
      <w:pPr>
        <w:pStyle w:val="ListParagraph"/>
        <w:ind w:firstLine="0"/>
        <w:rPr>
          <w:sz w:val="20"/>
          <w:szCs w:val="20"/>
          <w:lang w:val="pt-BR"/>
        </w:rPr>
      </w:pPr>
    </w:p>
    <w:p w14:paraId="782505CE" w14:textId="2C98CB0D" w:rsidR="007C2EFF" w:rsidRPr="00C62DF2" w:rsidRDefault="007C2EFF" w:rsidP="00FC0CB6">
      <w:pPr>
        <w:pStyle w:val="Body"/>
        <w:numPr>
          <w:ilvl w:val="0"/>
          <w:numId w:val="2"/>
        </w:numPr>
        <w:ind w:firstLine="0"/>
        <w:rPr>
          <w:color w:val="auto"/>
          <w:lang w:val="pt-BR"/>
        </w:rPr>
      </w:pPr>
      <w:r w:rsidRPr="00C62DF2">
        <w:rPr>
          <w:lang w:val="pt-BR"/>
        </w:rPr>
        <w:t>Indicou que</w:t>
      </w:r>
      <w:r w:rsidR="00FF53FC" w:rsidRPr="00C62DF2">
        <w:rPr>
          <w:lang w:val="pt-BR"/>
        </w:rPr>
        <w:t>,</w:t>
      </w:r>
      <w:r w:rsidRPr="00C62DF2">
        <w:rPr>
          <w:lang w:val="pt-BR"/>
        </w:rPr>
        <w:t xml:space="preserve"> em 10 de agosto de 1970, a 2ª Auditoria do Exército da 2ª Circunscrição Judici</w:t>
      </w:r>
      <w:r w:rsidR="00BC59AD" w:rsidRPr="00C62DF2">
        <w:rPr>
          <w:lang w:val="pt-BR"/>
        </w:rPr>
        <w:t>ária</w:t>
      </w:r>
      <w:r w:rsidRPr="00C62DF2">
        <w:rPr>
          <w:lang w:val="pt-BR"/>
        </w:rPr>
        <w:t xml:space="preserve"> Militar determinou a prisão </w:t>
      </w:r>
      <w:r w:rsidR="00566CD5" w:rsidRPr="00C62DF2">
        <w:rPr>
          <w:lang w:val="pt-BR"/>
        </w:rPr>
        <w:t>provisória</w:t>
      </w:r>
      <w:r w:rsidRPr="00C62DF2">
        <w:rPr>
          <w:lang w:val="pt-BR"/>
        </w:rPr>
        <w:t xml:space="preserve"> de Denise. </w:t>
      </w:r>
      <w:r w:rsidR="00BC59AD" w:rsidRPr="00C62DF2">
        <w:rPr>
          <w:lang w:val="pt-BR"/>
        </w:rPr>
        <w:t>E</w:t>
      </w:r>
      <w:r w:rsidRPr="00C62DF2">
        <w:rPr>
          <w:lang w:val="pt-BR"/>
        </w:rPr>
        <w:t xml:space="preserve">m </w:t>
      </w:r>
      <w:r w:rsidRPr="00C62DF2">
        <w:rPr>
          <w:rFonts w:cs="Arial"/>
          <w:lang w:val="pt-BR"/>
        </w:rPr>
        <w:t xml:space="preserve">agosto daquele ano, enquanto estava grávida de seis meses, </w:t>
      </w:r>
      <w:r w:rsidRPr="00C62DF2">
        <w:rPr>
          <w:lang w:val="pt-BR"/>
        </w:rPr>
        <w:t xml:space="preserve">Denise foi levada com os olhos </w:t>
      </w:r>
      <w:r w:rsidR="00BC59AD" w:rsidRPr="00C62DF2">
        <w:rPr>
          <w:lang w:val="pt-BR"/>
        </w:rPr>
        <w:t>ve</w:t>
      </w:r>
      <w:r w:rsidR="00A56A2A" w:rsidRPr="00C62DF2">
        <w:rPr>
          <w:lang w:val="pt-BR"/>
        </w:rPr>
        <w:t>n</w:t>
      </w:r>
      <w:r w:rsidR="00BC59AD" w:rsidRPr="00C62DF2">
        <w:rPr>
          <w:lang w:val="pt-BR"/>
        </w:rPr>
        <w:t>d</w:t>
      </w:r>
      <w:r w:rsidRPr="00C62DF2">
        <w:rPr>
          <w:lang w:val="pt-BR"/>
        </w:rPr>
        <w:t xml:space="preserve">ados a uma casa onde encontrou o </w:t>
      </w:r>
      <w:r w:rsidR="0004603B" w:rsidRPr="00C62DF2">
        <w:rPr>
          <w:lang w:val="pt-BR"/>
        </w:rPr>
        <w:t>delegado</w:t>
      </w:r>
      <w:r w:rsidRPr="00C62DF2">
        <w:rPr>
          <w:lang w:val="pt-BR"/>
        </w:rPr>
        <w:t xml:space="preserve"> Fleury, que lhe disse que Bacuri se encontrava </w:t>
      </w:r>
      <w:r w:rsidR="0004603B" w:rsidRPr="00C62DF2">
        <w:rPr>
          <w:lang w:val="pt-BR"/>
        </w:rPr>
        <w:t>em uma</w:t>
      </w:r>
      <w:r w:rsidRPr="00C62DF2">
        <w:rPr>
          <w:lang w:val="pt-BR"/>
        </w:rPr>
        <w:t xml:space="preserve"> cela, se recusando a comer e a falar. Segundo a peticionária, a senhora Denise Crispim foi levada à cela de Eduardo, onde se encontraram</w:t>
      </w:r>
      <w:r w:rsidR="00BC59AD" w:rsidRPr="00C62DF2">
        <w:rPr>
          <w:lang w:val="pt-BR"/>
        </w:rPr>
        <w:t>;</w:t>
      </w:r>
      <w:r w:rsidRPr="00C62DF2">
        <w:rPr>
          <w:lang w:val="pt-BR"/>
        </w:rPr>
        <w:t xml:space="preserve"> ela viu seus hematomas e queimaduras e ele pôs a mão em seu ventre de grávida e desde então nunca mais se encontraram. </w:t>
      </w:r>
    </w:p>
    <w:p w14:paraId="3F5CAFBD" w14:textId="77777777" w:rsidR="007C2EFF" w:rsidRPr="00C62DF2" w:rsidRDefault="007C2EFF" w:rsidP="00FC0CB6">
      <w:pPr>
        <w:pStyle w:val="ListParagraph"/>
        <w:ind w:firstLine="0"/>
        <w:rPr>
          <w:sz w:val="20"/>
          <w:szCs w:val="20"/>
          <w:lang w:val="pt-BR"/>
        </w:rPr>
      </w:pPr>
    </w:p>
    <w:p w14:paraId="61CEC1E5" w14:textId="6F0CE504" w:rsidR="007C2EFF" w:rsidRPr="00C62DF2" w:rsidRDefault="007C2EFF" w:rsidP="00FC0CB6">
      <w:pPr>
        <w:pStyle w:val="Body"/>
        <w:numPr>
          <w:ilvl w:val="0"/>
          <w:numId w:val="2"/>
        </w:numPr>
        <w:ind w:firstLine="0"/>
        <w:rPr>
          <w:color w:val="auto"/>
          <w:lang w:val="pt-BR"/>
        </w:rPr>
      </w:pPr>
      <w:r w:rsidRPr="00C62DF2">
        <w:rPr>
          <w:lang w:val="pt-BR"/>
        </w:rPr>
        <w:t>Além disso, indicou que Denise foi levada ao Hospital e Maternidade Santana conforme decisão da 2ª Auditoria do Exército da 2ª Circunscrição Judici</w:t>
      </w:r>
      <w:r w:rsidR="000567D8" w:rsidRPr="00C62DF2">
        <w:rPr>
          <w:lang w:val="pt-BR"/>
        </w:rPr>
        <w:t>ária</w:t>
      </w:r>
      <w:r w:rsidRPr="00C62DF2">
        <w:rPr>
          <w:lang w:val="pt-BR"/>
        </w:rPr>
        <w:t xml:space="preserve"> Militar para o nascimento de sua filha. Destacou que militares armados estavam com Denise em todos os momentos, inclusive quando utilizou o banheiro e quando Eduarda nasceu. Alegou que</w:t>
      </w:r>
      <w:r w:rsidR="000567D8" w:rsidRPr="00C62DF2">
        <w:rPr>
          <w:lang w:val="pt-BR"/>
        </w:rPr>
        <w:t>,</w:t>
      </w:r>
      <w:r w:rsidRPr="00C62DF2">
        <w:rPr>
          <w:lang w:val="pt-BR"/>
        </w:rPr>
        <w:t xml:space="preserve"> em 11 de outubro de 1970, Eduarda nasceu enquanto sua mãe estava sob </w:t>
      </w:r>
      <w:r w:rsidR="00566CD5" w:rsidRPr="00C62DF2">
        <w:rPr>
          <w:lang w:val="pt-BR"/>
        </w:rPr>
        <w:t>custódia</w:t>
      </w:r>
      <w:r w:rsidRPr="00C62DF2">
        <w:rPr>
          <w:lang w:val="pt-BR"/>
        </w:rPr>
        <w:t xml:space="preserve"> do Exército, e seu nome foi escolhido em homenagem a seu pai. </w:t>
      </w:r>
      <w:r w:rsidR="000567D8" w:rsidRPr="00C62DF2">
        <w:rPr>
          <w:lang w:val="pt-BR"/>
        </w:rPr>
        <w:t>A</w:t>
      </w:r>
      <w:r w:rsidRPr="00C62DF2">
        <w:rPr>
          <w:lang w:val="pt-BR"/>
        </w:rPr>
        <w:t xml:space="preserve"> parte peticionária </w:t>
      </w:r>
      <w:r w:rsidR="000567D8" w:rsidRPr="00C62DF2">
        <w:rPr>
          <w:lang w:val="pt-BR"/>
        </w:rPr>
        <w:t xml:space="preserve">também </w:t>
      </w:r>
      <w:r w:rsidRPr="00C62DF2">
        <w:rPr>
          <w:lang w:val="pt-BR"/>
        </w:rPr>
        <w:t xml:space="preserve">informou que a </w:t>
      </w:r>
      <w:r w:rsidRPr="00C62DF2">
        <w:rPr>
          <w:lang w:val="pt-BR"/>
        </w:rPr>
        <w:lastRenderedPageBreak/>
        <w:t xml:space="preserve">senhora Denise Crispim enviou a Bacuri um par de sapatos de bebê e esse foi o único meio pelo qual ele teve conhecimento do nascimento de sua filha. </w:t>
      </w:r>
    </w:p>
    <w:p w14:paraId="53F15F08" w14:textId="77777777" w:rsidR="007C2EFF" w:rsidRPr="00C62DF2" w:rsidRDefault="007C2EFF" w:rsidP="00FC0CB6">
      <w:pPr>
        <w:pStyle w:val="ListParagraph"/>
        <w:ind w:firstLine="0"/>
        <w:rPr>
          <w:sz w:val="20"/>
          <w:szCs w:val="20"/>
          <w:lang w:val="pt-BR"/>
        </w:rPr>
      </w:pPr>
    </w:p>
    <w:p w14:paraId="6DD7A4DF" w14:textId="1589C461" w:rsidR="007C2EFF" w:rsidRPr="00C62DF2" w:rsidRDefault="007C2EFF" w:rsidP="00FC0CB6">
      <w:pPr>
        <w:pStyle w:val="Body"/>
        <w:numPr>
          <w:ilvl w:val="0"/>
          <w:numId w:val="2"/>
        </w:numPr>
        <w:ind w:firstLine="0"/>
        <w:rPr>
          <w:color w:val="auto"/>
          <w:lang w:val="pt-BR"/>
        </w:rPr>
      </w:pPr>
      <w:r w:rsidRPr="00C62DF2">
        <w:rPr>
          <w:lang w:val="pt-BR"/>
        </w:rPr>
        <w:t>Alegou que</w:t>
      </w:r>
      <w:r w:rsidR="000567D8" w:rsidRPr="00C62DF2">
        <w:rPr>
          <w:lang w:val="pt-BR"/>
        </w:rPr>
        <w:t>,</w:t>
      </w:r>
      <w:r w:rsidRPr="00C62DF2">
        <w:rPr>
          <w:lang w:val="pt-BR"/>
        </w:rPr>
        <w:t xml:space="preserve"> quinze dias </w:t>
      </w:r>
      <w:r w:rsidR="000567D8" w:rsidRPr="00C62DF2">
        <w:rPr>
          <w:lang w:val="pt-BR"/>
        </w:rPr>
        <w:t xml:space="preserve">depois </w:t>
      </w:r>
      <w:r w:rsidRPr="00C62DF2">
        <w:rPr>
          <w:lang w:val="pt-BR"/>
        </w:rPr>
        <w:t xml:space="preserve">do nascimento de Eduarda Leite, Denise foi posta em liberdade. Indicou que em agosto de 1971 Denise solicitou asilo na Embaixada do Chile, onde ela e sua filha viveram por onze </w:t>
      </w:r>
      <w:r w:rsidR="00566CD5" w:rsidRPr="00C62DF2">
        <w:rPr>
          <w:lang w:val="pt-BR"/>
        </w:rPr>
        <w:t>meses</w:t>
      </w:r>
      <w:r w:rsidRPr="00C62DF2">
        <w:rPr>
          <w:lang w:val="pt-BR"/>
        </w:rPr>
        <w:t xml:space="preserve"> na biblioteca do edifício devido às ameaças que sofriam por parte do regime militar. Em julho de 1972, Denise e Eduarda tiveram autorização para deixar o Brasil e ir </w:t>
      </w:r>
      <w:r w:rsidR="000567D8" w:rsidRPr="00C62DF2">
        <w:rPr>
          <w:lang w:val="pt-BR"/>
        </w:rPr>
        <w:t>par</w:t>
      </w:r>
      <w:r w:rsidRPr="00C62DF2">
        <w:rPr>
          <w:lang w:val="pt-BR"/>
        </w:rPr>
        <w:t>a</w:t>
      </w:r>
      <w:r w:rsidR="000567D8" w:rsidRPr="00C62DF2">
        <w:rPr>
          <w:lang w:val="pt-BR"/>
        </w:rPr>
        <w:t xml:space="preserve"> </w:t>
      </w:r>
      <w:r w:rsidRPr="00C62DF2">
        <w:rPr>
          <w:lang w:val="pt-BR"/>
        </w:rPr>
        <w:t>o Chile. Indicou que</w:t>
      </w:r>
      <w:r w:rsidR="000567D8" w:rsidRPr="00C62DF2">
        <w:rPr>
          <w:lang w:val="pt-BR"/>
        </w:rPr>
        <w:t>,</w:t>
      </w:r>
      <w:r w:rsidRPr="00C62DF2">
        <w:rPr>
          <w:lang w:val="pt-BR"/>
        </w:rPr>
        <w:t xml:space="preserve"> enquanto estava em asilo no Chile, Denise foi julgada e condenada </w:t>
      </w:r>
      <w:r w:rsidR="0004603B" w:rsidRPr="00C62DF2">
        <w:rPr>
          <w:lang w:val="pt-BR"/>
        </w:rPr>
        <w:t xml:space="preserve">à revelia </w:t>
      </w:r>
      <w:r w:rsidRPr="00C62DF2">
        <w:rPr>
          <w:lang w:val="pt-BR"/>
        </w:rPr>
        <w:t>no dia 22 de janeiro de 1973 pela 2ª Auditoria do Exército da 2ª Circunscrição Judici</w:t>
      </w:r>
      <w:r w:rsidR="000567D8" w:rsidRPr="00C62DF2">
        <w:rPr>
          <w:lang w:val="pt-BR"/>
        </w:rPr>
        <w:t>ária</w:t>
      </w:r>
      <w:r w:rsidRPr="00C62DF2">
        <w:rPr>
          <w:lang w:val="pt-BR"/>
        </w:rPr>
        <w:t xml:space="preserve"> Militar a uma pena de 10 anos de reclusão e perda dos direitos políticos. </w:t>
      </w:r>
    </w:p>
    <w:p w14:paraId="04DCFF98" w14:textId="77777777" w:rsidR="007C2EFF" w:rsidRPr="00C62DF2" w:rsidRDefault="007C2EFF" w:rsidP="00FC0CB6">
      <w:pPr>
        <w:pStyle w:val="ListParagraph"/>
        <w:ind w:firstLine="0"/>
        <w:rPr>
          <w:sz w:val="20"/>
          <w:szCs w:val="20"/>
          <w:lang w:val="pt-BR"/>
        </w:rPr>
      </w:pPr>
    </w:p>
    <w:p w14:paraId="2D461202" w14:textId="4EF95286" w:rsidR="007C2EFF" w:rsidRPr="00C62DF2" w:rsidRDefault="007C2EFF" w:rsidP="00FC0CB6">
      <w:pPr>
        <w:pStyle w:val="Body"/>
        <w:numPr>
          <w:ilvl w:val="0"/>
          <w:numId w:val="2"/>
        </w:numPr>
        <w:ind w:firstLine="0"/>
        <w:rPr>
          <w:color w:val="auto"/>
          <w:lang w:val="pt-BR"/>
        </w:rPr>
      </w:pPr>
      <w:r w:rsidRPr="00C62DF2">
        <w:rPr>
          <w:lang w:val="pt-BR"/>
        </w:rPr>
        <w:t xml:space="preserve">Afirmou que com o golpe militar no Chile, Denise e Eduarda ingressaram na Embaixada Italiana </w:t>
      </w:r>
      <w:r w:rsidR="000567D8" w:rsidRPr="00C62DF2">
        <w:rPr>
          <w:lang w:val="pt-BR"/>
        </w:rPr>
        <w:t>n</w:t>
      </w:r>
      <w:r w:rsidRPr="00C62DF2">
        <w:rPr>
          <w:lang w:val="pt-BR"/>
        </w:rPr>
        <w:t>o Chile</w:t>
      </w:r>
      <w:r w:rsidR="000567D8" w:rsidRPr="00C62DF2">
        <w:rPr>
          <w:lang w:val="pt-BR"/>
        </w:rPr>
        <w:t xml:space="preserve">, </w:t>
      </w:r>
      <w:r w:rsidRPr="00C62DF2">
        <w:rPr>
          <w:lang w:val="pt-BR"/>
        </w:rPr>
        <w:t xml:space="preserve">onde permaneceram de outubro de 1973 até 16 de novembro de 1973. No entanto, devido à grave situação chilena, Denise Crispim e Eduarda Crispim viajaram à Itália </w:t>
      </w:r>
      <w:r w:rsidR="00566CD5" w:rsidRPr="00C62DF2">
        <w:rPr>
          <w:lang w:val="pt-BR"/>
        </w:rPr>
        <w:t>em</w:t>
      </w:r>
      <w:r w:rsidRPr="00C62DF2">
        <w:rPr>
          <w:lang w:val="pt-BR"/>
        </w:rPr>
        <w:t xml:space="preserve"> 17 de novembro de 1973 e, em 22 de dezembro do mesmo ano, foram reconhecidas como refugiadas pelo Alto Comissariado das Nações Unidas para os Refugiados (ACNUR) e passaram a viver na Itália. Informou que, na Itália, a família foi acolhida pelo economista italiano Leonardo Ditta, que em 1981 se casou com a senhora Denise Crispim.</w:t>
      </w:r>
    </w:p>
    <w:p w14:paraId="742D9B82" w14:textId="77777777" w:rsidR="007C2EFF" w:rsidRPr="00C62DF2" w:rsidRDefault="007C2EFF" w:rsidP="00FC0CB6">
      <w:pPr>
        <w:pStyle w:val="ListParagraph"/>
        <w:ind w:firstLine="0"/>
        <w:rPr>
          <w:sz w:val="20"/>
          <w:szCs w:val="20"/>
          <w:lang w:val="pt-BR"/>
        </w:rPr>
      </w:pPr>
    </w:p>
    <w:p w14:paraId="14B3C0B1" w14:textId="0492EC3E" w:rsidR="007C2EFF" w:rsidRPr="00C62DF2" w:rsidRDefault="007C2EFF" w:rsidP="00FC0CB6">
      <w:pPr>
        <w:pStyle w:val="Body"/>
        <w:numPr>
          <w:ilvl w:val="0"/>
          <w:numId w:val="2"/>
        </w:numPr>
        <w:ind w:firstLine="0"/>
        <w:rPr>
          <w:color w:val="auto"/>
          <w:lang w:val="pt-BR"/>
        </w:rPr>
      </w:pPr>
      <w:r w:rsidRPr="00C62DF2">
        <w:rPr>
          <w:lang w:val="pt-BR"/>
        </w:rPr>
        <w:t xml:space="preserve">Além disso, </w:t>
      </w:r>
      <w:r w:rsidR="00932CAA" w:rsidRPr="00C62DF2">
        <w:rPr>
          <w:lang w:val="pt-BR"/>
        </w:rPr>
        <w:t>indic</w:t>
      </w:r>
      <w:r w:rsidRPr="00C62DF2">
        <w:rPr>
          <w:lang w:val="pt-BR"/>
        </w:rPr>
        <w:t>ou</w:t>
      </w:r>
      <w:r w:rsidRPr="00C62DF2">
        <w:rPr>
          <w:rFonts w:cs="Arial"/>
          <w:lang w:val="pt-BR"/>
        </w:rPr>
        <w:t xml:space="preserve"> uma série de dificuldades que estiveram presentes quando Eduarda chegou na Itália aos três anos sem ter documentos de nascimento ou nacionalidade. Afirmou que a senhora Denise Crispim sentia medo de </w:t>
      </w:r>
      <w:r w:rsidR="0004603B" w:rsidRPr="00C62DF2">
        <w:rPr>
          <w:rFonts w:cs="Arial"/>
          <w:lang w:val="pt-BR"/>
        </w:rPr>
        <w:t>registrar</w:t>
      </w:r>
      <w:r w:rsidRPr="00C62DF2">
        <w:rPr>
          <w:rFonts w:cs="Arial"/>
          <w:lang w:val="pt-BR"/>
        </w:rPr>
        <w:t xml:space="preserve"> o sobrenome de Eduardo em sua filha, de forma que somente informou Eduarda sobre a história de seu pai na adolescência. Alegou que</w:t>
      </w:r>
      <w:r w:rsidR="00932CAA" w:rsidRPr="00C62DF2">
        <w:rPr>
          <w:rFonts w:cs="Arial"/>
          <w:lang w:val="pt-BR"/>
        </w:rPr>
        <w:t>,</w:t>
      </w:r>
      <w:r w:rsidRPr="00C62DF2">
        <w:rPr>
          <w:rFonts w:cs="Arial"/>
          <w:lang w:val="pt-BR"/>
        </w:rPr>
        <w:t xml:space="preserve"> como forma de suprimir a ausência de paternidade de Eduarda, o senhor Leonardo Ditta a adotou e assumiu um papel importante na vida de Eduarda e de Denise. Indicou que somente em 2009 Eduarda pôde incluir o nome de Eduardo Collen Leite em sua certidão de nascimento por determinação da Comissão de Anistia do Brasil.</w:t>
      </w:r>
    </w:p>
    <w:p w14:paraId="4EF40085" w14:textId="77777777" w:rsidR="007C2EFF" w:rsidRPr="00C62DF2" w:rsidRDefault="007C2EFF" w:rsidP="00FC0CB6">
      <w:pPr>
        <w:ind w:left="720"/>
        <w:jc w:val="both"/>
        <w:rPr>
          <w:rFonts w:ascii="Cambria" w:hAnsi="Cambria"/>
          <w:sz w:val="20"/>
          <w:szCs w:val="20"/>
        </w:rPr>
      </w:pPr>
    </w:p>
    <w:p w14:paraId="01C4CD54" w14:textId="0BE022E5" w:rsidR="007C2EFF" w:rsidRPr="00C62DF2" w:rsidRDefault="007C2EFF" w:rsidP="00FC0CB6">
      <w:pPr>
        <w:pStyle w:val="Body"/>
        <w:numPr>
          <w:ilvl w:val="0"/>
          <w:numId w:val="2"/>
        </w:numPr>
        <w:ind w:firstLine="0"/>
        <w:rPr>
          <w:color w:val="auto"/>
          <w:lang w:val="pt-BR"/>
        </w:rPr>
      </w:pPr>
      <w:r w:rsidRPr="00C62DF2">
        <w:rPr>
          <w:lang w:val="pt-BR"/>
        </w:rPr>
        <w:t>A peticionária afirmou que em 1º de julho de 2011, depois da sentença da Corte IDH no Caso Gomes Lund e outros (</w:t>
      </w:r>
      <w:r w:rsidRPr="00C62DF2">
        <w:rPr>
          <w:i/>
          <w:lang w:val="pt-BR"/>
        </w:rPr>
        <w:t>Guerrilha do Araguaia</w:t>
      </w:r>
      <w:r w:rsidRPr="00C62DF2">
        <w:rPr>
          <w:lang w:val="pt-BR"/>
        </w:rPr>
        <w:t xml:space="preserve">) Vs. Brasil, os familiares de Eduardo Collen apresentaram uma </w:t>
      </w:r>
      <w:r w:rsidRPr="00C62DF2">
        <w:rPr>
          <w:i/>
          <w:iCs/>
          <w:lang w:val="pt-BR"/>
        </w:rPr>
        <w:t xml:space="preserve">delatio criminis </w:t>
      </w:r>
      <w:r w:rsidRPr="00C62DF2">
        <w:rPr>
          <w:lang w:val="pt-BR"/>
        </w:rPr>
        <w:t>ao Ministério Público Federal (doravante “MPF”) solicitando que se investigasse a morte de Bacuri</w:t>
      </w:r>
      <w:r w:rsidR="00932CAA" w:rsidRPr="00C62DF2">
        <w:rPr>
          <w:lang w:val="pt-BR"/>
        </w:rPr>
        <w:t xml:space="preserve"> e</w:t>
      </w:r>
      <w:r w:rsidRPr="00C62DF2">
        <w:rPr>
          <w:lang w:val="pt-BR"/>
        </w:rPr>
        <w:t xml:space="preserve"> que se apontassem e </w:t>
      </w:r>
      <w:r w:rsidR="00566CD5" w:rsidRPr="00C62DF2">
        <w:rPr>
          <w:lang w:val="pt-BR"/>
        </w:rPr>
        <w:t>denunciassem</w:t>
      </w:r>
      <w:r w:rsidRPr="00C62DF2">
        <w:rPr>
          <w:lang w:val="pt-BR"/>
        </w:rPr>
        <w:t xml:space="preserve"> os responsáveis. Em 3 de fevereiro de 2012, o MPF solicitou o arquivamento das investigações devido à prescrição da pretensão punitiva. O arquivamento foi ratificado em 22 de fevereiro de 2012, quando houve o arquivamento definitivo do caso. A parte peticionária observou que</w:t>
      </w:r>
      <w:r w:rsidR="00932CAA" w:rsidRPr="00C62DF2">
        <w:rPr>
          <w:lang w:val="pt-BR"/>
        </w:rPr>
        <w:t>,</w:t>
      </w:r>
      <w:r w:rsidRPr="00C62DF2">
        <w:rPr>
          <w:lang w:val="pt-BR"/>
        </w:rPr>
        <w:t xml:space="preserve"> devido à aplicação da Lei de Anistia</w:t>
      </w:r>
      <w:r w:rsidR="00932CAA" w:rsidRPr="00C62DF2">
        <w:rPr>
          <w:lang w:val="pt-BR"/>
        </w:rPr>
        <w:t>,</w:t>
      </w:r>
      <w:r w:rsidRPr="00C62DF2">
        <w:rPr>
          <w:lang w:val="pt-BR"/>
        </w:rPr>
        <w:t xml:space="preserve"> aplicou</w:t>
      </w:r>
      <w:r w:rsidR="00932CAA" w:rsidRPr="00C62DF2">
        <w:rPr>
          <w:lang w:val="pt-BR"/>
        </w:rPr>
        <w:t>-se</w:t>
      </w:r>
      <w:r w:rsidRPr="00C62DF2">
        <w:rPr>
          <w:lang w:val="pt-BR"/>
        </w:rPr>
        <w:t xml:space="preserve"> a prescrição e não se investigaram os fatos. </w:t>
      </w:r>
    </w:p>
    <w:p w14:paraId="7605CF47" w14:textId="77777777" w:rsidR="007C2EFF" w:rsidRPr="00C62DF2" w:rsidRDefault="007C2EFF" w:rsidP="00FC0CB6">
      <w:pPr>
        <w:pStyle w:val="Body"/>
        <w:ind w:left="720" w:firstLine="0"/>
        <w:rPr>
          <w:color w:val="auto"/>
          <w:lang w:val="pt-BR"/>
        </w:rPr>
      </w:pPr>
    </w:p>
    <w:p w14:paraId="57EDC6BD" w14:textId="409FF29A" w:rsidR="007C2EFF" w:rsidRPr="00C62DF2" w:rsidRDefault="007C2EFF" w:rsidP="00FC0CB6">
      <w:pPr>
        <w:pStyle w:val="Body"/>
        <w:numPr>
          <w:ilvl w:val="0"/>
          <w:numId w:val="2"/>
        </w:numPr>
        <w:ind w:firstLine="0"/>
        <w:rPr>
          <w:color w:val="auto"/>
          <w:lang w:val="pt-BR"/>
        </w:rPr>
      </w:pPr>
      <w:r w:rsidRPr="00C62DF2">
        <w:rPr>
          <w:lang w:val="pt-BR"/>
        </w:rPr>
        <w:t>Indicou que o Estado realizou alguns procedimentos administrativos para reparar as violações cometidas contra as vítimas. A respeito, afirmou que a Comissão Especial sobre Mortos e Desaparecidos Políticos analisou as torturas sofridas por Bacuri e sua execução. Com relação à senhora Denise Crispim, a Comissão de Anistia avaliou a solicitação (nº 2007.01.57501) dela e a reconheceu como “anistiada política” em 9 de abril de 2009, conferindo</w:t>
      </w:r>
      <w:r w:rsidR="00932CAA" w:rsidRPr="00C62DF2">
        <w:rPr>
          <w:lang w:val="pt-BR"/>
        </w:rPr>
        <w:t>-lhe</w:t>
      </w:r>
      <w:r w:rsidRPr="00C62DF2">
        <w:rPr>
          <w:lang w:val="pt-BR"/>
        </w:rPr>
        <w:t xml:space="preserve"> uma reparação econômica </w:t>
      </w:r>
      <w:r w:rsidRPr="00C62DF2">
        <w:rPr>
          <w:rStyle w:val="Emphasis"/>
          <w:i w:val="0"/>
          <w:iCs w:val="0"/>
          <w:lang w:val="pt-BR"/>
        </w:rPr>
        <w:t>de R$ 505.553.08 (quinhentos e cinco mil, quinhentos e cinquenta e três reais e oito centavos)</w:t>
      </w:r>
      <w:r w:rsidRPr="00C62DF2">
        <w:rPr>
          <w:lang w:val="pt-BR"/>
        </w:rPr>
        <w:t xml:space="preserve">. Com relação à Eduarda, afirmou que ela também teve sua condição de </w:t>
      </w:r>
      <w:r w:rsidR="00932CAA" w:rsidRPr="00C62DF2">
        <w:rPr>
          <w:lang w:val="pt-BR"/>
        </w:rPr>
        <w:t>a</w:t>
      </w:r>
      <w:r w:rsidRPr="00C62DF2">
        <w:rPr>
          <w:lang w:val="pt-BR"/>
        </w:rPr>
        <w:t>nisti</w:t>
      </w:r>
      <w:r w:rsidR="00932CAA" w:rsidRPr="00C62DF2">
        <w:rPr>
          <w:lang w:val="pt-BR"/>
        </w:rPr>
        <w:t>ad</w:t>
      </w:r>
      <w:r w:rsidRPr="00C62DF2">
        <w:rPr>
          <w:lang w:val="pt-BR"/>
        </w:rPr>
        <w:t xml:space="preserve">a política reconhecida em 29 de setembro de 2008 por decisão da Comissão Estadual de Ex-Presos Políticos do Estado de São Paulo, que lhe concedeu uma reparação econômica. </w:t>
      </w:r>
      <w:r w:rsidR="00C53B2A" w:rsidRPr="00C62DF2">
        <w:rPr>
          <w:lang w:val="pt-BR"/>
        </w:rPr>
        <w:t>Al</w:t>
      </w:r>
      <w:r w:rsidRPr="00C62DF2">
        <w:rPr>
          <w:lang w:val="pt-BR"/>
        </w:rPr>
        <w:t>ém</w:t>
      </w:r>
      <w:r w:rsidR="00C53B2A" w:rsidRPr="00C62DF2">
        <w:rPr>
          <w:lang w:val="pt-BR"/>
        </w:rPr>
        <w:t xml:space="preserve"> disso</w:t>
      </w:r>
      <w:r w:rsidRPr="00C62DF2">
        <w:rPr>
          <w:lang w:val="pt-BR"/>
        </w:rPr>
        <w:t xml:space="preserve">, destacou que a Comissão Nacional da Verdade (doravante “CNV”) reconheceu as violações cometidas contra Eduardo, Denise e Eduarda. </w:t>
      </w:r>
    </w:p>
    <w:p w14:paraId="57EE1973" w14:textId="77777777" w:rsidR="007C2EFF" w:rsidRPr="00C62DF2" w:rsidRDefault="007C2EFF" w:rsidP="00FC0CB6">
      <w:pPr>
        <w:pStyle w:val="Body"/>
        <w:ind w:firstLine="0"/>
        <w:rPr>
          <w:color w:val="auto"/>
          <w:lang w:val="pt-BR"/>
        </w:rPr>
      </w:pPr>
    </w:p>
    <w:p w14:paraId="645333FB" w14:textId="77777777" w:rsidR="007C2EFF" w:rsidRPr="00C62DF2" w:rsidRDefault="007C2EFF" w:rsidP="00FC0CB6">
      <w:pPr>
        <w:pStyle w:val="ListParagraph"/>
        <w:ind w:firstLine="0"/>
        <w:rPr>
          <w:color w:val="FF0000"/>
          <w:sz w:val="20"/>
          <w:szCs w:val="20"/>
          <w:lang w:val="pt-BR"/>
        </w:rPr>
      </w:pPr>
    </w:p>
    <w:p w14:paraId="66FE10E7" w14:textId="77777777" w:rsidR="007C2EFF" w:rsidRPr="00C62DF2" w:rsidRDefault="007C2EFF" w:rsidP="00FC0CB6">
      <w:pPr>
        <w:pStyle w:val="Heading2"/>
        <w:ind w:firstLine="0"/>
        <w:rPr>
          <w:rFonts w:eastAsia="Times New Roman" w:cs="Times New Roman"/>
          <w:lang w:val="pt-BR"/>
        </w:rPr>
      </w:pPr>
      <w:bookmarkStart w:id="3" w:name="_Toc85894998"/>
      <w:r w:rsidRPr="00C62DF2">
        <w:rPr>
          <w:lang w:val="pt-BR"/>
        </w:rPr>
        <w:t>O Estado</w:t>
      </w:r>
      <w:bookmarkEnd w:id="3"/>
    </w:p>
    <w:p w14:paraId="3BDB5D43" w14:textId="77777777" w:rsidR="007C2EFF" w:rsidRPr="00C62DF2" w:rsidRDefault="007C2EFF" w:rsidP="00FC0CB6">
      <w:pPr>
        <w:pStyle w:val="ListParagraph"/>
        <w:suppressAutoHyphens/>
        <w:ind w:left="0" w:firstLine="0"/>
        <w:rPr>
          <w:b/>
          <w:bCs/>
          <w:sz w:val="20"/>
          <w:szCs w:val="20"/>
          <w:lang w:val="pt-BR"/>
        </w:rPr>
      </w:pPr>
    </w:p>
    <w:p w14:paraId="6995AA08" w14:textId="4A3AD579" w:rsidR="007C2EFF" w:rsidRPr="00C62DF2" w:rsidRDefault="007C2EFF" w:rsidP="00FC0CB6">
      <w:pPr>
        <w:pStyle w:val="Body"/>
        <w:numPr>
          <w:ilvl w:val="0"/>
          <w:numId w:val="2"/>
        </w:numPr>
        <w:ind w:firstLine="0"/>
        <w:rPr>
          <w:color w:val="auto"/>
          <w:lang w:val="pt-BR"/>
        </w:rPr>
      </w:pPr>
      <w:r w:rsidRPr="00C62DF2">
        <w:rPr>
          <w:lang w:val="pt-BR"/>
        </w:rPr>
        <w:t>O Estado alegou que não existem provas da formação de uma entidade familiar entre Eduardo Collen Leite e Denise Peres Crispim</w:t>
      </w:r>
      <w:r w:rsidR="00C53B2A" w:rsidRPr="00C62DF2">
        <w:rPr>
          <w:lang w:val="pt-BR"/>
        </w:rPr>
        <w:t>,</w:t>
      </w:r>
      <w:r w:rsidRPr="00C62DF2">
        <w:rPr>
          <w:lang w:val="pt-BR"/>
        </w:rPr>
        <w:t xml:space="preserve"> que, segundo a legislação da época, dependeria exclusivamente do matrimônio. Nesse sentido, afirmou que entre 1969 e 1970 a legislação brasileira não reconhecia a “união estável” entre pessoas solteiras e que os dois registros feitos de maneira unilateral por parte de Denise em 1996 não têm suporte jurídico para reconhecer a união estável, </w:t>
      </w:r>
      <w:r w:rsidR="00C53B2A" w:rsidRPr="00C62DF2">
        <w:rPr>
          <w:lang w:val="pt-BR"/>
        </w:rPr>
        <w:t>já</w:t>
      </w:r>
      <w:r w:rsidRPr="00C62DF2">
        <w:rPr>
          <w:lang w:val="pt-BR"/>
        </w:rPr>
        <w:t xml:space="preserve"> que os herdeiros de Eduardo não assentiram </w:t>
      </w:r>
      <w:r w:rsidR="00C53B2A" w:rsidRPr="00C62DF2">
        <w:rPr>
          <w:lang w:val="pt-BR"/>
        </w:rPr>
        <w:t>n</w:t>
      </w:r>
      <w:r w:rsidRPr="00C62DF2">
        <w:rPr>
          <w:lang w:val="pt-BR"/>
        </w:rPr>
        <w:t xml:space="preserve">o reconhecimento. O Estado também afirmou que não foi apresentada uma ação judicial para reconhecer a união estável. </w:t>
      </w:r>
    </w:p>
    <w:p w14:paraId="2DA8D4D1" w14:textId="77777777" w:rsidR="007C2EFF" w:rsidRPr="00C62DF2" w:rsidRDefault="007C2EFF" w:rsidP="00FC0CB6">
      <w:pPr>
        <w:pStyle w:val="Body"/>
        <w:ind w:left="720" w:firstLine="0"/>
        <w:rPr>
          <w:color w:val="auto"/>
          <w:lang w:val="pt-BR"/>
        </w:rPr>
      </w:pPr>
    </w:p>
    <w:p w14:paraId="40F91C95" w14:textId="399AE62B" w:rsidR="007C2EFF" w:rsidRPr="00C62DF2" w:rsidRDefault="007C2EFF" w:rsidP="00FC0CB6">
      <w:pPr>
        <w:pStyle w:val="Body"/>
        <w:numPr>
          <w:ilvl w:val="0"/>
          <w:numId w:val="2"/>
        </w:numPr>
        <w:ind w:firstLine="0"/>
        <w:rPr>
          <w:rStyle w:val="Emphasis"/>
          <w:i w:val="0"/>
          <w:iCs w:val="0"/>
          <w:color w:val="auto"/>
          <w:lang w:val="pt-BR"/>
        </w:rPr>
      </w:pPr>
      <w:r w:rsidRPr="00C62DF2">
        <w:rPr>
          <w:lang w:val="pt-BR"/>
        </w:rPr>
        <w:lastRenderedPageBreak/>
        <w:t>Além disso, afirmou que a parte peticionária não apresentou um</w:t>
      </w:r>
      <w:r w:rsidR="00C53B2A" w:rsidRPr="00C62DF2">
        <w:rPr>
          <w:lang w:val="pt-BR"/>
        </w:rPr>
        <w:t>a</w:t>
      </w:r>
      <w:r w:rsidRPr="00C62DF2">
        <w:rPr>
          <w:lang w:val="pt-BR"/>
        </w:rPr>
        <w:t xml:space="preserve"> </w:t>
      </w:r>
      <w:r w:rsidR="00C53B2A" w:rsidRPr="00C62DF2">
        <w:rPr>
          <w:lang w:val="pt-BR"/>
        </w:rPr>
        <w:t>procur</w:t>
      </w:r>
      <w:r w:rsidRPr="00C62DF2">
        <w:rPr>
          <w:lang w:val="pt-BR"/>
        </w:rPr>
        <w:t>ação da senhora Eduarda Leite Crispim e</w:t>
      </w:r>
      <w:r w:rsidR="009D091D" w:rsidRPr="00C62DF2">
        <w:rPr>
          <w:lang w:val="pt-BR"/>
        </w:rPr>
        <w:t xml:space="preserve"> que a</w:t>
      </w:r>
      <w:r w:rsidRPr="00C62DF2">
        <w:rPr>
          <w:lang w:val="pt-BR"/>
        </w:rPr>
        <w:t xml:space="preserve"> </w:t>
      </w:r>
      <w:r w:rsidR="009D091D" w:rsidRPr="00C62DF2">
        <w:rPr>
          <w:lang w:val="pt-BR"/>
        </w:rPr>
        <w:t>d</w:t>
      </w:r>
      <w:r w:rsidRPr="00C62DF2">
        <w:rPr>
          <w:lang w:val="pt-BR"/>
        </w:rPr>
        <w:t xml:space="preserve">o senhor Leonardo Ditta foi apresentado de maneira extemporânea. Por outro lado, alegou que não se pode </w:t>
      </w:r>
      <w:r w:rsidR="00C53B2A" w:rsidRPr="00C62DF2">
        <w:rPr>
          <w:lang w:val="pt-BR"/>
        </w:rPr>
        <w:t>orden</w:t>
      </w:r>
      <w:r w:rsidRPr="00C62DF2">
        <w:rPr>
          <w:lang w:val="pt-BR"/>
        </w:rPr>
        <w:t xml:space="preserve">ar reparações para os pais de Denise, </w:t>
      </w:r>
      <w:r w:rsidR="006E76DA" w:rsidRPr="00C62DF2">
        <w:rPr>
          <w:lang w:val="pt-BR"/>
        </w:rPr>
        <w:t>Encarnación</w:t>
      </w:r>
      <w:r w:rsidRPr="00C62DF2">
        <w:rPr>
          <w:lang w:val="pt-BR"/>
        </w:rPr>
        <w:t xml:space="preserve"> Lopes Perez e José Maria Crispim, </w:t>
      </w:r>
      <w:r w:rsidR="00C53B2A" w:rsidRPr="00C62DF2">
        <w:rPr>
          <w:lang w:val="pt-BR"/>
        </w:rPr>
        <w:t>já</w:t>
      </w:r>
      <w:r w:rsidRPr="00C62DF2">
        <w:rPr>
          <w:lang w:val="pt-BR"/>
        </w:rPr>
        <w:t xml:space="preserve"> que não há documento de </w:t>
      </w:r>
      <w:r w:rsidR="00C53B2A" w:rsidRPr="00C62DF2">
        <w:rPr>
          <w:lang w:val="pt-BR"/>
        </w:rPr>
        <w:t>procur</w:t>
      </w:r>
      <w:r w:rsidRPr="00C62DF2">
        <w:rPr>
          <w:lang w:val="pt-BR"/>
        </w:rPr>
        <w:t>ação e que sua filha não pode atuar em seu nome. Indicou que o senhor Leonardo Ditta não estava sob a jurisdição do Brasil no período dos fatos</w:t>
      </w:r>
      <w:r w:rsidR="00C53B2A" w:rsidRPr="00C62DF2">
        <w:rPr>
          <w:lang w:val="pt-BR"/>
        </w:rPr>
        <w:t>;</w:t>
      </w:r>
      <w:r w:rsidRPr="00C62DF2">
        <w:rPr>
          <w:lang w:val="pt-BR"/>
        </w:rPr>
        <w:t xml:space="preserve"> por isso</w:t>
      </w:r>
      <w:r w:rsidR="00C53B2A" w:rsidRPr="00C62DF2">
        <w:rPr>
          <w:lang w:val="pt-BR"/>
        </w:rPr>
        <w:t>,</w:t>
      </w:r>
      <w:r w:rsidRPr="00C62DF2">
        <w:rPr>
          <w:lang w:val="pt-BR"/>
        </w:rPr>
        <w:t xml:space="preserve"> não teve qualquer direito violado pelo Estado brasileiro. </w:t>
      </w:r>
      <w:r w:rsidRPr="00C62DF2">
        <w:rPr>
          <w:rStyle w:val="Emphasis"/>
          <w:i w:val="0"/>
          <w:iCs w:val="0"/>
          <w:lang w:val="pt-BR"/>
        </w:rPr>
        <w:t>Também afirmou que Denise e Eduarda sempre tiveram todas as condições de voltar ao Brasil</w:t>
      </w:r>
      <w:r w:rsidR="00C53B2A" w:rsidRPr="00C62DF2">
        <w:rPr>
          <w:rStyle w:val="Emphasis"/>
          <w:i w:val="0"/>
          <w:iCs w:val="0"/>
          <w:lang w:val="pt-BR"/>
        </w:rPr>
        <w:t>;</w:t>
      </w:r>
      <w:r w:rsidRPr="00C62DF2">
        <w:rPr>
          <w:rStyle w:val="Emphasis"/>
          <w:i w:val="0"/>
          <w:iCs w:val="0"/>
          <w:lang w:val="pt-BR"/>
        </w:rPr>
        <w:t xml:space="preserve"> no </w:t>
      </w:r>
      <w:r w:rsidR="00566CD5" w:rsidRPr="00C62DF2">
        <w:rPr>
          <w:rStyle w:val="Emphasis"/>
          <w:i w:val="0"/>
          <w:iCs w:val="0"/>
          <w:lang w:val="pt-BR"/>
        </w:rPr>
        <w:t>entanto</w:t>
      </w:r>
      <w:r w:rsidRPr="00C62DF2">
        <w:rPr>
          <w:rStyle w:val="Emphasis"/>
          <w:i w:val="0"/>
          <w:iCs w:val="0"/>
          <w:lang w:val="pt-BR"/>
        </w:rPr>
        <w:t>, escolheram viver no exterior, por motivos “claramente sem conexão com a garantia de sua segurança ou de sua integridade”.</w:t>
      </w:r>
    </w:p>
    <w:p w14:paraId="2FCA64FC" w14:textId="77777777" w:rsidR="007C2EFF" w:rsidRPr="00C62DF2" w:rsidRDefault="007C2EFF" w:rsidP="00FC0CB6">
      <w:pPr>
        <w:pStyle w:val="ListParagraph"/>
        <w:ind w:firstLine="0"/>
        <w:rPr>
          <w:sz w:val="20"/>
          <w:szCs w:val="20"/>
          <w:lang w:val="pt-BR"/>
        </w:rPr>
      </w:pPr>
    </w:p>
    <w:p w14:paraId="0290DDC2" w14:textId="754AB6CB" w:rsidR="007C2EFF" w:rsidRPr="00C62DF2" w:rsidRDefault="007C2EFF" w:rsidP="00FC0CB6">
      <w:pPr>
        <w:pStyle w:val="Body"/>
        <w:numPr>
          <w:ilvl w:val="0"/>
          <w:numId w:val="2"/>
        </w:numPr>
        <w:ind w:firstLine="0"/>
        <w:rPr>
          <w:color w:val="auto"/>
          <w:lang w:val="pt-BR"/>
        </w:rPr>
      </w:pPr>
      <w:r w:rsidRPr="00C62DF2">
        <w:rPr>
          <w:lang w:val="pt-BR"/>
        </w:rPr>
        <w:t xml:space="preserve">Indicou que o </w:t>
      </w:r>
      <w:r w:rsidRPr="00C62DF2">
        <w:rPr>
          <w:rStyle w:val="apple-converted-space"/>
          <w:lang w:val="pt-BR"/>
        </w:rPr>
        <w:t>poder judici</w:t>
      </w:r>
      <w:r w:rsidR="00C53B2A" w:rsidRPr="00C62DF2">
        <w:rPr>
          <w:rStyle w:val="apple-converted-space"/>
          <w:lang w:val="pt-BR"/>
        </w:rPr>
        <w:t>ário</w:t>
      </w:r>
      <w:r w:rsidRPr="00C62DF2">
        <w:rPr>
          <w:rStyle w:val="apple-converted-space"/>
          <w:lang w:val="pt-BR"/>
        </w:rPr>
        <w:t xml:space="preserve"> brasileiro e o Ministério Público não podem aplicar o crime de tortura aos fatos cometidos contra Eduardo Collen Leite e seus familiares porque a Lei nº 9.455/97, que definiu esses crimes no direito interno, foi publicada depois dos fatos. </w:t>
      </w:r>
      <w:r w:rsidR="009D091D" w:rsidRPr="00C62DF2">
        <w:rPr>
          <w:rStyle w:val="apple-converted-space"/>
          <w:lang w:val="pt-BR"/>
        </w:rPr>
        <w:t>Ademais</w:t>
      </w:r>
      <w:r w:rsidRPr="00C62DF2">
        <w:rPr>
          <w:rStyle w:val="apple-converted-space"/>
          <w:lang w:val="pt-BR"/>
        </w:rPr>
        <w:t xml:space="preserve">, alegou que </w:t>
      </w:r>
      <w:r w:rsidRPr="00C62DF2">
        <w:rPr>
          <w:shd w:val="clear" w:color="auto" w:fill="FFFFFF"/>
          <w:lang w:val="pt-BR"/>
        </w:rPr>
        <w:t xml:space="preserve">os documentos referentes ao período de 1964 a 1985 foram destruídos conforme legislação aplicável ao caso. Destacou que os restos mortais de Eduardo Collen Leite foram entregues </w:t>
      </w:r>
      <w:r w:rsidR="00C53B2A" w:rsidRPr="00C62DF2">
        <w:rPr>
          <w:shd w:val="clear" w:color="auto" w:fill="FFFFFF"/>
          <w:lang w:val="pt-BR"/>
        </w:rPr>
        <w:t>à</w:t>
      </w:r>
      <w:r w:rsidRPr="00C62DF2">
        <w:rPr>
          <w:shd w:val="clear" w:color="auto" w:fill="FFFFFF"/>
          <w:lang w:val="pt-BR"/>
        </w:rPr>
        <w:t xml:space="preserve"> sua família dias depois de sua morte.</w:t>
      </w:r>
      <w:r w:rsidRPr="00C62DF2">
        <w:rPr>
          <w:lang w:val="pt-BR"/>
        </w:rPr>
        <w:t xml:space="preserve"> </w:t>
      </w:r>
    </w:p>
    <w:p w14:paraId="0A981686" w14:textId="77777777" w:rsidR="007C2EFF" w:rsidRPr="00C62DF2" w:rsidRDefault="007C2EFF" w:rsidP="00FC0CB6">
      <w:pPr>
        <w:pStyle w:val="ListParagraph"/>
        <w:ind w:firstLine="0"/>
        <w:rPr>
          <w:sz w:val="20"/>
          <w:szCs w:val="20"/>
          <w:lang w:val="pt-BR"/>
        </w:rPr>
      </w:pPr>
    </w:p>
    <w:p w14:paraId="07A4CB42" w14:textId="0791B3C0" w:rsidR="007C2EFF" w:rsidRPr="00C62DF2" w:rsidRDefault="007C2EFF" w:rsidP="00FC0CB6">
      <w:pPr>
        <w:pStyle w:val="Body"/>
        <w:numPr>
          <w:ilvl w:val="0"/>
          <w:numId w:val="2"/>
        </w:numPr>
        <w:ind w:firstLine="0"/>
        <w:rPr>
          <w:color w:val="auto"/>
          <w:lang w:val="pt-BR"/>
        </w:rPr>
      </w:pPr>
      <w:r w:rsidRPr="00C62DF2">
        <w:rPr>
          <w:lang w:val="pt-BR"/>
        </w:rPr>
        <w:t xml:space="preserve">Com relação à </w:t>
      </w:r>
      <w:r w:rsidRPr="00C62DF2">
        <w:rPr>
          <w:i/>
          <w:iCs/>
          <w:lang w:val="pt-BR"/>
        </w:rPr>
        <w:t xml:space="preserve">delatio criminis </w:t>
      </w:r>
      <w:r w:rsidRPr="00C62DF2">
        <w:rPr>
          <w:lang w:val="pt-BR"/>
        </w:rPr>
        <w:t xml:space="preserve">apresentada ao MPF em 1º de julho de 2011, afirmou que </w:t>
      </w:r>
      <w:r w:rsidR="00C53B2A" w:rsidRPr="00C62DF2">
        <w:rPr>
          <w:lang w:val="pt-BR"/>
        </w:rPr>
        <w:t>el</w:t>
      </w:r>
      <w:r w:rsidRPr="00C62DF2">
        <w:rPr>
          <w:lang w:val="pt-BR"/>
        </w:rPr>
        <w:t xml:space="preserve">a foi arquivada em 3 de fevereiro de 2012 a pedido do MPF, pois ocorreu a prescrição da pretensão punitiva, de maneira que em 22 de fevereiro de 2012 o processo foi arquivado definitivamente. </w:t>
      </w:r>
    </w:p>
    <w:p w14:paraId="58164C67" w14:textId="77777777" w:rsidR="007C2EFF" w:rsidRPr="00C62DF2" w:rsidRDefault="007C2EFF" w:rsidP="00FC0CB6">
      <w:pPr>
        <w:pStyle w:val="ListParagraph"/>
        <w:ind w:firstLine="0"/>
        <w:rPr>
          <w:rStyle w:val="Emphasis"/>
          <w:rFonts w:cs="Arial"/>
          <w:i w:val="0"/>
          <w:lang w:val="pt-BR"/>
        </w:rPr>
      </w:pPr>
    </w:p>
    <w:p w14:paraId="6A7DE728" w14:textId="4E5375B8" w:rsidR="007C2EFF" w:rsidRPr="00C62DF2" w:rsidRDefault="007C2EFF" w:rsidP="00FC0CB6">
      <w:pPr>
        <w:pStyle w:val="Body"/>
        <w:numPr>
          <w:ilvl w:val="0"/>
          <w:numId w:val="2"/>
        </w:numPr>
        <w:ind w:firstLine="0"/>
        <w:rPr>
          <w:rStyle w:val="Emphasis"/>
          <w:i w:val="0"/>
          <w:iCs w:val="0"/>
          <w:color w:val="auto"/>
          <w:lang w:val="pt-BR"/>
        </w:rPr>
      </w:pPr>
      <w:r w:rsidRPr="00C62DF2">
        <w:rPr>
          <w:rStyle w:val="Emphasis"/>
          <w:rFonts w:cs="Arial"/>
          <w:i w:val="0"/>
          <w:lang w:val="pt-BR"/>
        </w:rPr>
        <w:t>Por outro lado, informou que</w:t>
      </w:r>
      <w:r w:rsidR="00C53B2A" w:rsidRPr="00C62DF2">
        <w:rPr>
          <w:rStyle w:val="Emphasis"/>
          <w:rFonts w:cs="Arial"/>
          <w:i w:val="0"/>
          <w:lang w:val="pt-BR"/>
        </w:rPr>
        <w:t>,</w:t>
      </w:r>
      <w:r w:rsidRPr="00C62DF2">
        <w:rPr>
          <w:rStyle w:val="Emphasis"/>
          <w:rFonts w:cs="Arial"/>
          <w:i w:val="0"/>
          <w:lang w:val="pt-BR"/>
        </w:rPr>
        <w:t xml:space="preserve"> no âmbito do Ministério d</w:t>
      </w:r>
      <w:r w:rsidR="00C53B2A" w:rsidRPr="00C62DF2">
        <w:rPr>
          <w:rStyle w:val="Emphasis"/>
          <w:rFonts w:cs="Arial"/>
          <w:i w:val="0"/>
          <w:lang w:val="pt-BR"/>
        </w:rPr>
        <w:t>a</w:t>
      </w:r>
      <w:r w:rsidRPr="00C62DF2">
        <w:rPr>
          <w:rStyle w:val="Emphasis"/>
          <w:rFonts w:cs="Arial"/>
          <w:i w:val="0"/>
          <w:lang w:val="pt-BR"/>
        </w:rPr>
        <w:t xml:space="preserve"> Justiça</w:t>
      </w:r>
      <w:r w:rsidR="00C53B2A" w:rsidRPr="00C62DF2">
        <w:rPr>
          <w:rStyle w:val="Emphasis"/>
          <w:rFonts w:cs="Arial"/>
          <w:i w:val="0"/>
          <w:lang w:val="pt-BR"/>
        </w:rPr>
        <w:t>,</w:t>
      </w:r>
      <w:r w:rsidRPr="00C62DF2">
        <w:rPr>
          <w:rStyle w:val="Emphasis"/>
          <w:rFonts w:cs="Arial"/>
          <w:i w:val="0"/>
          <w:lang w:val="pt-BR"/>
        </w:rPr>
        <w:t xml:space="preserve"> foram apresentados e resolvidos os seguintes processos: (a)</w:t>
      </w:r>
      <w:r w:rsidRPr="00C62DF2">
        <w:rPr>
          <w:rStyle w:val="Emphasis"/>
          <w:i w:val="0"/>
          <w:iCs w:val="0"/>
          <w:lang w:val="pt-BR"/>
        </w:rPr>
        <w:t xml:space="preserve"> </w:t>
      </w:r>
      <w:r w:rsidRPr="00C62DF2">
        <w:rPr>
          <w:rStyle w:val="Emphasis"/>
          <w:rFonts w:cs="Arial"/>
          <w:i w:val="0"/>
          <w:lang w:val="pt-BR"/>
        </w:rPr>
        <w:t xml:space="preserve">em 21 de maio de 2009, de acordo com a solicitação nº 2008.01.63086, foi publicada a Portaria nº 1.625 que reconheceu Eduardo Collen Leite como anistiado político </w:t>
      </w:r>
      <w:r w:rsidRPr="00C62DF2">
        <w:rPr>
          <w:rStyle w:val="Emphasis"/>
          <w:rFonts w:cs="Arial"/>
          <w:iCs w:val="0"/>
          <w:lang w:val="pt-BR"/>
        </w:rPr>
        <w:t xml:space="preserve">post morten </w:t>
      </w:r>
      <w:r w:rsidRPr="00C62DF2">
        <w:rPr>
          <w:rStyle w:val="Emphasis"/>
          <w:rFonts w:cs="Arial"/>
          <w:i w:val="0"/>
          <w:lang w:val="pt-BR"/>
        </w:rPr>
        <w:t xml:space="preserve">e, consequentemente, foi </w:t>
      </w:r>
      <w:r w:rsidR="00D002EA" w:rsidRPr="00C62DF2">
        <w:rPr>
          <w:rStyle w:val="Emphasis"/>
          <w:rFonts w:cs="Arial"/>
          <w:i w:val="0"/>
          <w:lang w:val="pt-BR"/>
        </w:rPr>
        <w:t>concedi</w:t>
      </w:r>
      <w:r w:rsidRPr="00C62DF2">
        <w:rPr>
          <w:rStyle w:val="Emphasis"/>
          <w:rFonts w:cs="Arial"/>
          <w:i w:val="0"/>
          <w:lang w:val="pt-BR"/>
        </w:rPr>
        <w:t>do a Denise Peres Crispim o pagamento de R$ 100.000,00 (cem mil reais) na condição de sua beneficiária;</w:t>
      </w:r>
      <w:r w:rsidR="009D091D" w:rsidRPr="00C62DF2">
        <w:rPr>
          <w:rStyle w:val="Emphasis"/>
          <w:rFonts w:cs="Arial"/>
          <w:i w:val="0"/>
          <w:lang w:val="pt-BR"/>
        </w:rPr>
        <w:t xml:space="preserve"> </w:t>
      </w:r>
      <w:r w:rsidRPr="00C62DF2">
        <w:rPr>
          <w:rStyle w:val="Emphasis"/>
          <w:i w:val="0"/>
          <w:iCs w:val="0"/>
          <w:lang w:val="pt-BR"/>
        </w:rPr>
        <w:t>(b) em 27 de maio de 2007, de acordo com a solicitação, nº 2007.01.57501 foi publicada a Portaria nº 1.771</w:t>
      </w:r>
      <w:r w:rsidR="00D002EA" w:rsidRPr="00C62DF2">
        <w:rPr>
          <w:rStyle w:val="Emphasis"/>
          <w:i w:val="0"/>
          <w:iCs w:val="0"/>
          <w:lang w:val="pt-BR"/>
        </w:rPr>
        <w:t>,</w:t>
      </w:r>
      <w:r w:rsidRPr="00C62DF2">
        <w:rPr>
          <w:rStyle w:val="Emphasis"/>
          <w:i w:val="0"/>
          <w:iCs w:val="0"/>
          <w:lang w:val="pt-BR"/>
        </w:rPr>
        <w:t xml:space="preserve"> que reconheceu Denise Peres Crispim como anistiada e ela obteve um pedido oficial de desculpas por parte do Estado brasileiro. No mesmo processo foi dado a Eduarda o direito de incluir o nome de Eduardo Collen Leite em seu registro de nascimento e foi </w:t>
      </w:r>
      <w:r w:rsidR="00D002EA" w:rsidRPr="00C62DF2">
        <w:rPr>
          <w:rStyle w:val="Emphasis"/>
          <w:i w:val="0"/>
          <w:iCs w:val="0"/>
          <w:lang w:val="pt-BR"/>
        </w:rPr>
        <w:t>concedi</w:t>
      </w:r>
      <w:r w:rsidRPr="00C62DF2">
        <w:rPr>
          <w:rStyle w:val="Emphasis"/>
          <w:i w:val="0"/>
          <w:iCs w:val="0"/>
          <w:lang w:val="pt-BR"/>
        </w:rPr>
        <w:t>da à senhora Denise Crispim uma reparação de R$ 505.553.08 (quinhentos e cinco mil, quinhentos e cinquenta e três reais e oito centavos)</w:t>
      </w:r>
      <w:r w:rsidR="00D002EA" w:rsidRPr="00C62DF2">
        <w:rPr>
          <w:rStyle w:val="Emphasis"/>
          <w:i w:val="0"/>
          <w:iCs w:val="0"/>
          <w:lang w:val="pt-BR"/>
        </w:rPr>
        <w:t>,</w:t>
      </w:r>
      <w:r w:rsidRPr="00C62DF2">
        <w:rPr>
          <w:rStyle w:val="Emphasis"/>
          <w:i w:val="0"/>
          <w:iCs w:val="0"/>
          <w:lang w:val="pt-BR"/>
        </w:rPr>
        <w:t xml:space="preserve"> que foi paga em prestações mensais de R$ 5.561,64 (cinco mil, quinhentos e sessenta e um reais e sessenta e quatro centavos); (c) em 8 de setembro de 2010, de acordo com a solicitação nº 2009.01.65877, foi publicada a Portaria nº 2.858</w:t>
      </w:r>
      <w:r w:rsidR="00D002EA" w:rsidRPr="00C62DF2">
        <w:rPr>
          <w:rStyle w:val="Emphasis"/>
          <w:i w:val="0"/>
          <w:iCs w:val="0"/>
          <w:lang w:val="pt-BR"/>
        </w:rPr>
        <w:t>,</w:t>
      </w:r>
      <w:r w:rsidRPr="00C62DF2">
        <w:rPr>
          <w:rStyle w:val="Emphasis"/>
          <w:i w:val="0"/>
          <w:iCs w:val="0"/>
          <w:lang w:val="pt-BR"/>
        </w:rPr>
        <w:t xml:space="preserve"> que concedeu a Eduarda Crispim Leite um pedido oficial de desculpas do Estado brasileiro, uma reparação de R$ 100.000,00 (cem mil reais) e o reconhecimento de seu diploma de “Restauro de pinturas e esculturas” do Instituto Del Restauro Roma como equivalente a Bacharelado em Artes Plásticas, para fins de validação no território brasileiro. </w:t>
      </w:r>
      <w:r w:rsidRPr="00C62DF2">
        <w:rPr>
          <w:rStyle w:val="Emphasis"/>
          <w:rFonts w:cs="Arial"/>
          <w:i w:val="0"/>
          <w:lang w:val="pt-BR"/>
        </w:rPr>
        <w:t xml:space="preserve">O Estado também indicou que está pendente a tramitação de um processo </w:t>
      </w:r>
      <w:r w:rsidR="00D827DF" w:rsidRPr="00C62DF2">
        <w:rPr>
          <w:rStyle w:val="Emphasis"/>
          <w:rFonts w:cs="Arial"/>
          <w:i w:val="0"/>
          <w:lang w:val="pt-BR"/>
        </w:rPr>
        <w:t>per</w:t>
      </w:r>
      <w:r w:rsidRPr="00C62DF2">
        <w:rPr>
          <w:rStyle w:val="Emphasis"/>
          <w:rFonts w:cs="Arial"/>
          <w:i w:val="0"/>
          <w:lang w:val="pt-BR"/>
        </w:rPr>
        <w:t>ante a 2ª Jurisdição de Registros Público da Capital de São Paulo para transcrição do registro de nascimento de Eduarda Crispim Leite nos termos do artigo 3 da Lei 9.140.</w:t>
      </w:r>
    </w:p>
    <w:p w14:paraId="7B19D75F" w14:textId="77777777" w:rsidR="007C2EFF" w:rsidRPr="00C62DF2" w:rsidRDefault="007C2EFF" w:rsidP="00FC0CB6">
      <w:pPr>
        <w:pStyle w:val="Body"/>
        <w:ind w:left="720" w:firstLine="0"/>
        <w:rPr>
          <w:rStyle w:val="Emphasis"/>
          <w:i w:val="0"/>
          <w:iCs w:val="0"/>
          <w:color w:val="auto"/>
          <w:lang w:val="pt-BR"/>
        </w:rPr>
      </w:pPr>
    </w:p>
    <w:p w14:paraId="296862A8" w14:textId="201ADF37" w:rsidR="007C2EFF" w:rsidRPr="00C62DF2" w:rsidRDefault="007C2EFF" w:rsidP="00FC0CB6">
      <w:pPr>
        <w:pStyle w:val="Body"/>
        <w:numPr>
          <w:ilvl w:val="0"/>
          <w:numId w:val="2"/>
        </w:numPr>
        <w:ind w:firstLine="0"/>
        <w:rPr>
          <w:rStyle w:val="Emphasis"/>
          <w:i w:val="0"/>
          <w:iCs w:val="0"/>
          <w:color w:val="auto"/>
          <w:lang w:val="pt-BR"/>
        </w:rPr>
      </w:pPr>
      <w:r w:rsidRPr="00C62DF2">
        <w:rPr>
          <w:lang w:val="pt-BR"/>
        </w:rPr>
        <w:t xml:space="preserve">O Estado indicou que </w:t>
      </w:r>
      <w:r w:rsidR="00D827DF" w:rsidRPr="00C62DF2">
        <w:rPr>
          <w:lang w:val="pt-BR"/>
        </w:rPr>
        <w:t>foi</w:t>
      </w:r>
      <w:r w:rsidRPr="00C62DF2">
        <w:rPr>
          <w:lang w:val="pt-BR"/>
        </w:rPr>
        <w:t xml:space="preserve"> </w:t>
      </w:r>
      <w:r w:rsidR="00D827DF" w:rsidRPr="00C62DF2">
        <w:rPr>
          <w:lang w:val="pt-BR"/>
        </w:rPr>
        <w:t>realizad</w:t>
      </w:r>
      <w:r w:rsidRPr="00C62DF2">
        <w:rPr>
          <w:lang w:val="pt-BR"/>
        </w:rPr>
        <w:t xml:space="preserve">a uma série de procedimentos administrativos sobre os fatos do presente caso. A respeito, afirmou que: (a) em 25 de janeiro de 1996, o caso de Eduardo Collen Leite foi avaliado pela Comissão Especial sobre Mortos e Desaparecidos Políticos (doravante “CEMDP”), que concluiu </w:t>
      </w:r>
      <w:r w:rsidR="009D091D" w:rsidRPr="00C62DF2">
        <w:rPr>
          <w:lang w:val="pt-BR"/>
        </w:rPr>
        <w:t>pel</w:t>
      </w:r>
      <w:r w:rsidRPr="00C62DF2">
        <w:rPr>
          <w:lang w:val="pt-BR"/>
        </w:rPr>
        <w:t>a responsabilidade do Estado; (b) foram implementadas iniciativas com o objetivo de preservar o direito à memória de Eduardo Collen Leite, como o lançamento, em 2007, do livro “Direito à Memória e à Verdade” elaborado pela Comissão Especial de Mortos e Desaparecidos Políticos, no qual consta um relato sobre a trajetória e as circunstâncias de sua morte; (c)  concedeu</w:t>
      </w:r>
      <w:r w:rsidR="00D827DF" w:rsidRPr="00C62DF2">
        <w:rPr>
          <w:lang w:val="pt-BR"/>
        </w:rPr>
        <w:t>-se</w:t>
      </w:r>
      <w:r w:rsidRPr="00C62DF2">
        <w:rPr>
          <w:lang w:val="pt-BR"/>
        </w:rPr>
        <w:t xml:space="preserve"> o nome de Eduardo Collen Leite a duas ruas no Brasil (uma na cidade de Belo Horizonte e outra na cidade do Rio de Janeiro) e ao Centro de Convivência e Cooperativa; (d) em 20 de janeiro de 2011 foi realizado um ato público solene na Assembleia Legislativa do </w:t>
      </w:r>
      <w:r w:rsidR="00720C17" w:rsidRPr="00C62DF2">
        <w:rPr>
          <w:lang w:val="pt-BR"/>
        </w:rPr>
        <w:t>E</w:t>
      </w:r>
      <w:r w:rsidRPr="00C62DF2">
        <w:rPr>
          <w:lang w:val="pt-BR"/>
        </w:rPr>
        <w:t xml:space="preserve">stado de São Paulo no qual foi conferido a Eduardo Collen Leite o título de “cidadão paulistano </w:t>
      </w:r>
      <w:r w:rsidRPr="00C62DF2">
        <w:rPr>
          <w:i/>
          <w:iCs/>
          <w:lang w:val="pt-BR"/>
        </w:rPr>
        <w:t>in memoriam</w:t>
      </w:r>
      <w:r w:rsidRPr="00C62DF2">
        <w:rPr>
          <w:lang w:val="pt-BR"/>
        </w:rPr>
        <w:t xml:space="preserve">” e foi apresentada uma canção com o nome “Bacuri”; (e) o nome de Eduardo está em um monumento criado na Avenida Afonso Pena no </w:t>
      </w:r>
      <w:r w:rsidR="00720C17" w:rsidRPr="00C62DF2">
        <w:rPr>
          <w:lang w:val="pt-BR"/>
        </w:rPr>
        <w:t>E</w:t>
      </w:r>
      <w:r w:rsidRPr="00C62DF2">
        <w:rPr>
          <w:lang w:val="pt-BR"/>
        </w:rPr>
        <w:t xml:space="preserve">stado de Minas Gerais junto a outros militantes, o qual foi inaugurado em 25 de maio de 2013; e (f) </w:t>
      </w:r>
      <w:r w:rsidRPr="00C62DF2">
        <w:rPr>
          <w:rStyle w:val="Emphasis"/>
          <w:rFonts w:cs="Arial"/>
          <w:i w:val="0"/>
          <w:lang w:val="pt-BR"/>
        </w:rPr>
        <w:t xml:space="preserve">em 10 de dezembro de 2014, a Comissão Nacional da Verdade (doravante “CNV”) apresentou seu Relatório, no qual abordou o </w:t>
      </w:r>
      <w:r w:rsidR="00720C17" w:rsidRPr="00C62DF2">
        <w:rPr>
          <w:rStyle w:val="Emphasis"/>
          <w:rFonts w:cs="Arial"/>
          <w:i w:val="0"/>
          <w:lang w:val="pt-BR"/>
        </w:rPr>
        <w:t xml:space="preserve">caso </w:t>
      </w:r>
      <w:r w:rsidRPr="00C62DF2">
        <w:rPr>
          <w:rStyle w:val="Emphasis"/>
          <w:rFonts w:cs="Arial"/>
          <w:i w:val="0"/>
          <w:lang w:val="pt-BR"/>
        </w:rPr>
        <w:t xml:space="preserve">de Eduardo Collen Leite, registrando que foi executado por agentes estatais. </w:t>
      </w:r>
      <w:r w:rsidR="009D091D" w:rsidRPr="00C62DF2">
        <w:rPr>
          <w:rStyle w:val="Emphasis"/>
          <w:rFonts w:cs="Arial"/>
          <w:i w:val="0"/>
          <w:lang w:val="pt-BR"/>
        </w:rPr>
        <w:t>Tal</w:t>
      </w:r>
      <w:r w:rsidRPr="00C62DF2">
        <w:rPr>
          <w:rStyle w:val="Emphasis"/>
          <w:rFonts w:cs="Arial"/>
          <w:i w:val="0"/>
          <w:lang w:val="pt-BR"/>
        </w:rPr>
        <w:t xml:space="preserve"> Comissão também recomendou a ratificação de sua declaração de </w:t>
      </w:r>
      <w:r w:rsidR="00566CD5" w:rsidRPr="00C62DF2">
        <w:rPr>
          <w:rStyle w:val="Emphasis"/>
          <w:rFonts w:cs="Arial"/>
          <w:i w:val="0"/>
          <w:lang w:val="pt-BR"/>
        </w:rPr>
        <w:t>óbito</w:t>
      </w:r>
      <w:r w:rsidRPr="00C62DF2">
        <w:rPr>
          <w:rStyle w:val="Emphasis"/>
          <w:rFonts w:cs="Arial"/>
          <w:i w:val="0"/>
          <w:lang w:val="pt-BR"/>
        </w:rPr>
        <w:t xml:space="preserve"> e que se reconhecesse a responsabilidade dos agentes estatais envolvidos no caso</w:t>
      </w:r>
      <w:r w:rsidRPr="00C62DF2">
        <w:rPr>
          <w:rStyle w:val="Emphasis"/>
          <w:bCs/>
          <w:i w:val="0"/>
          <w:lang w:val="pt-BR"/>
        </w:rPr>
        <w:t>.</w:t>
      </w:r>
    </w:p>
    <w:p w14:paraId="249D8659" w14:textId="77777777" w:rsidR="007C2EFF" w:rsidRPr="00C62DF2" w:rsidRDefault="007C2EFF" w:rsidP="00FC0CB6">
      <w:pPr>
        <w:pStyle w:val="Body"/>
        <w:ind w:left="720" w:firstLine="0"/>
        <w:rPr>
          <w:rStyle w:val="Emphasis"/>
          <w:i w:val="0"/>
          <w:iCs w:val="0"/>
          <w:color w:val="auto"/>
          <w:lang w:val="pt-BR"/>
        </w:rPr>
      </w:pPr>
    </w:p>
    <w:p w14:paraId="4A37CA77" w14:textId="215D38E7" w:rsidR="007C2EFF" w:rsidRPr="00C62DF2" w:rsidRDefault="007C2EFF" w:rsidP="00FC0CB6">
      <w:pPr>
        <w:pStyle w:val="Body"/>
        <w:numPr>
          <w:ilvl w:val="0"/>
          <w:numId w:val="2"/>
        </w:numPr>
        <w:ind w:firstLine="0"/>
        <w:rPr>
          <w:rStyle w:val="Emphasis"/>
          <w:i w:val="0"/>
          <w:iCs w:val="0"/>
          <w:color w:val="auto"/>
          <w:lang w:val="pt-BR"/>
        </w:rPr>
      </w:pPr>
      <w:r w:rsidRPr="00C62DF2">
        <w:rPr>
          <w:rStyle w:val="Emphasis"/>
          <w:i w:val="0"/>
          <w:iCs w:val="0"/>
          <w:lang w:val="pt-BR"/>
        </w:rPr>
        <w:lastRenderedPageBreak/>
        <w:t>De acordo com o Estado, a senhora Denise Peres Crispim assinou um documento no qual declarou seu acordo com os valores recebidos, condições e forma de pagamento, e que seu caso não estava pendente de nenhum processo judicial, além do que se comprometeu a não apresentar ações judiciais para reclamar ou impugnar o montante. Nesse sentido, alegou que</w:t>
      </w:r>
      <w:r w:rsidR="00720C17" w:rsidRPr="00C62DF2">
        <w:rPr>
          <w:rStyle w:val="Emphasis"/>
          <w:i w:val="0"/>
          <w:iCs w:val="0"/>
          <w:lang w:val="pt-BR"/>
        </w:rPr>
        <w:t>,</w:t>
      </w:r>
      <w:r w:rsidRPr="00C62DF2">
        <w:rPr>
          <w:rStyle w:val="Emphasis"/>
          <w:i w:val="0"/>
          <w:iCs w:val="0"/>
          <w:lang w:val="pt-BR"/>
        </w:rPr>
        <w:t xml:space="preserve"> devido ao montante recebido</w:t>
      </w:r>
      <w:r w:rsidR="00720C17" w:rsidRPr="00C62DF2">
        <w:rPr>
          <w:rStyle w:val="Emphasis"/>
          <w:i w:val="0"/>
          <w:iCs w:val="0"/>
          <w:lang w:val="pt-BR"/>
        </w:rPr>
        <w:t>,</w:t>
      </w:r>
      <w:r w:rsidRPr="00C62DF2">
        <w:rPr>
          <w:rStyle w:val="Emphasis"/>
          <w:i w:val="0"/>
          <w:iCs w:val="0"/>
          <w:lang w:val="pt-BR"/>
        </w:rPr>
        <w:t xml:space="preserve"> não poderia reclamar outra indenização pelos mesmos fatos. </w:t>
      </w:r>
    </w:p>
    <w:p w14:paraId="595F11AB" w14:textId="77777777" w:rsidR="007C2EFF" w:rsidRPr="00C62DF2" w:rsidRDefault="007C2EFF" w:rsidP="00FC0CB6">
      <w:pPr>
        <w:pStyle w:val="ListParagraph"/>
        <w:ind w:firstLine="0"/>
        <w:rPr>
          <w:rStyle w:val="Emphasis"/>
          <w:i w:val="0"/>
          <w:iCs w:val="0"/>
          <w:sz w:val="20"/>
          <w:szCs w:val="20"/>
          <w:lang w:val="pt-BR"/>
        </w:rPr>
      </w:pPr>
    </w:p>
    <w:p w14:paraId="2F35B02D" w14:textId="70ECF12B" w:rsidR="007C2EFF" w:rsidRPr="00C62DF2" w:rsidRDefault="007C2EFF" w:rsidP="00FC0CB6">
      <w:pPr>
        <w:pStyle w:val="Body"/>
        <w:numPr>
          <w:ilvl w:val="0"/>
          <w:numId w:val="2"/>
        </w:numPr>
        <w:ind w:firstLine="0"/>
        <w:rPr>
          <w:rStyle w:val="Emphasis"/>
          <w:i w:val="0"/>
          <w:iCs w:val="0"/>
          <w:color w:val="auto"/>
          <w:lang w:val="pt-BR"/>
        </w:rPr>
      </w:pPr>
      <w:r w:rsidRPr="00C62DF2">
        <w:rPr>
          <w:rStyle w:val="Emphasis"/>
          <w:i w:val="0"/>
          <w:iCs w:val="0"/>
          <w:lang w:val="pt-BR"/>
        </w:rPr>
        <w:t>Com relação à Lei de Anistia, indicou que</w:t>
      </w:r>
      <w:r w:rsidR="00720C17" w:rsidRPr="00C62DF2">
        <w:rPr>
          <w:rStyle w:val="Emphasis"/>
          <w:i w:val="0"/>
          <w:iCs w:val="0"/>
          <w:lang w:val="pt-BR"/>
        </w:rPr>
        <w:t>,</w:t>
      </w:r>
      <w:r w:rsidRPr="00C62DF2">
        <w:rPr>
          <w:rStyle w:val="Emphasis"/>
          <w:i w:val="0"/>
          <w:iCs w:val="0"/>
          <w:lang w:val="pt-BR"/>
        </w:rPr>
        <w:t xml:space="preserve"> diferentemente de outras leis de </w:t>
      </w:r>
      <w:r w:rsidR="00720C17" w:rsidRPr="00C62DF2">
        <w:rPr>
          <w:rStyle w:val="Emphasis"/>
          <w:i w:val="0"/>
          <w:iCs w:val="0"/>
          <w:lang w:val="pt-BR"/>
        </w:rPr>
        <w:t>a</w:t>
      </w:r>
      <w:r w:rsidRPr="00C62DF2">
        <w:rPr>
          <w:rStyle w:val="Emphasis"/>
          <w:i w:val="0"/>
          <w:iCs w:val="0"/>
          <w:lang w:val="pt-BR"/>
        </w:rPr>
        <w:t xml:space="preserve">nistia da região, </w:t>
      </w:r>
      <w:r w:rsidR="009D091D" w:rsidRPr="00C62DF2">
        <w:rPr>
          <w:rStyle w:val="Emphasis"/>
          <w:i w:val="0"/>
          <w:iCs w:val="0"/>
          <w:lang w:val="pt-BR"/>
        </w:rPr>
        <w:t>a lei brasileira</w:t>
      </w:r>
      <w:r w:rsidRPr="00C62DF2">
        <w:rPr>
          <w:rStyle w:val="Emphasis"/>
          <w:i w:val="0"/>
          <w:iCs w:val="0"/>
          <w:lang w:val="pt-BR"/>
        </w:rPr>
        <w:t xml:space="preserve"> </w:t>
      </w:r>
      <w:r w:rsidR="00720C17" w:rsidRPr="00C62DF2">
        <w:rPr>
          <w:rStyle w:val="Emphasis"/>
          <w:i w:val="0"/>
          <w:iCs w:val="0"/>
          <w:lang w:val="pt-BR"/>
        </w:rPr>
        <w:t>foi</w:t>
      </w:r>
      <w:r w:rsidRPr="00C62DF2">
        <w:rPr>
          <w:rStyle w:val="Emphasis"/>
          <w:i w:val="0"/>
          <w:iCs w:val="0"/>
          <w:lang w:val="pt-BR"/>
        </w:rPr>
        <w:t xml:space="preserve"> aplic</w:t>
      </w:r>
      <w:r w:rsidR="00720C17" w:rsidRPr="00C62DF2">
        <w:rPr>
          <w:rStyle w:val="Emphasis"/>
          <w:i w:val="0"/>
          <w:iCs w:val="0"/>
          <w:lang w:val="pt-BR"/>
        </w:rPr>
        <w:t>ada</w:t>
      </w:r>
      <w:r w:rsidRPr="00C62DF2">
        <w:rPr>
          <w:rStyle w:val="Emphasis"/>
          <w:i w:val="0"/>
          <w:iCs w:val="0"/>
          <w:lang w:val="pt-BR"/>
        </w:rPr>
        <w:t xml:space="preserve"> tanto aos opositores do regime militar</w:t>
      </w:r>
      <w:r w:rsidR="009D091D" w:rsidRPr="00C62DF2">
        <w:rPr>
          <w:rStyle w:val="Emphasis"/>
          <w:i w:val="0"/>
          <w:iCs w:val="0"/>
          <w:lang w:val="pt-BR"/>
        </w:rPr>
        <w:t>, quanto</w:t>
      </w:r>
      <w:r w:rsidRPr="00C62DF2">
        <w:rPr>
          <w:rStyle w:val="Emphasis"/>
          <w:i w:val="0"/>
          <w:iCs w:val="0"/>
          <w:lang w:val="pt-BR"/>
        </w:rPr>
        <w:t xml:space="preserve"> aos agentes estatais. Nesse sentido, </w:t>
      </w:r>
      <w:r w:rsidRPr="00C62DF2">
        <w:rPr>
          <w:lang w:val="pt-BR"/>
        </w:rPr>
        <w:t>informou que</w:t>
      </w:r>
      <w:r w:rsidR="00720C17" w:rsidRPr="00C62DF2">
        <w:rPr>
          <w:lang w:val="pt-BR"/>
        </w:rPr>
        <w:t xml:space="preserve">, embora </w:t>
      </w:r>
      <w:r w:rsidRPr="00C62DF2">
        <w:rPr>
          <w:lang w:val="pt-BR"/>
        </w:rPr>
        <w:t xml:space="preserve">o Supremo Tribunal Federal (STF) </w:t>
      </w:r>
      <w:r w:rsidR="00720C17" w:rsidRPr="00C62DF2">
        <w:rPr>
          <w:lang w:val="pt-BR"/>
        </w:rPr>
        <w:t>tenha proferido</w:t>
      </w:r>
      <w:r w:rsidRPr="00C62DF2">
        <w:rPr>
          <w:lang w:val="pt-BR"/>
        </w:rPr>
        <w:t xml:space="preserve"> </w:t>
      </w:r>
      <w:r w:rsidR="009D091D" w:rsidRPr="00C62DF2">
        <w:rPr>
          <w:lang w:val="pt-BR"/>
        </w:rPr>
        <w:t>acórdão</w:t>
      </w:r>
      <w:r w:rsidRPr="00C62DF2">
        <w:rPr>
          <w:lang w:val="pt-BR"/>
        </w:rPr>
        <w:t xml:space="preserve"> em 20 de abril de 2010 na ADPF-153, </w:t>
      </w:r>
      <w:r w:rsidR="009D091D" w:rsidRPr="00C62DF2">
        <w:rPr>
          <w:lang w:val="pt-BR"/>
        </w:rPr>
        <w:t>a Ordem dos Advogados</w:t>
      </w:r>
      <w:r w:rsidRPr="00C62DF2">
        <w:rPr>
          <w:lang w:val="pt-BR"/>
        </w:rPr>
        <w:t xml:space="preserve"> do Brasil apresentou </w:t>
      </w:r>
      <w:r w:rsidRPr="00C62DF2">
        <w:rPr>
          <w:rStyle w:val="Emphasis"/>
          <w:bCs/>
          <w:i w:val="0"/>
          <w:iCs w:val="0"/>
          <w:lang w:val="pt-BR"/>
        </w:rPr>
        <w:t>embargos de declaração</w:t>
      </w:r>
      <w:r w:rsidRPr="00C62DF2">
        <w:rPr>
          <w:rStyle w:val="Emphasis"/>
          <w:bCs/>
          <w:lang w:val="pt-BR"/>
        </w:rPr>
        <w:t xml:space="preserve"> </w:t>
      </w:r>
      <w:r w:rsidRPr="00C62DF2">
        <w:rPr>
          <w:rStyle w:val="Emphasis"/>
          <w:bCs/>
          <w:i w:val="0"/>
          <w:iCs w:val="0"/>
          <w:lang w:val="pt-BR"/>
        </w:rPr>
        <w:t>e</w:t>
      </w:r>
      <w:r w:rsidRPr="00C62DF2">
        <w:rPr>
          <w:rStyle w:val="Emphasis"/>
          <w:bCs/>
          <w:lang w:val="pt-BR"/>
        </w:rPr>
        <w:t xml:space="preserve"> </w:t>
      </w:r>
      <w:r w:rsidRPr="00C62DF2">
        <w:rPr>
          <w:rStyle w:val="Emphasis"/>
          <w:bCs/>
          <w:i w:val="0"/>
          <w:lang w:val="pt-BR"/>
        </w:rPr>
        <w:t xml:space="preserve">até o momento está pendente de decisão. Além disso, alegou que em 21 de março de 2011 </w:t>
      </w:r>
      <w:r w:rsidR="009D091D" w:rsidRPr="00C62DF2">
        <w:rPr>
          <w:rStyle w:val="Emphasis"/>
          <w:bCs/>
          <w:i w:val="0"/>
          <w:lang w:val="pt-BR"/>
        </w:rPr>
        <w:t>a Ordem dos Advogados do Brasil</w:t>
      </w:r>
      <w:r w:rsidRPr="00C62DF2">
        <w:rPr>
          <w:rStyle w:val="Emphasis"/>
          <w:bCs/>
          <w:i w:val="0"/>
          <w:lang w:val="pt-BR"/>
        </w:rPr>
        <w:t xml:space="preserve"> solicitou ao STF que, ao decidir o recurso, se pronunciasse “expressamente sobre a executoriedade, no [Brasil], da sentença da Corte Interamericana de Direitos Humanos no caso Gomes Lund e outros (“Guerrilha do Araguaia”) vs. Brasil, de 24 de novembro de 2010. </w:t>
      </w:r>
      <w:r w:rsidRPr="00C62DF2">
        <w:rPr>
          <w:rStyle w:val="Emphasis"/>
          <w:b/>
          <w:bCs/>
          <w:i w:val="0"/>
          <w:lang w:val="pt-BR"/>
        </w:rPr>
        <w:t xml:space="preserve"> </w:t>
      </w:r>
    </w:p>
    <w:p w14:paraId="39B48D22" w14:textId="77777777" w:rsidR="007C2EFF" w:rsidRPr="00C62DF2" w:rsidRDefault="007C2EFF" w:rsidP="00FC0CB6">
      <w:pPr>
        <w:pStyle w:val="ListParagraph"/>
        <w:ind w:firstLine="0"/>
        <w:rPr>
          <w:rStyle w:val="Emphasis"/>
          <w:bCs/>
          <w:i w:val="0"/>
          <w:sz w:val="20"/>
          <w:szCs w:val="20"/>
          <w:lang w:val="pt-BR"/>
        </w:rPr>
      </w:pPr>
    </w:p>
    <w:p w14:paraId="5E972293" w14:textId="3DE8C232" w:rsidR="007C2EFF" w:rsidRPr="00C62DF2" w:rsidRDefault="007C2EFF" w:rsidP="00FC0CB6">
      <w:pPr>
        <w:pStyle w:val="Body"/>
        <w:numPr>
          <w:ilvl w:val="0"/>
          <w:numId w:val="2"/>
        </w:numPr>
        <w:ind w:firstLine="0"/>
        <w:rPr>
          <w:color w:val="auto"/>
          <w:lang w:val="pt-BR"/>
        </w:rPr>
      </w:pPr>
      <w:r w:rsidRPr="00C62DF2">
        <w:rPr>
          <w:rStyle w:val="Emphasis"/>
          <w:bCs/>
          <w:i w:val="0"/>
          <w:lang w:val="pt-BR"/>
        </w:rPr>
        <w:t xml:space="preserve">Por outro lado, indicou que em maio de 2014 foi apresentada  a ADPF-320, a qual </w:t>
      </w:r>
      <w:r w:rsidR="00D52F02" w:rsidRPr="00C62DF2">
        <w:rPr>
          <w:rStyle w:val="Emphasis"/>
          <w:bCs/>
          <w:i w:val="0"/>
          <w:lang w:val="pt-BR"/>
        </w:rPr>
        <w:t>solicit</w:t>
      </w:r>
      <w:r w:rsidRPr="00C62DF2">
        <w:rPr>
          <w:rStyle w:val="Emphasis"/>
          <w:bCs/>
          <w:i w:val="0"/>
          <w:lang w:val="pt-BR"/>
        </w:rPr>
        <w:t xml:space="preserve">a que o STF declare que a Lei de Anistia “de maneira </w:t>
      </w:r>
      <w:r w:rsidR="00D52F02" w:rsidRPr="00C62DF2">
        <w:rPr>
          <w:rStyle w:val="Emphasis"/>
          <w:bCs/>
          <w:i w:val="0"/>
          <w:lang w:val="pt-BR"/>
        </w:rPr>
        <w:t>ger</w:t>
      </w:r>
      <w:r w:rsidRPr="00C62DF2">
        <w:rPr>
          <w:rStyle w:val="Emphasis"/>
          <w:bCs/>
          <w:i w:val="0"/>
          <w:lang w:val="pt-BR"/>
        </w:rPr>
        <w:t xml:space="preserve">al, não se aplique aos crimes de graves violações de direitos humanos cometidos por agentes públicos, militares ou civis, contra pessoas que, de modo [efetivo] ou suposto, praticaram crimes políticos; e, de modo especial, que essa Lei não se aplica aos autores de crimes continuados ou permanentes, </w:t>
      </w:r>
      <w:r w:rsidR="00D52F02" w:rsidRPr="00C62DF2">
        <w:rPr>
          <w:rStyle w:val="Emphasis"/>
          <w:bCs/>
          <w:i w:val="0"/>
          <w:lang w:val="pt-BR"/>
        </w:rPr>
        <w:t xml:space="preserve">tendo </w:t>
      </w:r>
      <w:r w:rsidRPr="00C62DF2">
        <w:rPr>
          <w:rStyle w:val="Emphasis"/>
          <w:bCs/>
          <w:i w:val="0"/>
          <w:lang w:val="pt-BR"/>
        </w:rPr>
        <w:t>em vista que os efeitos desta norma expira</w:t>
      </w:r>
      <w:r w:rsidR="00D52F02" w:rsidRPr="00C62DF2">
        <w:rPr>
          <w:rStyle w:val="Emphasis"/>
          <w:bCs/>
          <w:i w:val="0"/>
          <w:lang w:val="pt-BR"/>
        </w:rPr>
        <w:t>ra</w:t>
      </w:r>
      <w:r w:rsidRPr="00C62DF2">
        <w:rPr>
          <w:rStyle w:val="Emphasis"/>
          <w:bCs/>
          <w:i w:val="0"/>
          <w:lang w:val="pt-BR"/>
        </w:rPr>
        <w:t>m no dia 15 de agosto de 1979 (</w:t>
      </w:r>
      <w:r w:rsidRPr="00C62DF2">
        <w:rPr>
          <w:rFonts w:cs="Arial"/>
          <w:shd w:val="clear" w:color="auto" w:fill="FFFFFF"/>
          <w:lang w:val="pt-BR"/>
        </w:rPr>
        <w:t>art. 1º</w:t>
      </w:r>
      <w:r w:rsidRPr="00C62DF2">
        <w:rPr>
          <w:rStyle w:val="apple-converted-space"/>
          <w:rFonts w:cs="Arial"/>
          <w:shd w:val="clear" w:color="auto" w:fill="FFFFFF"/>
          <w:lang w:val="pt-BR"/>
        </w:rPr>
        <w:t xml:space="preserve">)”. </w:t>
      </w:r>
      <w:r w:rsidR="00D52F02" w:rsidRPr="00C62DF2">
        <w:rPr>
          <w:rStyle w:val="apple-converted-space"/>
          <w:rFonts w:cs="Arial"/>
          <w:shd w:val="clear" w:color="auto" w:fill="FFFFFF"/>
          <w:lang w:val="pt-BR"/>
        </w:rPr>
        <w:t>Al</w:t>
      </w:r>
      <w:r w:rsidRPr="00C62DF2">
        <w:rPr>
          <w:rStyle w:val="apple-converted-space"/>
          <w:rFonts w:cs="Arial"/>
          <w:shd w:val="clear" w:color="auto" w:fill="FFFFFF"/>
          <w:lang w:val="pt-BR"/>
        </w:rPr>
        <w:t>ém</w:t>
      </w:r>
      <w:r w:rsidR="00D52F02" w:rsidRPr="00C62DF2">
        <w:rPr>
          <w:rStyle w:val="apple-converted-space"/>
          <w:rFonts w:cs="Arial"/>
          <w:shd w:val="clear" w:color="auto" w:fill="FFFFFF"/>
          <w:lang w:val="pt-BR"/>
        </w:rPr>
        <w:t xml:space="preserve"> disso</w:t>
      </w:r>
      <w:r w:rsidRPr="00C62DF2">
        <w:rPr>
          <w:rStyle w:val="apple-converted-space"/>
          <w:rFonts w:cs="Arial"/>
          <w:shd w:val="clear" w:color="auto" w:fill="FFFFFF"/>
          <w:lang w:val="pt-BR"/>
        </w:rPr>
        <w:t>, a ação solicit</w:t>
      </w:r>
      <w:r w:rsidR="00D52F02" w:rsidRPr="00C62DF2">
        <w:rPr>
          <w:rStyle w:val="apple-converted-space"/>
          <w:rFonts w:cs="Arial"/>
          <w:shd w:val="clear" w:color="auto" w:fill="FFFFFF"/>
          <w:lang w:val="pt-BR"/>
        </w:rPr>
        <w:t>ava</w:t>
      </w:r>
      <w:r w:rsidRPr="00C62DF2">
        <w:rPr>
          <w:rStyle w:val="apple-converted-space"/>
          <w:rFonts w:cs="Arial"/>
          <w:shd w:val="clear" w:color="auto" w:fill="FFFFFF"/>
          <w:lang w:val="pt-BR"/>
        </w:rPr>
        <w:t xml:space="preserve"> que o Estado brasileiro cumpra “integralmente” os doze pontos decisivos da conclusão da sentença da Corte Interamericana</w:t>
      </w:r>
      <w:r w:rsidR="00982B1B" w:rsidRPr="00C62DF2">
        <w:rPr>
          <w:i/>
          <w:lang w:val="pt-BR"/>
        </w:rPr>
        <w:t xml:space="preserve"> </w:t>
      </w:r>
      <w:r w:rsidR="00982B1B" w:rsidRPr="00C62DF2">
        <w:rPr>
          <w:iCs/>
          <w:lang w:val="pt-BR"/>
        </w:rPr>
        <w:t>no caso</w:t>
      </w:r>
      <w:r w:rsidR="00982B1B" w:rsidRPr="00C62DF2">
        <w:rPr>
          <w:i/>
          <w:lang w:val="pt-BR"/>
        </w:rPr>
        <w:t xml:space="preserve"> </w:t>
      </w:r>
      <w:r w:rsidR="00982B1B" w:rsidRPr="00C62DF2">
        <w:rPr>
          <w:iCs/>
          <w:lang w:val="pt-BR"/>
        </w:rPr>
        <w:t>Gomes Lund e outros</w:t>
      </w:r>
      <w:r w:rsidR="00B853BD" w:rsidRPr="00AF31EC">
        <w:rPr>
          <w:rStyle w:val="Emphasis"/>
          <w:rFonts w:cs="Arial"/>
          <w:i w:val="0"/>
          <w:iCs w:val="0"/>
          <w:lang w:val="pt-BR"/>
        </w:rPr>
        <w:t xml:space="preserve"> vs. Brasil</w:t>
      </w:r>
      <w:r w:rsidRPr="00C62DF2">
        <w:rPr>
          <w:i/>
          <w:lang w:val="pt-BR"/>
        </w:rPr>
        <w:t xml:space="preserve">. </w:t>
      </w:r>
    </w:p>
    <w:p w14:paraId="67163758" w14:textId="77777777" w:rsidR="00155439" w:rsidRPr="00C62DF2" w:rsidRDefault="00155439" w:rsidP="00FC0CB6">
      <w:pPr>
        <w:pStyle w:val="ListParagraph"/>
        <w:ind w:firstLine="0"/>
        <w:rPr>
          <w:color w:val="auto"/>
          <w:lang w:val="pt-BR"/>
        </w:rPr>
      </w:pPr>
    </w:p>
    <w:p w14:paraId="5A5611EB" w14:textId="77777777" w:rsidR="00155439" w:rsidRPr="00C62DF2" w:rsidRDefault="00155439" w:rsidP="00FC0CB6">
      <w:pPr>
        <w:pStyle w:val="Body"/>
        <w:ind w:firstLine="0"/>
        <w:rPr>
          <w:lang w:val="pt-BR"/>
        </w:rPr>
      </w:pPr>
    </w:p>
    <w:p w14:paraId="32FA543D" w14:textId="77777777" w:rsidR="00155439" w:rsidRPr="00C62DF2" w:rsidRDefault="00155439" w:rsidP="00FC0CB6">
      <w:pPr>
        <w:pStyle w:val="Heading1"/>
        <w:ind w:firstLine="0"/>
        <w:rPr>
          <w:rFonts w:eastAsia="Times New Roman" w:cs="Times New Roman"/>
          <w:lang w:val="pt-BR"/>
        </w:rPr>
      </w:pPr>
      <w:bookmarkStart w:id="4" w:name="_Toc85894999"/>
      <w:r w:rsidRPr="00C62DF2">
        <w:rPr>
          <w:lang w:val="pt-BR"/>
        </w:rPr>
        <w:t>DETERMINAÇÕES DE FATO</w:t>
      </w:r>
      <w:bookmarkEnd w:id="4"/>
    </w:p>
    <w:p w14:paraId="487E8944" w14:textId="77777777" w:rsidR="00155439" w:rsidRPr="00C62DF2" w:rsidRDefault="00155439" w:rsidP="00FC0CB6">
      <w:pPr>
        <w:pStyle w:val="ListParagraph"/>
        <w:suppressAutoHyphens/>
        <w:ind w:left="0" w:firstLine="0"/>
        <w:rPr>
          <w:b/>
          <w:bCs/>
          <w:sz w:val="20"/>
          <w:szCs w:val="20"/>
          <w:lang w:val="pt-BR"/>
        </w:rPr>
      </w:pPr>
    </w:p>
    <w:p w14:paraId="3964DF21" w14:textId="6D60EEEF" w:rsidR="00155439" w:rsidRPr="00C62DF2" w:rsidRDefault="00155439" w:rsidP="00FC0CB6">
      <w:pPr>
        <w:pStyle w:val="Heading2"/>
        <w:numPr>
          <w:ilvl w:val="0"/>
          <w:numId w:val="25"/>
        </w:numPr>
        <w:ind w:left="1440" w:firstLine="0"/>
        <w:rPr>
          <w:color w:val="auto"/>
          <w:lang w:val="pt-BR"/>
        </w:rPr>
      </w:pPr>
      <w:bookmarkStart w:id="5" w:name="_Toc85895000"/>
      <w:r w:rsidRPr="00C62DF2">
        <w:rPr>
          <w:color w:val="auto"/>
          <w:lang w:val="pt-BR"/>
        </w:rPr>
        <w:t>Contexto da ditadura civil</w:t>
      </w:r>
      <w:r w:rsidR="0099170B" w:rsidRPr="00C62DF2">
        <w:rPr>
          <w:color w:val="auto"/>
          <w:lang w:val="pt-BR"/>
        </w:rPr>
        <w:t>-</w:t>
      </w:r>
      <w:r w:rsidRPr="00C62DF2">
        <w:rPr>
          <w:color w:val="auto"/>
          <w:lang w:val="pt-BR"/>
        </w:rPr>
        <w:t>militar brasileira</w:t>
      </w:r>
      <w:bookmarkEnd w:id="5"/>
    </w:p>
    <w:p w14:paraId="6DD0BE44" w14:textId="77777777" w:rsidR="00155439" w:rsidRPr="00C62DF2" w:rsidRDefault="00155439" w:rsidP="00FC0CB6">
      <w:pPr>
        <w:rPr>
          <w:rFonts w:ascii="Cambria" w:hAnsi="Cambria"/>
          <w:sz w:val="20"/>
          <w:szCs w:val="20"/>
          <w:lang w:eastAsia="es-CL"/>
        </w:rPr>
      </w:pPr>
    </w:p>
    <w:p w14:paraId="7C202944" w14:textId="40E8CD65" w:rsidR="00155439" w:rsidRPr="00C62DF2" w:rsidRDefault="00155439" w:rsidP="00FC0CB6">
      <w:pPr>
        <w:pStyle w:val="Body"/>
        <w:numPr>
          <w:ilvl w:val="0"/>
          <w:numId w:val="2"/>
        </w:numPr>
        <w:ind w:firstLine="0"/>
        <w:rPr>
          <w:color w:val="auto"/>
          <w:lang w:val="pt-BR"/>
        </w:rPr>
      </w:pPr>
      <w:r w:rsidRPr="00C62DF2">
        <w:rPr>
          <w:lang w:val="pt-BR"/>
        </w:rPr>
        <w:t>Co</w:t>
      </w:r>
      <w:r w:rsidR="00672863" w:rsidRPr="00C62DF2">
        <w:rPr>
          <w:lang w:val="pt-BR"/>
        </w:rPr>
        <w:t>nforme reconhe</w:t>
      </w:r>
      <w:r w:rsidRPr="00C62DF2">
        <w:rPr>
          <w:lang w:val="pt-BR"/>
        </w:rPr>
        <w:t>cido p</w:t>
      </w:r>
      <w:r w:rsidR="00672863" w:rsidRPr="00C62DF2">
        <w:rPr>
          <w:lang w:val="pt-BR"/>
        </w:rPr>
        <w:t>el</w:t>
      </w:r>
      <w:r w:rsidRPr="00C62DF2">
        <w:rPr>
          <w:lang w:val="pt-BR"/>
        </w:rPr>
        <w:t>o</w:t>
      </w:r>
      <w:r w:rsidR="00672863" w:rsidRPr="00C62DF2">
        <w:rPr>
          <w:lang w:val="pt-BR"/>
        </w:rPr>
        <w:t xml:space="preserve"> Estado, </w:t>
      </w:r>
      <w:r w:rsidRPr="00C62DF2">
        <w:rPr>
          <w:lang w:val="pt-BR"/>
        </w:rPr>
        <w:t xml:space="preserve">os </w:t>
      </w:r>
      <w:r w:rsidR="00672863" w:rsidRPr="00C62DF2">
        <w:rPr>
          <w:lang w:val="pt-BR"/>
        </w:rPr>
        <w:t>fatos</w:t>
      </w:r>
      <w:r w:rsidRPr="00C62DF2">
        <w:rPr>
          <w:lang w:val="pt-BR"/>
        </w:rPr>
        <w:t xml:space="preserve"> d</w:t>
      </w:r>
      <w:r w:rsidR="00672863" w:rsidRPr="00C62DF2">
        <w:rPr>
          <w:lang w:val="pt-BR"/>
        </w:rPr>
        <w:t>o</w:t>
      </w:r>
      <w:r w:rsidRPr="00C62DF2">
        <w:rPr>
          <w:lang w:val="pt-BR"/>
        </w:rPr>
        <w:t xml:space="preserve"> presente caso se en</w:t>
      </w:r>
      <w:r w:rsidR="00672863" w:rsidRPr="00C62DF2">
        <w:rPr>
          <w:lang w:val="pt-BR"/>
        </w:rPr>
        <w:t xml:space="preserve">quadram </w:t>
      </w:r>
      <w:r w:rsidR="00A40692" w:rsidRPr="00C62DF2">
        <w:rPr>
          <w:lang w:val="pt-BR"/>
        </w:rPr>
        <w:t>em um</w:t>
      </w:r>
      <w:r w:rsidR="00672863" w:rsidRPr="00C62DF2">
        <w:rPr>
          <w:lang w:val="pt-BR"/>
        </w:rPr>
        <w:t xml:space="preserve"> </w:t>
      </w:r>
      <w:r w:rsidRPr="00C62DF2">
        <w:rPr>
          <w:lang w:val="pt-BR"/>
        </w:rPr>
        <w:t>contexto de graves violações de direito</w:t>
      </w:r>
      <w:r w:rsidR="00672863" w:rsidRPr="00C62DF2">
        <w:rPr>
          <w:lang w:val="pt-BR"/>
        </w:rPr>
        <w:t>s humanos cometidas durante a di</w:t>
      </w:r>
      <w:r w:rsidRPr="00C62DF2">
        <w:rPr>
          <w:lang w:val="pt-BR"/>
        </w:rPr>
        <w:t>ta</w:t>
      </w:r>
      <w:r w:rsidR="00672863" w:rsidRPr="00C62DF2">
        <w:rPr>
          <w:lang w:val="pt-BR"/>
        </w:rPr>
        <w:t>dura c</w:t>
      </w:r>
      <w:r w:rsidR="0099170B" w:rsidRPr="00C62DF2">
        <w:rPr>
          <w:lang w:val="pt-BR"/>
        </w:rPr>
        <w:t>ivil</w:t>
      </w:r>
      <w:r w:rsidR="00672863" w:rsidRPr="00C62DF2">
        <w:rPr>
          <w:lang w:val="pt-BR"/>
        </w:rPr>
        <w:t xml:space="preserve">-militar instaurada </w:t>
      </w:r>
      <w:r w:rsidRPr="00C62DF2">
        <w:rPr>
          <w:lang w:val="pt-BR"/>
        </w:rPr>
        <w:t>n</w:t>
      </w:r>
      <w:r w:rsidR="00672863" w:rsidRPr="00C62DF2">
        <w:rPr>
          <w:lang w:val="pt-BR"/>
        </w:rPr>
        <w:t>o</w:t>
      </w:r>
      <w:r w:rsidRPr="00C62DF2">
        <w:rPr>
          <w:lang w:val="pt-BR"/>
        </w:rPr>
        <w:t xml:space="preserve"> Brasil </w:t>
      </w:r>
      <w:r w:rsidR="00672863" w:rsidRPr="00C62DF2">
        <w:rPr>
          <w:lang w:val="pt-BR"/>
        </w:rPr>
        <w:t>após o golpe de Estado em 31 de març</w:t>
      </w:r>
      <w:r w:rsidRPr="00C62DF2">
        <w:rPr>
          <w:lang w:val="pt-BR"/>
        </w:rPr>
        <w:t>o de 1964</w:t>
      </w:r>
      <w:r w:rsidRPr="00C62DF2">
        <w:rPr>
          <w:rStyle w:val="FootnoteReference"/>
          <w:lang w:val="pt-BR"/>
        </w:rPr>
        <w:footnoteReference w:id="1"/>
      </w:r>
      <w:r w:rsidRPr="00C62DF2">
        <w:rPr>
          <w:lang w:val="pt-BR"/>
        </w:rPr>
        <w:t>, e que se prolongou</w:t>
      </w:r>
      <w:r w:rsidR="00672863" w:rsidRPr="00C62DF2">
        <w:rPr>
          <w:lang w:val="pt-BR"/>
        </w:rPr>
        <w:t xml:space="preserve"> por 21 an</w:t>
      </w:r>
      <w:r w:rsidRPr="00C62DF2">
        <w:rPr>
          <w:lang w:val="pt-BR"/>
        </w:rPr>
        <w:t>os</w:t>
      </w:r>
      <w:r w:rsidRPr="00C62DF2">
        <w:rPr>
          <w:rStyle w:val="FootnoteReference"/>
          <w:lang w:val="pt-BR"/>
        </w:rPr>
        <w:footnoteReference w:id="2"/>
      </w:r>
      <w:r w:rsidRPr="00C62DF2">
        <w:rPr>
          <w:lang w:val="pt-BR"/>
        </w:rPr>
        <w:t xml:space="preserve">. </w:t>
      </w:r>
    </w:p>
    <w:p w14:paraId="78DC0B90" w14:textId="77777777" w:rsidR="00155439" w:rsidRPr="00C62DF2" w:rsidRDefault="00155439" w:rsidP="00FC0CB6">
      <w:pPr>
        <w:ind w:left="720"/>
        <w:jc w:val="both"/>
        <w:rPr>
          <w:rFonts w:ascii="Cambria" w:hAnsi="Cambria"/>
          <w:sz w:val="20"/>
          <w:szCs w:val="20"/>
        </w:rPr>
      </w:pPr>
    </w:p>
    <w:p w14:paraId="2CB488E0" w14:textId="78745146" w:rsidR="00155439" w:rsidRPr="00C62DF2" w:rsidRDefault="00672863" w:rsidP="00FC0CB6">
      <w:pPr>
        <w:numPr>
          <w:ilvl w:val="0"/>
          <w:numId w:val="2"/>
        </w:numPr>
        <w:jc w:val="both"/>
        <w:rPr>
          <w:rStyle w:val="Emphasis"/>
          <w:rFonts w:ascii="Cambria" w:hAnsi="Cambria"/>
          <w:i w:val="0"/>
          <w:iCs w:val="0"/>
          <w:sz w:val="20"/>
          <w:szCs w:val="20"/>
        </w:rPr>
      </w:pPr>
      <w:r w:rsidRPr="00C62DF2">
        <w:rPr>
          <w:rStyle w:val="Emphasis"/>
          <w:rFonts w:ascii="Cambria" w:hAnsi="Cambria" w:cs="Arial"/>
          <w:i w:val="0"/>
          <w:iCs w:val="0"/>
          <w:sz w:val="20"/>
          <w:szCs w:val="20"/>
        </w:rPr>
        <w:t>Em</w:t>
      </w:r>
      <w:r w:rsidR="00155439" w:rsidRPr="00C62DF2">
        <w:rPr>
          <w:rStyle w:val="Emphasis"/>
          <w:rFonts w:ascii="Cambria" w:hAnsi="Cambria" w:cs="Arial"/>
          <w:i w:val="0"/>
          <w:iCs w:val="0"/>
          <w:sz w:val="20"/>
          <w:szCs w:val="20"/>
        </w:rPr>
        <w:t xml:space="preserve"> su</w:t>
      </w:r>
      <w:r w:rsidRPr="00C62DF2">
        <w:rPr>
          <w:rStyle w:val="Emphasis"/>
          <w:rFonts w:ascii="Cambria" w:hAnsi="Cambria" w:cs="Arial"/>
          <w:i w:val="0"/>
          <w:iCs w:val="0"/>
          <w:sz w:val="20"/>
          <w:szCs w:val="20"/>
        </w:rPr>
        <w:t>as sentenças sobre o</w:t>
      </w:r>
      <w:r w:rsidR="00155439" w:rsidRPr="00C62DF2">
        <w:rPr>
          <w:rStyle w:val="Emphasis"/>
          <w:rFonts w:ascii="Cambria" w:hAnsi="Cambria" w:cs="Arial"/>
          <w:i w:val="0"/>
          <w:iCs w:val="0"/>
          <w:sz w:val="20"/>
          <w:szCs w:val="20"/>
        </w:rPr>
        <w:t xml:space="preserve"> caso Gomes Lund e o</w:t>
      </w:r>
      <w:r w:rsidRPr="00C62DF2">
        <w:rPr>
          <w:rStyle w:val="Emphasis"/>
          <w:rFonts w:ascii="Cambria" w:hAnsi="Cambria" w:cs="Arial"/>
          <w:i w:val="0"/>
          <w:iCs w:val="0"/>
          <w:sz w:val="20"/>
          <w:szCs w:val="20"/>
        </w:rPr>
        <w:t>utros v</w:t>
      </w:r>
      <w:r w:rsidR="00155439" w:rsidRPr="00C62DF2">
        <w:rPr>
          <w:rStyle w:val="Emphasis"/>
          <w:rFonts w:ascii="Cambria" w:hAnsi="Cambria" w:cs="Arial"/>
          <w:i w:val="0"/>
          <w:iCs w:val="0"/>
          <w:sz w:val="20"/>
          <w:szCs w:val="20"/>
        </w:rPr>
        <w:t xml:space="preserve">s. Brasil e </w:t>
      </w:r>
      <w:r w:rsidRPr="00C62DF2">
        <w:rPr>
          <w:rStyle w:val="Emphasis"/>
          <w:rFonts w:ascii="Cambria" w:hAnsi="Cambria" w:cs="Arial"/>
          <w:i w:val="0"/>
          <w:iCs w:val="0"/>
          <w:sz w:val="20"/>
          <w:szCs w:val="20"/>
        </w:rPr>
        <w:t>sobre o</w:t>
      </w:r>
      <w:r w:rsidR="00155439" w:rsidRPr="00C62DF2">
        <w:rPr>
          <w:rStyle w:val="Emphasis"/>
          <w:rFonts w:ascii="Cambria" w:hAnsi="Cambria" w:cs="Arial"/>
          <w:i w:val="0"/>
          <w:iCs w:val="0"/>
          <w:sz w:val="20"/>
          <w:szCs w:val="20"/>
        </w:rPr>
        <w:t xml:space="preserve"> caso Herzog e o</w:t>
      </w:r>
      <w:r w:rsidRPr="00C62DF2">
        <w:rPr>
          <w:rStyle w:val="Emphasis"/>
          <w:rFonts w:ascii="Cambria" w:hAnsi="Cambria" w:cs="Arial"/>
          <w:i w:val="0"/>
          <w:iCs w:val="0"/>
          <w:sz w:val="20"/>
          <w:szCs w:val="20"/>
        </w:rPr>
        <w:t>utros v</w:t>
      </w:r>
      <w:r w:rsidR="00155439" w:rsidRPr="00C62DF2">
        <w:rPr>
          <w:rStyle w:val="Emphasis"/>
          <w:rFonts w:ascii="Cambria" w:hAnsi="Cambria" w:cs="Arial"/>
          <w:i w:val="0"/>
          <w:iCs w:val="0"/>
          <w:sz w:val="20"/>
          <w:szCs w:val="20"/>
        </w:rPr>
        <w:t>s. Brasil,</w:t>
      </w:r>
      <w:r w:rsidRPr="00C62DF2">
        <w:rPr>
          <w:rStyle w:val="Emphasis"/>
          <w:rFonts w:ascii="Cambria" w:hAnsi="Cambria" w:cs="Arial"/>
          <w:i w:val="0"/>
          <w:iCs w:val="0"/>
          <w:sz w:val="20"/>
          <w:szCs w:val="20"/>
        </w:rPr>
        <w:t xml:space="preserve"> </w:t>
      </w:r>
      <w:r w:rsidR="00155439" w:rsidRPr="00C62DF2">
        <w:rPr>
          <w:rStyle w:val="Emphasis"/>
          <w:rFonts w:ascii="Cambria" w:hAnsi="Cambria" w:cs="Arial"/>
          <w:i w:val="0"/>
          <w:iCs w:val="0"/>
          <w:sz w:val="20"/>
          <w:szCs w:val="20"/>
        </w:rPr>
        <w:t>a Corte Interamericana de Direitos Humanos observou que “cerca de 50 mil pessoas f</w:t>
      </w:r>
      <w:r w:rsidRPr="00C62DF2">
        <w:rPr>
          <w:rStyle w:val="Emphasis"/>
          <w:rFonts w:ascii="Cambria" w:hAnsi="Cambria" w:cs="Arial"/>
          <w:i w:val="0"/>
          <w:iCs w:val="0"/>
          <w:sz w:val="20"/>
          <w:szCs w:val="20"/>
        </w:rPr>
        <w:t xml:space="preserve">oram </w:t>
      </w:r>
      <w:r w:rsidR="00A40692" w:rsidRPr="00C62DF2">
        <w:rPr>
          <w:rStyle w:val="Emphasis"/>
          <w:rFonts w:ascii="Cambria" w:hAnsi="Cambria" w:cs="Arial"/>
          <w:i w:val="0"/>
          <w:iCs w:val="0"/>
          <w:sz w:val="20"/>
          <w:szCs w:val="20"/>
        </w:rPr>
        <w:t>presas</w:t>
      </w:r>
      <w:r w:rsidRPr="00C62DF2">
        <w:rPr>
          <w:rStyle w:val="Emphasis"/>
          <w:rFonts w:ascii="Cambria" w:hAnsi="Cambria" w:cs="Arial"/>
          <w:i w:val="0"/>
          <w:iCs w:val="0"/>
          <w:sz w:val="20"/>
          <w:szCs w:val="20"/>
        </w:rPr>
        <w:t xml:space="preserve"> somente n</w:t>
      </w:r>
      <w:r w:rsidR="00155439" w:rsidRPr="00C62DF2">
        <w:rPr>
          <w:rStyle w:val="Emphasis"/>
          <w:rFonts w:ascii="Cambria" w:hAnsi="Cambria" w:cs="Arial"/>
          <w:i w:val="0"/>
          <w:iCs w:val="0"/>
          <w:sz w:val="20"/>
          <w:szCs w:val="20"/>
        </w:rPr>
        <w:t>os prime</w:t>
      </w:r>
      <w:r w:rsidRPr="00C62DF2">
        <w:rPr>
          <w:rStyle w:val="Emphasis"/>
          <w:rFonts w:ascii="Cambria" w:hAnsi="Cambria" w:cs="Arial"/>
          <w:i w:val="0"/>
          <w:iCs w:val="0"/>
          <w:sz w:val="20"/>
          <w:szCs w:val="20"/>
        </w:rPr>
        <w:t>i</w:t>
      </w:r>
      <w:r w:rsidR="00155439" w:rsidRPr="00C62DF2">
        <w:rPr>
          <w:rStyle w:val="Emphasis"/>
          <w:rFonts w:ascii="Cambria" w:hAnsi="Cambria" w:cs="Arial"/>
          <w:i w:val="0"/>
          <w:iCs w:val="0"/>
          <w:sz w:val="20"/>
          <w:szCs w:val="20"/>
        </w:rPr>
        <w:t xml:space="preserve">ros meses da </w:t>
      </w:r>
      <w:r w:rsidR="00DA5DAC" w:rsidRPr="00C62DF2">
        <w:rPr>
          <w:rStyle w:val="Emphasis"/>
          <w:rFonts w:ascii="Cambria" w:hAnsi="Cambria" w:cs="Arial"/>
          <w:i w:val="0"/>
          <w:iCs w:val="0"/>
          <w:sz w:val="20"/>
          <w:szCs w:val="20"/>
        </w:rPr>
        <w:t>di</w:t>
      </w:r>
      <w:r w:rsidR="00155439" w:rsidRPr="00C62DF2">
        <w:rPr>
          <w:rStyle w:val="Emphasis"/>
          <w:rFonts w:ascii="Cambria" w:hAnsi="Cambria" w:cs="Arial"/>
          <w:i w:val="0"/>
          <w:iCs w:val="0"/>
          <w:sz w:val="20"/>
          <w:szCs w:val="20"/>
        </w:rPr>
        <w:t>tadura; cerca de 20 mil presos f</w:t>
      </w:r>
      <w:r w:rsidR="00DA5DAC" w:rsidRPr="00C62DF2">
        <w:rPr>
          <w:rStyle w:val="Emphasis"/>
          <w:rFonts w:ascii="Cambria" w:hAnsi="Cambria" w:cs="Arial"/>
          <w:i w:val="0"/>
          <w:iCs w:val="0"/>
          <w:sz w:val="20"/>
          <w:szCs w:val="20"/>
        </w:rPr>
        <w:t>oram submetidos a torturas; existem 354 mo</w:t>
      </w:r>
      <w:r w:rsidR="00155439" w:rsidRPr="00C62DF2">
        <w:rPr>
          <w:rStyle w:val="Emphasis"/>
          <w:rFonts w:ascii="Cambria" w:hAnsi="Cambria" w:cs="Arial"/>
          <w:i w:val="0"/>
          <w:iCs w:val="0"/>
          <w:sz w:val="20"/>
          <w:szCs w:val="20"/>
        </w:rPr>
        <w:t>rtos e desaparecidos políticos; 130 pessoas f</w:t>
      </w:r>
      <w:r w:rsidR="00DA5DAC" w:rsidRPr="00C62DF2">
        <w:rPr>
          <w:rStyle w:val="Emphasis"/>
          <w:rFonts w:ascii="Cambria" w:hAnsi="Cambria" w:cs="Arial"/>
          <w:i w:val="0"/>
          <w:iCs w:val="0"/>
          <w:sz w:val="20"/>
          <w:szCs w:val="20"/>
        </w:rPr>
        <w:t xml:space="preserve">oram expulsas do país; </w:t>
      </w:r>
      <w:r w:rsidR="00155439" w:rsidRPr="00C62DF2">
        <w:rPr>
          <w:rStyle w:val="Emphasis"/>
          <w:rFonts w:ascii="Cambria" w:hAnsi="Cambria" w:cs="Arial"/>
          <w:i w:val="0"/>
          <w:iCs w:val="0"/>
          <w:sz w:val="20"/>
          <w:szCs w:val="20"/>
        </w:rPr>
        <w:t>os mandatos e direitos políticos de 4.862 pessoas f</w:t>
      </w:r>
      <w:r w:rsidR="00DA5DAC" w:rsidRPr="00C62DF2">
        <w:rPr>
          <w:rStyle w:val="Emphasis"/>
          <w:rFonts w:ascii="Cambria" w:hAnsi="Cambria" w:cs="Arial"/>
          <w:i w:val="0"/>
          <w:iCs w:val="0"/>
          <w:sz w:val="20"/>
          <w:szCs w:val="20"/>
        </w:rPr>
        <w:t xml:space="preserve">oram </w:t>
      </w:r>
      <w:r w:rsidR="00155439" w:rsidRPr="00C62DF2">
        <w:rPr>
          <w:rStyle w:val="Emphasis"/>
          <w:rFonts w:ascii="Cambria" w:hAnsi="Cambria" w:cs="Arial"/>
          <w:i w:val="0"/>
          <w:iCs w:val="0"/>
          <w:sz w:val="20"/>
          <w:szCs w:val="20"/>
        </w:rPr>
        <w:t>suspen</w:t>
      </w:r>
      <w:r w:rsidR="00DA5DAC" w:rsidRPr="00C62DF2">
        <w:rPr>
          <w:rStyle w:val="Emphasis"/>
          <w:rFonts w:ascii="Cambria" w:hAnsi="Cambria" w:cs="Arial"/>
          <w:i w:val="0"/>
          <w:iCs w:val="0"/>
          <w:sz w:val="20"/>
          <w:szCs w:val="20"/>
        </w:rPr>
        <w:t>sos</w:t>
      </w:r>
      <w:r w:rsidR="00155439" w:rsidRPr="00C62DF2">
        <w:rPr>
          <w:rStyle w:val="Emphasis"/>
          <w:rFonts w:ascii="Cambria" w:hAnsi="Cambria" w:cs="Arial"/>
          <w:i w:val="0"/>
          <w:iCs w:val="0"/>
          <w:sz w:val="20"/>
          <w:szCs w:val="20"/>
        </w:rPr>
        <w:t xml:space="preserve"> e c</w:t>
      </w:r>
      <w:r w:rsidR="00DA5DAC" w:rsidRPr="00C62DF2">
        <w:rPr>
          <w:rStyle w:val="Emphasis"/>
          <w:rFonts w:ascii="Cambria" w:hAnsi="Cambria" w:cs="Arial"/>
          <w:i w:val="0"/>
          <w:iCs w:val="0"/>
          <w:sz w:val="20"/>
          <w:szCs w:val="20"/>
        </w:rPr>
        <w:t>entenas</w:t>
      </w:r>
      <w:r w:rsidR="00155439" w:rsidRPr="00C62DF2">
        <w:rPr>
          <w:rStyle w:val="Emphasis"/>
          <w:rFonts w:ascii="Cambria" w:hAnsi="Cambria" w:cs="Arial"/>
          <w:i w:val="0"/>
          <w:iCs w:val="0"/>
          <w:sz w:val="20"/>
          <w:szCs w:val="20"/>
        </w:rPr>
        <w:t xml:space="preserve"> de camp</w:t>
      </w:r>
      <w:r w:rsidR="00DA5DAC" w:rsidRPr="00C62DF2">
        <w:rPr>
          <w:rStyle w:val="Emphasis"/>
          <w:rFonts w:ascii="Cambria" w:hAnsi="Cambria" w:cs="Arial"/>
          <w:i w:val="0"/>
          <w:iCs w:val="0"/>
          <w:sz w:val="20"/>
          <w:szCs w:val="20"/>
        </w:rPr>
        <w:t>oneses</w:t>
      </w:r>
      <w:r w:rsidR="00155439" w:rsidRPr="00C62DF2">
        <w:rPr>
          <w:rStyle w:val="Emphasis"/>
          <w:rFonts w:ascii="Cambria" w:hAnsi="Cambria" w:cs="Arial"/>
          <w:i w:val="0"/>
          <w:iCs w:val="0"/>
          <w:sz w:val="20"/>
          <w:szCs w:val="20"/>
        </w:rPr>
        <w:t xml:space="preserve"> f</w:t>
      </w:r>
      <w:r w:rsidR="00DA5DAC" w:rsidRPr="00C62DF2">
        <w:rPr>
          <w:rStyle w:val="Emphasis"/>
          <w:rFonts w:ascii="Cambria" w:hAnsi="Cambria" w:cs="Arial"/>
          <w:i w:val="0"/>
          <w:iCs w:val="0"/>
          <w:sz w:val="20"/>
          <w:szCs w:val="20"/>
        </w:rPr>
        <w:t>oram assas</w:t>
      </w:r>
      <w:r w:rsidR="00155439" w:rsidRPr="00C62DF2">
        <w:rPr>
          <w:rStyle w:val="Emphasis"/>
          <w:rFonts w:ascii="Cambria" w:hAnsi="Cambria" w:cs="Arial"/>
          <w:i w:val="0"/>
          <w:iCs w:val="0"/>
          <w:sz w:val="20"/>
          <w:szCs w:val="20"/>
        </w:rPr>
        <w:t>sinados”</w:t>
      </w:r>
      <w:r w:rsidR="00155439" w:rsidRPr="00C62DF2">
        <w:rPr>
          <w:rStyle w:val="FootnoteReference"/>
          <w:rFonts w:ascii="Cambria" w:hAnsi="Cambria" w:cs="Arial"/>
          <w:bCs/>
          <w:i/>
          <w:iCs/>
          <w:sz w:val="20"/>
          <w:szCs w:val="20"/>
        </w:rPr>
        <w:footnoteReference w:id="3"/>
      </w:r>
      <w:r w:rsidR="00DA5DAC" w:rsidRPr="00C62DF2">
        <w:rPr>
          <w:rStyle w:val="Emphasis"/>
          <w:rFonts w:ascii="Cambria" w:hAnsi="Cambria" w:cs="Arial"/>
          <w:i w:val="0"/>
          <w:iCs w:val="0"/>
          <w:sz w:val="20"/>
          <w:szCs w:val="20"/>
        </w:rPr>
        <w:t xml:space="preserve">. Mais recentemente, </w:t>
      </w:r>
      <w:r w:rsidR="00155439" w:rsidRPr="00C62DF2">
        <w:rPr>
          <w:rStyle w:val="Emphasis"/>
          <w:rFonts w:ascii="Cambria" w:hAnsi="Cambria" w:cs="Arial"/>
          <w:i w:val="0"/>
          <w:iCs w:val="0"/>
          <w:sz w:val="20"/>
          <w:szCs w:val="20"/>
        </w:rPr>
        <w:t xml:space="preserve">a Comissão Nacional da </w:t>
      </w:r>
      <w:r w:rsidR="00566CD5" w:rsidRPr="00C62DF2">
        <w:rPr>
          <w:rStyle w:val="Emphasis"/>
          <w:rFonts w:ascii="Cambria" w:hAnsi="Cambria" w:cs="Arial"/>
          <w:i w:val="0"/>
          <w:iCs w:val="0"/>
          <w:sz w:val="20"/>
          <w:szCs w:val="20"/>
        </w:rPr>
        <w:t>Verdade</w:t>
      </w:r>
      <w:r w:rsidR="00155439" w:rsidRPr="00C62DF2">
        <w:rPr>
          <w:rStyle w:val="Emphasis"/>
          <w:rFonts w:ascii="Cambria" w:hAnsi="Cambria" w:cs="Arial"/>
          <w:i w:val="0"/>
          <w:iCs w:val="0"/>
          <w:sz w:val="20"/>
          <w:szCs w:val="20"/>
        </w:rPr>
        <w:t xml:space="preserve"> documentou que </w:t>
      </w:r>
      <w:r w:rsidR="00566CD5" w:rsidRPr="00C62DF2">
        <w:rPr>
          <w:rStyle w:val="Emphasis"/>
          <w:rFonts w:ascii="Cambria" w:hAnsi="Cambria" w:cs="Arial"/>
          <w:i w:val="0"/>
          <w:iCs w:val="0"/>
          <w:sz w:val="20"/>
          <w:szCs w:val="20"/>
        </w:rPr>
        <w:t>nessa</w:t>
      </w:r>
      <w:r w:rsidR="00155439" w:rsidRPr="00C62DF2">
        <w:rPr>
          <w:rStyle w:val="Emphasis"/>
          <w:rFonts w:ascii="Cambria" w:hAnsi="Cambria" w:cs="Arial"/>
          <w:i w:val="0"/>
          <w:iCs w:val="0"/>
          <w:sz w:val="20"/>
          <w:szCs w:val="20"/>
        </w:rPr>
        <w:t xml:space="preserve"> época </w:t>
      </w:r>
      <w:r w:rsidR="00566CD5" w:rsidRPr="00C62DF2">
        <w:rPr>
          <w:rStyle w:val="Emphasis"/>
          <w:rFonts w:ascii="Cambria" w:hAnsi="Cambria" w:cs="Arial"/>
          <w:i w:val="0"/>
          <w:iCs w:val="0"/>
          <w:sz w:val="20"/>
          <w:szCs w:val="20"/>
        </w:rPr>
        <w:t>houve 434 mo</w:t>
      </w:r>
      <w:r w:rsidR="00155439" w:rsidRPr="00C62DF2">
        <w:rPr>
          <w:rStyle w:val="Emphasis"/>
          <w:rFonts w:ascii="Cambria" w:hAnsi="Cambria" w:cs="Arial"/>
          <w:i w:val="0"/>
          <w:iCs w:val="0"/>
          <w:sz w:val="20"/>
          <w:szCs w:val="20"/>
        </w:rPr>
        <w:t>r</w:t>
      </w:r>
      <w:r w:rsidR="00566CD5" w:rsidRPr="00C62DF2">
        <w:rPr>
          <w:rStyle w:val="Emphasis"/>
          <w:rFonts w:ascii="Cambria" w:hAnsi="Cambria" w:cs="Arial"/>
          <w:i w:val="0"/>
          <w:iCs w:val="0"/>
          <w:sz w:val="20"/>
          <w:szCs w:val="20"/>
        </w:rPr>
        <w:t>tos e desaparecidos políticos no</w:t>
      </w:r>
      <w:r w:rsidR="00155439" w:rsidRPr="00C62DF2">
        <w:rPr>
          <w:rStyle w:val="Emphasis"/>
          <w:rFonts w:ascii="Cambria" w:hAnsi="Cambria" w:cs="Arial"/>
          <w:i w:val="0"/>
          <w:iCs w:val="0"/>
          <w:sz w:val="20"/>
          <w:szCs w:val="20"/>
        </w:rPr>
        <w:t xml:space="preserve"> Brasil e no exterior</w:t>
      </w:r>
      <w:r w:rsidR="00155439" w:rsidRPr="00C62DF2">
        <w:rPr>
          <w:rStyle w:val="FootnoteReference"/>
          <w:rFonts w:ascii="Cambria" w:hAnsi="Cambria" w:cs="Arial"/>
          <w:bCs/>
          <w:i/>
          <w:iCs/>
          <w:sz w:val="20"/>
          <w:szCs w:val="20"/>
        </w:rPr>
        <w:footnoteReference w:id="4"/>
      </w:r>
      <w:r w:rsidR="00155439" w:rsidRPr="00C62DF2">
        <w:rPr>
          <w:rStyle w:val="Emphasis"/>
          <w:rFonts w:ascii="Cambria" w:hAnsi="Cambria" w:cs="Arial"/>
          <w:i w:val="0"/>
          <w:iCs w:val="0"/>
          <w:sz w:val="20"/>
          <w:szCs w:val="20"/>
        </w:rPr>
        <w:t xml:space="preserve">. </w:t>
      </w:r>
    </w:p>
    <w:p w14:paraId="24F3D311" w14:textId="77777777" w:rsidR="00155439" w:rsidRPr="00C62DF2" w:rsidRDefault="00155439" w:rsidP="00FC0CB6">
      <w:pPr>
        <w:pStyle w:val="ListParagraph"/>
        <w:ind w:firstLine="0"/>
        <w:rPr>
          <w:sz w:val="20"/>
          <w:szCs w:val="20"/>
          <w:lang w:val="pt-BR"/>
        </w:rPr>
      </w:pPr>
    </w:p>
    <w:p w14:paraId="38F4F6E9" w14:textId="614573FB" w:rsidR="00155439" w:rsidRPr="00C62DF2" w:rsidRDefault="00155439" w:rsidP="00FC0CB6">
      <w:pPr>
        <w:numPr>
          <w:ilvl w:val="0"/>
          <w:numId w:val="2"/>
        </w:numPr>
        <w:jc w:val="both"/>
        <w:rPr>
          <w:rFonts w:ascii="Cambria" w:hAnsi="Cambria"/>
          <w:sz w:val="20"/>
          <w:szCs w:val="20"/>
        </w:rPr>
      </w:pPr>
      <w:r w:rsidRPr="00C62DF2">
        <w:rPr>
          <w:rFonts w:ascii="Cambria" w:hAnsi="Cambria"/>
          <w:sz w:val="20"/>
          <w:szCs w:val="20"/>
        </w:rPr>
        <w:lastRenderedPageBreak/>
        <w:t xml:space="preserve">Tal </w:t>
      </w:r>
      <w:r w:rsidR="00DA5DAC" w:rsidRPr="00C62DF2">
        <w:rPr>
          <w:rFonts w:ascii="Cambria" w:hAnsi="Cambria"/>
          <w:sz w:val="20"/>
          <w:szCs w:val="20"/>
        </w:rPr>
        <w:t>como consta em</w:t>
      </w:r>
      <w:r w:rsidRPr="00C62DF2">
        <w:rPr>
          <w:rFonts w:ascii="Cambria" w:hAnsi="Cambria"/>
          <w:sz w:val="20"/>
          <w:szCs w:val="20"/>
        </w:rPr>
        <w:t xml:space="preserve"> documentos oficiais</w:t>
      </w:r>
      <w:r w:rsidR="00DA5DAC" w:rsidRPr="00C62DF2">
        <w:rPr>
          <w:rFonts w:ascii="Cambria" w:hAnsi="Cambria"/>
          <w:sz w:val="20"/>
          <w:szCs w:val="20"/>
        </w:rPr>
        <w:t xml:space="preserve">, </w:t>
      </w:r>
      <w:r w:rsidRPr="00C62DF2">
        <w:rPr>
          <w:rFonts w:ascii="Cambria" w:hAnsi="Cambria"/>
          <w:sz w:val="20"/>
          <w:szCs w:val="20"/>
        </w:rPr>
        <w:t>as graves violações de direito</w:t>
      </w:r>
      <w:r w:rsidR="00DA5DAC" w:rsidRPr="00C62DF2">
        <w:rPr>
          <w:rFonts w:ascii="Cambria" w:hAnsi="Cambria"/>
          <w:sz w:val="20"/>
          <w:szCs w:val="20"/>
        </w:rPr>
        <w:t>s humanos cometidas durante a di</w:t>
      </w:r>
      <w:r w:rsidRPr="00C62DF2">
        <w:rPr>
          <w:rFonts w:ascii="Cambria" w:hAnsi="Cambria"/>
          <w:sz w:val="20"/>
          <w:szCs w:val="20"/>
        </w:rPr>
        <w:t>tadura militar f</w:t>
      </w:r>
      <w:r w:rsidR="00922F53" w:rsidRPr="00C62DF2">
        <w:rPr>
          <w:rFonts w:ascii="Cambria" w:hAnsi="Cambria"/>
          <w:sz w:val="20"/>
          <w:szCs w:val="20"/>
        </w:rPr>
        <w:t>azi</w:t>
      </w:r>
      <w:r w:rsidR="00DA5DAC" w:rsidRPr="00C62DF2">
        <w:rPr>
          <w:rFonts w:ascii="Cambria" w:hAnsi="Cambria"/>
          <w:sz w:val="20"/>
          <w:szCs w:val="20"/>
        </w:rPr>
        <w:t>am parte de um</w:t>
      </w:r>
      <w:r w:rsidRPr="00C62DF2">
        <w:rPr>
          <w:rFonts w:ascii="Cambria" w:hAnsi="Cambria"/>
          <w:sz w:val="20"/>
          <w:szCs w:val="20"/>
        </w:rPr>
        <w:t>a política de repres</w:t>
      </w:r>
      <w:r w:rsidR="00DA5DAC" w:rsidRPr="00C62DF2">
        <w:rPr>
          <w:rFonts w:ascii="Cambria" w:hAnsi="Cambria"/>
          <w:sz w:val="20"/>
          <w:szCs w:val="20"/>
        </w:rPr>
        <w:t>são</w:t>
      </w:r>
      <w:r w:rsidRPr="00C62DF2">
        <w:rPr>
          <w:rFonts w:ascii="Cambria" w:hAnsi="Cambria"/>
          <w:sz w:val="20"/>
          <w:szCs w:val="20"/>
        </w:rPr>
        <w:t xml:space="preserve"> </w:t>
      </w:r>
      <w:r w:rsidR="00922F53" w:rsidRPr="00C62DF2">
        <w:rPr>
          <w:rFonts w:ascii="Cambria" w:hAnsi="Cambria"/>
          <w:sz w:val="20"/>
          <w:szCs w:val="20"/>
        </w:rPr>
        <w:t>formul</w:t>
      </w:r>
      <w:r w:rsidR="00DA5DAC" w:rsidRPr="00C62DF2">
        <w:rPr>
          <w:rFonts w:ascii="Cambria" w:hAnsi="Cambria"/>
          <w:sz w:val="20"/>
          <w:szCs w:val="20"/>
        </w:rPr>
        <w:t>ada</w:t>
      </w:r>
      <w:r w:rsidRPr="00C62DF2">
        <w:rPr>
          <w:rFonts w:ascii="Cambria" w:hAnsi="Cambria"/>
          <w:sz w:val="20"/>
          <w:szCs w:val="20"/>
        </w:rPr>
        <w:t xml:space="preserve"> e </w:t>
      </w:r>
      <w:r w:rsidR="00DA5DAC" w:rsidRPr="00C62DF2">
        <w:rPr>
          <w:rFonts w:ascii="Cambria" w:hAnsi="Cambria"/>
          <w:sz w:val="20"/>
          <w:szCs w:val="20"/>
        </w:rPr>
        <w:t>ex</w:t>
      </w:r>
      <w:r w:rsidRPr="00C62DF2">
        <w:rPr>
          <w:rFonts w:ascii="Cambria" w:hAnsi="Cambria"/>
          <w:sz w:val="20"/>
          <w:szCs w:val="20"/>
        </w:rPr>
        <w:t>ecutada p</w:t>
      </w:r>
      <w:r w:rsidR="00DA5DAC" w:rsidRPr="00C62DF2">
        <w:rPr>
          <w:rFonts w:ascii="Cambria" w:hAnsi="Cambria"/>
          <w:sz w:val="20"/>
          <w:szCs w:val="20"/>
        </w:rPr>
        <w:t>elo Estado, a</w:t>
      </w:r>
      <w:r w:rsidRPr="00C62DF2">
        <w:rPr>
          <w:rFonts w:ascii="Cambria" w:hAnsi="Cambria"/>
          <w:sz w:val="20"/>
          <w:szCs w:val="20"/>
        </w:rPr>
        <w:t xml:space="preserve">través dos </w:t>
      </w:r>
      <w:r w:rsidR="00DA5DAC" w:rsidRPr="00C62DF2">
        <w:rPr>
          <w:rFonts w:ascii="Cambria" w:hAnsi="Cambria"/>
          <w:sz w:val="20"/>
          <w:szCs w:val="20"/>
        </w:rPr>
        <w:t>ó</w:t>
      </w:r>
      <w:r w:rsidRPr="00C62DF2">
        <w:rPr>
          <w:rFonts w:ascii="Cambria" w:hAnsi="Cambria"/>
          <w:sz w:val="20"/>
          <w:szCs w:val="20"/>
        </w:rPr>
        <w:t>rg</w:t>
      </w:r>
      <w:r w:rsidR="00DA5DAC" w:rsidRPr="00C62DF2">
        <w:rPr>
          <w:rFonts w:ascii="Cambria" w:hAnsi="Cambria"/>
          <w:sz w:val="20"/>
          <w:szCs w:val="20"/>
        </w:rPr>
        <w:t>ã</w:t>
      </w:r>
      <w:r w:rsidRPr="00C62DF2">
        <w:rPr>
          <w:rFonts w:ascii="Cambria" w:hAnsi="Cambria"/>
          <w:sz w:val="20"/>
          <w:szCs w:val="20"/>
        </w:rPr>
        <w:t xml:space="preserve">os das </w:t>
      </w:r>
      <w:r w:rsidR="00DA5DAC" w:rsidRPr="00C62DF2">
        <w:rPr>
          <w:rFonts w:ascii="Cambria" w:hAnsi="Cambria"/>
          <w:sz w:val="20"/>
          <w:szCs w:val="20"/>
        </w:rPr>
        <w:t xml:space="preserve">Forças Armadas, da </w:t>
      </w:r>
      <w:r w:rsidR="00922F53" w:rsidRPr="00C62DF2">
        <w:rPr>
          <w:rFonts w:ascii="Cambria" w:hAnsi="Cambria"/>
          <w:sz w:val="20"/>
          <w:szCs w:val="20"/>
        </w:rPr>
        <w:t>P</w:t>
      </w:r>
      <w:r w:rsidR="00DA5DAC" w:rsidRPr="00C62DF2">
        <w:rPr>
          <w:rFonts w:ascii="Cambria" w:hAnsi="Cambria"/>
          <w:sz w:val="20"/>
          <w:szCs w:val="20"/>
        </w:rPr>
        <w:t>olíci</w:t>
      </w:r>
      <w:r w:rsidRPr="00C62DF2">
        <w:rPr>
          <w:rFonts w:ascii="Cambria" w:hAnsi="Cambria"/>
          <w:sz w:val="20"/>
          <w:szCs w:val="20"/>
        </w:rPr>
        <w:t xml:space="preserve">a Militar e </w:t>
      </w:r>
      <w:r w:rsidR="00DA5DAC" w:rsidRPr="00C62DF2">
        <w:rPr>
          <w:rFonts w:ascii="Cambria" w:hAnsi="Cambria"/>
          <w:sz w:val="20"/>
          <w:szCs w:val="20"/>
        </w:rPr>
        <w:t>Civil</w:t>
      </w:r>
      <w:r w:rsidR="00922F53" w:rsidRPr="00C62DF2">
        <w:rPr>
          <w:rFonts w:ascii="Cambria" w:hAnsi="Cambria"/>
          <w:sz w:val="20"/>
          <w:szCs w:val="20"/>
        </w:rPr>
        <w:t xml:space="preserve"> e </w:t>
      </w:r>
      <w:r w:rsidR="00DA5DAC" w:rsidRPr="00C62DF2">
        <w:rPr>
          <w:rFonts w:ascii="Cambria" w:hAnsi="Cambria"/>
          <w:sz w:val="20"/>
          <w:szCs w:val="20"/>
        </w:rPr>
        <w:t>do Poder Judici</w:t>
      </w:r>
      <w:r w:rsidR="00922F53" w:rsidRPr="00C62DF2">
        <w:rPr>
          <w:rFonts w:ascii="Cambria" w:hAnsi="Cambria"/>
          <w:sz w:val="20"/>
          <w:szCs w:val="20"/>
        </w:rPr>
        <w:t>ário</w:t>
      </w:r>
      <w:r w:rsidR="00DA5DAC" w:rsidRPr="00C62DF2">
        <w:rPr>
          <w:rFonts w:ascii="Cambria" w:hAnsi="Cambria"/>
          <w:sz w:val="20"/>
          <w:szCs w:val="20"/>
        </w:rPr>
        <w:t>, com</w:t>
      </w:r>
      <w:r w:rsidRPr="00C62DF2">
        <w:rPr>
          <w:rFonts w:ascii="Cambria" w:hAnsi="Cambria"/>
          <w:sz w:val="20"/>
          <w:szCs w:val="20"/>
        </w:rPr>
        <w:t xml:space="preserve"> </w:t>
      </w:r>
      <w:r w:rsidR="00DA5DAC" w:rsidRPr="00C62DF2">
        <w:rPr>
          <w:rFonts w:ascii="Cambria" w:hAnsi="Cambria"/>
          <w:sz w:val="20"/>
          <w:szCs w:val="20"/>
        </w:rPr>
        <w:t>o</w:t>
      </w:r>
      <w:r w:rsidRPr="00C62DF2">
        <w:rPr>
          <w:rFonts w:ascii="Cambria" w:hAnsi="Cambria"/>
          <w:sz w:val="20"/>
          <w:szCs w:val="20"/>
        </w:rPr>
        <w:t xml:space="preserve"> prop</w:t>
      </w:r>
      <w:r w:rsidR="00DA5DAC" w:rsidRPr="00C62DF2">
        <w:rPr>
          <w:rFonts w:ascii="Cambria" w:hAnsi="Cambria"/>
          <w:sz w:val="20"/>
          <w:szCs w:val="20"/>
        </w:rPr>
        <w:t>ósito de eliminar qualquer resistência ao</w:t>
      </w:r>
      <w:r w:rsidRPr="00C62DF2">
        <w:rPr>
          <w:rFonts w:ascii="Cambria" w:hAnsi="Cambria"/>
          <w:sz w:val="20"/>
          <w:szCs w:val="20"/>
        </w:rPr>
        <w:t xml:space="preserve"> golpe de Estado e </w:t>
      </w:r>
      <w:r w:rsidR="00DA5DAC" w:rsidRPr="00C62DF2">
        <w:rPr>
          <w:rFonts w:ascii="Cambria" w:hAnsi="Cambria"/>
          <w:sz w:val="20"/>
          <w:szCs w:val="20"/>
        </w:rPr>
        <w:t>ao</w:t>
      </w:r>
      <w:r w:rsidRPr="00C62DF2">
        <w:rPr>
          <w:rFonts w:ascii="Cambria" w:hAnsi="Cambria"/>
          <w:sz w:val="20"/>
          <w:szCs w:val="20"/>
        </w:rPr>
        <w:t xml:space="preserve"> r</w:t>
      </w:r>
      <w:r w:rsidR="00DA5DAC" w:rsidRPr="00C62DF2">
        <w:rPr>
          <w:rFonts w:ascii="Cambria" w:hAnsi="Cambria"/>
          <w:sz w:val="20"/>
          <w:szCs w:val="20"/>
        </w:rPr>
        <w:t xml:space="preserve">egime </w:t>
      </w:r>
      <w:r w:rsidRPr="00C62DF2">
        <w:rPr>
          <w:rFonts w:ascii="Cambria" w:hAnsi="Cambria"/>
          <w:sz w:val="20"/>
          <w:szCs w:val="20"/>
        </w:rPr>
        <w:t xml:space="preserve">instaurado. </w:t>
      </w:r>
      <w:r w:rsidR="00DA5DAC" w:rsidRPr="00C62DF2">
        <w:rPr>
          <w:rFonts w:ascii="Cambria" w:hAnsi="Cambria"/>
          <w:sz w:val="20"/>
          <w:szCs w:val="20"/>
        </w:rPr>
        <w:t xml:space="preserve">Da mesma forma </w:t>
      </w:r>
      <w:r w:rsidRPr="00C62DF2">
        <w:rPr>
          <w:rFonts w:ascii="Cambria" w:hAnsi="Cambria"/>
          <w:sz w:val="20"/>
          <w:szCs w:val="20"/>
        </w:rPr>
        <w:t>que o</w:t>
      </w:r>
      <w:r w:rsidR="00DA5DAC" w:rsidRPr="00C62DF2">
        <w:rPr>
          <w:rFonts w:ascii="Cambria" w:hAnsi="Cambria"/>
          <w:sz w:val="20"/>
          <w:szCs w:val="20"/>
        </w:rPr>
        <w:t>utros regi</w:t>
      </w:r>
      <w:r w:rsidRPr="00C62DF2">
        <w:rPr>
          <w:rFonts w:ascii="Cambria" w:hAnsi="Cambria"/>
          <w:sz w:val="20"/>
          <w:szCs w:val="20"/>
        </w:rPr>
        <w:t>m</w:t>
      </w:r>
      <w:r w:rsidR="00DA5DAC" w:rsidRPr="00C62DF2">
        <w:rPr>
          <w:rFonts w:ascii="Cambria" w:hAnsi="Cambria"/>
          <w:sz w:val="20"/>
          <w:szCs w:val="20"/>
        </w:rPr>
        <w:t>es vigentes n</w:t>
      </w:r>
      <w:r w:rsidRPr="00C62DF2">
        <w:rPr>
          <w:rFonts w:ascii="Cambria" w:hAnsi="Cambria"/>
          <w:sz w:val="20"/>
          <w:szCs w:val="20"/>
        </w:rPr>
        <w:t>e</w:t>
      </w:r>
      <w:r w:rsidR="00DA5DAC" w:rsidRPr="00C62DF2">
        <w:rPr>
          <w:rFonts w:ascii="Cambria" w:hAnsi="Cambria"/>
          <w:sz w:val="20"/>
          <w:szCs w:val="20"/>
        </w:rPr>
        <w:t>s</w:t>
      </w:r>
      <w:r w:rsidRPr="00C62DF2">
        <w:rPr>
          <w:rFonts w:ascii="Cambria" w:hAnsi="Cambria"/>
          <w:sz w:val="20"/>
          <w:szCs w:val="20"/>
        </w:rPr>
        <w:t xml:space="preserve">sa época </w:t>
      </w:r>
      <w:r w:rsidR="00DA5DAC" w:rsidRPr="00C62DF2">
        <w:rPr>
          <w:rFonts w:ascii="Cambria" w:hAnsi="Cambria"/>
          <w:sz w:val="20"/>
          <w:szCs w:val="20"/>
        </w:rPr>
        <w:t>na</w:t>
      </w:r>
      <w:r w:rsidRPr="00C62DF2">
        <w:rPr>
          <w:rFonts w:ascii="Cambria" w:hAnsi="Cambria"/>
          <w:sz w:val="20"/>
          <w:szCs w:val="20"/>
        </w:rPr>
        <w:t xml:space="preserve"> regi</w:t>
      </w:r>
      <w:r w:rsidR="00DA5DAC" w:rsidRPr="00C62DF2">
        <w:rPr>
          <w:rFonts w:ascii="Cambria" w:hAnsi="Cambria"/>
          <w:sz w:val="20"/>
          <w:szCs w:val="20"/>
        </w:rPr>
        <w:t>ã</w:t>
      </w:r>
      <w:r w:rsidRPr="00C62DF2">
        <w:rPr>
          <w:rFonts w:ascii="Cambria" w:hAnsi="Cambria"/>
          <w:sz w:val="20"/>
          <w:szCs w:val="20"/>
        </w:rPr>
        <w:t>o</w:t>
      </w:r>
      <w:r w:rsidRPr="00C62DF2">
        <w:rPr>
          <w:rStyle w:val="FootnoteReference"/>
          <w:rFonts w:ascii="Cambria" w:hAnsi="Cambria"/>
          <w:sz w:val="20"/>
          <w:szCs w:val="20"/>
        </w:rPr>
        <w:footnoteReference w:id="5"/>
      </w:r>
      <w:r w:rsidR="00DA5DAC" w:rsidRPr="00C62DF2">
        <w:rPr>
          <w:rFonts w:ascii="Cambria" w:hAnsi="Cambria"/>
          <w:sz w:val="20"/>
          <w:szCs w:val="20"/>
        </w:rPr>
        <w:t xml:space="preserve">, a ditadura </w:t>
      </w:r>
      <w:r w:rsidRPr="00C62DF2">
        <w:rPr>
          <w:rFonts w:ascii="Cambria" w:hAnsi="Cambria"/>
          <w:sz w:val="20"/>
          <w:szCs w:val="20"/>
        </w:rPr>
        <w:t>n</w:t>
      </w:r>
      <w:r w:rsidR="00DA5DAC" w:rsidRPr="00C62DF2">
        <w:rPr>
          <w:rFonts w:ascii="Cambria" w:hAnsi="Cambria"/>
          <w:sz w:val="20"/>
          <w:szCs w:val="20"/>
        </w:rPr>
        <w:t>o</w:t>
      </w:r>
      <w:r w:rsidRPr="00C62DF2">
        <w:rPr>
          <w:rFonts w:ascii="Cambria" w:hAnsi="Cambria"/>
          <w:sz w:val="20"/>
          <w:szCs w:val="20"/>
        </w:rPr>
        <w:t xml:space="preserve"> Brasil articulou</w:t>
      </w:r>
      <w:r w:rsidR="00DA5DAC" w:rsidRPr="00C62DF2">
        <w:rPr>
          <w:rFonts w:ascii="Cambria" w:hAnsi="Cambria"/>
          <w:sz w:val="20"/>
          <w:szCs w:val="20"/>
        </w:rPr>
        <w:t xml:space="preserve"> um</w:t>
      </w:r>
      <w:r w:rsidRPr="00C62DF2">
        <w:rPr>
          <w:rFonts w:ascii="Cambria" w:hAnsi="Cambria"/>
          <w:sz w:val="20"/>
          <w:szCs w:val="20"/>
        </w:rPr>
        <w:t xml:space="preserve"> “gigantesco apar</w:t>
      </w:r>
      <w:r w:rsidR="00922F53" w:rsidRPr="00C62DF2">
        <w:rPr>
          <w:rFonts w:ascii="Cambria" w:hAnsi="Cambria"/>
          <w:sz w:val="20"/>
          <w:szCs w:val="20"/>
        </w:rPr>
        <w:t>elh</w:t>
      </w:r>
      <w:r w:rsidRPr="00C62DF2">
        <w:rPr>
          <w:rFonts w:ascii="Cambria" w:hAnsi="Cambria"/>
          <w:sz w:val="20"/>
          <w:szCs w:val="20"/>
        </w:rPr>
        <w:t>o repre</w:t>
      </w:r>
      <w:r w:rsidR="00DA5DAC" w:rsidRPr="00C62DF2">
        <w:rPr>
          <w:rFonts w:ascii="Cambria" w:hAnsi="Cambria"/>
          <w:sz w:val="20"/>
          <w:szCs w:val="20"/>
        </w:rPr>
        <w:t>s</w:t>
      </w:r>
      <w:r w:rsidRPr="00C62DF2">
        <w:rPr>
          <w:rFonts w:ascii="Cambria" w:hAnsi="Cambria"/>
          <w:sz w:val="20"/>
          <w:szCs w:val="20"/>
        </w:rPr>
        <w:t>sivo”</w:t>
      </w:r>
      <w:r w:rsidRPr="00C62DF2">
        <w:rPr>
          <w:rStyle w:val="FootnoteReference"/>
          <w:rFonts w:ascii="Cambria" w:hAnsi="Cambria"/>
          <w:sz w:val="20"/>
          <w:szCs w:val="20"/>
        </w:rPr>
        <w:footnoteReference w:id="6"/>
      </w:r>
      <w:r w:rsidRPr="00C62DF2">
        <w:rPr>
          <w:rFonts w:ascii="Cambria" w:hAnsi="Cambria"/>
          <w:sz w:val="20"/>
          <w:szCs w:val="20"/>
        </w:rPr>
        <w:t xml:space="preserve"> </w:t>
      </w:r>
      <w:r w:rsidR="00DA5DAC" w:rsidRPr="00C62DF2">
        <w:rPr>
          <w:rFonts w:ascii="Cambria" w:hAnsi="Cambria"/>
          <w:sz w:val="20"/>
          <w:szCs w:val="20"/>
        </w:rPr>
        <w:t>com base na Dou</w:t>
      </w:r>
      <w:r w:rsidRPr="00C62DF2">
        <w:rPr>
          <w:rFonts w:ascii="Cambria" w:hAnsi="Cambria"/>
          <w:sz w:val="20"/>
          <w:szCs w:val="20"/>
        </w:rPr>
        <w:t>trina de Segurança Nacional</w:t>
      </w:r>
      <w:r w:rsidRPr="00C62DF2">
        <w:rPr>
          <w:rStyle w:val="FootnoteReference"/>
          <w:rFonts w:ascii="Cambria" w:hAnsi="Cambria"/>
          <w:sz w:val="20"/>
          <w:szCs w:val="20"/>
        </w:rPr>
        <w:footnoteReference w:id="7"/>
      </w:r>
      <w:r w:rsidRPr="00C62DF2">
        <w:rPr>
          <w:rFonts w:ascii="Cambria" w:hAnsi="Cambria"/>
          <w:sz w:val="20"/>
          <w:szCs w:val="20"/>
        </w:rPr>
        <w:t xml:space="preserve">. </w:t>
      </w:r>
    </w:p>
    <w:p w14:paraId="28B12A47" w14:textId="77777777" w:rsidR="00155439" w:rsidRPr="00C62DF2" w:rsidRDefault="00155439" w:rsidP="00FC0CB6">
      <w:pPr>
        <w:pStyle w:val="ListParagraph"/>
        <w:ind w:firstLine="0"/>
        <w:rPr>
          <w:sz w:val="20"/>
          <w:szCs w:val="20"/>
          <w:lang w:val="pt-BR"/>
        </w:rPr>
      </w:pPr>
    </w:p>
    <w:p w14:paraId="2FAFB345" w14:textId="215ED521" w:rsidR="00155439" w:rsidRPr="00C62DF2" w:rsidRDefault="00DA5DAC" w:rsidP="00FC0CB6">
      <w:pPr>
        <w:numPr>
          <w:ilvl w:val="0"/>
          <w:numId w:val="2"/>
        </w:numPr>
        <w:jc w:val="both"/>
        <w:rPr>
          <w:rFonts w:ascii="Cambria" w:hAnsi="Cambria"/>
          <w:sz w:val="20"/>
          <w:szCs w:val="20"/>
        </w:rPr>
      </w:pPr>
      <w:r w:rsidRPr="00C62DF2">
        <w:rPr>
          <w:rFonts w:ascii="Cambria" w:hAnsi="Cambria"/>
          <w:sz w:val="20"/>
          <w:szCs w:val="20"/>
        </w:rPr>
        <w:t>A di</w:t>
      </w:r>
      <w:r w:rsidR="00155439" w:rsidRPr="00C62DF2">
        <w:rPr>
          <w:rFonts w:ascii="Cambria" w:hAnsi="Cambria"/>
          <w:sz w:val="20"/>
          <w:szCs w:val="20"/>
        </w:rPr>
        <w:t>tadura civil</w:t>
      </w:r>
      <w:r w:rsidR="00B127F9" w:rsidRPr="00C62DF2">
        <w:rPr>
          <w:rFonts w:ascii="Cambria" w:hAnsi="Cambria"/>
          <w:sz w:val="20"/>
          <w:szCs w:val="20"/>
        </w:rPr>
        <w:t>-</w:t>
      </w:r>
      <w:r w:rsidR="00155439" w:rsidRPr="00C62DF2">
        <w:rPr>
          <w:rFonts w:ascii="Cambria" w:hAnsi="Cambria"/>
          <w:sz w:val="20"/>
          <w:szCs w:val="20"/>
        </w:rPr>
        <w:t>militar brasileira n</w:t>
      </w:r>
      <w:r w:rsidRPr="00C62DF2">
        <w:rPr>
          <w:rFonts w:ascii="Cambria" w:hAnsi="Cambria"/>
          <w:sz w:val="20"/>
          <w:szCs w:val="20"/>
        </w:rPr>
        <w:t>ã</w:t>
      </w:r>
      <w:r w:rsidR="00155439" w:rsidRPr="00C62DF2">
        <w:rPr>
          <w:rFonts w:ascii="Cambria" w:hAnsi="Cambria"/>
          <w:sz w:val="20"/>
          <w:szCs w:val="20"/>
        </w:rPr>
        <w:t>o f</w:t>
      </w:r>
      <w:r w:rsidRPr="00C62DF2">
        <w:rPr>
          <w:rFonts w:ascii="Cambria" w:hAnsi="Cambria"/>
          <w:sz w:val="20"/>
          <w:szCs w:val="20"/>
        </w:rPr>
        <w:t xml:space="preserve">oi um fato </w:t>
      </w:r>
      <w:r w:rsidR="00155439" w:rsidRPr="00C62DF2">
        <w:rPr>
          <w:rFonts w:ascii="Cambria" w:hAnsi="Cambria"/>
          <w:sz w:val="20"/>
          <w:szCs w:val="20"/>
        </w:rPr>
        <w:t>is</w:t>
      </w:r>
      <w:r w:rsidRPr="00C62DF2">
        <w:rPr>
          <w:rFonts w:ascii="Cambria" w:hAnsi="Cambria"/>
          <w:sz w:val="20"/>
          <w:szCs w:val="20"/>
        </w:rPr>
        <w:t>olado na</w:t>
      </w:r>
      <w:r w:rsidR="00155439" w:rsidRPr="00C62DF2">
        <w:rPr>
          <w:rFonts w:ascii="Cambria" w:hAnsi="Cambria"/>
          <w:sz w:val="20"/>
          <w:szCs w:val="20"/>
        </w:rPr>
        <w:t xml:space="preserve"> América Latina, </w:t>
      </w:r>
      <w:r w:rsidRPr="00C62DF2">
        <w:rPr>
          <w:rFonts w:ascii="Cambria" w:hAnsi="Cambria"/>
          <w:sz w:val="20"/>
          <w:szCs w:val="20"/>
        </w:rPr>
        <w:t>mas</w:t>
      </w:r>
      <w:r w:rsidR="00155439" w:rsidRPr="00C62DF2">
        <w:rPr>
          <w:rFonts w:ascii="Cambria" w:hAnsi="Cambria"/>
          <w:sz w:val="20"/>
          <w:szCs w:val="20"/>
        </w:rPr>
        <w:t xml:space="preserve"> se inser</w:t>
      </w:r>
      <w:r w:rsidRPr="00C62DF2">
        <w:rPr>
          <w:rFonts w:ascii="Cambria" w:hAnsi="Cambria"/>
          <w:sz w:val="20"/>
          <w:szCs w:val="20"/>
        </w:rPr>
        <w:t>iu</w:t>
      </w:r>
      <w:r w:rsidR="00155439" w:rsidRPr="00C62DF2">
        <w:rPr>
          <w:rFonts w:ascii="Cambria" w:hAnsi="Cambria"/>
          <w:sz w:val="20"/>
          <w:szCs w:val="20"/>
        </w:rPr>
        <w:t xml:space="preserve"> no contexto geopolítico mundial da </w:t>
      </w:r>
      <w:r w:rsidRPr="00C62DF2">
        <w:rPr>
          <w:rFonts w:ascii="Cambria" w:hAnsi="Cambria"/>
          <w:sz w:val="20"/>
          <w:szCs w:val="20"/>
        </w:rPr>
        <w:t>chamada “Guerra Fri</w:t>
      </w:r>
      <w:r w:rsidR="00155439" w:rsidRPr="00C62DF2">
        <w:rPr>
          <w:rFonts w:ascii="Cambria" w:hAnsi="Cambria"/>
          <w:sz w:val="20"/>
          <w:szCs w:val="20"/>
        </w:rPr>
        <w:t xml:space="preserve">a”. </w:t>
      </w:r>
      <w:r w:rsidRPr="00C62DF2">
        <w:rPr>
          <w:rFonts w:ascii="Cambria" w:hAnsi="Cambria"/>
          <w:sz w:val="20"/>
          <w:szCs w:val="20"/>
        </w:rPr>
        <w:t>Na</w:t>
      </w:r>
      <w:r w:rsidR="00155439" w:rsidRPr="00C62DF2">
        <w:rPr>
          <w:rFonts w:ascii="Cambria" w:hAnsi="Cambria"/>
          <w:sz w:val="20"/>
          <w:szCs w:val="20"/>
        </w:rPr>
        <w:t xml:space="preserve"> América L</w:t>
      </w:r>
      <w:r w:rsidRPr="00C62DF2">
        <w:rPr>
          <w:rFonts w:ascii="Cambria" w:hAnsi="Cambria"/>
          <w:sz w:val="20"/>
          <w:szCs w:val="20"/>
        </w:rPr>
        <w:t>atina, salvo raras exce</w:t>
      </w:r>
      <w:r w:rsidR="00155439" w:rsidRPr="00C62DF2">
        <w:rPr>
          <w:rFonts w:ascii="Cambria" w:hAnsi="Cambria"/>
          <w:sz w:val="20"/>
          <w:szCs w:val="20"/>
        </w:rPr>
        <w:t xml:space="preserve">ções, </w:t>
      </w:r>
      <w:r w:rsidRPr="00C62DF2">
        <w:rPr>
          <w:rFonts w:ascii="Cambria" w:hAnsi="Cambria"/>
          <w:sz w:val="20"/>
          <w:szCs w:val="20"/>
        </w:rPr>
        <w:t>nas</w:t>
      </w:r>
      <w:r w:rsidR="00155439" w:rsidRPr="00C62DF2">
        <w:rPr>
          <w:rFonts w:ascii="Cambria" w:hAnsi="Cambria"/>
          <w:sz w:val="20"/>
          <w:szCs w:val="20"/>
        </w:rPr>
        <w:t xml:space="preserve"> décadas d</w:t>
      </w:r>
      <w:r w:rsidR="00B127F9" w:rsidRPr="00C62DF2">
        <w:rPr>
          <w:rFonts w:ascii="Cambria" w:hAnsi="Cambria"/>
          <w:sz w:val="20"/>
          <w:szCs w:val="20"/>
        </w:rPr>
        <w:t>e</w:t>
      </w:r>
      <w:r w:rsidR="00155439" w:rsidRPr="00C62DF2">
        <w:rPr>
          <w:rFonts w:ascii="Cambria" w:hAnsi="Cambria"/>
          <w:sz w:val="20"/>
          <w:szCs w:val="20"/>
        </w:rPr>
        <w:t xml:space="preserve"> 60 e </w:t>
      </w:r>
      <w:r w:rsidRPr="00C62DF2">
        <w:rPr>
          <w:rFonts w:ascii="Cambria" w:hAnsi="Cambria"/>
          <w:sz w:val="20"/>
          <w:szCs w:val="20"/>
        </w:rPr>
        <w:t>70, os países do Cone Sul – Paraguai</w:t>
      </w:r>
      <w:r w:rsidR="00155439" w:rsidRPr="00C62DF2">
        <w:rPr>
          <w:rFonts w:ascii="Cambria" w:hAnsi="Cambria"/>
          <w:sz w:val="20"/>
          <w:szCs w:val="20"/>
        </w:rPr>
        <w:t xml:space="preserve"> (1954), Brasil (1964), Argentina (1966 e </w:t>
      </w:r>
      <w:r w:rsidRPr="00C62DF2">
        <w:rPr>
          <w:rFonts w:ascii="Cambria" w:hAnsi="Cambria"/>
          <w:sz w:val="20"/>
          <w:szCs w:val="20"/>
        </w:rPr>
        <w:t>1976), Uruguai</w:t>
      </w:r>
      <w:r w:rsidR="00155439" w:rsidRPr="00C62DF2">
        <w:rPr>
          <w:rFonts w:ascii="Cambria" w:hAnsi="Cambria"/>
          <w:sz w:val="20"/>
          <w:szCs w:val="20"/>
        </w:rPr>
        <w:t xml:space="preserve"> (1973) e Chile (1973) – viv</w:t>
      </w:r>
      <w:r w:rsidRPr="00C62DF2">
        <w:rPr>
          <w:rFonts w:ascii="Cambria" w:hAnsi="Cambria"/>
          <w:sz w:val="20"/>
          <w:szCs w:val="20"/>
        </w:rPr>
        <w:t>eram sob ditaduras militares que também aplicaram a estratégia de lut</w:t>
      </w:r>
      <w:r w:rsidR="00155439" w:rsidRPr="00C62DF2">
        <w:rPr>
          <w:rFonts w:ascii="Cambria" w:hAnsi="Cambria"/>
          <w:sz w:val="20"/>
          <w:szCs w:val="20"/>
        </w:rPr>
        <w:t xml:space="preserve">a contra </w:t>
      </w:r>
      <w:r w:rsidRPr="00C62DF2">
        <w:rPr>
          <w:rFonts w:ascii="Cambria" w:hAnsi="Cambria"/>
          <w:sz w:val="20"/>
          <w:szCs w:val="20"/>
        </w:rPr>
        <w:t>o comunismo a</w:t>
      </w:r>
      <w:r w:rsidR="00155439" w:rsidRPr="00C62DF2">
        <w:rPr>
          <w:rFonts w:ascii="Cambria" w:hAnsi="Cambria"/>
          <w:sz w:val="20"/>
          <w:szCs w:val="20"/>
        </w:rPr>
        <w:t xml:space="preserve">través da </w:t>
      </w:r>
      <w:r w:rsidRPr="00C62DF2">
        <w:rPr>
          <w:rFonts w:ascii="Cambria" w:hAnsi="Cambria"/>
          <w:sz w:val="20"/>
          <w:szCs w:val="20"/>
        </w:rPr>
        <w:t>“Dou</w:t>
      </w:r>
      <w:r w:rsidR="00155439" w:rsidRPr="00C62DF2">
        <w:rPr>
          <w:rFonts w:ascii="Cambria" w:hAnsi="Cambria"/>
          <w:sz w:val="20"/>
          <w:szCs w:val="20"/>
        </w:rPr>
        <w:t>trina de Segurança Nacional”</w:t>
      </w:r>
      <w:r w:rsidR="00155439" w:rsidRPr="00C62DF2">
        <w:rPr>
          <w:rStyle w:val="FootnoteReference"/>
          <w:rFonts w:ascii="Cambria" w:hAnsi="Cambria"/>
          <w:sz w:val="20"/>
          <w:szCs w:val="20"/>
        </w:rPr>
        <w:footnoteReference w:id="8"/>
      </w:r>
      <w:r w:rsidR="00155439" w:rsidRPr="00C62DF2">
        <w:rPr>
          <w:rFonts w:ascii="Cambria" w:hAnsi="Cambria"/>
          <w:sz w:val="20"/>
          <w:szCs w:val="20"/>
        </w:rPr>
        <w:t>. A</w:t>
      </w:r>
      <w:r w:rsidRPr="00C62DF2">
        <w:rPr>
          <w:rFonts w:ascii="Cambria" w:hAnsi="Cambria"/>
          <w:sz w:val="20"/>
          <w:szCs w:val="20"/>
        </w:rPr>
        <w:t xml:space="preserve"> respeito, </w:t>
      </w:r>
      <w:r w:rsidR="00155439" w:rsidRPr="00C62DF2">
        <w:rPr>
          <w:rFonts w:ascii="Cambria" w:hAnsi="Cambria"/>
          <w:sz w:val="20"/>
          <w:szCs w:val="20"/>
        </w:rPr>
        <w:t xml:space="preserve">a Corte Interamericana </w:t>
      </w:r>
      <w:r w:rsidRPr="00C62DF2">
        <w:rPr>
          <w:rFonts w:ascii="Cambria" w:hAnsi="Cambria"/>
          <w:sz w:val="20"/>
          <w:szCs w:val="20"/>
        </w:rPr>
        <w:t>afirmou</w:t>
      </w:r>
      <w:r w:rsidR="00155439" w:rsidRPr="00C62DF2">
        <w:rPr>
          <w:rFonts w:ascii="Cambria" w:hAnsi="Cambria"/>
          <w:sz w:val="20"/>
          <w:szCs w:val="20"/>
        </w:rPr>
        <w:t xml:space="preserve"> que </w:t>
      </w:r>
      <w:r w:rsidRPr="00C62DF2">
        <w:rPr>
          <w:rFonts w:ascii="Cambria" w:hAnsi="Cambria"/>
          <w:sz w:val="20"/>
          <w:szCs w:val="20"/>
        </w:rPr>
        <w:t>na maiori</w:t>
      </w:r>
      <w:r w:rsidR="00155439" w:rsidRPr="00C62DF2">
        <w:rPr>
          <w:rFonts w:ascii="Cambria" w:hAnsi="Cambria"/>
          <w:sz w:val="20"/>
          <w:szCs w:val="20"/>
        </w:rPr>
        <w:t xml:space="preserve">a dos </w:t>
      </w:r>
      <w:r w:rsidRPr="00C62DF2">
        <w:rPr>
          <w:rFonts w:ascii="Cambria" w:hAnsi="Cambria"/>
          <w:sz w:val="20"/>
          <w:szCs w:val="20"/>
        </w:rPr>
        <w:t>governos di</w:t>
      </w:r>
      <w:r w:rsidR="00155439" w:rsidRPr="00C62DF2">
        <w:rPr>
          <w:rFonts w:ascii="Cambria" w:hAnsi="Cambria"/>
          <w:sz w:val="20"/>
          <w:szCs w:val="20"/>
        </w:rPr>
        <w:t>tatoriais da regi</w:t>
      </w:r>
      <w:r w:rsidRPr="00C62DF2">
        <w:rPr>
          <w:rFonts w:ascii="Cambria" w:hAnsi="Cambria"/>
          <w:sz w:val="20"/>
          <w:szCs w:val="20"/>
        </w:rPr>
        <w:t>ã</w:t>
      </w:r>
      <w:r w:rsidR="00155439" w:rsidRPr="00C62DF2">
        <w:rPr>
          <w:rFonts w:ascii="Cambria" w:hAnsi="Cambria"/>
          <w:sz w:val="20"/>
          <w:szCs w:val="20"/>
        </w:rPr>
        <w:t>o d</w:t>
      </w:r>
      <w:r w:rsidRPr="00C62DF2">
        <w:rPr>
          <w:rFonts w:ascii="Cambria" w:hAnsi="Cambria"/>
          <w:sz w:val="20"/>
          <w:szCs w:val="20"/>
        </w:rPr>
        <w:t>o Cone Sul</w:t>
      </w:r>
      <w:r w:rsidR="00155439" w:rsidRPr="00C62DF2">
        <w:rPr>
          <w:rFonts w:ascii="Cambria" w:hAnsi="Cambria"/>
          <w:sz w:val="20"/>
          <w:szCs w:val="20"/>
        </w:rPr>
        <w:t xml:space="preserve"> que a</w:t>
      </w:r>
      <w:r w:rsidRPr="00C62DF2">
        <w:rPr>
          <w:rFonts w:ascii="Cambria" w:hAnsi="Cambria"/>
          <w:sz w:val="20"/>
          <w:szCs w:val="20"/>
        </w:rPr>
        <w:t>s</w:t>
      </w:r>
      <w:r w:rsidR="00155439" w:rsidRPr="00C62DF2">
        <w:rPr>
          <w:rFonts w:ascii="Cambria" w:hAnsi="Cambria"/>
          <w:sz w:val="20"/>
          <w:szCs w:val="20"/>
        </w:rPr>
        <w:t>sumi</w:t>
      </w:r>
      <w:r w:rsidRPr="00C62DF2">
        <w:rPr>
          <w:rFonts w:ascii="Cambria" w:hAnsi="Cambria"/>
          <w:sz w:val="20"/>
          <w:szCs w:val="20"/>
        </w:rPr>
        <w:t xml:space="preserve">ram o </w:t>
      </w:r>
      <w:r w:rsidR="00155439" w:rsidRPr="00C62DF2">
        <w:rPr>
          <w:rFonts w:ascii="Cambria" w:hAnsi="Cambria"/>
          <w:sz w:val="20"/>
          <w:szCs w:val="20"/>
        </w:rPr>
        <w:t>poder o</w:t>
      </w:r>
      <w:r w:rsidRPr="00C62DF2">
        <w:rPr>
          <w:rFonts w:ascii="Cambria" w:hAnsi="Cambria"/>
          <w:sz w:val="20"/>
          <w:szCs w:val="20"/>
        </w:rPr>
        <w:t>u</w:t>
      </w:r>
      <w:r w:rsidR="00155439" w:rsidRPr="00C62DF2">
        <w:rPr>
          <w:rFonts w:ascii="Cambria" w:hAnsi="Cambria"/>
          <w:sz w:val="20"/>
          <w:szCs w:val="20"/>
        </w:rPr>
        <w:t xml:space="preserve"> esta</w:t>
      </w:r>
      <w:r w:rsidRPr="00C62DF2">
        <w:rPr>
          <w:rFonts w:ascii="Cambria" w:hAnsi="Cambria"/>
          <w:sz w:val="20"/>
          <w:szCs w:val="20"/>
        </w:rPr>
        <w:t xml:space="preserve">vam </w:t>
      </w:r>
      <w:r w:rsidR="00155439" w:rsidRPr="00C62DF2">
        <w:rPr>
          <w:rFonts w:ascii="Cambria" w:hAnsi="Cambria"/>
          <w:sz w:val="20"/>
          <w:szCs w:val="20"/>
        </w:rPr>
        <w:t xml:space="preserve">no </w:t>
      </w:r>
      <w:r w:rsidRPr="00C62DF2">
        <w:rPr>
          <w:rFonts w:ascii="Cambria" w:hAnsi="Cambria"/>
          <w:sz w:val="20"/>
          <w:szCs w:val="20"/>
        </w:rPr>
        <w:t xml:space="preserve">poder durante </w:t>
      </w:r>
      <w:r w:rsidR="00155439" w:rsidRPr="00C62DF2">
        <w:rPr>
          <w:rFonts w:ascii="Cambria" w:hAnsi="Cambria"/>
          <w:sz w:val="20"/>
          <w:szCs w:val="20"/>
        </w:rPr>
        <w:t>a década d</w:t>
      </w:r>
      <w:r w:rsidRPr="00C62DF2">
        <w:rPr>
          <w:rFonts w:ascii="Cambria" w:hAnsi="Cambria"/>
          <w:sz w:val="20"/>
          <w:szCs w:val="20"/>
        </w:rPr>
        <w:t>e</w:t>
      </w:r>
      <w:r w:rsidR="00155439" w:rsidRPr="00C62DF2">
        <w:rPr>
          <w:rFonts w:ascii="Cambria" w:hAnsi="Cambria"/>
          <w:sz w:val="20"/>
          <w:szCs w:val="20"/>
        </w:rPr>
        <w:t xml:space="preserve"> </w:t>
      </w:r>
      <w:r w:rsidR="00B127F9" w:rsidRPr="00C62DF2">
        <w:rPr>
          <w:rFonts w:ascii="Cambria" w:hAnsi="Cambria"/>
          <w:sz w:val="20"/>
          <w:szCs w:val="20"/>
        </w:rPr>
        <w:t>70</w:t>
      </w:r>
      <w:r w:rsidRPr="00C62DF2">
        <w:rPr>
          <w:rFonts w:ascii="Cambria" w:hAnsi="Cambria"/>
          <w:sz w:val="20"/>
          <w:szCs w:val="20"/>
        </w:rPr>
        <w:t xml:space="preserve"> […] o su</w:t>
      </w:r>
      <w:r w:rsidR="00155439" w:rsidRPr="00C62DF2">
        <w:rPr>
          <w:rFonts w:ascii="Cambria" w:hAnsi="Cambria"/>
          <w:sz w:val="20"/>
          <w:szCs w:val="20"/>
        </w:rPr>
        <w:t>porte ideol</w:t>
      </w:r>
      <w:r w:rsidRPr="00C62DF2">
        <w:rPr>
          <w:rFonts w:ascii="Cambria" w:hAnsi="Cambria"/>
          <w:sz w:val="20"/>
          <w:szCs w:val="20"/>
        </w:rPr>
        <w:t>ógico de todos estes regi</w:t>
      </w:r>
      <w:r w:rsidR="00155439" w:rsidRPr="00C62DF2">
        <w:rPr>
          <w:rFonts w:ascii="Cambria" w:hAnsi="Cambria"/>
          <w:sz w:val="20"/>
          <w:szCs w:val="20"/>
        </w:rPr>
        <w:t>m</w:t>
      </w:r>
      <w:r w:rsidRPr="00C62DF2">
        <w:rPr>
          <w:rFonts w:ascii="Cambria" w:hAnsi="Cambria"/>
          <w:sz w:val="20"/>
          <w:szCs w:val="20"/>
        </w:rPr>
        <w:t>es era a ‘dou</w:t>
      </w:r>
      <w:r w:rsidR="00155439" w:rsidRPr="00C62DF2">
        <w:rPr>
          <w:rFonts w:ascii="Cambria" w:hAnsi="Cambria"/>
          <w:sz w:val="20"/>
          <w:szCs w:val="20"/>
        </w:rPr>
        <w:t>trina de segurança</w:t>
      </w:r>
      <w:r w:rsidRPr="00C62DF2">
        <w:rPr>
          <w:rFonts w:ascii="Cambria" w:hAnsi="Cambria"/>
          <w:sz w:val="20"/>
          <w:szCs w:val="20"/>
        </w:rPr>
        <w:t xml:space="preserve"> nacional’</w:t>
      </w:r>
      <w:r w:rsidR="00B127F9" w:rsidRPr="00C62DF2">
        <w:rPr>
          <w:rFonts w:ascii="Cambria" w:hAnsi="Cambria"/>
          <w:sz w:val="20"/>
          <w:szCs w:val="20"/>
        </w:rPr>
        <w:t>,</w:t>
      </w:r>
      <w:r w:rsidRPr="00C62DF2">
        <w:rPr>
          <w:rFonts w:ascii="Cambria" w:hAnsi="Cambria"/>
          <w:sz w:val="20"/>
          <w:szCs w:val="20"/>
        </w:rPr>
        <w:t xml:space="preserve"> por me</w:t>
      </w:r>
      <w:r w:rsidR="00155439" w:rsidRPr="00C62DF2">
        <w:rPr>
          <w:rFonts w:ascii="Cambria" w:hAnsi="Cambria"/>
          <w:sz w:val="20"/>
          <w:szCs w:val="20"/>
        </w:rPr>
        <w:t xml:space="preserve">io da </w:t>
      </w:r>
      <w:r w:rsidRPr="00C62DF2">
        <w:rPr>
          <w:rFonts w:ascii="Cambria" w:hAnsi="Cambria"/>
          <w:sz w:val="20"/>
          <w:szCs w:val="20"/>
        </w:rPr>
        <w:t>q</w:t>
      </w:r>
      <w:r w:rsidR="00155439" w:rsidRPr="00C62DF2">
        <w:rPr>
          <w:rFonts w:ascii="Cambria" w:hAnsi="Cambria"/>
          <w:sz w:val="20"/>
          <w:szCs w:val="20"/>
        </w:rPr>
        <w:t>ual visualiza</w:t>
      </w:r>
      <w:r w:rsidRPr="00C62DF2">
        <w:rPr>
          <w:rFonts w:ascii="Cambria" w:hAnsi="Cambria"/>
          <w:sz w:val="20"/>
          <w:szCs w:val="20"/>
        </w:rPr>
        <w:t xml:space="preserve">vam os </w:t>
      </w:r>
      <w:r w:rsidR="00155439" w:rsidRPr="00C62DF2">
        <w:rPr>
          <w:rFonts w:ascii="Cambria" w:hAnsi="Cambria"/>
          <w:sz w:val="20"/>
          <w:szCs w:val="20"/>
        </w:rPr>
        <w:t xml:space="preserve">movimentos de </w:t>
      </w:r>
      <w:r w:rsidRPr="00C62DF2">
        <w:rPr>
          <w:rFonts w:ascii="Cambria" w:hAnsi="Cambria"/>
          <w:sz w:val="20"/>
          <w:szCs w:val="20"/>
        </w:rPr>
        <w:t xml:space="preserve">esquerda </w:t>
      </w:r>
      <w:r w:rsidR="00155439" w:rsidRPr="00C62DF2">
        <w:rPr>
          <w:rFonts w:ascii="Cambria" w:hAnsi="Cambria"/>
          <w:sz w:val="20"/>
          <w:szCs w:val="20"/>
        </w:rPr>
        <w:t>e o</w:t>
      </w:r>
      <w:r w:rsidRPr="00C62DF2">
        <w:rPr>
          <w:rFonts w:ascii="Cambria" w:hAnsi="Cambria"/>
          <w:sz w:val="20"/>
          <w:szCs w:val="20"/>
        </w:rPr>
        <w:t>utros grupos como ‘inimigos comun</w:t>
      </w:r>
      <w:r w:rsidR="00155439" w:rsidRPr="00C62DF2">
        <w:rPr>
          <w:rFonts w:ascii="Cambria" w:hAnsi="Cambria"/>
          <w:sz w:val="20"/>
          <w:szCs w:val="20"/>
        </w:rPr>
        <w:t>s’</w:t>
      </w:r>
      <w:r w:rsidR="00155439" w:rsidRPr="00C62DF2">
        <w:rPr>
          <w:rStyle w:val="FootnoteReference"/>
          <w:rFonts w:ascii="Cambria" w:hAnsi="Cambria"/>
          <w:sz w:val="20"/>
          <w:szCs w:val="20"/>
        </w:rPr>
        <w:footnoteReference w:id="9"/>
      </w:r>
      <w:r w:rsidR="00155439" w:rsidRPr="00C62DF2">
        <w:rPr>
          <w:rFonts w:ascii="Cambria" w:hAnsi="Cambria"/>
          <w:sz w:val="20"/>
          <w:szCs w:val="20"/>
        </w:rPr>
        <w:t>.</w:t>
      </w:r>
    </w:p>
    <w:p w14:paraId="027D30DE" w14:textId="77777777" w:rsidR="00155439" w:rsidRPr="00C62DF2" w:rsidRDefault="00155439" w:rsidP="00FC0CB6">
      <w:pPr>
        <w:pStyle w:val="ListParagraph"/>
        <w:ind w:firstLine="0"/>
        <w:rPr>
          <w:sz w:val="20"/>
          <w:szCs w:val="20"/>
          <w:lang w:val="pt-BR"/>
        </w:rPr>
      </w:pPr>
    </w:p>
    <w:p w14:paraId="17C85D1D" w14:textId="27A5EECD" w:rsidR="00155439" w:rsidRPr="00C62DF2" w:rsidRDefault="00DA5DAC" w:rsidP="00FC0CB6">
      <w:pPr>
        <w:numPr>
          <w:ilvl w:val="0"/>
          <w:numId w:val="2"/>
        </w:numPr>
        <w:jc w:val="both"/>
        <w:rPr>
          <w:rFonts w:ascii="Cambria" w:hAnsi="Cambria"/>
          <w:sz w:val="20"/>
          <w:szCs w:val="20"/>
        </w:rPr>
      </w:pPr>
      <w:r w:rsidRPr="00C62DF2">
        <w:rPr>
          <w:rFonts w:ascii="Cambria" w:hAnsi="Cambria"/>
          <w:sz w:val="20"/>
          <w:szCs w:val="20"/>
        </w:rPr>
        <w:t>Com</w:t>
      </w:r>
      <w:r w:rsidR="00155439" w:rsidRPr="00C62DF2">
        <w:rPr>
          <w:rFonts w:ascii="Cambria" w:hAnsi="Cambria"/>
          <w:sz w:val="20"/>
          <w:szCs w:val="20"/>
        </w:rPr>
        <w:t xml:space="preserve"> base </w:t>
      </w:r>
      <w:r w:rsidRPr="00C62DF2">
        <w:rPr>
          <w:rFonts w:ascii="Cambria" w:hAnsi="Cambria"/>
          <w:sz w:val="20"/>
          <w:szCs w:val="20"/>
        </w:rPr>
        <w:t>na Dou</w:t>
      </w:r>
      <w:r w:rsidR="00155439" w:rsidRPr="00C62DF2">
        <w:rPr>
          <w:rFonts w:ascii="Cambria" w:hAnsi="Cambria"/>
          <w:sz w:val="20"/>
          <w:szCs w:val="20"/>
        </w:rPr>
        <w:t>trina de Segurança Nacional, durant</w:t>
      </w:r>
      <w:r w:rsidRPr="00C62DF2">
        <w:rPr>
          <w:rFonts w:ascii="Cambria" w:hAnsi="Cambria"/>
          <w:sz w:val="20"/>
          <w:szCs w:val="20"/>
        </w:rPr>
        <w:t>e o</w:t>
      </w:r>
      <w:r w:rsidR="00155439" w:rsidRPr="00C62DF2">
        <w:rPr>
          <w:rFonts w:ascii="Cambria" w:hAnsi="Cambria"/>
          <w:sz w:val="20"/>
          <w:szCs w:val="20"/>
        </w:rPr>
        <w:t xml:space="preserve"> r</w:t>
      </w:r>
      <w:r w:rsidRPr="00C62DF2">
        <w:rPr>
          <w:rFonts w:ascii="Cambria" w:hAnsi="Cambria"/>
          <w:sz w:val="20"/>
          <w:szCs w:val="20"/>
        </w:rPr>
        <w:t>egime</w:t>
      </w:r>
      <w:r w:rsidR="00155439" w:rsidRPr="00C62DF2">
        <w:rPr>
          <w:rFonts w:ascii="Cambria" w:hAnsi="Cambria"/>
          <w:sz w:val="20"/>
          <w:szCs w:val="20"/>
        </w:rPr>
        <w:t xml:space="preserve"> militar </w:t>
      </w:r>
      <w:r w:rsidR="00B127F9" w:rsidRPr="00C62DF2">
        <w:rPr>
          <w:rFonts w:ascii="Cambria" w:hAnsi="Cambria"/>
          <w:sz w:val="20"/>
          <w:szCs w:val="20"/>
        </w:rPr>
        <w:t>foram</w:t>
      </w:r>
      <w:r w:rsidR="00155439" w:rsidRPr="00C62DF2">
        <w:rPr>
          <w:rFonts w:ascii="Cambria" w:hAnsi="Cambria"/>
          <w:sz w:val="20"/>
          <w:szCs w:val="20"/>
        </w:rPr>
        <w:t xml:space="preserve"> emiti</w:t>
      </w:r>
      <w:r w:rsidR="00B127F9" w:rsidRPr="00C62DF2">
        <w:rPr>
          <w:rFonts w:ascii="Cambria" w:hAnsi="Cambria"/>
          <w:sz w:val="20"/>
          <w:szCs w:val="20"/>
        </w:rPr>
        <w:t>das</w:t>
      </w:r>
      <w:r w:rsidRPr="00C62DF2">
        <w:rPr>
          <w:rFonts w:ascii="Cambria" w:hAnsi="Cambria"/>
          <w:sz w:val="20"/>
          <w:szCs w:val="20"/>
        </w:rPr>
        <w:t xml:space="preserve"> no </w:t>
      </w:r>
      <w:r w:rsidR="00155439" w:rsidRPr="00C62DF2">
        <w:rPr>
          <w:rFonts w:ascii="Cambria" w:hAnsi="Cambria"/>
          <w:sz w:val="20"/>
          <w:szCs w:val="20"/>
        </w:rPr>
        <w:t>Brasil suce</w:t>
      </w:r>
      <w:r w:rsidRPr="00C62DF2">
        <w:rPr>
          <w:rFonts w:ascii="Cambria" w:hAnsi="Cambria"/>
          <w:sz w:val="20"/>
          <w:szCs w:val="20"/>
        </w:rPr>
        <w:t>ssivas “Lei</w:t>
      </w:r>
      <w:r w:rsidR="00155439" w:rsidRPr="00C62DF2">
        <w:rPr>
          <w:rFonts w:ascii="Cambria" w:hAnsi="Cambria"/>
          <w:sz w:val="20"/>
          <w:szCs w:val="20"/>
        </w:rPr>
        <w:t>s de Segurança Nacional”</w:t>
      </w:r>
      <w:r w:rsidR="00155439" w:rsidRPr="00C62DF2">
        <w:rPr>
          <w:rStyle w:val="FootnoteReference"/>
          <w:rFonts w:ascii="Cambria" w:hAnsi="Cambria"/>
          <w:sz w:val="20"/>
          <w:szCs w:val="20"/>
        </w:rPr>
        <w:footnoteReference w:id="10"/>
      </w:r>
      <w:r w:rsidR="00155439" w:rsidRPr="00C62DF2">
        <w:rPr>
          <w:rFonts w:ascii="Cambria" w:hAnsi="Cambria"/>
          <w:sz w:val="20"/>
          <w:szCs w:val="20"/>
        </w:rPr>
        <w:t xml:space="preserve">. </w:t>
      </w:r>
      <w:r w:rsidRPr="00C62DF2">
        <w:rPr>
          <w:rFonts w:ascii="Cambria" w:hAnsi="Cambria"/>
          <w:sz w:val="20"/>
          <w:szCs w:val="20"/>
        </w:rPr>
        <w:t>Além disso, o mais preponderante suporte jurídico do regime militar no</w:t>
      </w:r>
      <w:r w:rsidR="00155439" w:rsidRPr="00C62DF2">
        <w:rPr>
          <w:rFonts w:ascii="Cambria" w:hAnsi="Cambria"/>
          <w:sz w:val="20"/>
          <w:szCs w:val="20"/>
        </w:rPr>
        <w:t xml:space="preserve"> Brasil f</w:t>
      </w:r>
      <w:r w:rsidRPr="00C62DF2">
        <w:rPr>
          <w:rFonts w:ascii="Cambria" w:hAnsi="Cambria"/>
          <w:sz w:val="20"/>
          <w:szCs w:val="20"/>
        </w:rPr>
        <w:t>oi o chamado “A</w:t>
      </w:r>
      <w:r w:rsidR="00155439" w:rsidRPr="00C62DF2">
        <w:rPr>
          <w:rFonts w:ascii="Cambria" w:hAnsi="Cambria"/>
          <w:sz w:val="20"/>
          <w:szCs w:val="20"/>
        </w:rPr>
        <w:t>to Institucional” (</w:t>
      </w:r>
      <w:r w:rsidRPr="00C62DF2">
        <w:rPr>
          <w:rFonts w:ascii="Cambria" w:hAnsi="Cambria"/>
          <w:sz w:val="20"/>
          <w:szCs w:val="20"/>
        </w:rPr>
        <w:t>doravante</w:t>
      </w:r>
      <w:r w:rsidR="00155439" w:rsidRPr="00C62DF2">
        <w:rPr>
          <w:rFonts w:ascii="Cambria" w:hAnsi="Cambria"/>
          <w:sz w:val="20"/>
          <w:szCs w:val="20"/>
        </w:rPr>
        <w:t xml:space="preserve"> “AI”)</w:t>
      </w:r>
      <w:r w:rsidR="00155439" w:rsidRPr="00C62DF2">
        <w:rPr>
          <w:rStyle w:val="FootnoteReference"/>
          <w:rFonts w:ascii="Cambria" w:hAnsi="Cambria"/>
          <w:sz w:val="20"/>
          <w:szCs w:val="20"/>
        </w:rPr>
        <w:footnoteReference w:id="11"/>
      </w:r>
      <w:r w:rsidRPr="00C62DF2">
        <w:rPr>
          <w:rFonts w:ascii="Cambria" w:hAnsi="Cambria"/>
          <w:sz w:val="20"/>
          <w:szCs w:val="20"/>
        </w:rPr>
        <w:t>. A</w:t>
      </w:r>
      <w:r w:rsidR="00155439" w:rsidRPr="00C62DF2">
        <w:rPr>
          <w:rFonts w:ascii="Cambria" w:hAnsi="Cambria"/>
          <w:sz w:val="20"/>
          <w:szCs w:val="20"/>
        </w:rPr>
        <w:t xml:space="preserve"> evolução</w:t>
      </w:r>
      <w:r w:rsidRPr="00C62DF2">
        <w:rPr>
          <w:rFonts w:ascii="Cambria" w:hAnsi="Cambria"/>
          <w:sz w:val="20"/>
          <w:szCs w:val="20"/>
        </w:rPr>
        <w:t xml:space="preserve"> do</w:t>
      </w:r>
      <w:r w:rsidR="00155439" w:rsidRPr="00C62DF2">
        <w:rPr>
          <w:rFonts w:ascii="Cambria" w:hAnsi="Cambria"/>
          <w:sz w:val="20"/>
          <w:szCs w:val="20"/>
        </w:rPr>
        <w:t xml:space="preserve"> ordenamento jurídico repre</w:t>
      </w:r>
      <w:r w:rsidRPr="00C62DF2">
        <w:rPr>
          <w:rFonts w:ascii="Cambria" w:hAnsi="Cambria"/>
          <w:sz w:val="20"/>
          <w:szCs w:val="20"/>
        </w:rPr>
        <w:t>ssivo provoc</w:t>
      </w:r>
      <w:r w:rsidR="00B127F9" w:rsidRPr="00C62DF2">
        <w:rPr>
          <w:rFonts w:ascii="Cambria" w:hAnsi="Cambria"/>
          <w:sz w:val="20"/>
          <w:szCs w:val="20"/>
        </w:rPr>
        <w:t>ou</w:t>
      </w:r>
      <w:r w:rsidRPr="00C62DF2">
        <w:rPr>
          <w:rFonts w:ascii="Cambria" w:hAnsi="Cambria"/>
          <w:sz w:val="20"/>
          <w:szCs w:val="20"/>
        </w:rPr>
        <w:t xml:space="preserve"> gradualmente rea</w:t>
      </w:r>
      <w:r w:rsidR="00155439" w:rsidRPr="00C62DF2">
        <w:rPr>
          <w:rFonts w:ascii="Cambria" w:hAnsi="Cambria"/>
          <w:sz w:val="20"/>
          <w:szCs w:val="20"/>
        </w:rPr>
        <w:t xml:space="preserve">ções dos </w:t>
      </w:r>
      <w:r w:rsidRPr="00C62DF2">
        <w:rPr>
          <w:rFonts w:ascii="Cambria" w:hAnsi="Cambria"/>
          <w:sz w:val="20"/>
          <w:szCs w:val="20"/>
        </w:rPr>
        <w:t>setores populares. Em particular, o</w:t>
      </w:r>
      <w:r w:rsidR="00155439" w:rsidRPr="00C62DF2">
        <w:rPr>
          <w:rFonts w:ascii="Cambria" w:hAnsi="Cambria"/>
          <w:sz w:val="20"/>
          <w:szCs w:val="20"/>
        </w:rPr>
        <w:t xml:space="preserve"> movimento</w:t>
      </w:r>
      <w:r w:rsidRPr="00C62DF2">
        <w:rPr>
          <w:rFonts w:ascii="Cambria" w:hAnsi="Cambria"/>
          <w:sz w:val="20"/>
          <w:szCs w:val="20"/>
        </w:rPr>
        <w:t xml:space="preserve"> estud</w:t>
      </w:r>
      <w:r w:rsidR="00155439" w:rsidRPr="00C62DF2">
        <w:rPr>
          <w:rFonts w:ascii="Cambria" w:hAnsi="Cambria"/>
          <w:sz w:val="20"/>
          <w:szCs w:val="20"/>
        </w:rPr>
        <w:t>antil se manifestou</w:t>
      </w:r>
      <w:r w:rsidRPr="00C62DF2">
        <w:rPr>
          <w:rFonts w:ascii="Cambria" w:hAnsi="Cambria"/>
          <w:sz w:val="20"/>
          <w:szCs w:val="20"/>
        </w:rPr>
        <w:t xml:space="preserve"> ene</w:t>
      </w:r>
      <w:r w:rsidR="00155439" w:rsidRPr="00C62DF2">
        <w:rPr>
          <w:rFonts w:ascii="Cambria" w:hAnsi="Cambria"/>
          <w:sz w:val="20"/>
          <w:szCs w:val="20"/>
        </w:rPr>
        <w:t xml:space="preserve">rgicamente, </w:t>
      </w:r>
      <w:r w:rsidRPr="00C62DF2">
        <w:rPr>
          <w:rFonts w:ascii="Cambria" w:hAnsi="Cambria"/>
          <w:sz w:val="20"/>
          <w:szCs w:val="20"/>
        </w:rPr>
        <w:t>até alcanç</w:t>
      </w:r>
      <w:r w:rsidR="00155439" w:rsidRPr="00C62DF2">
        <w:rPr>
          <w:rFonts w:ascii="Cambria" w:hAnsi="Cambria"/>
          <w:sz w:val="20"/>
          <w:szCs w:val="20"/>
        </w:rPr>
        <w:t>ar s</w:t>
      </w:r>
      <w:r w:rsidRPr="00C62DF2">
        <w:rPr>
          <w:rFonts w:ascii="Cambria" w:hAnsi="Cambria"/>
          <w:sz w:val="20"/>
          <w:szCs w:val="20"/>
        </w:rPr>
        <w:t>e</w:t>
      </w:r>
      <w:r w:rsidR="00155439" w:rsidRPr="00C62DF2">
        <w:rPr>
          <w:rFonts w:ascii="Cambria" w:hAnsi="Cambria"/>
          <w:sz w:val="20"/>
          <w:szCs w:val="20"/>
        </w:rPr>
        <w:t xml:space="preserve">u auge </w:t>
      </w:r>
      <w:r w:rsidRPr="00C62DF2">
        <w:rPr>
          <w:rFonts w:ascii="Cambria" w:hAnsi="Cambria"/>
          <w:sz w:val="20"/>
          <w:szCs w:val="20"/>
        </w:rPr>
        <w:t>nas</w:t>
      </w:r>
      <w:r w:rsidR="00155439" w:rsidRPr="00C62DF2">
        <w:rPr>
          <w:rFonts w:ascii="Cambria" w:hAnsi="Cambria"/>
          <w:sz w:val="20"/>
          <w:szCs w:val="20"/>
        </w:rPr>
        <w:t xml:space="preserve"> grandes marchas de 1968</w:t>
      </w:r>
      <w:r w:rsidR="00155439" w:rsidRPr="00C62DF2">
        <w:rPr>
          <w:rStyle w:val="FootnoteReference"/>
          <w:rFonts w:ascii="Cambria" w:hAnsi="Cambria"/>
          <w:sz w:val="20"/>
          <w:szCs w:val="20"/>
        </w:rPr>
        <w:footnoteReference w:id="12"/>
      </w:r>
      <w:r w:rsidR="00155439" w:rsidRPr="00C62DF2">
        <w:rPr>
          <w:rFonts w:ascii="Cambria" w:hAnsi="Cambria"/>
          <w:sz w:val="20"/>
          <w:szCs w:val="20"/>
        </w:rPr>
        <w:t xml:space="preserve">. </w:t>
      </w:r>
    </w:p>
    <w:p w14:paraId="7CA8D84F" w14:textId="77777777" w:rsidR="00155439" w:rsidRPr="00C62DF2" w:rsidRDefault="00155439" w:rsidP="00FC0CB6">
      <w:pPr>
        <w:pStyle w:val="ListParagraph"/>
        <w:ind w:firstLine="0"/>
        <w:rPr>
          <w:sz w:val="20"/>
          <w:szCs w:val="20"/>
          <w:lang w:val="pt-BR"/>
        </w:rPr>
      </w:pPr>
    </w:p>
    <w:p w14:paraId="747F3712" w14:textId="3481A973" w:rsidR="00155439" w:rsidRPr="00C62DF2" w:rsidRDefault="00DA5DAC" w:rsidP="00FC0CB6">
      <w:pPr>
        <w:numPr>
          <w:ilvl w:val="0"/>
          <w:numId w:val="2"/>
        </w:numPr>
        <w:jc w:val="both"/>
        <w:rPr>
          <w:rFonts w:ascii="Cambria" w:hAnsi="Cambria"/>
          <w:sz w:val="20"/>
          <w:szCs w:val="20"/>
        </w:rPr>
      </w:pPr>
      <w:r w:rsidRPr="00C62DF2">
        <w:rPr>
          <w:rFonts w:ascii="Cambria" w:hAnsi="Cambria"/>
          <w:sz w:val="20"/>
          <w:szCs w:val="20"/>
        </w:rPr>
        <w:t>Nesse</w:t>
      </w:r>
      <w:r w:rsidR="00155439" w:rsidRPr="00C62DF2">
        <w:rPr>
          <w:rFonts w:ascii="Cambria" w:hAnsi="Cambria"/>
          <w:sz w:val="20"/>
          <w:szCs w:val="20"/>
        </w:rPr>
        <w:t xml:space="preserve"> contexto de aumento </w:t>
      </w:r>
      <w:r w:rsidRPr="00C62DF2">
        <w:rPr>
          <w:rFonts w:ascii="Cambria" w:hAnsi="Cambria"/>
          <w:sz w:val="20"/>
          <w:szCs w:val="20"/>
        </w:rPr>
        <w:t>do</w:t>
      </w:r>
      <w:r w:rsidR="00155439" w:rsidRPr="00C62DF2">
        <w:rPr>
          <w:rFonts w:ascii="Cambria" w:hAnsi="Cambria"/>
          <w:sz w:val="20"/>
          <w:szCs w:val="20"/>
        </w:rPr>
        <w:t xml:space="preserve"> </w:t>
      </w:r>
      <w:r w:rsidRPr="00C62DF2">
        <w:rPr>
          <w:rFonts w:ascii="Cambria" w:hAnsi="Cambria"/>
          <w:sz w:val="20"/>
          <w:szCs w:val="20"/>
        </w:rPr>
        <w:t>protesto popular contra o regime militar, em</w:t>
      </w:r>
      <w:r w:rsidR="00155439" w:rsidRPr="00C62DF2">
        <w:rPr>
          <w:rFonts w:ascii="Cambria" w:hAnsi="Cambria"/>
          <w:sz w:val="20"/>
          <w:szCs w:val="20"/>
        </w:rPr>
        <w:t xml:space="preserve"> 13 de d</w:t>
      </w:r>
      <w:r w:rsidRPr="00C62DF2">
        <w:rPr>
          <w:rFonts w:ascii="Cambria" w:hAnsi="Cambria"/>
          <w:sz w:val="20"/>
          <w:szCs w:val="20"/>
        </w:rPr>
        <w:t>ezembro de 1968</w:t>
      </w:r>
      <w:r w:rsidR="00A40692" w:rsidRPr="00C62DF2">
        <w:rPr>
          <w:rFonts w:ascii="Cambria" w:hAnsi="Cambria"/>
          <w:sz w:val="20"/>
          <w:szCs w:val="20"/>
        </w:rPr>
        <w:t>,</w:t>
      </w:r>
      <w:r w:rsidRPr="00C62DF2">
        <w:rPr>
          <w:rFonts w:ascii="Cambria" w:hAnsi="Cambria"/>
          <w:sz w:val="20"/>
          <w:szCs w:val="20"/>
        </w:rPr>
        <w:t xml:space="preserve"> o Presidente Costa e Silva </w:t>
      </w:r>
      <w:r w:rsidR="00D71543" w:rsidRPr="00C62DF2">
        <w:rPr>
          <w:rFonts w:ascii="Cambria" w:hAnsi="Cambria"/>
          <w:sz w:val="20"/>
          <w:szCs w:val="20"/>
        </w:rPr>
        <w:t>baix</w:t>
      </w:r>
      <w:r w:rsidR="00155439" w:rsidRPr="00C62DF2">
        <w:rPr>
          <w:rFonts w:ascii="Cambria" w:hAnsi="Cambria"/>
          <w:sz w:val="20"/>
          <w:szCs w:val="20"/>
        </w:rPr>
        <w:t>ou</w:t>
      </w:r>
      <w:r w:rsidRPr="00C62DF2">
        <w:rPr>
          <w:rFonts w:ascii="Cambria" w:hAnsi="Cambria"/>
          <w:sz w:val="20"/>
          <w:szCs w:val="20"/>
        </w:rPr>
        <w:t xml:space="preserve"> o</w:t>
      </w:r>
      <w:r w:rsidR="00155439" w:rsidRPr="00C62DF2">
        <w:rPr>
          <w:rFonts w:ascii="Cambria" w:hAnsi="Cambria"/>
          <w:sz w:val="20"/>
          <w:szCs w:val="20"/>
        </w:rPr>
        <w:t xml:space="preserve"> AI-5. </w:t>
      </w:r>
      <w:r w:rsidRPr="00C62DF2">
        <w:rPr>
          <w:rFonts w:ascii="Cambria" w:hAnsi="Cambria"/>
          <w:sz w:val="20"/>
          <w:szCs w:val="20"/>
        </w:rPr>
        <w:t xml:space="preserve">Diferentemente </w:t>
      </w:r>
      <w:r w:rsidR="00155439" w:rsidRPr="00C62DF2">
        <w:rPr>
          <w:rFonts w:ascii="Cambria" w:hAnsi="Cambria"/>
          <w:sz w:val="20"/>
          <w:szCs w:val="20"/>
        </w:rPr>
        <w:t>dos o</w:t>
      </w:r>
      <w:r w:rsidRPr="00C62DF2">
        <w:rPr>
          <w:rFonts w:ascii="Cambria" w:hAnsi="Cambria"/>
          <w:sz w:val="20"/>
          <w:szCs w:val="20"/>
        </w:rPr>
        <w:t>utros A</w:t>
      </w:r>
      <w:r w:rsidR="00B127F9" w:rsidRPr="00C62DF2">
        <w:rPr>
          <w:rFonts w:ascii="Cambria" w:hAnsi="Cambria"/>
          <w:sz w:val="20"/>
          <w:szCs w:val="20"/>
        </w:rPr>
        <w:t xml:space="preserve">tos </w:t>
      </w:r>
      <w:r w:rsidRPr="00C62DF2">
        <w:rPr>
          <w:rFonts w:ascii="Cambria" w:hAnsi="Cambria"/>
          <w:sz w:val="20"/>
          <w:szCs w:val="20"/>
        </w:rPr>
        <w:t>I</w:t>
      </w:r>
      <w:r w:rsidR="00B127F9" w:rsidRPr="00C62DF2">
        <w:rPr>
          <w:rFonts w:ascii="Cambria" w:hAnsi="Cambria"/>
          <w:sz w:val="20"/>
          <w:szCs w:val="20"/>
        </w:rPr>
        <w:t>nstitucionai</w:t>
      </w:r>
      <w:r w:rsidRPr="00C62DF2">
        <w:rPr>
          <w:rFonts w:ascii="Cambria" w:hAnsi="Cambria"/>
          <w:sz w:val="20"/>
          <w:szCs w:val="20"/>
        </w:rPr>
        <w:t>s, o</w:t>
      </w:r>
      <w:r w:rsidR="00155439" w:rsidRPr="00C62DF2">
        <w:rPr>
          <w:rFonts w:ascii="Cambria" w:hAnsi="Cambria"/>
          <w:sz w:val="20"/>
          <w:szCs w:val="20"/>
        </w:rPr>
        <w:t xml:space="preserve"> AI-5 n</w:t>
      </w:r>
      <w:r w:rsidRPr="00C62DF2">
        <w:rPr>
          <w:rFonts w:ascii="Cambria" w:hAnsi="Cambria"/>
          <w:sz w:val="20"/>
          <w:szCs w:val="20"/>
        </w:rPr>
        <w:t>ã</w:t>
      </w:r>
      <w:r w:rsidR="00155439" w:rsidRPr="00C62DF2">
        <w:rPr>
          <w:rFonts w:ascii="Cambria" w:hAnsi="Cambria"/>
          <w:sz w:val="20"/>
          <w:szCs w:val="20"/>
        </w:rPr>
        <w:t>o t</w:t>
      </w:r>
      <w:r w:rsidRPr="00C62DF2">
        <w:rPr>
          <w:rFonts w:ascii="Cambria" w:hAnsi="Cambria"/>
          <w:sz w:val="20"/>
          <w:szCs w:val="20"/>
        </w:rPr>
        <w:t>inha prazo de vigência, “era a ditadura sem disf</w:t>
      </w:r>
      <w:r w:rsidR="00155439" w:rsidRPr="00C62DF2">
        <w:rPr>
          <w:rFonts w:ascii="Cambria" w:hAnsi="Cambria"/>
          <w:sz w:val="20"/>
          <w:szCs w:val="20"/>
        </w:rPr>
        <w:t>a</w:t>
      </w:r>
      <w:r w:rsidRPr="00C62DF2">
        <w:rPr>
          <w:rFonts w:ascii="Cambria" w:hAnsi="Cambria"/>
          <w:sz w:val="20"/>
          <w:szCs w:val="20"/>
        </w:rPr>
        <w:t>r</w:t>
      </w:r>
      <w:r w:rsidR="00155439" w:rsidRPr="00C62DF2">
        <w:rPr>
          <w:rFonts w:ascii="Cambria" w:hAnsi="Cambria"/>
          <w:sz w:val="20"/>
          <w:szCs w:val="20"/>
        </w:rPr>
        <w:t>ces”</w:t>
      </w:r>
      <w:r w:rsidR="00155439" w:rsidRPr="00C62DF2">
        <w:rPr>
          <w:rStyle w:val="FootnoteReference"/>
          <w:rFonts w:ascii="Cambria" w:hAnsi="Cambria"/>
          <w:sz w:val="20"/>
          <w:szCs w:val="20"/>
        </w:rPr>
        <w:footnoteReference w:id="13"/>
      </w:r>
      <w:r w:rsidRPr="00C62DF2">
        <w:rPr>
          <w:rFonts w:ascii="Cambria" w:hAnsi="Cambria"/>
          <w:sz w:val="20"/>
          <w:szCs w:val="20"/>
        </w:rPr>
        <w:t>. O</w:t>
      </w:r>
      <w:r w:rsidR="00155439" w:rsidRPr="00C62DF2">
        <w:rPr>
          <w:rFonts w:ascii="Cambria" w:hAnsi="Cambria"/>
          <w:sz w:val="20"/>
          <w:szCs w:val="20"/>
        </w:rPr>
        <w:t xml:space="preserve"> Congres</w:t>
      </w:r>
      <w:r w:rsidRPr="00C62DF2">
        <w:rPr>
          <w:rFonts w:ascii="Cambria" w:hAnsi="Cambria"/>
          <w:sz w:val="20"/>
          <w:szCs w:val="20"/>
        </w:rPr>
        <w:t>s</w:t>
      </w:r>
      <w:r w:rsidR="00155439" w:rsidRPr="00C62DF2">
        <w:rPr>
          <w:rFonts w:ascii="Cambria" w:hAnsi="Cambria"/>
          <w:sz w:val="20"/>
          <w:szCs w:val="20"/>
        </w:rPr>
        <w:t>o Nacional f</w:t>
      </w:r>
      <w:r w:rsidRPr="00C62DF2">
        <w:rPr>
          <w:rFonts w:ascii="Cambria" w:hAnsi="Cambria"/>
          <w:sz w:val="20"/>
          <w:szCs w:val="20"/>
        </w:rPr>
        <w:t>oi fechado</w:t>
      </w:r>
      <w:r w:rsidR="00155439" w:rsidRPr="00C62DF2">
        <w:rPr>
          <w:rFonts w:ascii="Cambria" w:hAnsi="Cambria"/>
          <w:sz w:val="20"/>
          <w:szCs w:val="20"/>
        </w:rPr>
        <w:t>, restab</w:t>
      </w:r>
      <w:r w:rsidRPr="00C62DF2">
        <w:rPr>
          <w:rFonts w:ascii="Cambria" w:hAnsi="Cambria"/>
          <w:sz w:val="20"/>
          <w:szCs w:val="20"/>
        </w:rPr>
        <w:t>e</w:t>
      </w:r>
      <w:r w:rsidR="00155439" w:rsidRPr="00C62DF2">
        <w:rPr>
          <w:rFonts w:ascii="Cambria" w:hAnsi="Cambria"/>
          <w:sz w:val="20"/>
          <w:szCs w:val="20"/>
        </w:rPr>
        <w:t>lec</w:t>
      </w:r>
      <w:r w:rsidRPr="00C62DF2">
        <w:rPr>
          <w:rFonts w:ascii="Cambria" w:hAnsi="Cambria"/>
          <w:sz w:val="20"/>
          <w:szCs w:val="20"/>
        </w:rPr>
        <w:t>eu</w:t>
      </w:r>
      <w:r w:rsidR="00D71543" w:rsidRPr="00C62DF2">
        <w:rPr>
          <w:rFonts w:ascii="Cambria" w:hAnsi="Cambria"/>
          <w:sz w:val="20"/>
          <w:szCs w:val="20"/>
        </w:rPr>
        <w:t>-se</w:t>
      </w:r>
      <w:r w:rsidRPr="00C62DF2">
        <w:rPr>
          <w:rFonts w:ascii="Cambria" w:hAnsi="Cambria"/>
          <w:sz w:val="20"/>
          <w:szCs w:val="20"/>
        </w:rPr>
        <w:t xml:space="preserve"> </w:t>
      </w:r>
      <w:r w:rsidR="00155439" w:rsidRPr="00C62DF2">
        <w:rPr>
          <w:rFonts w:ascii="Cambria" w:hAnsi="Cambria"/>
          <w:sz w:val="20"/>
          <w:szCs w:val="20"/>
        </w:rPr>
        <w:t>a pos</w:t>
      </w:r>
      <w:r w:rsidRPr="00C62DF2">
        <w:rPr>
          <w:rFonts w:ascii="Cambria" w:hAnsi="Cambria"/>
          <w:sz w:val="20"/>
          <w:szCs w:val="20"/>
        </w:rPr>
        <w:t>s</w:t>
      </w:r>
      <w:r w:rsidR="00155439" w:rsidRPr="00C62DF2">
        <w:rPr>
          <w:rFonts w:ascii="Cambria" w:hAnsi="Cambria"/>
          <w:sz w:val="20"/>
          <w:szCs w:val="20"/>
        </w:rPr>
        <w:t>ibilidad</w:t>
      </w:r>
      <w:r w:rsidRPr="00C62DF2">
        <w:rPr>
          <w:rFonts w:ascii="Cambria" w:hAnsi="Cambria"/>
          <w:sz w:val="20"/>
          <w:szCs w:val="20"/>
        </w:rPr>
        <w:t>e</w:t>
      </w:r>
      <w:r w:rsidR="00155439" w:rsidRPr="00C62DF2">
        <w:rPr>
          <w:rFonts w:ascii="Cambria" w:hAnsi="Cambria"/>
          <w:sz w:val="20"/>
          <w:szCs w:val="20"/>
        </w:rPr>
        <w:t xml:space="preserve"> </w:t>
      </w:r>
      <w:r w:rsidRPr="00C62DF2">
        <w:rPr>
          <w:rFonts w:ascii="Cambria" w:hAnsi="Cambria"/>
          <w:sz w:val="20"/>
          <w:szCs w:val="20"/>
        </w:rPr>
        <w:t>da</w:t>
      </w:r>
      <w:r w:rsidR="00155439" w:rsidRPr="00C62DF2">
        <w:rPr>
          <w:rFonts w:ascii="Cambria" w:hAnsi="Cambria"/>
          <w:sz w:val="20"/>
          <w:szCs w:val="20"/>
        </w:rPr>
        <w:t xml:space="preserve">s </w:t>
      </w:r>
      <w:r w:rsidRPr="00C62DF2">
        <w:rPr>
          <w:rFonts w:ascii="Cambria" w:hAnsi="Cambria"/>
          <w:sz w:val="20"/>
          <w:szCs w:val="20"/>
        </w:rPr>
        <w:t>demissões sumária</w:t>
      </w:r>
      <w:r w:rsidR="00155439" w:rsidRPr="00C62DF2">
        <w:rPr>
          <w:rFonts w:ascii="Cambria" w:hAnsi="Cambria"/>
          <w:sz w:val="20"/>
          <w:szCs w:val="20"/>
        </w:rPr>
        <w:t>s, terminação</w:t>
      </w:r>
      <w:r w:rsidRPr="00C62DF2">
        <w:rPr>
          <w:rFonts w:ascii="Cambria" w:hAnsi="Cambria"/>
          <w:sz w:val="20"/>
          <w:szCs w:val="20"/>
        </w:rPr>
        <w:t xml:space="preserve"> sumá</w:t>
      </w:r>
      <w:r w:rsidR="00155439" w:rsidRPr="00C62DF2">
        <w:rPr>
          <w:rFonts w:ascii="Cambria" w:hAnsi="Cambria"/>
          <w:sz w:val="20"/>
          <w:szCs w:val="20"/>
        </w:rPr>
        <w:t>ria de mandatos, suspens</w:t>
      </w:r>
      <w:r w:rsidRPr="00C62DF2">
        <w:rPr>
          <w:rFonts w:ascii="Cambria" w:hAnsi="Cambria"/>
          <w:sz w:val="20"/>
          <w:szCs w:val="20"/>
        </w:rPr>
        <w:t>ão</w:t>
      </w:r>
      <w:r w:rsidR="00155439" w:rsidRPr="00C62DF2">
        <w:rPr>
          <w:rFonts w:ascii="Cambria" w:hAnsi="Cambria"/>
          <w:sz w:val="20"/>
          <w:szCs w:val="20"/>
        </w:rPr>
        <w:t xml:space="preserve"> de direitos políticos</w:t>
      </w:r>
      <w:r w:rsidR="00D71543" w:rsidRPr="00C62DF2">
        <w:rPr>
          <w:rFonts w:ascii="Cambria" w:hAnsi="Cambria"/>
          <w:sz w:val="20"/>
          <w:szCs w:val="20"/>
        </w:rPr>
        <w:t xml:space="preserve"> e</w:t>
      </w:r>
      <w:r w:rsidR="00155439" w:rsidRPr="00C62DF2">
        <w:rPr>
          <w:rFonts w:ascii="Cambria" w:hAnsi="Cambria"/>
          <w:sz w:val="20"/>
          <w:szCs w:val="20"/>
        </w:rPr>
        <w:t xml:space="preserve"> suspens</w:t>
      </w:r>
      <w:r w:rsidRPr="00C62DF2">
        <w:rPr>
          <w:rFonts w:ascii="Cambria" w:hAnsi="Cambria"/>
          <w:sz w:val="20"/>
          <w:szCs w:val="20"/>
        </w:rPr>
        <w:t>ão</w:t>
      </w:r>
      <w:r w:rsidR="00155439" w:rsidRPr="00C62DF2">
        <w:rPr>
          <w:rFonts w:ascii="Cambria" w:hAnsi="Cambria"/>
          <w:sz w:val="20"/>
          <w:szCs w:val="20"/>
        </w:rPr>
        <w:t xml:space="preserve"> dos direitos constitucionais </w:t>
      </w:r>
      <w:r w:rsidRPr="00C62DF2">
        <w:rPr>
          <w:rFonts w:ascii="Cambria" w:hAnsi="Cambria"/>
          <w:sz w:val="20"/>
          <w:szCs w:val="20"/>
        </w:rPr>
        <w:t>à</w:t>
      </w:r>
      <w:r w:rsidR="00155439" w:rsidRPr="00C62DF2">
        <w:rPr>
          <w:rFonts w:ascii="Cambria" w:hAnsi="Cambria"/>
          <w:sz w:val="20"/>
          <w:szCs w:val="20"/>
        </w:rPr>
        <w:t xml:space="preserve"> liberdade de expres</w:t>
      </w:r>
      <w:r w:rsidRPr="00C62DF2">
        <w:rPr>
          <w:rFonts w:ascii="Cambria" w:hAnsi="Cambria"/>
          <w:sz w:val="20"/>
          <w:szCs w:val="20"/>
        </w:rPr>
        <w:t>são</w:t>
      </w:r>
      <w:r w:rsidR="00155439" w:rsidRPr="00C62DF2">
        <w:rPr>
          <w:rFonts w:ascii="Cambria" w:hAnsi="Cambria"/>
          <w:sz w:val="20"/>
          <w:szCs w:val="20"/>
        </w:rPr>
        <w:t xml:space="preserve"> e de reuni</w:t>
      </w:r>
      <w:r w:rsidRPr="00C62DF2">
        <w:rPr>
          <w:rFonts w:ascii="Cambria" w:hAnsi="Cambria"/>
          <w:sz w:val="20"/>
          <w:szCs w:val="20"/>
        </w:rPr>
        <w:t>ã</w:t>
      </w:r>
      <w:r w:rsidR="00155439" w:rsidRPr="00C62DF2">
        <w:rPr>
          <w:rFonts w:ascii="Cambria" w:hAnsi="Cambria"/>
          <w:sz w:val="20"/>
          <w:szCs w:val="20"/>
        </w:rPr>
        <w:t>o</w:t>
      </w:r>
      <w:r w:rsidRPr="00C62DF2">
        <w:rPr>
          <w:rFonts w:ascii="Cambria" w:hAnsi="Cambria"/>
          <w:sz w:val="20"/>
          <w:szCs w:val="20"/>
        </w:rPr>
        <w:t xml:space="preserve">. </w:t>
      </w:r>
      <w:r w:rsidR="00D71543" w:rsidRPr="00C62DF2">
        <w:rPr>
          <w:rFonts w:ascii="Cambria" w:hAnsi="Cambria"/>
          <w:sz w:val="20"/>
          <w:szCs w:val="20"/>
        </w:rPr>
        <w:t>Al</w:t>
      </w:r>
      <w:r w:rsidRPr="00C62DF2">
        <w:rPr>
          <w:rFonts w:ascii="Cambria" w:hAnsi="Cambria"/>
          <w:sz w:val="20"/>
          <w:szCs w:val="20"/>
        </w:rPr>
        <w:t xml:space="preserve">ém </w:t>
      </w:r>
      <w:r w:rsidR="00D71543" w:rsidRPr="00C62DF2">
        <w:rPr>
          <w:rFonts w:ascii="Cambria" w:hAnsi="Cambria"/>
          <w:sz w:val="20"/>
          <w:szCs w:val="20"/>
        </w:rPr>
        <w:t xml:space="preserve">disso, </w:t>
      </w:r>
      <w:r w:rsidRPr="00C62DF2">
        <w:rPr>
          <w:rFonts w:ascii="Cambria" w:hAnsi="Cambria"/>
          <w:sz w:val="20"/>
          <w:szCs w:val="20"/>
        </w:rPr>
        <w:t>permiti</w:t>
      </w:r>
      <w:r w:rsidR="00D71543" w:rsidRPr="00C62DF2">
        <w:rPr>
          <w:rFonts w:ascii="Cambria" w:hAnsi="Cambria"/>
          <w:sz w:val="20"/>
          <w:szCs w:val="20"/>
        </w:rPr>
        <w:t>u-se</w:t>
      </w:r>
      <w:r w:rsidRPr="00C62DF2">
        <w:rPr>
          <w:rFonts w:ascii="Cambria" w:hAnsi="Cambria"/>
          <w:sz w:val="20"/>
          <w:szCs w:val="20"/>
        </w:rPr>
        <w:t xml:space="preserve"> a pro</w:t>
      </w:r>
      <w:r w:rsidR="00155439" w:rsidRPr="00C62DF2">
        <w:rPr>
          <w:rFonts w:ascii="Cambria" w:hAnsi="Cambria"/>
          <w:sz w:val="20"/>
          <w:szCs w:val="20"/>
        </w:rPr>
        <w:t>ibição</w:t>
      </w:r>
      <w:r w:rsidRPr="00C62DF2">
        <w:rPr>
          <w:rFonts w:ascii="Cambria" w:hAnsi="Cambria"/>
          <w:sz w:val="20"/>
          <w:szCs w:val="20"/>
        </w:rPr>
        <w:t xml:space="preserve"> do exercí</w:t>
      </w:r>
      <w:r w:rsidR="00155439" w:rsidRPr="00C62DF2">
        <w:rPr>
          <w:rFonts w:ascii="Cambria" w:hAnsi="Cambria"/>
          <w:sz w:val="20"/>
          <w:szCs w:val="20"/>
        </w:rPr>
        <w:t xml:space="preserve">cio </w:t>
      </w:r>
      <w:r w:rsidR="00E86492" w:rsidRPr="00C62DF2">
        <w:rPr>
          <w:rFonts w:ascii="Cambria" w:hAnsi="Cambria"/>
          <w:sz w:val="20"/>
          <w:szCs w:val="20"/>
        </w:rPr>
        <w:t>profis</w:t>
      </w:r>
      <w:r w:rsidR="00155439" w:rsidRPr="00C62DF2">
        <w:rPr>
          <w:rFonts w:ascii="Cambria" w:hAnsi="Cambria"/>
          <w:sz w:val="20"/>
          <w:szCs w:val="20"/>
        </w:rPr>
        <w:t>s</w:t>
      </w:r>
      <w:r w:rsidR="00E86492" w:rsidRPr="00C62DF2">
        <w:rPr>
          <w:rFonts w:ascii="Cambria" w:hAnsi="Cambria"/>
          <w:sz w:val="20"/>
          <w:szCs w:val="20"/>
        </w:rPr>
        <w:t>ional</w:t>
      </w:r>
      <w:r w:rsidR="00D71543" w:rsidRPr="00C62DF2">
        <w:rPr>
          <w:rFonts w:ascii="Cambria" w:hAnsi="Cambria"/>
          <w:sz w:val="20"/>
          <w:szCs w:val="20"/>
        </w:rPr>
        <w:t>,</w:t>
      </w:r>
      <w:r w:rsidR="00155439" w:rsidRPr="00C62DF2">
        <w:rPr>
          <w:rFonts w:ascii="Cambria" w:hAnsi="Cambria"/>
          <w:sz w:val="20"/>
          <w:szCs w:val="20"/>
        </w:rPr>
        <w:t xml:space="preserve"> </w:t>
      </w:r>
      <w:r w:rsidR="00D71543" w:rsidRPr="00C62DF2">
        <w:rPr>
          <w:rFonts w:ascii="Cambria" w:hAnsi="Cambria"/>
          <w:sz w:val="20"/>
          <w:szCs w:val="20"/>
        </w:rPr>
        <w:t>permitiu-s</w:t>
      </w:r>
      <w:r w:rsidR="00E86492" w:rsidRPr="00C62DF2">
        <w:rPr>
          <w:rFonts w:ascii="Cambria" w:hAnsi="Cambria"/>
          <w:sz w:val="20"/>
          <w:szCs w:val="20"/>
        </w:rPr>
        <w:t xml:space="preserve">e </w:t>
      </w:r>
      <w:r w:rsidR="000113DA" w:rsidRPr="00C62DF2">
        <w:rPr>
          <w:rFonts w:ascii="Cambria" w:hAnsi="Cambria"/>
          <w:sz w:val="20"/>
          <w:szCs w:val="20"/>
        </w:rPr>
        <w:t>o</w:t>
      </w:r>
      <w:r w:rsidR="00E86492" w:rsidRPr="00C62DF2">
        <w:rPr>
          <w:rFonts w:ascii="Cambria" w:hAnsi="Cambria"/>
          <w:sz w:val="20"/>
          <w:szCs w:val="20"/>
        </w:rPr>
        <w:t xml:space="preserve"> confisco de ben</w:t>
      </w:r>
      <w:r w:rsidR="00155439" w:rsidRPr="00C62DF2">
        <w:rPr>
          <w:rFonts w:ascii="Cambria" w:hAnsi="Cambria"/>
          <w:sz w:val="20"/>
          <w:szCs w:val="20"/>
        </w:rPr>
        <w:t>s e suspend</w:t>
      </w:r>
      <w:r w:rsidR="00E86492" w:rsidRPr="00C62DF2">
        <w:rPr>
          <w:rFonts w:ascii="Cambria" w:hAnsi="Cambria"/>
          <w:sz w:val="20"/>
          <w:szCs w:val="20"/>
        </w:rPr>
        <w:t>eu</w:t>
      </w:r>
      <w:r w:rsidR="00D71543" w:rsidRPr="00C62DF2">
        <w:rPr>
          <w:rFonts w:ascii="Cambria" w:hAnsi="Cambria"/>
          <w:sz w:val="20"/>
          <w:szCs w:val="20"/>
        </w:rPr>
        <w:t>-se</w:t>
      </w:r>
      <w:r w:rsidR="00E86492" w:rsidRPr="00C62DF2">
        <w:rPr>
          <w:rFonts w:ascii="Cambria" w:hAnsi="Cambria"/>
          <w:sz w:val="20"/>
          <w:szCs w:val="20"/>
        </w:rPr>
        <w:t xml:space="preserve"> a garantia do</w:t>
      </w:r>
      <w:r w:rsidR="00155439" w:rsidRPr="00C62DF2">
        <w:rPr>
          <w:rFonts w:ascii="Cambria" w:hAnsi="Cambria"/>
          <w:sz w:val="20"/>
          <w:szCs w:val="20"/>
        </w:rPr>
        <w:t xml:space="preserve"> </w:t>
      </w:r>
      <w:r w:rsidR="00155439" w:rsidRPr="00C62DF2">
        <w:rPr>
          <w:rFonts w:ascii="Cambria" w:hAnsi="Cambria"/>
          <w:i/>
          <w:sz w:val="20"/>
          <w:szCs w:val="20"/>
        </w:rPr>
        <w:t>habeas corpus</w:t>
      </w:r>
      <w:r w:rsidR="00E86492" w:rsidRPr="00C62DF2">
        <w:rPr>
          <w:rFonts w:ascii="Cambria" w:hAnsi="Cambria"/>
          <w:sz w:val="20"/>
          <w:szCs w:val="20"/>
        </w:rPr>
        <w:t xml:space="preserve"> em</w:t>
      </w:r>
      <w:r w:rsidR="00155439" w:rsidRPr="00C62DF2">
        <w:rPr>
          <w:rFonts w:ascii="Cambria" w:hAnsi="Cambria"/>
          <w:sz w:val="20"/>
          <w:szCs w:val="20"/>
        </w:rPr>
        <w:t xml:space="preserve"> casos de cr</w:t>
      </w:r>
      <w:r w:rsidR="00E86492" w:rsidRPr="00C62DF2">
        <w:rPr>
          <w:rFonts w:ascii="Cambria" w:hAnsi="Cambria"/>
          <w:sz w:val="20"/>
          <w:szCs w:val="20"/>
        </w:rPr>
        <w:t xml:space="preserve">imes políticos contra </w:t>
      </w:r>
      <w:r w:rsidR="00155439" w:rsidRPr="00C62DF2">
        <w:rPr>
          <w:rFonts w:ascii="Cambria" w:hAnsi="Cambria"/>
          <w:sz w:val="20"/>
          <w:szCs w:val="20"/>
        </w:rPr>
        <w:t>a segurança nacional</w:t>
      </w:r>
      <w:r w:rsidR="00155439" w:rsidRPr="00C62DF2">
        <w:rPr>
          <w:rStyle w:val="FootnoteReference"/>
          <w:rFonts w:ascii="Cambria" w:hAnsi="Cambria"/>
          <w:sz w:val="20"/>
          <w:szCs w:val="20"/>
        </w:rPr>
        <w:footnoteReference w:id="14"/>
      </w:r>
      <w:r w:rsidR="00155439" w:rsidRPr="00C62DF2">
        <w:rPr>
          <w:rFonts w:ascii="Cambria" w:hAnsi="Cambria"/>
          <w:sz w:val="20"/>
          <w:szCs w:val="20"/>
        </w:rPr>
        <w:t>.</w:t>
      </w:r>
    </w:p>
    <w:p w14:paraId="4F70AECA" w14:textId="77777777" w:rsidR="00155439" w:rsidRPr="00C62DF2" w:rsidRDefault="00155439" w:rsidP="00FC0CB6">
      <w:pPr>
        <w:pStyle w:val="ListParagraph"/>
        <w:ind w:firstLine="0"/>
        <w:rPr>
          <w:rStyle w:val="Emphasis"/>
          <w:i w:val="0"/>
          <w:sz w:val="20"/>
          <w:szCs w:val="20"/>
          <w:lang w:val="pt-BR"/>
        </w:rPr>
      </w:pPr>
    </w:p>
    <w:p w14:paraId="30EE61F6" w14:textId="69AD9251" w:rsidR="00155439" w:rsidRPr="00C62DF2" w:rsidRDefault="00E8649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Em março de 1970, durante o mandato do</w:t>
      </w:r>
      <w:r w:rsidR="00155439" w:rsidRPr="00C62DF2">
        <w:rPr>
          <w:rStyle w:val="Emphasis"/>
          <w:rFonts w:ascii="Cambria" w:hAnsi="Cambria"/>
          <w:i w:val="0"/>
          <w:iCs w:val="0"/>
          <w:sz w:val="20"/>
          <w:szCs w:val="20"/>
        </w:rPr>
        <w:t xml:space="preserve"> Presidente Médici,</w:t>
      </w:r>
      <w:r w:rsidRPr="00C62DF2">
        <w:rPr>
          <w:rStyle w:val="Emphasis"/>
          <w:rFonts w:ascii="Cambria" w:hAnsi="Cambria"/>
          <w:i w:val="0"/>
          <w:iCs w:val="0"/>
          <w:sz w:val="20"/>
          <w:szCs w:val="20"/>
        </w:rPr>
        <w:t xml:space="preserve"> o</w:t>
      </w:r>
      <w:r w:rsidR="00155439" w:rsidRPr="00C62DF2">
        <w:rPr>
          <w:rStyle w:val="Emphasis"/>
          <w:rFonts w:ascii="Cambria" w:hAnsi="Cambria"/>
          <w:i w:val="0"/>
          <w:iCs w:val="0"/>
          <w:sz w:val="20"/>
          <w:szCs w:val="20"/>
        </w:rPr>
        <w:t xml:space="preserve"> ent</w:t>
      </w:r>
      <w:r w:rsidRPr="00C62DF2">
        <w:rPr>
          <w:rStyle w:val="Emphasis"/>
          <w:rFonts w:ascii="Cambria" w:hAnsi="Cambria"/>
          <w:i w:val="0"/>
          <w:iCs w:val="0"/>
          <w:sz w:val="20"/>
          <w:szCs w:val="20"/>
        </w:rPr>
        <w:t>ão Ministro do Exército Ge</w:t>
      </w:r>
      <w:r w:rsidR="00D71543" w:rsidRPr="00C62DF2">
        <w:rPr>
          <w:rStyle w:val="Emphasis"/>
          <w:rFonts w:ascii="Cambria" w:hAnsi="Cambria"/>
          <w:i w:val="0"/>
          <w:iCs w:val="0"/>
          <w:sz w:val="20"/>
          <w:szCs w:val="20"/>
        </w:rPr>
        <w:t>ne</w:t>
      </w:r>
      <w:r w:rsidR="00155439" w:rsidRPr="00C62DF2">
        <w:rPr>
          <w:rStyle w:val="Emphasis"/>
          <w:rFonts w:ascii="Cambria" w:hAnsi="Cambria"/>
          <w:i w:val="0"/>
          <w:iCs w:val="0"/>
          <w:sz w:val="20"/>
          <w:szCs w:val="20"/>
        </w:rPr>
        <w:t>ral Geisel (</w:t>
      </w:r>
      <w:r w:rsidRPr="00C62DF2">
        <w:rPr>
          <w:rStyle w:val="Emphasis"/>
          <w:rFonts w:ascii="Cambria" w:hAnsi="Cambria"/>
          <w:i w:val="0"/>
          <w:iCs w:val="0"/>
          <w:sz w:val="20"/>
          <w:szCs w:val="20"/>
        </w:rPr>
        <w:t>depois</w:t>
      </w:r>
      <w:r w:rsidR="00155439" w:rsidRPr="00C62DF2">
        <w:rPr>
          <w:rStyle w:val="Emphasis"/>
          <w:rFonts w:ascii="Cambria" w:hAnsi="Cambria"/>
          <w:i w:val="0"/>
          <w:iCs w:val="0"/>
          <w:sz w:val="20"/>
          <w:szCs w:val="20"/>
        </w:rPr>
        <w:t xml:space="preserve"> Presidente da República) codificou</w:t>
      </w:r>
      <w:r w:rsidRPr="00C62DF2">
        <w:rPr>
          <w:rStyle w:val="Emphasis"/>
          <w:rFonts w:ascii="Cambria" w:hAnsi="Cambria"/>
          <w:i w:val="0"/>
          <w:iCs w:val="0"/>
          <w:sz w:val="20"/>
          <w:szCs w:val="20"/>
        </w:rPr>
        <w:t xml:space="preserve"> a atuação policial do Exército </w:t>
      </w:r>
      <w:r w:rsidR="00D71543" w:rsidRPr="00C62DF2">
        <w:rPr>
          <w:rStyle w:val="Emphasis"/>
          <w:rFonts w:ascii="Cambria" w:hAnsi="Cambria"/>
          <w:i w:val="0"/>
          <w:iCs w:val="0"/>
          <w:sz w:val="20"/>
          <w:szCs w:val="20"/>
        </w:rPr>
        <w:t>n</w:t>
      </w:r>
      <w:r w:rsidRPr="00C62DF2">
        <w:rPr>
          <w:rStyle w:val="Emphasis"/>
          <w:rFonts w:ascii="Cambria" w:hAnsi="Cambria"/>
          <w:i w:val="0"/>
          <w:iCs w:val="0"/>
          <w:sz w:val="20"/>
          <w:szCs w:val="20"/>
        </w:rPr>
        <w:t>um documento chamado “Dire</w:t>
      </w:r>
      <w:r w:rsidR="00155439" w:rsidRPr="00C62DF2">
        <w:rPr>
          <w:rStyle w:val="Emphasis"/>
          <w:rFonts w:ascii="Cambria" w:hAnsi="Cambria"/>
          <w:i w:val="0"/>
          <w:iCs w:val="0"/>
          <w:sz w:val="20"/>
          <w:szCs w:val="20"/>
        </w:rPr>
        <w:t>triz Presidencial de Segurança Interna”</w:t>
      </w:r>
      <w:r w:rsidRPr="00C62DF2">
        <w:rPr>
          <w:rStyle w:val="Emphasis"/>
          <w:rFonts w:ascii="Cambria" w:hAnsi="Cambria"/>
          <w:i w:val="0"/>
          <w:iCs w:val="0"/>
          <w:sz w:val="20"/>
          <w:szCs w:val="20"/>
        </w:rPr>
        <w:t>. Em julh</w:t>
      </w:r>
      <w:r w:rsidR="00155439" w:rsidRPr="00C62DF2">
        <w:rPr>
          <w:rStyle w:val="Emphasis"/>
          <w:rFonts w:ascii="Cambria" w:hAnsi="Cambria"/>
          <w:i w:val="0"/>
          <w:iCs w:val="0"/>
          <w:sz w:val="20"/>
          <w:szCs w:val="20"/>
        </w:rPr>
        <w:t>o de</w:t>
      </w:r>
      <w:r w:rsidRPr="00C62DF2">
        <w:rPr>
          <w:rStyle w:val="Emphasis"/>
          <w:rFonts w:ascii="Cambria" w:hAnsi="Cambria"/>
          <w:i w:val="0"/>
          <w:iCs w:val="0"/>
          <w:sz w:val="20"/>
          <w:szCs w:val="20"/>
        </w:rPr>
        <w:t xml:space="preserve"> 1970, o</w:t>
      </w:r>
      <w:r w:rsidR="00155439" w:rsidRPr="00C62DF2">
        <w:rPr>
          <w:rStyle w:val="Emphasis"/>
          <w:rFonts w:ascii="Cambria" w:hAnsi="Cambria"/>
          <w:i w:val="0"/>
          <w:iCs w:val="0"/>
          <w:sz w:val="20"/>
          <w:szCs w:val="20"/>
        </w:rPr>
        <w:t xml:space="preserve"> Ministro Geisel comunicou</w:t>
      </w:r>
      <w:r w:rsidRPr="00C62DF2">
        <w:rPr>
          <w:rStyle w:val="Emphasis"/>
          <w:rFonts w:ascii="Cambria" w:hAnsi="Cambria"/>
          <w:i w:val="0"/>
          <w:iCs w:val="0"/>
          <w:sz w:val="20"/>
          <w:szCs w:val="20"/>
        </w:rPr>
        <w:t xml:space="preserve"> a</w:t>
      </w:r>
      <w:r w:rsidR="00155439" w:rsidRPr="00C62DF2">
        <w:rPr>
          <w:rStyle w:val="Emphasis"/>
          <w:rFonts w:ascii="Cambria" w:hAnsi="Cambria"/>
          <w:i w:val="0"/>
          <w:iCs w:val="0"/>
          <w:sz w:val="20"/>
          <w:szCs w:val="20"/>
        </w:rPr>
        <w:t xml:space="preserve">os generais </w:t>
      </w:r>
      <w:r w:rsidRPr="00C62DF2">
        <w:rPr>
          <w:rStyle w:val="Emphasis"/>
          <w:rFonts w:ascii="Cambria" w:hAnsi="Cambria"/>
          <w:i w:val="0"/>
          <w:iCs w:val="0"/>
          <w:sz w:val="20"/>
          <w:szCs w:val="20"/>
        </w:rPr>
        <w:t>sob seu comando que, conforme as instruções do Presidente Médici, o Ex</w:t>
      </w:r>
      <w:r w:rsidR="00155439" w:rsidRPr="00C62DF2">
        <w:rPr>
          <w:rStyle w:val="Emphasis"/>
          <w:rFonts w:ascii="Cambria" w:hAnsi="Cambria"/>
          <w:i w:val="0"/>
          <w:iCs w:val="0"/>
          <w:sz w:val="20"/>
          <w:szCs w:val="20"/>
        </w:rPr>
        <w:t>ército a</w:t>
      </w:r>
      <w:r w:rsidRPr="00C62DF2">
        <w:rPr>
          <w:rStyle w:val="Emphasis"/>
          <w:rFonts w:ascii="Cambria" w:hAnsi="Cambria"/>
          <w:i w:val="0"/>
          <w:iCs w:val="0"/>
          <w:sz w:val="20"/>
          <w:szCs w:val="20"/>
        </w:rPr>
        <w:t>ssumiri</w:t>
      </w:r>
      <w:r w:rsidR="00155439" w:rsidRPr="00C62DF2">
        <w:rPr>
          <w:rStyle w:val="Emphasis"/>
          <w:rFonts w:ascii="Cambria" w:hAnsi="Cambria"/>
          <w:i w:val="0"/>
          <w:iCs w:val="0"/>
          <w:sz w:val="20"/>
          <w:szCs w:val="20"/>
        </w:rPr>
        <w:t xml:space="preserve">a </w:t>
      </w:r>
      <w:r w:rsidRPr="00C62DF2">
        <w:rPr>
          <w:rStyle w:val="Emphasis"/>
          <w:rFonts w:ascii="Cambria" w:hAnsi="Cambria"/>
          <w:i w:val="0"/>
          <w:iCs w:val="0"/>
          <w:sz w:val="20"/>
          <w:szCs w:val="20"/>
        </w:rPr>
        <w:t>o comando das a</w:t>
      </w:r>
      <w:r w:rsidR="00155439" w:rsidRPr="00C62DF2">
        <w:rPr>
          <w:rStyle w:val="Emphasis"/>
          <w:rFonts w:ascii="Cambria" w:hAnsi="Cambria"/>
          <w:i w:val="0"/>
          <w:iCs w:val="0"/>
          <w:sz w:val="20"/>
          <w:szCs w:val="20"/>
        </w:rPr>
        <w:t>t</w:t>
      </w:r>
      <w:r w:rsidRPr="00C62DF2">
        <w:rPr>
          <w:rStyle w:val="Emphasis"/>
          <w:rFonts w:ascii="Cambria" w:hAnsi="Cambria"/>
          <w:i w:val="0"/>
          <w:iCs w:val="0"/>
          <w:sz w:val="20"/>
          <w:szCs w:val="20"/>
        </w:rPr>
        <w:t>ividades de segurança e</w:t>
      </w:r>
      <w:r w:rsidR="00D71543"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portanto, prevaleceria sobre a Marinha e a Aeronáutica, assim</w:t>
      </w:r>
      <w:r w:rsidR="00155439" w:rsidRPr="00C62DF2">
        <w:rPr>
          <w:rStyle w:val="Emphasis"/>
          <w:rFonts w:ascii="Cambria" w:hAnsi="Cambria"/>
          <w:i w:val="0"/>
          <w:iCs w:val="0"/>
          <w:sz w:val="20"/>
          <w:szCs w:val="20"/>
        </w:rPr>
        <w:t xml:space="preserve"> como so</w:t>
      </w:r>
      <w:r w:rsidRPr="00C62DF2">
        <w:rPr>
          <w:rStyle w:val="Emphasis"/>
          <w:rFonts w:ascii="Cambria" w:hAnsi="Cambria"/>
          <w:i w:val="0"/>
          <w:iCs w:val="0"/>
          <w:sz w:val="20"/>
          <w:szCs w:val="20"/>
        </w:rPr>
        <w:t xml:space="preserve">bre </w:t>
      </w:r>
      <w:r w:rsidR="00155439" w:rsidRPr="00C62DF2">
        <w:rPr>
          <w:rStyle w:val="Emphasis"/>
          <w:rFonts w:ascii="Cambria" w:hAnsi="Cambria"/>
          <w:i w:val="0"/>
          <w:iCs w:val="0"/>
          <w:sz w:val="20"/>
          <w:szCs w:val="20"/>
        </w:rPr>
        <w:t>a administração civil de segurança. Do</w:t>
      </w:r>
      <w:r w:rsidRPr="00C62DF2">
        <w:rPr>
          <w:rStyle w:val="Emphasis"/>
          <w:rFonts w:ascii="Cambria" w:hAnsi="Cambria"/>
          <w:i w:val="0"/>
          <w:iCs w:val="0"/>
          <w:sz w:val="20"/>
          <w:szCs w:val="20"/>
        </w:rPr>
        <w:t>i</w:t>
      </w:r>
      <w:r w:rsidR="00155439" w:rsidRPr="00C62DF2">
        <w:rPr>
          <w:rStyle w:val="Emphasis"/>
          <w:rFonts w:ascii="Cambria" w:hAnsi="Cambria"/>
          <w:i w:val="0"/>
          <w:iCs w:val="0"/>
          <w:sz w:val="20"/>
          <w:szCs w:val="20"/>
        </w:rPr>
        <w:t>s meses de</w:t>
      </w:r>
      <w:r w:rsidRPr="00C62DF2">
        <w:rPr>
          <w:rStyle w:val="Emphasis"/>
          <w:rFonts w:ascii="Cambria" w:hAnsi="Cambria"/>
          <w:i w:val="0"/>
          <w:iCs w:val="0"/>
          <w:sz w:val="20"/>
          <w:szCs w:val="20"/>
        </w:rPr>
        <w:t>pois</w:t>
      </w:r>
      <w:r w:rsidR="00155439" w:rsidRPr="00C62DF2">
        <w:rPr>
          <w:rStyle w:val="Emphasis"/>
          <w:rFonts w:ascii="Cambria" w:hAnsi="Cambria"/>
          <w:i w:val="0"/>
          <w:iCs w:val="0"/>
          <w:sz w:val="20"/>
          <w:szCs w:val="20"/>
        </w:rPr>
        <w:t xml:space="preserve">, </w:t>
      </w:r>
      <w:r w:rsidRPr="00C62DF2">
        <w:rPr>
          <w:rStyle w:val="Emphasis"/>
          <w:rFonts w:ascii="Cambria" w:hAnsi="Cambria"/>
          <w:i w:val="0"/>
          <w:iCs w:val="0"/>
          <w:sz w:val="20"/>
          <w:szCs w:val="20"/>
        </w:rPr>
        <w:t>o Ministério do Exército cri</w:t>
      </w:r>
      <w:r w:rsidR="00155439" w:rsidRPr="00C62DF2">
        <w:rPr>
          <w:rStyle w:val="Emphasis"/>
          <w:rFonts w:ascii="Cambria" w:hAnsi="Cambria"/>
          <w:i w:val="0"/>
          <w:iCs w:val="0"/>
          <w:sz w:val="20"/>
          <w:szCs w:val="20"/>
        </w:rPr>
        <w:t>ou</w:t>
      </w:r>
      <w:r w:rsidRPr="00C62DF2">
        <w:rPr>
          <w:rStyle w:val="Emphasis"/>
          <w:rFonts w:ascii="Cambria" w:hAnsi="Cambria"/>
          <w:i w:val="0"/>
          <w:iCs w:val="0"/>
          <w:sz w:val="20"/>
          <w:szCs w:val="20"/>
        </w:rPr>
        <w:t xml:space="preserve"> </w:t>
      </w:r>
      <w:r w:rsidR="00155439" w:rsidRPr="00C62DF2">
        <w:rPr>
          <w:rStyle w:val="Emphasis"/>
          <w:rFonts w:ascii="Cambria" w:hAnsi="Cambria"/>
          <w:i w:val="0"/>
          <w:iCs w:val="0"/>
          <w:sz w:val="20"/>
          <w:szCs w:val="20"/>
        </w:rPr>
        <w:t xml:space="preserve">os Destacamentos de Operações de </w:t>
      </w:r>
      <w:r w:rsidR="00155439" w:rsidRPr="00C62DF2">
        <w:rPr>
          <w:rFonts w:ascii="Cambria" w:eastAsia="Calibri" w:hAnsi="Cambria" w:cs="AGaramondPro-Regular"/>
          <w:sz w:val="20"/>
          <w:szCs w:val="20"/>
        </w:rPr>
        <w:t>Informações</w:t>
      </w:r>
      <w:r w:rsidRPr="00C62DF2">
        <w:rPr>
          <w:rFonts w:ascii="Cambria" w:eastAsia="Calibri" w:hAnsi="Cambria" w:cs="AGaramondPro-Regular"/>
          <w:sz w:val="20"/>
          <w:szCs w:val="20"/>
        </w:rPr>
        <w:t xml:space="preserve"> </w:t>
      </w:r>
      <w:r w:rsidR="00A40692" w:rsidRPr="00C62DF2">
        <w:rPr>
          <w:rFonts w:ascii="Cambria" w:eastAsia="Calibri" w:hAnsi="Cambria" w:cs="AGaramondPro-Regular"/>
          <w:sz w:val="20"/>
          <w:szCs w:val="20"/>
        </w:rPr>
        <w:t>–</w:t>
      </w:r>
      <w:r w:rsidR="00155439" w:rsidRPr="00C62DF2">
        <w:rPr>
          <w:rFonts w:ascii="Cambria" w:eastAsia="Calibri" w:hAnsi="Cambria" w:cs="AGaramondPro-Regular"/>
          <w:sz w:val="20"/>
          <w:szCs w:val="20"/>
        </w:rPr>
        <w:t xml:space="preserve"> </w:t>
      </w:r>
      <w:r w:rsidR="00A40692" w:rsidRPr="00C62DF2">
        <w:rPr>
          <w:rFonts w:ascii="Cambria" w:eastAsia="Calibri" w:hAnsi="Cambria" w:cs="AGaramondPro-Regular"/>
          <w:sz w:val="20"/>
          <w:szCs w:val="20"/>
        </w:rPr>
        <w:t>“</w:t>
      </w:r>
      <w:r w:rsidR="00155439" w:rsidRPr="00C62DF2">
        <w:rPr>
          <w:rFonts w:ascii="Cambria" w:eastAsia="Calibri" w:hAnsi="Cambria" w:cs="AGaramondPro-Regular"/>
          <w:sz w:val="20"/>
          <w:szCs w:val="20"/>
        </w:rPr>
        <w:t xml:space="preserve">DOI”. </w:t>
      </w:r>
      <w:r w:rsidRPr="00C62DF2">
        <w:rPr>
          <w:rStyle w:val="Emphasis"/>
          <w:rFonts w:ascii="Cambria" w:hAnsi="Cambria"/>
          <w:i w:val="0"/>
          <w:iCs w:val="0"/>
          <w:sz w:val="20"/>
          <w:szCs w:val="20"/>
        </w:rPr>
        <w:t>Apesar da primazia do Ex</w:t>
      </w:r>
      <w:r w:rsidR="00155439" w:rsidRPr="00C62DF2">
        <w:rPr>
          <w:rStyle w:val="Emphasis"/>
          <w:rFonts w:ascii="Cambria" w:hAnsi="Cambria"/>
          <w:i w:val="0"/>
          <w:iCs w:val="0"/>
          <w:sz w:val="20"/>
          <w:szCs w:val="20"/>
        </w:rPr>
        <w:t>ército, tamb</w:t>
      </w:r>
      <w:r w:rsidRPr="00C62DF2">
        <w:rPr>
          <w:rStyle w:val="Emphasis"/>
          <w:rFonts w:ascii="Cambria" w:hAnsi="Cambria"/>
          <w:i w:val="0"/>
          <w:iCs w:val="0"/>
          <w:sz w:val="20"/>
          <w:szCs w:val="20"/>
        </w:rPr>
        <w:t xml:space="preserve">ém foi criado um </w:t>
      </w:r>
      <w:r w:rsidR="00155439" w:rsidRPr="00C62DF2">
        <w:rPr>
          <w:rStyle w:val="Emphasis"/>
          <w:rFonts w:ascii="Cambria" w:hAnsi="Cambria"/>
          <w:i w:val="0"/>
          <w:iCs w:val="0"/>
          <w:sz w:val="20"/>
          <w:szCs w:val="20"/>
        </w:rPr>
        <w:t>organismo col</w:t>
      </w:r>
      <w:r w:rsidRPr="00C62DF2">
        <w:rPr>
          <w:rStyle w:val="Emphasis"/>
          <w:rFonts w:ascii="Cambria" w:hAnsi="Cambria"/>
          <w:i w:val="0"/>
          <w:iCs w:val="0"/>
          <w:sz w:val="20"/>
          <w:szCs w:val="20"/>
        </w:rPr>
        <w:t>egiado a fim de garantir a participação das três Forças Armadas, o Centro de Operações de Defe</w:t>
      </w:r>
      <w:r w:rsidR="00155439" w:rsidRPr="00C62DF2">
        <w:rPr>
          <w:rStyle w:val="Emphasis"/>
          <w:rFonts w:ascii="Cambria" w:hAnsi="Cambria"/>
          <w:i w:val="0"/>
          <w:iCs w:val="0"/>
          <w:sz w:val="20"/>
          <w:szCs w:val="20"/>
        </w:rPr>
        <w:t xml:space="preserve">sa Interna </w:t>
      </w:r>
      <w:r w:rsidR="00A40692" w:rsidRPr="00C62DF2">
        <w:rPr>
          <w:rFonts w:ascii="Cambria" w:eastAsia="Calibri" w:hAnsi="Cambria" w:cs="AGaramondPro-Regular"/>
          <w:sz w:val="20"/>
          <w:szCs w:val="20"/>
        </w:rPr>
        <w:t>–</w:t>
      </w:r>
      <w:r w:rsidR="00177FC1" w:rsidRPr="00C62DF2">
        <w:rPr>
          <w:rFonts w:ascii="Cambria" w:eastAsia="Calibri" w:hAnsi="Cambria" w:cs="AGaramondPro-Regular"/>
          <w:sz w:val="20"/>
          <w:szCs w:val="20"/>
        </w:rPr>
        <w:t xml:space="preserve"> </w:t>
      </w:r>
      <w:r w:rsidR="00A40692" w:rsidRPr="00C62DF2">
        <w:rPr>
          <w:rFonts w:ascii="Cambria" w:eastAsia="Calibri" w:hAnsi="Cambria" w:cs="AGaramondPro-Regular"/>
          <w:sz w:val="20"/>
          <w:szCs w:val="20"/>
        </w:rPr>
        <w:t>“</w:t>
      </w:r>
      <w:r w:rsidR="00155439" w:rsidRPr="00C62DF2">
        <w:rPr>
          <w:rFonts w:ascii="Cambria" w:eastAsia="Calibri" w:hAnsi="Cambria" w:cs="AGaramondPro-Regular"/>
          <w:sz w:val="20"/>
          <w:szCs w:val="20"/>
        </w:rPr>
        <w:t>CODI”</w:t>
      </w:r>
      <w:r w:rsidR="00155439" w:rsidRPr="00C62DF2">
        <w:rPr>
          <w:rStyle w:val="Emphasis"/>
          <w:rFonts w:ascii="Cambria" w:hAnsi="Cambria"/>
          <w:i w:val="0"/>
          <w:iCs w:val="0"/>
          <w:sz w:val="20"/>
          <w:szCs w:val="20"/>
        </w:rPr>
        <w:t>.</w:t>
      </w:r>
      <w:r w:rsidR="00155439" w:rsidRPr="00C62DF2">
        <w:rPr>
          <w:rStyle w:val="FootnoteReference"/>
          <w:rFonts w:ascii="Cambria" w:hAnsi="Cambria"/>
          <w:sz w:val="20"/>
          <w:szCs w:val="20"/>
        </w:rPr>
        <w:footnoteReference w:id="15"/>
      </w:r>
    </w:p>
    <w:p w14:paraId="4430E765" w14:textId="77777777" w:rsidR="00155439" w:rsidRPr="00C62DF2" w:rsidRDefault="00155439" w:rsidP="00FC0CB6">
      <w:pPr>
        <w:pStyle w:val="ListParagraph"/>
        <w:ind w:firstLine="0"/>
        <w:rPr>
          <w:rStyle w:val="Emphasis"/>
          <w:i w:val="0"/>
          <w:iCs w:val="0"/>
          <w:sz w:val="20"/>
          <w:szCs w:val="20"/>
          <w:lang w:val="pt-BR"/>
        </w:rPr>
      </w:pPr>
    </w:p>
    <w:p w14:paraId="2329DD0B" w14:textId="45A0A3C5" w:rsidR="00155439" w:rsidRPr="00C62DF2" w:rsidRDefault="00E8649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 xml:space="preserve">De acordo com </w:t>
      </w:r>
      <w:r w:rsidR="00155439" w:rsidRPr="00C62DF2">
        <w:rPr>
          <w:rStyle w:val="Emphasis"/>
          <w:rFonts w:ascii="Cambria" w:hAnsi="Cambria"/>
          <w:i w:val="0"/>
          <w:iCs w:val="0"/>
          <w:sz w:val="20"/>
          <w:szCs w:val="20"/>
        </w:rPr>
        <w:t>o estab</w:t>
      </w:r>
      <w:r w:rsidRPr="00C62DF2">
        <w:rPr>
          <w:rStyle w:val="Emphasis"/>
          <w:rFonts w:ascii="Cambria" w:hAnsi="Cambria"/>
          <w:i w:val="0"/>
          <w:iCs w:val="0"/>
          <w:sz w:val="20"/>
          <w:szCs w:val="20"/>
        </w:rPr>
        <w:t>elecido pela CNV, em ja</w:t>
      </w:r>
      <w:r w:rsidR="00155439" w:rsidRPr="00C62DF2">
        <w:rPr>
          <w:rStyle w:val="Emphasis"/>
          <w:rFonts w:ascii="Cambria" w:hAnsi="Cambria"/>
          <w:i w:val="0"/>
          <w:iCs w:val="0"/>
          <w:sz w:val="20"/>
          <w:szCs w:val="20"/>
        </w:rPr>
        <w:t>ne</w:t>
      </w:r>
      <w:r w:rsidRPr="00C62DF2">
        <w:rPr>
          <w:rStyle w:val="Emphasis"/>
          <w:rFonts w:ascii="Cambria" w:hAnsi="Cambria"/>
          <w:i w:val="0"/>
          <w:iCs w:val="0"/>
          <w:sz w:val="20"/>
          <w:szCs w:val="20"/>
        </w:rPr>
        <w:t xml:space="preserve">iro de 1970, </w:t>
      </w:r>
      <w:r w:rsidR="00155439" w:rsidRPr="00C62DF2">
        <w:rPr>
          <w:rStyle w:val="Emphasis"/>
          <w:rFonts w:ascii="Cambria" w:hAnsi="Cambria"/>
          <w:i w:val="0"/>
          <w:iCs w:val="0"/>
          <w:sz w:val="20"/>
          <w:szCs w:val="20"/>
        </w:rPr>
        <w:t xml:space="preserve">os </w:t>
      </w:r>
      <w:r w:rsidR="00155439" w:rsidRPr="00C62DF2">
        <w:rPr>
          <w:rFonts w:ascii="Cambria" w:eastAsia="Calibri" w:hAnsi="Cambria" w:cs="AGaramondPro-Regular"/>
          <w:sz w:val="20"/>
          <w:szCs w:val="20"/>
        </w:rPr>
        <w:t xml:space="preserve">DOI-CODI </w:t>
      </w:r>
      <w:r w:rsidRPr="00C62DF2">
        <w:rPr>
          <w:rFonts w:ascii="Cambria" w:eastAsia="Calibri" w:hAnsi="Cambria" w:cs="AGaramondPro-Regular"/>
          <w:sz w:val="20"/>
          <w:szCs w:val="20"/>
        </w:rPr>
        <w:t>haviam sido i</w:t>
      </w:r>
      <w:r w:rsidR="00155439" w:rsidRPr="00C62DF2">
        <w:rPr>
          <w:rFonts w:ascii="Cambria" w:eastAsia="Calibri" w:hAnsi="Cambria" w:cs="AGaramondPro-Regular"/>
          <w:sz w:val="20"/>
          <w:szCs w:val="20"/>
        </w:rPr>
        <w:t>nstalado</w:t>
      </w:r>
      <w:r w:rsidRPr="00C62DF2">
        <w:rPr>
          <w:rFonts w:ascii="Cambria" w:eastAsia="Calibri" w:hAnsi="Cambria" w:cs="AGaramondPro-Regular"/>
          <w:sz w:val="20"/>
          <w:szCs w:val="20"/>
        </w:rPr>
        <w:t>s</w:t>
      </w:r>
      <w:r w:rsidR="00155439" w:rsidRPr="00C62DF2">
        <w:rPr>
          <w:rFonts w:ascii="Cambria" w:eastAsia="Calibri" w:hAnsi="Cambria" w:cs="AGaramondPro-Regular"/>
          <w:sz w:val="20"/>
          <w:szCs w:val="20"/>
        </w:rPr>
        <w:t xml:space="preserve"> </w:t>
      </w:r>
      <w:r w:rsidR="00155439" w:rsidRPr="00C62DF2">
        <w:rPr>
          <w:rStyle w:val="Emphasis"/>
          <w:rFonts w:ascii="Cambria" w:hAnsi="Cambria"/>
          <w:i w:val="0"/>
          <w:iCs w:val="0"/>
          <w:sz w:val="20"/>
          <w:szCs w:val="20"/>
        </w:rPr>
        <w:t>e</w:t>
      </w:r>
      <w:r w:rsidRPr="00C62DF2">
        <w:rPr>
          <w:rStyle w:val="Emphasis"/>
          <w:rFonts w:ascii="Cambria" w:hAnsi="Cambria"/>
          <w:i w:val="0"/>
          <w:iCs w:val="0"/>
          <w:sz w:val="20"/>
          <w:szCs w:val="20"/>
        </w:rPr>
        <w:t>m várias capitais do</w:t>
      </w:r>
      <w:r w:rsidR="00155439" w:rsidRPr="00C62DF2">
        <w:rPr>
          <w:rStyle w:val="Emphasis"/>
          <w:rFonts w:ascii="Cambria" w:hAnsi="Cambria"/>
          <w:i w:val="0"/>
          <w:iCs w:val="0"/>
          <w:sz w:val="20"/>
          <w:szCs w:val="20"/>
        </w:rPr>
        <w:t xml:space="preserve"> país</w:t>
      </w:r>
      <w:r w:rsidR="00155439" w:rsidRPr="00C62DF2">
        <w:rPr>
          <w:rStyle w:val="FootnoteReference"/>
          <w:rFonts w:ascii="Cambria" w:eastAsia="Calibri" w:hAnsi="Cambria" w:cs="AGaramondPro-Regular"/>
          <w:sz w:val="20"/>
          <w:szCs w:val="20"/>
        </w:rPr>
        <w:footnoteReference w:id="16"/>
      </w:r>
      <w:r w:rsidRPr="00C62DF2">
        <w:rPr>
          <w:rFonts w:ascii="Cambria" w:eastAsia="Calibri" w:hAnsi="Cambria" w:cs="AGaramondPro-Regular"/>
          <w:sz w:val="20"/>
          <w:szCs w:val="20"/>
        </w:rPr>
        <w:t>, como “unidades de inteligências, especializadas em operações e subordinadas aos comandantes de cada forç</w:t>
      </w:r>
      <w:r w:rsidR="00155439" w:rsidRPr="00C62DF2">
        <w:rPr>
          <w:rFonts w:ascii="Cambria" w:eastAsia="Calibri" w:hAnsi="Cambria" w:cs="AGaramondPro-Regular"/>
          <w:sz w:val="20"/>
          <w:szCs w:val="20"/>
        </w:rPr>
        <w:t>a”</w:t>
      </w:r>
      <w:r w:rsidR="00155439" w:rsidRPr="00C62DF2">
        <w:rPr>
          <w:rStyle w:val="FootnoteReference"/>
          <w:rFonts w:ascii="Cambria" w:eastAsia="Calibri" w:hAnsi="Cambria" w:cs="AGaramondPro-Regular"/>
          <w:sz w:val="20"/>
          <w:szCs w:val="20"/>
        </w:rPr>
        <w:footnoteReference w:id="17"/>
      </w:r>
      <w:r w:rsidR="00155439" w:rsidRPr="00C62DF2">
        <w:rPr>
          <w:rFonts w:ascii="Cambria" w:eastAsia="Calibri" w:hAnsi="Cambria" w:cs="AGaramondPro-Regular"/>
          <w:sz w:val="20"/>
          <w:szCs w:val="20"/>
        </w:rPr>
        <w:t>.</w:t>
      </w:r>
      <w:r w:rsidR="00155439" w:rsidRPr="00C62DF2">
        <w:rPr>
          <w:rStyle w:val="Emphasis"/>
          <w:rFonts w:ascii="Cambria" w:hAnsi="Cambria"/>
          <w:i w:val="0"/>
          <w:iCs w:val="0"/>
          <w:sz w:val="20"/>
          <w:szCs w:val="20"/>
        </w:rPr>
        <w:t xml:space="preserve"> </w:t>
      </w:r>
      <w:r w:rsidRPr="00C62DF2">
        <w:rPr>
          <w:rFonts w:ascii="Cambria" w:hAnsi="Cambria"/>
          <w:sz w:val="20"/>
          <w:szCs w:val="20"/>
        </w:rPr>
        <w:t>A</w:t>
      </w:r>
      <w:r w:rsidR="00155439" w:rsidRPr="00C62DF2">
        <w:rPr>
          <w:rFonts w:ascii="Cambria" w:hAnsi="Cambria"/>
          <w:sz w:val="20"/>
          <w:szCs w:val="20"/>
        </w:rPr>
        <w:t xml:space="preserve"> </w:t>
      </w:r>
      <w:r w:rsidR="00155439" w:rsidRPr="00C62DF2">
        <w:rPr>
          <w:rStyle w:val="Emphasis"/>
          <w:rFonts w:ascii="Cambria" w:hAnsi="Cambria" w:cs="Arial"/>
          <w:i w:val="0"/>
          <w:iCs w:val="0"/>
          <w:sz w:val="20"/>
          <w:szCs w:val="20"/>
        </w:rPr>
        <w:t>CEMDP conclu</w:t>
      </w:r>
      <w:r w:rsidRPr="00C62DF2">
        <w:rPr>
          <w:rStyle w:val="Emphasis"/>
          <w:rFonts w:ascii="Cambria" w:hAnsi="Cambria" w:cs="Arial"/>
          <w:i w:val="0"/>
          <w:iCs w:val="0"/>
          <w:sz w:val="20"/>
          <w:szCs w:val="20"/>
        </w:rPr>
        <w:t>iu que “</w:t>
      </w:r>
      <w:r w:rsidR="00A40692" w:rsidRPr="00C62DF2">
        <w:rPr>
          <w:rStyle w:val="Emphasis"/>
          <w:rFonts w:ascii="Cambria" w:hAnsi="Cambria" w:cs="Arial"/>
          <w:i w:val="0"/>
          <w:iCs w:val="0"/>
          <w:sz w:val="20"/>
          <w:szCs w:val="20"/>
        </w:rPr>
        <w:t>dirigido</w:t>
      </w:r>
      <w:r w:rsidRPr="00C62DF2">
        <w:rPr>
          <w:rStyle w:val="Emphasis"/>
          <w:rFonts w:ascii="Cambria" w:hAnsi="Cambria" w:cs="Arial"/>
          <w:i w:val="0"/>
          <w:iCs w:val="0"/>
          <w:sz w:val="20"/>
          <w:szCs w:val="20"/>
        </w:rPr>
        <w:t xml:space="preserve"> por um alto oficial do Exército, o</w:t>
      </w:r>
      <w:r w:rsidR="00155439" w:rsidRPr="00C62DF2">
        <w:rPr>
          <w:rStyle w:val="Emphasis"/>
          <w:rFonts w:ascii="Cambria" w:hAnsi="Cambria" w:cs="Arial"/>
          <w:i w:val="0"/>
          <w:iCs w:val="0"/>
          <w:sz w:val="20"/>
          <w:szCs w:val="20"/>
        </w:rPr>
        <w:t xml:space="preserve"> DOI-CODI as</w:t>
      </w:r>
      <w:r w:rsidRPr="00C62DF2">
        <w:rPr>
          <w:rStyle w:val="Emphasis"/>
          <w:rFonts w:ascii="Cambria" w:hAnsi="Cambria" w:cs="Arial"/>
          <w:i w:val="0"/>
          <w:iCs w:val="0"/>
          <w:sz w:val="20"/>
          <w:szCs w:val="20"/>
        </w:rPr>
        <w:t>s</w:t>
      </w:r>
      <w:r w:rsidR="00155439" w:rsidRPr="00C62DF2">
        <w:rPr>
          <w:rStyle w:val="Emphasis"/>
          <w:rFonts w:ascii="Cambria" w:hAnsi="Cambria" w:cs="Arial"/>
          <w:i w:val="0"/>
          <w:iCs w:val="0"/>
          <w:sz w:val="20"/>
          <w:szCs w:val="20"/>
        </w:rPr>
        <w:t>umiu</w:t>
      </w:r>
      <w:r w:rsidRPr="00C62DF2">
        <w:rPr>
          <w:rStyle w:val="Emphasis"/>
          <w:rFonts w:ascii="Cambria" w:hAnsi="Cambria" w:cs="Arial"/>
          <w:i w:val="0"/>
          <w:iCs w:val="0"/>
          <w:sz w:val="20"/>
          <w:szCs w:val="20"/>
        </w:rPr>
        <w:t xml:space="preserve"> o</w:t>
      </w:r>
      <w:r w:rsidR="00155439" w:rsidRPr="00C62DF2">
        <w:rPr>
          <w:rStyle w:val="Emphasis"/>
          <w:rFonts w:ascii="Cambria" w:hAnsi="Cambria" w:cs="Arial"/>
          <w:i w:val="0"/>
          <w:iCs w:val="0"/>
          <w:sz w:val="20"/>
          <w:szCs w:val="20"/>
        </w:rPr>
        <w:t xml:space="preserve"> prime</w:t>
      </w:r>
      <w:r w:rsidRPr="00C62DF2">
        <w:rPr>
          <w:rStyle w:val="Emphasis"/>
          <w:rFonts w:ascii="Cambria" w:hAnsi="Cambria" w:cs="Arial"/>
          <w:i w:val="0"/>
          <w:iCs w:val="0"/>
          <w:sz w:val="20"/>
          <w:szCs w:val="20"/>
        </w:rPr>
        <w:t>i</w:t>
      </w:r>
      <w:r w:rsidR="00155439" w:rsidRPr="00C62DF2">
        <w:rPr>
          <w:rStyle w:val="Emphasis"/>
          <w:rFonts w:ascii="Cambria" w:hAnsi="Cambria" w:cs="Arial"/>
          <w:i w:val="0"/>
          <w:iCs w:val="0"/>
          <w:sz w:val="20"/>
          <w:szCs w:val="20"/>
        </w:rPr>
        <w:t>r</w:t>
      </w:r>
      <w:r w:rsidRPr="00C62DF2">
        <w:rPr>
          <w:rStyle w:val="Emphasis"/>
          <w:rFonts w:ascii="Cambria" w:hAnsi="Cambria" w:cs="Arial"/>
          <w:i w:val="0"/>
          <w:iCs w:val="0"/>
          <w:sz w:val="20"/>
          <w:szCs w:val="20"/>
        </w:rPr>
        <w:t xml:space="preserve">o </w:t>
      </w:r>
      <w:r w:rsidR="002A3A75" w:rsidRPr="00C62DF2">
        <w:rPr>
          <w:rStyle w:val="Emphasis"/>
          <w:rFonts w:ascii="Cambria" w:hAnsi="Cambria" w:cs="Arial"/>
          <w:i w:val="0"/>
          <w:iCs w:val="0"/>
          <w:sz w:val="20"/>
          <w:szCs w:val="20"/>
        </w:rPr>
        <w:t>lugar</w:t>
      </w:r>
      <w:r w:rsidRPr="00C62DF2">
        <w:rPr>
          <w:rStyle w:val="Emphasis"/>
          <w:rFonts w:ascii="Cambria" w:hAnsi="Cambria" w:cs="Arial"/>
          <w:i w:val="0"/>
          <w:iCs w:val="0"/>
          <w:sz w:val="20"/>
          <w:szCs w:val="20"/>
        </w:rPr>
        <w:t xml:space="preserve"> na</w:t>
      </w:r>
      <w:r w:rsidR="00155439" w:rsidRPr="00C62DF2">
        <w:rPr>
          <w:rStyle w:val="Emphasis"/>
          <w:rFonts w:ascii="Cambria" w:hAnsi="Cambria" w:cs="Arial"/>
          <w:i w:val="0"/>
          <w:iCs w:val="0"/>
          <w:sz w:val="20"/>
          <w:szCs w:val="20"/>
        </w:rPr>
        <w:t xml:space="preserve"> repres</w:t>
      </w:r>
      <w:r w:rsidRPr="00C62DF2">
        <w:rPr>
          <w:rStyle w:val="Emphasis"/>
          <w:rFonts w:ascii="Cambria" w:hAnsi="Cambria" w:cs="Arial"/>
          <w:i w:val="0"/>
          <w:iCs w:val="0"/>
          <w:sz w:val="20"/>
          <w:szCs w:val="20"/>
        </w:rPr>
        <w:t>sã</w:t>
      </w:r>
      <w:r w:rsidR="00155439" w:rsidRPr="00C62DF2">
        <w:rPr>
          <w:rStyle w:val="Emphasis"/>
          <w:rFonts w:ascii="Cambria" w:hAnsi="Cambria" w:cs="Arial"/>
          <w:i w:val="0"/>
          <w:iCs w:val="0"/>
          <w:sz w:val="20"/>
          <w:szCs w:val="20"/>
        </w:rPr>
        <w:t>o política no país”</w:t>
      </w:r>
      <w:r w:rsidR="00155439" w:rsidRPr="00C62DF2">
        <w:rPr>
          <w:rStyle w:val="FootnoteReference"/>
          <w:rFonts w:ascii="Cambria" w:hAnsi="Cambria" w:cs="Arial"/>
          <w:bCs/>
          <w:i/>
          <w:iCs/>
          <w:sz w:val="20"/>
          <w:szCs w:val="20"/>
        </w:rPr>
        <w:footnoteReference w:id="18"/>
      </w:r>
      <w:r w:rsidRPr="00C62DF2">
        <w:rPr>
          <w:rStyle w:val="Emphasis"/>
          <w:rFonts w:ascii="Cambria" w:hAnsi="Cambria" w:cs="Arial"/>
          <w:i w:val="0"/>
          <w:iCs w:val="0"/>
          <w:sz w:val="20"/>
          <w:szCs w:val="20"/>
        </w:rPr>
        <w:t>. A</w:t>
      </w:r>
      <w:r w:rsidR="00155439" w:rsidRPr="00C62DF2">
        <w:rPr>
          <w:rStyle w:val="Emphasis"/>
          <w:rFonts w:ascii="Cambria" w:hAnsi="Cambria" w:cs="Arial"/>
          <w:i w:val="0"/>
          <w:iCs w:val="0"/>
          <w:sz w:val="20"/>
          <w:szCs w:val="20"/>
        </w:rPr>
        <w:t xml:space="preserve"> CEMDP destacou que s</w:t>
      </w:r>
      <w:r w:rsidRPr="00C62DF2">
        <w:rPr>
          <w:rStyle w:val="Emphasis"/>
          <w:rFonts w:ascii="Cambria" w:hAnsi="Cambria" w:cs="Arial"/>
          <w:i w:val="0"/>
          <w:iCs w:val="0"/>
          <w:sz w:val="20"/>
          <w:szCs w:val="20"/>
        </w:rPr>
        <w:t>ó o DOI-CODI do II Ex</w:t>
      </w:r>
      <w:r w:rsidR="00155439" w:rsidRPr="00C62DF2">
        <w:rPr>
          <w:rStyle w:val="Emphasis"/>
          <w:rFonts w:ascii="Cambria" w:hAnsi="Cambria" w:cs="Arial"/>
          <w:i w:val="0"/>
          <w:iCs w:val="0"/>
          <w:sz w:val="20"/>
          <w:szCs w:val="20"/>
        </w:rPr>
        <w:t>ército, no estado de S</w:t>
      </w:r>
      <w:r w:rsidR="00155439" w:rsidRPr="00C62DF2">
        <w:rPr>
          <w:rFonts w:ascii="Cambria" w:hAnsi="Cambria"/>
          <w:i/>
          <w:iCs/>
          <w:sz w:val="20"/>
          <w:szCs w:val="20"/>
        </w:rPr>
        <w:t>ão</w:t>
      </w:r>
      <w:r w:rsidRPr="00C62DF2">
        <w:rPr>
          <w:rStyle w:val="Emphasis"/>
          <w:rFonts w:ascii="Cambria" w:hAnsi="Cambria" w:cs="Arial"/>
          <w:i w:val="0"/>
          <w:iCs w:val="0"/>
          <w:sz w:val="20"/>
          <w:szCs w:val="20"/>
        </w:rPr>
        <w:t xml:space="preserve"> Paulo, havi</w:t>
      </w:r>
      <w:r w:rsidR="00155439" w:rsidRPr="00C62DF2">
        <w:rPr>
          <w:rStyle w:val="Emphasis"/>
          <w:rFonts w:ascii="Cambria" w:hAnsi="Cambria" w:cs="Arial"/>
          <w:i w:val="0"/>
          <w:iCs w:val="0"/>
          <w:sz w:val="20"/>
          <w:szCs w:val="20"/>
        </w:rPr>
        <w:t>a sido respons</w:t>
      </w:r>
      <w:r w:rsidRPr="00C62DF2">
        <w:rPr>
          <w:rStyle w:val="Emphasis"/>
          <w:rFonts w:ascii="Cambria" w:hAnsi="Cambria" w:cs="Arial"/>
          <w:i w:val="0"/>
          <w:iCs w:val="0"/>
          <w:sz w:val="20"/>
          <w:szCs w:val="20"/>
        </w:rPr>
        <w:t>ável</w:t>
      </w:r>
      <w:r w:rsidR="00155439" w:rsidRPr="00C62DF2">
        <w:rPr>
          <w:rStyle w:val="Emphasis"/>
          <w:rFonts w:ascii="Cambria" w:hAnsi="Cambria" w:cs="Arial"/>
          <w:i w:val="0"/>
          <w:iCs w:val="0"/>
          <w:sz w:val="20"/>
          <w:szCs w:val="20"/>
        </w:rPr>
        <w:t xml:space="preserve"> p</w:t>
      </w:r>
      <w:r w:rsidRPr="00C62DF2">
        <w:rPr>
          <w:rStyle w:val="Emphasis"/>
          <w:rFonts w:ascii="Cambria" w:hAnsi="Cambria" w:cs="Arial"/>
          <w:i w:val="0"/>
          <w:iCs w:val="0"/>
          <w:sz w:val="20"/>
          <w:szCs w:val="20"/>
        </w:rPr>
        <w:t>elo menos por mais de 6.000 detenções e ao</w:t>
      </w:r>
      <w:r w:rsidR="00155439" w:rsidRPr="00C62DF2">
        <w:rPr>
          <w:rStyle w:val="Emphasis"/>
          <w:rFonts w:ascii="Cambria" w:hAnsi="Cambria" w:cs="Arial"/>
          <w:i w:val="0"/>
          <w:iCs w:val="0"/>
          <w:sz w:val="20"/>
          <w:szCs w:val="20"/>
        </w:rPr>
        <w:t xml:space="preserve"> menos 64 casos de desapar</w:t>
      </w:r>
      <w:r w:rsidRPr="00C62DF2">
        <w:rPr>
          <w:rStyle w:val="Emphasis"/>
          <w:rFonts w:ascii="Cambria" w:hAnsi="Cambria" w:cs="Arial"/>
          <w:i w:val="0"/>
          <w:iCs w:val="0"/>
          <w:sz w:val="20"/>
          <w:szCs w:val="20"/>
        </w:rPr>
        <w:t>ecimentos ou mo</w:t>
      </w:r>
      <w:r w:rsidR="00155439" w:rsidRPr="00C62DF2">
        <w:rPr>
          <w:rStyle w:val="Emphasis"/>
          <w:rFonts w:ascii="Cambria" w:hAnsi="Cambria" w:cs="Arial"/>
          <w:i w:val="0"/>
          <w:iCs w:val="0"/>
          <w:sz w:val="20"/>
          <w:szCs w:val="20"/>
        </w:rPr>
        <w:t xml:space="preserve">rtes. </w:t>
      </w:r>
    </w:p>
    <w:p w14:paraId="1811B030" w14:textId="77777777" w:rsidR="00155439" w:rsidRPr="00C62DF2" w:rsidRDefault="00155439" w:rsidP="00FC0CB6">
      <w:pPr>
        <w:pStyle w:val="ListParagraph"/>
        <w:ind w:firstLine="0"/>
        <w:rPr>
          <w:rStyle w:val="Emphasis"/>
          <w:rFonts w:cs="Arial"/>
          <w:i w:val="0"/>
          <w:iCs w:val="0"/>
          <w:sz w:val="20"/>
          <w:szCs w:val="20"/>
          <w:lang w:val="pt-BR"/>
        </w:rPr>
      </w:pPr>
    </w:p>
    <w:p w14:paraId="79A0D5F6" w14:textId="77777777" w:rsidR="00155439" w:rsidRPr="00C62DF2" w:rsidRDefault="002A3A75" w:rsidP="00FC0CB6">
      <w:pPr>
        <w:numPr>
          <w:ilvl w:val="0"/>
          <w:numId w:val="2"/>
        </w:numPr>
        <w:jc w:val="both"/>
        <w:rPr>
          <w:rStyle w:val="Emphasis"/>
          <w:rFonts w:ascii="Cambria" w:hAnsi="Cambria"/>
          <w:i w:val="0"/>
          <w:iCs w:val="0"/>
          <w:sz w:val="20"/>
          <w:szCs w:val="20"/>
        </w:rPr>
      </w:pPr>
      <w:r w:rsidRPr="00C62DF2">
        <w:rPr>
          <w:rStyle w:val="Emphasis"/>
          <w:rFonts w:ascii="Cambria" w:hAnsi="Cambria" w:cs="Arial"/>
          <w:i w:val="0"/>
          <w:iCs w:val="0"/>
          <w:sz w:val="20"/>
          <w:szCs w:val="20"/>
        </w:rPr>
        <w:t>Em</w:t>
      </w:r>
      <w:r w:rsidR="00155439" w:rsidRPr="00C62DF2">
        <w:rPr>
          <w:rStyle w:val="Emphasis"/>
          <w:rFonts w:ascii="Cambria" w:hAnsi="Cambria" w:cs="Arial"/>
          <w:i w:val="0"/>
          <w:iCs w:val="0"/>
          <w:sz w:val="20"/>
          <w:szCs w:val="20"/>
        </w:rPr>
        <w:t xml:space="preserve"> 1974 tomou po</w:t>
      </w:r>
      <w:r w:rsidRPr="00C62DF2">
        <w:rPr>
          <w:rStyle w:val="Emphasis"/>
          <w:rFonts w:ascii="Cambria" w:hAnsi="Cambria" w:cs="Arial"/>
          <w:i w:val="0"/>
          <w:iCs w:val="0"/>
          <w:sz w:val="20"/>
          <w:szCs w:val="20"/>
        </w:rPr>
        <w:t>s</w:t>
      </w:r>
      <w:r w:rsidR="00155439" w:rsidRPr="00C62DF2">
        <w:rPr>
          <w:rStyle w:val="Emphasis"/>
          <w:rFonts w:ascii="Cambria" w:hAnsi="Cambria" w:cs="Arial"/>
          <w:i w:val="0"/>
          <w:iCs w:val="0"/>
          <w:sz w:val="20"/>
          <w:szCs w:val="20"/>
        </w:rPr>
        <w:t>se como Presid</w:t>
      </w:r>
      <w:r w:rsidRPr="00C62DF2">
        <w:rPr>
          <w:rStyle w:val="Emphasis"/>
          <w:rFonts w:ascii="Cambria" w:hAnsi="Cambria" w:cs="Arial"/>
          <w:i w:val="0"/>
          <w:iCs w:val="0"/>
          <w:sz w:val="20"/>
          <w:szCs w:val="20"/>
        </w:rPr>
        <w:t>ente o General Ernesto Geisel, em me</w:t>
      </w:r>
      <w:r w:rsidR="00155439" w:rsidRPr="00C62DF2">
        <w:rPr>
          <w:rStyle w:val="Emphasis"/>
          <w:rFonts w:ascii="Cambria" w:hAnsi="Cambria" w:cs="Arial"/>
          <w:i w:val="0"/>
          <w:iCs w:val="0"/>
          <w:sz w:val="20"/>
          <w:szCs w:val="20"/>
        </w:rPr>
        <w:t xml:space="preserve">io </w:t>
      </w:r>
      <w:r w:rsidRPr="00C62DF2">
        <w:rPr>
          <w:rStyle w:val="Emphasis"/>
          <w:rFonts w:ascii="Cambria" w:hAnsi="Cambria" w:cs="Arial"/>
          <w:i w:val="0"/>
          <w:iCs w:val="0"/>
          <w:sz w:val="20"/>
          <w:szCs w:val="20"/>
        </w:rPr>
        <w:t xml:space="preserve">a um desgaste da </w:t>
      </w:r>
      <w:r w:rsidR="00566CD5" w:rsidRPr="00C62DF2">
        <w:rPr>
          <w:rStyle w:val="Emphasis"/>
          <w:rFonts w:ascii="Cambria" w:hAnsi="Cambria" w:cs="Arial"/>
          <w:i w:val="0"/>
          <w:iCs w:val="0"/>
          <w:sz w:val="20"/>
          <w:szCs w:val="20"/>
        </w:rPr>
        <w:t>imagem</w:t>
      </w:r>
      <w:r w:rsidR="00155439" w:rsidRPr="00C62DF2">
        <w:rPr>
          <w:rStyle w:val="Emphasis"/>
          <w:rFonts w:ascii="Cambria" w:hAnsi="Cambria" w:cs="Arial"/>
          <w:i w:val="0"/>
          <w:iCs w:val="0"/>
          <w:sz w:val="20"/>
          <w:szCs w:val="20"/>
        </w:rPr>
        <w:t xml:space="preserve"> d</w:t>
      </w:r>
      <w:r w:rsidRPr="00C62DF2">
        <w:rPr>
          <w:rStyle w:val="Emphasis"/>
          <w:rFonts w:ascii="Cambria" w:hAnsi="Cambria" w:cs="Arial"/>
          <w:i w:val="0"/>
          <w:iCs w:val="0"/>
          <w:sz w:val="20"/>
          <w:szCs w:val="20"/>
        </w:rPr>
        <w:t>o regime, especialmente no estrang</w:t>
      </w:r>
      <w:r w:rsidR="00155439" w:rsidRPr="00C62DF2">
        <w:rPr>
          <w:rStyle w:val="Emphasis"/>
          <w:rFonts w:ascii="Cambria" w:hAnsi="Cambria" w:cs="Arial"/>
          <w:i w:val="0"/>
          <w:iCs w:val="0"/>
          <w:sz w:val="20"/>
          <w:szCs w:val="20"/>
        </w:rPr>
        <w:t>e</w:t>
      </w:r>
      <w:r w:rsidRPr="00C62DF2">
        <w:rPr>
          <w:rStyle w:val="Emphasis"/>
          <w:rFonts w:ascii="Cambria" w:hAnsi="Cambria" w:cs="Arial"/>
          <w:i w:val="0"/>
          <w:iCs w:val="0"/>
          <w:sz w:val="20"/>
          <w:szCs w:val="20"/>
        </w:rPr>
        <w:t>i</w:t>
      </w:r>
      <w:r w:rsidR="00155439" w:rsidRPr="00C62DF2">
        <w:rPr>
          <w:rStyle w:val="Emphasis"/>
          <w:rFonts w:ascii="Cambria" w:hAnsi="Cambria" w:cs="Arial"/>
          <w:i w:val="0"/>
          <w:iCs w:val="0"/>
          <w:sz w:val="20"/>
          <w:szCs w:val="20"/>
        </w:rPr>
        <w:t xml:space="preserve">ro, </w:t>
      </w:r>
      <w:r w:rsidRPr="00C62DF2">
        <w:rPr>
          <w:rStyle w:val="Emphasis"/>
          <w:rFonts w:ascii="Cambria" w:hAnsi="Cambria" w:cs="Arial"/>
          <w:i w:val="0"/>
          <w:iCs w:val="0"/>
          <w:sz w:val="20"/>
          <w:szCs w:val="20"/>
        </w:rPr>
        <w:t>após incontáveis denú</w:t>
      </w:r>
      <w:r w:rsidR="00155439" w:rsidRPr="00C62DF2">
        <w:rPr>
          <w:rStyle w:val="Emphasis"/>
          <w:rFonts w:ascii="Cambria" w:hAnsi="Cambria" w:cs="Arial"/>
          <w:i w:val="0"/>
          <w:iCs w:val="0"/>
          <w:sz w:val="20"/>
          <w:szCs w:val="20"/>
        </w:rPr>
        <w:t>ncias de violações dos direitos humanos, difundidas particularmente p</w:t>
      </w:r>
      <w:r w:rsidRPr="00C62DF2">
        <w:rPr>
          <w:rStyle w:val="Emphasis"/>
          <w:rFonts w:ascii="Cambria" w:hAnsi="Cambria" w:cs="Arial"/>
          <w:i w:val="0"/>
          <w:iCs w:val="0"/>
          <w:sz w:val="20"/>
          <w:szCs w:val="20"/>
        </w:rPr>
        <w:t>ela Igrej</w:t>
      </w:r>
      <w:r w:rsidR="00155439" w:rsidRPr="00C62DF2">
        <w:rPr>
          <w:rStyle w:val="Emphasis"/>
          <w:rFonts w:ascii="Cambria" w:hAnsi="Cambria" w:cs="Arial"/>
          <w:i w:val="0"/>
          <w:iCs w:val="0"/>
          <w:sz w:val="20"/>
          <w:szCs w:val="20"/>
        </w:rPr>
        <w:t>a Cat</w:t>
      </w:r>
      <w:r w:rsidRPr="00C62DF2">
        <w:rPr>
          <w:rStyle w:val="Emphasis"/>
          <w:rFonts w:ascii="Cambria" w:hAnsi="Cambria" w:cs="Arial"/>
          <w:i w:val="0"/>
          <w:iCs w:val="0"/>
          <w:sz w:val="20"/>
          <w:szCs w:val="20"/>
        </w:rPr>
        <w:t>ó</w:t>
      </w:r>
      <w:r w:rsidR="00155439" w:rsidRPr="00C62DF2">
        <w:rPr>
          <w:rStyle w:val="Emphasis"/>
          <w:rFonts w:ascii="Cambria" w:hAnsi="Cambria" w:cs="Arial"/>
          <w:i w:val="0"/>
          <w:iCs w:val="0"/>
          <w:sz w:val="20"/>
          <w:szCs w:val="20"/>
        </w:rPr>
        <w:t>lica</w:t>
      </w:r>
      <w:r w:rsidR="00155439" w:rsidRPr="00C62DF2">
        <w:rPr>
          <w:rStyle w:val="FootnoteReference"/>
          <w:rFonts w:ascii="Cambria" w:hAnsi="Cambria" w:cs="Arial"/>
          <w:bCs/>
          <w:i/>
          <w:iCs/>
          <w:sz w:val="20"/>
          <w:szCs w:val="20"/>
        </w:rPr>
        <w:footnoteReference w:id="19"/>
      </w:r>
      <w:r w:rsidRPr="00C62DF2">
        <w:rPr>
          <w:rStyle w:val="Emphasis"/>
          <w:rFonts w:ascii="Cambria" w:hAnsi="Cambria" w:cs="Arial"/>
          <w:i w:val="0"/>
          <w:iCs w:val="0"/>
          <w:sz w:val="20"/>
          <w:szCs w:val="20"/>
        </w:rPr>
        <w:t>. O</w:t>
      </w:r>
      <w:r w:rsidR="00155439" w:rsidRPr="00C62DF2">
        <w:rPr>
          <w:rStyle w:val="Emphasis"/>
          <w:rFonts w:ascii="Cambria" w:hAnsi="Cambria" w:cs="Arial"/>
          <w:i w:val="0"/>
          <w:iCs w:val="0"/>
          <w:sz w:val="20"/>
          <w:szCs w:val="20"/>
        </w:rPr>
        <w:t xml:space="preserve"> Presidente Geisel tomou</w:t>
      </w:r>
      <w:r w:rsidRPr="00C62DF2">
        <w:rPr>
          <w:rStyle w:val="Emphasis"/>
          <w:rFonts w:ascii="Cambria" w:hAnsi="Cambria" w:cs="Arial"/>
          <w:i w:val="0"/>
          <w:iCs w:val="0"/>
          <w:sz w:val="20"/>
          <w:szCs w:val="20"/>
        </w:rPr>
        <w:t xml:space="preserve"> o</w:t>
      </w:r>
      <w:r w:rsidR="00155439" w:rsidRPr="00C62DF2">
        <w:rPr>
          <w:rStyle w:val="Emphasis"/>
          <w:rFonts w:ascii="Cambria" w:hAnsi="Cambria" w:cs="Arial"/>
          <w:i w:val="0"/>
          <w:iCs w:val="0"/>
          <w:sz w:val="20"/>
          <w:szCs w:val="20"/>
        </w:rPr>
        <w:t xml:space="preserve"> p</w:t>
      </w:r>
      <w:r w:rsidRPr="00C62DF2">
        <w:rPr>
          <w:rStyle w:val="Emphasis"/>
          <w:rFonts w:ascii="Cambria" w:hAnsi="Cambria" w:cs="Arial"/>
          <w:i w:val="0"/>
          <w:iCs w:val="0"/>
          <w:sz w:val="20"/>
          <w:szCs w:val="20"/>
        </w:rPr>
        <w:t>oder com o</w:t>
      </w:r>
      <w:r w:rsidR="00155439" w:rsidRPr="00C62DF2">
        <w:rPr>
          <w:rStyle w:val="Emphasis"/>
          <w:rFonts w:ascii="Cambria" w:hAnsi="Cambria" w:cs="Arial"/>
          <w:i w:val="0"/>
          <w:iCs w:val="0"/>
          <w:sz w:val="20"/>
          <w:szCs w:val="20"/>
        </w:rPr>
        <w:t xml:space="preserve"> o</w:t>
      </w:r>
      <w:r w:rsidRPr="00C62DF2">
        <w:rPr>
          <w:rStyle w:val="Emphasis"/>
          <w:rFonts w:ascii="Cambria" w:hAnsi="Cambria" w:cs="Arial"/>
          <w:i w:val="0"/>
          <w:iCs w:val="0"/>
          <w:sz w:val="20"/>
          <w:szCs w:val="20"/>
        </w:rPr>
        <w:t xml:space="preserve">bjetivo de tratar de recuperar </w:t>
      </w:r>
      <w:r w:rsidR="00155439" w:rsidRPr="00C62DF2">
        <w:rPr>
          <w:rStyle w:val="Emphasis"/>
          <w:rFonts w:ascii="Cambria" w:hAnsi="Cambria" w:cs="Arial"/>
          <w:i w:val="0"/>
          <w:iCs w:val="0"/>
          <w:sz w:val="20"/>
          <w:szCs w:val="20"/>
        </w:rPr>
        <w:t>a “legitimidad</w:t>
      </w:r>
      <w:r w:rsidRPr="00C62DF2">
        <w:rPr>
          <w:rStyle w:val="Emphasis"/>
          <w:rFonts w:ascii="Cambria" w:hAnsi="Cambria" w:cs="Arial"/>
          <w:i w:val="0"/>
          <w:iCs w:val="0"/>
          <w:sz w:val="20"/>
          <w:szCs w:val="20"/>
        </w:rPr>
        <w:t>e” perdida durante o governo do Ex-Presidente Médici, com</w:t>
      </w:r>
      <w:r w:rsidR="00155439" w:rsidRPr="00C62DF2">
        <w:rPr>
          <w:rStyle w:val="Emphasis"/>
          <w:rFonts w:ascii="Cambria" w:hAnsi="Cambria" w:cs="Arial"/>
          <w:i w:val="0"/>
          <w:iCs w:val="0"/>
          <w:sz w:val="20"/>
          <w:szCs w:val="20"/>
        </w:rPr>
        <w:t xml:space="preserve"> prome</w:t>
      </w:r>
      <w:r w:rsidRPr="00C62DF2">
        <w:rPr>
          <w:rStyle w:val="Emphasis"/>
          <w:rFonts w:ascii="Cambria" w:hAnsi="Cambria" w:cs="Arial"/>
          <w:i w:val="0"/>
          <w:iCs w:val="0"/>
          <w:sz w:val="20"/>
          <w:szCs w:val="20"/>
        </w:rPr>
        <w:t>ssas de uma “ab</w:t>
      </w:r>
      <w:r w:rsidR="00155439" w:rsidRPr="00C62DF2">
        <w:rPr>
          <w:rStyle w:val="Emphasis"/>
          <w:rFonts w:ascii="Cambria" w:hAnsi="Cambria" w:cs="Arial"/>
          <w:i w:val="0"/>
          <w:iCs w:val="0"/>
          <w:sz w:val="20"/>
          <w:szCs w:val="20"/>
        </w:rPr>
        <w:t>ertura” lenta e gradual, a</w:t>
      </w:r>
      <w:r w:rsidRPr="00C62DF2">
        <w:rPr>
          <w:rStyle w:val="Emphasis"/>
          <w:rFonts w:ascii="Cambria" w:hAnsi="Cambria" w:cs="Arial"/>
          <w:i w:val="0"/>
          <w:iCs w:val="0"/>
          <w:sz w:val="20"/>
          <w:szCs w:val="20"/>
        </w:rPr>
        <w:t>lém de abrandar, relativamente, as restri</w:t>
      </w:r>
      <w:r w:rsidR="00155439" w:rsidRPr="00C62DF2">
        <w:rPr>
          <w:rStyle w:val="Emphasis"/>
          <w:rFonts w:ascii="Cambria" w:hAnsi="Cambria" w:cs="Arial"/>
          <w:i w:val="0"/>
          <w:iCs w:val="0"/>
          <w:sz w:val="20"/>
          <w:szCs w:val="20"/>
        </w:rPr>
        <w:t xml:space="preserve">ções </w:t>
      </w:r>
      <w:r w:rsidRPr="00C62DF2">
        <w:rPr>
          <w:rStyle w:val="Emphasis"/>
          <w:rFonts w:ascii="Cambria" w:hAnsi="Cambria" w:cs="Arial"/>
          <w:i w:val="0"/>
          <w:iCs w:val="0"/>
          <w:sz w:val="20"/>
          <w:szCs w:val="20"/>
        </w:rPr>
        <w:t>à</w:t>
      </w:r>
      <w:r w:rsidR="00155439" w:rsidRPr="00C62DF2">
        <w:rPr>
          <w:rStyle w:val="Emphasis"/>
          <w:rFonts w:ascii="Cambria" w:hAnsi="Cambria" w:cs="Arial"/>
          <w:i w:val="0"/>
          <w:iCs w:val="0"/>
          <w:sz w:val="20"/>
          <w:szCs w:val="20"/>
        </w:rPr>
        <w:t xml:space="preserve"> liberdade de </w:t>
      </w:r>
      <w:r w:rsidRPr="00C62DF2">
        <w:rPr>
          <w:rStyle w:val="Emphasis"/>
          <w:rFonts w:ascii="Cambria" w:hAnsi="Cambria" w:cs="Arial"/>
          <w:i w:val="0"/>
          <w:iCs w:val="0"/>
          <w:sz w:val="20"/>
          <w:szCs w:val="20"/>
        </w:rPr>
        <w:t>im</w:t>
      </w:r>
      <w:r w:rsidR="00155439" w:rsidRPr="00C62DF2">
        <w:rPr>
          <w:rStyle w:val="Emphasis"/>
          <w:rFonts w:ascii="Cambria" w:hAnsi="Cambria" w:cs="Arial"/>
          <w:i w:val="0"/>
          <w:iCs w:val="0"/>
          <w:sz w:val="20"/>
          <w:szCs w:val="20"/>
        </w:rPr>
        <w:t>prensa</w:t>
      </w:r>
      <w:r w:rsidR="00155439" w:rsidRPr="00C62DF2">
        <w:rPr>
          <w:rStyle w:val="FootnoteReference"/>
          <w:rFonts w:ascii="Cambria" w:hAnsi="Cambria" w:cs="Arial"/>
          <w:bCs/>
          <w:i/>
          <w:iCs/>
          <w:sz w:val="20"/>
          <w:szCs w:val="20"/>
        </w:rPr>
        <w:footnoteReference w:id="20"/>
      </w:r>
      <w:r w:rsidR="00155439" w:rsidRPr="00C62DF2">
        <w:rPr>
          <w:rStyle w:val="Emphasis"/>
          <w:rFonts w:ascii="Cambria" w:hAnsi="Cambria" w:cs="Arial"/>
          <w:i w:val="0"/>
          <w:iCs w:val="0"/>
          <w:sz w:val="20"/>
          <w:szCs w:val="20"/>
        </w:rPr>
        <w:t xml:space="preserve">. </w:t>
      </w:r>
    </w:p>
    <w:p w14:paraId="2A3D24DF" w14:textId="77777777" w:rsidR="00155439" w:rsidRPr="00C62DF2" w:rsidRDefault="00155439" w:rsidP="00FC0CB6">
      <w:pPr>
        <w:pStyle w:val="ListParagraph"/>
        <w:ind w:firstLine="0"/>
        <w:rPr>
          <w:rStyle w:val="Emphasis"/>
          <w:rFonts w:cs="Arial"/>
          <w:i w:val="0"/>
          <w:iCs w:val="0"/>
          <w:sz w:val="20"/>
          <w:szCs w:val="20"/>
          <w:lang w:val="pt-BR"/>
        </w:rPr>
      </w:pPr>
    </w:p>
    <w:p w14:paraId="06BC4513" w14:textId="77777777" w:rsidR="00155439" w:rsidRPr="00C62DF2" w:rsidRDefault="002A3A75" w:rsidP="00FC0CB6">
      <w:pPr>
        <w:numPr>
          <w:ilvl w:val="0"/>
          <w:numId w:val="2"/>
        </w:numPr>
        <w:jc w:val="both"/>
        <w:rPr>
          <w:rStyle w:val="Emphasis"/>
          <w:rFonts w:ascii="Cambria" w:hAnsi="Cambria"/>
          <w:i w:val="0"/>
          <w:iCs w:val="0"/>
          <w:sz w:val="20"/>
          <w:szCs w:val="20"/>
        </w:rPr>
      </w:pPr>
      <w:r w:rsidRPr="00C62DF2">
        <w:rPr>
          <w:rStyle w:val="Emphasis"/>
          <w:rFonts w:ascii="Cambria" w:hAnsi="Cambria" w:cs="Arial"/>
          <w:i w:val="0"/>
          <w:iCs w:val="0"/>
          <w:sz w:val="20"/>
          <w:szCs w:val="20"/>
        </w:rPr>
        <w:t>De aco</w:t>
      </w:r>
      <w:r w:rsidR="00155439" w:rsidRPr="00C62DF2">
        <w:rPr>
          <w:rStyle w:val="Emphasis"/>
          <w:rFonts w:ascii="Cambria" w:hAnsi="Cambria" w:cs="Arial"/>
          <w:i w:val="0"/>
          <w:iCs w:val="0"/>
          <w:sz w:val="20"/>
          <w:szCs w:val="20"/>
        </w:rPr>
        <w:t>rdo co</w:t>
      </w:r>
      <w:r w:rsidRPr="00C62DF2">
        <w:rPr>
          <w:rStyle w:val="Emphasis"/>
          <w:rFonts w:ascii="Cambria" w:hAnsi="Cambria" w:cs="Arial"/>
          <w:i w:val="0"/>
          <w:iCs w:val="0"/>
          <w:sz w:val="20"/>
          <w:szCs w:val="20"/>
        </w:rPr>
        <w:t>m</w:t>
      </w:r>
      <w:r w:rsidR="00155439" w:rsidRPr="00C62DF2">
        <w:rPr>
          <w:rStyle w:val="Emphasis"/>
          <w:rFonts w:ascii="Cambria" w:hAnsi="Cambria" w:cs="Arial"/>
          <w:i w:val="0"/>
          <w:iCs w:val="0"/>
          <w:sz w:val="20"/>
          <w:szCs w:val="20"/>
        </w:rPr>
        <w:t xml:space="preserve"> </w:t>
      </w:r>
      <w:r w:rsidRPr="00C62DF2">
        <w:rPr>
          <w:rStyle w:val="Emphasis"/>
          <w:rFonts w:ascii="Cambria" w:hAnsi="Cambria" w:cs="Arial"/>
          <w:i w:val="0"/>
          <w:iCs w:val="0"/>
          <w:sz w:val="20"/>
          <w:szCs w:val="20"/>
        </w:rPr>
        <w:t>o</w:t>
      </w:r>
      <w:r w:rsidR="00155439" w:rsidRPr="00C62DF2">
        <w:rPr>
          <w:rStyle w:val="Emphasis"/>
          <w:rFonts w:ascii="Cambria" w:hAnsi="Cambria" w:cs="Arial"/>
          <w:i w:val="0"/>
          <w:iCs w:val="0"/>
          <w:sz w:val="20"/>
          <w:szCs w:val="20"/>
        </w:rPr>
        <w:t xml:space="preserve"> Relat</w:t>
      </w:r>
      <w:r w:rsidRPr="00C62DF2">
        <w:rPr>
          <w:rStyle w:val="Emphasis"/>
          <w:rFonts w:ascii="Cambria" w:hAnsi="Cambria" w:cs="Arial"/>
          <w:i w:val="0"/>
          <w:iCs w:val="0"/>
          <w:sz w:val="20"/>
          <w:szCs w:val="20"/>
        </w:rPr>
        <w:t>ó</w:t>
      </w:r>
      <w:r w:rsidR="00155439" w:rsidRPr="00C62DF2">
        <w:rPr>
          <w:rStyle w:val="Emphasis"/>
          <w:rFonts w:ascii="Cambria" w:hAnsi="Cambria" w:cs="Arial"/>
          <w:i w:val="0"/>
          <w:iCs w:val="0"/>
          <w:sz w:val="20"/>
          <w:szCs w:val="20"/>
        </w:rPr>
        <w:t>rio Final da Comissão Nacional da Verdad</w:t>
      </w:r>
      <w:r w:rsidRPr="00C62DF2">
        <w:rPr>
          <w:rStyle w:val="Emphasis"/>
          <w:rFonts w:ascii="Cambria" w:hAnsi="Cambria" w:cs="Arial"/>
          <w:i w:val="0"/>
          <w:iCs w:val="0"/>
          <w:sz w:val="20"/>
          <w:szCs w:val="20"/>
        </w:rPr>
        <w:t>e</w:t>
      </w:r>
      <w:r w:rsidR="00155439" w:rsidRPr="00C62DF2">
        <w:rPr>
          <w:rStyle w:val="Emphasis"/>
          <w:rFonts w:ascii="Cambria" w:hAnsi="Cambria" w:cs="Arial"/>
          <w:i w:val="0"/>
          <w:iCs w:val="0"/>
          <w:sz w:val="20"/>
          <w:szCs w:val="20"/>
        </w:rPr>
        <w:t>:</w:t>
      </w:r>
    </w:p>
    <w:p w14:paraId="7FB29701" w14:textId="77777777" w:rsidR="00155439" w:rsidRPr="00C62DF2" w:rsidRDefault="00155439" w:rsidP="00FC0CB6">
      <w:pPr>
        <w:tabs>
          <w:tab w:val="left" w:pos="0"/>
        </w:tabs>
        <w:jc w:val="both"/>
        <w:rPr>
          <w:rStyle w:val="Emphasis"/>
          <w:rFonts w:ascii="Cambria" w:hAnsi="Cambria" w:cs="Arial"/>
          <w:b/>
          <w:i w:val="0"/>
          <w:sz w:val="20"/>
          <w:szCs w:val="20"/>
        </w:rPr>
      </w:pPr>
    </w:p>
    <w:p w14:paraId="01580EE8" w14:textId="65288D94" w:rsidR="00155439" w:rsidRPr="00C62DF2" w:rsidRDefault="00155439" w:rsidP="00FC0CB6">
      <w:pPr>
        <w:tabs>
          <w:tab w:val="left" w:pos="0"/>
        </w:tabs>
        <w:ind w:left="720"/>
        <w:jc w:val="both"/>
        <w:rPr>
          <w:rStyle w:val="Emphasis"/>
          <w:rFonts w:ascii="Cambria" w:hAnsi="Cambria" w:cs="Arial"/>
          <w:b/>
          <w:i w:val="0"/>
          <w:iCs w:val="0"/>
          <w:sz w:val="20"/>
          <w:szCs w:val="20"/>
        </w:rPr>
      </w:pPr>
      <w:r w:rsidRPr="00C62DF2">
        <w:rPr>
          <w:rStyle w:val="Emphasis"/>
          <w:rFonts w:ascii="Cambria" w:hAnsi="Cambria" w:cs="Arial"/>
          <w:i w:val="0"/>
          <w:iCs w:val="0"/>
          <w:sz w:val="20"/>
          <w:szCs w:val="20"/>
        </w:rPr>
        <w:t>“</w:t>
      </w:r>
      <w:r w:rsidR="006C41D8" w:rsidRPr="00C62DF2">
        <w:rPr>
          <w:rFonts w:ascii="Cambria" w:hAnsi="Cambria"/>
          <w:sz w:val="20"/>
          <w:szCs w:val="20"/>
        </w:rPr>
        <w:t xml:space="preserve">Até o fim do mandato, a Presidência de Geisel será caracterizada – talvez mais do que as anteriores – por um duplo movimento que atravessa todo o período ditatorial. O primeiro dizia respeito à vigilância repressiva em vários níveis: censura à imprensa, prisões, tortura e assassinatos. Mais tarde, o próprio Geisel legitimaria a violência quando, em depoimento concedido a historiadores sobre sua trajetória no regime autoritário de 64, admitiu considerar a tortura necessária em determinados casos: “Há circunstâncias em que o indivíduo é impelido a praticar a tortura, para obter determinadas confissões </w:t>
      </w:r>
      <w:r w:rsidR="006C41D8" w:rsidRPr="00C62DF2">
        <w:rPr>
          <w:rFonts w:ascii="Cambria" w:hAnsi="Cambria"/>
          <w:sz w:val="20"/>
          <w:szCs w:val="20"/>
        </w:rPr>
        <w:lastRenderedPageBreak/>
        <w:t>e, assim, evitar um mal maior</w:t>
      </w:r>
      <w:r w:rsidR="002A3A75" w:rsidRPr="00C62DF2">
        <w:rPr>
          <w:rStyle w:val="Emphasis"/>
          <w:rFonts w:ascii="Cambria" w:hAnsi="Cambria" w:cs="Arial"/>
          <w:i w:val="0"/>
          <w:iCs w:val="0"/>
          <w:sz w:val="20"/>
          <w:szCs w:val="20"/>
        </w:rPr>
        <w:t>.</w:t>
      </w:r>
      <w:r w:rsidR="006C41D8" w:rsidRPr="00C62DF2">
        <w:rPr>
          <w:rFonts w:ascii="Cambria" w:hAnsi="Cambria"/>
          <w:sz w:val="20"/>
          <w:szCs w:val="20"/>
        </w:rPr>
        <w:t xml:space="preserve"> Um segundo movimento era o da reinvenção institucional casuística que visava resguardar o caráter autoritário do regime em circunstâncias diversas</w:t>
      </w:r>
      <w:r w:rsidRPr="00C62DF2">
        <w:rPr>
          <w:rStyle w:val="Emphasis"/>
          <w:rFonts w:ascii="Cambria" w:hAnsi="Cambria" w:cs="Arial"/>
          <w:i w:val="0"/>
          <w:iCs w:val="0"/>
          <w:sz w:val="20"/>
          <w:szCs w:val="20"/>
        </w:rPr>
        <w:t>”</w:t>
      </w:r>
      <w:r w:rsidRPr="00C62DF2">
        <w:rPr>
          <w:rStyle w:val="FootnoteReference"/>
          <w:rFonts w:ascii="Cambria" w:hAnsi="Cambria" w:cs="Arial"/>
          <w:bCs/>
          <w:i/>
          <w:iCs/>
          <w:sz w:val="20"/>
          <w:szCs w:val="20"/>
        </w:rPr>
        <w:t xml:space="preserve"> </w:t>
      </w:r>
      <w:r w:rsidRPr="00C62DF2">
        <w:rPr>
          <w:rStyle w:val="FootnoteReference"/>
          <w:rFonts w:ascii="Cambria" w:hAnsi="Cambria" w:cs="Arial"/>
          <w:bCs/>
          <w:i/>
          <w:iCs/>
          <w:sz w:val="20"/>
          <w:szCs w:val="20"/>
        </w:rPr>
        <w:footnoteReference w:id="21"/>
      </w:r>
      <w:r w:rsidRPr="00C62DF2">
        <w:rPr>
          <w:rStyle w:val="Emphasis"/>
          <w:rFonts w:ascii="Cambria" w:hAnsi="Cambria" w:cs="Arial"/>
          <w:i w:val="0"/>
          <w:iCs w:val="0"/>
          <w:sz w:val="20"/>
          <w:szCs w:val="20"/>
        </w:rPr>
        <w:t>.</w:t>
      </w:r>
    </w:p>
    <w:p w14:paraId="2A409267" w14:textId="77777777" w:rsidR="00155439" w:rsidRPr="00C62DF2" w:rsidRDefault="00155439" w:rsidP="00FC0CB6">
      <w:pPr>
        <w:ind w:left="720"/>
        <w:jc w:val="both"/>
        <w:rPr>
          <w:rStyle w:val="Emphasis"/>
          <w:rFonts w:ascii="Cambria" w:hAnsi="Cambria"/>
          <w:b/>
          <w:bCs/>
          <w:i w:val="0"/>
          <w:sz w:val="20"/>
          <w:szCs w:val="20"/>
        </w:rPr>
      </w:pPr>
    </w:p>
    <w:p w14:paraId="0A3D5523" w14:textId="3EB7A05F" w:rsidR="00155439" w:rsidRPr="00C62DF2" w:rsidRDefault="002A3A75"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A</w:t>
      </w:r>
      <w:r w:rsidR="00CE12D9" w:rsidRPr="00C62DF2">
        <w:rPr>
          <w:rStyle w:val="Emphasis"/>
          <w:rFonts w:ascii="Cambria" w:hAnsi="Cambria"/>
          <w:i w:val="0"/>
          <w:iCs w:val="0"/>
          <w:sz w:val="20"/>
          <w:szCs w:val="20"/>
        </w:rPr>
        <w:t xml:space="preserve"> a</w:t>
      </w:r>
      <w:r w:rsidR="00155439" w:rsidRPr="00C62DF2">
        <w:rPr>
          <w:rStyle w:val="Emphasis"/>
          <w:rFonts w:ascii="Cambria" w:hAnsi="Cambria"/>
          <w:i w:val="0"/>
          <w:iCs w:val="0"/>
          <w:sz w:val="20"/>
          <w:szCs w:val="20"/>
        </w:rPr>
        <w:t>ç</w:t>
      </w:r>
      <w:r w:rsidR="005246D4" w:rsidRPr="00C62DF2">
        <w:rPr>
          <w:rStyle w:val="Emphasis"/>
          <w:rFonts w:ascii="Cambria" w:hAnsi="Cambria"/>
          <w:i w:val="0"/>
          <w:iCs w:val="0"/>
          <w:sz w:val="20"/>
          <w:szCs w:val="20"/>
        </w:rPr>
        <w:t>ão</w:t>
      </w:r>
      <w:r w:rsidR="00155439" w:rsidRPr="00C62DF2">
        <w:rPr>
          <w:rStyle w:val="Emphasis"/>
          <w:rFonts w:ascii="Cambria" w:hAnsi="Cambria"/>
          <w:i w:val="0"/>
          <w:iCs w:val="0"/>
          <w:sz w:val="20"/>
          <w:szCs w:val="20"/>
        </w:rPr>
        <w:t xml:space="preserve"> dos “organismos repre</w:t>
      </w:r>
      <w:r w:rsidR="00CE12D9" w:rsidRPr="00C62DF2">
        <w:rPr>
          <w:rStyle w:val="Emphasis"/>
          <w:rFonts w:ascii="Cambria" w:hAnsi="Cambria"/>
          <w:i w:val="0"/>
          <w:iCs w:val="0"/>
          <w:sz w:val="20"/>
          <w:szCs w:val="20"/>
        </w:rPr>
        <w:t>ssivos” conta</w:t>
      </w:r>
      <w:r w:rsidR="005246D4" w:rsidRPr="00C62DF2">
        <w:rPr>
          <w:rStyle w:val="Emphasis"/>
          <w:rFonts w:ascii="Cambria" w:hAnsi="Cambria"/>
          <w:i w:val="0"/>
          <w:iCs w:val="0"/>
          <w:sz w:val="20"/>
          <w:szCs w:val="20"/>
        </w:rPr>
        <w:t>va</w:t>
      </w:r>
      <w:r w:rsidR="00CE12D9" w:rsidRPr="00C62DF2">
        <w:rPr>
          <w:rStyle w:val="Emphasis"/>
          <w:rFonts w:ascii="Cambria" w:hAnsi="Cambria"/>
          <w:i w:val="0"/>
          <w:iCs w:val="0"/>
          <w:sz w:val="20"/>
          <w:szCs w:val="20"/>
        </w:rPr>
        <w:t xml:space="preserve"> com</w:t>
      </w:r>
      <w:r w:rsidR="00155439" w:rsidRPr="00C62DF2">
        <w:rPr>
          <w:rStyle w:val="Emphasis"/>
          <w:rFonts w:ascii="Cambria" w:hAnsi="Cambria"/>
          <w:i w:val="0"/>
          <w:iCs w:val="0"/>
          <w:sz w:val="20"/>
          <w:szCs w:val="20"/>
        </w:rPr>
        <w:t xml:space="preserve"> “total impunidad</w:t>
      </w:r>
      <w:r w:rsidR="00CE12D9" w:rsidRPr="00C62DF2">
        <w:rPr>
          <w:rStyle w:val="Emphasis"/>
          <w:rFonts w:ascii="Cambria" w:hAnsi="Cambria"/>
          <w:i w:val="0"/>
          <w:iCs w:val="0"/>
          <w:sz w:val="20"/>
          <w:szCs w:val="20"/>
        </w:rPr>
        <w:t>e e aco</w:t>
      </w:r>
      <w:r w:rsidR="00155439" w:rsidRPr="00C62DF2">
        <w:rPr>
          <w:rStyle w:val="Emphasis"/>
          <w:rFonts w:ascii="Cambria" w:hAnsi="Cambria"/>
          <w:i w:val="0"/>
          <w:iCs w:val="0"/>
          <w:sz w:val="20"/>
          <w:szCs w:val="20"/>
        </w:rPr>
        <w:t>b</w:t>
      </w:r>
      <w:r w:rsidR="00CE12D9" w:rsidRPr="00C62DF2">
        <w:rPr>
          <w:rStyle w:val="Emphasis"/>
          <w:rFonts w:ascii="Cambria" w:hAnsi="Cambria"/>
          <w:i w:val="0"/>
          <w:iCs w:val="0"/>
          <w:sz w:val="20"/>
          <w:szCs w:val="20"/>
        </w:rPr>
        <w:t>erta</w:t>
      </w:r>
      <w:r w:rsidR="00155439" w:rsidRPr="00C62DF2">
        <w:rPr>
          <w:rStyle w:val="Emphasis"/>
          <w:rFonts w:ascii="Cambria" w:hAnsi="Cambria"/>
          <w:i w:val="0"/>
          <w:iCs w:val="0"/>
          <w:sz w:val="20"/>
          <w:szCs w:val="20"/>
        </w:rPr>
        <w:t>mento</w:t>
      </w:r>
      <w:r w:rsidR="00CE12D9" w:rsidRPr="00C62DF2">
        <w:rPr>
          <w:rStyle w:val="Emphasis"/>
          <w:rFonts w:ascii="Cambria" w:hAnsi="Cambria"/>
          <w:i w:val="0"/>
          <w:iCs w:val="0"/>
          <w:sz w:val="20"/>
          <w:szCs w:val="20"/>
        </w:rPr>
        <w:t xml:space="preserve">” </w:t>
      </w:r>
      <w:r w:rsidR="005246D4" w:rsidRPr="00C62DF2">
        <w:rPr>
          <w:rStyle w:val="Emphasis"/>
          <w:rFonts w:ascii="Cambria" w:hAnsi="Cambria"/>
          <w:i w:val="0"/>
          <w:iCs w:val="0"/>
          <w:sz w:val="20"/>
          <w:szCs w:val="20"/>
        </w:rPr>
        <w:t>até mesmo</w:t>
      </w:r>
      <w:r w:rsidR="00155439" w:rsidRPr="00C62DF2">
        <w:rPr>
          <w:rStyle w:val="Emphasis"/>
          <w:rFonts w:ascii="Cambria" w:hAnsi="Cambria"/>
          <w:i w:val="0"/>
          <w:iCs w:val="0"/>
          <w:sz w:val="20"/>
          <w:szCs w:val="20"/>
        </w:rPr>
        <w:t xml:space="preserve"> de determin</w:t>
      </w:r>
      <w:r w:rsidR="00CE12D9" w:rsidRPr="00C62DF2">
        <w:rPr>
          <w:rStyle w:val="Emphasis"/>
          <w:rFonts w:ascii="Cambria" w:hAnsi="Cambria"/>
          <w:i w:val="0"/>
          <w:iCs w:val="0"/>
          <w:sz w:val="20"/>
          <w:szCs w:val="20"/>
        </w:rPr>
        <w:t xml:space="preserve">ados dispositivos legais, como </w:t>
      </w:r>
      <w:r w:rsidR="00155439" w:rsidRPr="00C62DF2">
        <w:rPr>
          <w:rStyle w:val="Emphasis"/>
          <w:rFonts w:ascii="Cambria" w:hAnsi="Cambria"/>
          <w:i w:val="0"/>
          <w:iCs w:val="0"/>
          <w:sz w:val="20"/>
          <w:szCs w:val="20"/>
        </w:rPr>
        <w:t>a Anistia</w:t>
      </w:r>
      <w:r w:rsidR="00155439" w:rsidRPr="00C62DF2">
        <w:rPr>
          <w:rStyle w:val="FootnoteReference"/>
          <w:rFonts w:ascii="Cambria" w:hAnsi="Cambria"/>
          <w:sz w:val="20"/>
          <w:szCs w:val="20"/>
        </w:rPr>
        <w:footnoteReference w:id="22"/>
      </w:r>
      <w:r w:rsidR="00CE12D9" w:rsidRPr="00C62DF2">
        <w:rPr>
          <w:rStyle w:val="Emphasis"/>
          <w:rFonts w:ascii="Cambria" w:hAnsi="Cambria"/>
          <w:i w:val="0"/>
          <w:iCs w:val="0"/>
          <w:sz w:val="20"/>
          <w:szCs w:val="20"/>
        </w:rPr>
        <w:t>.</w:t>
      </w:r>
      <w:r w:rsidR="00CE12D9" w:rsidRPr="00C62DF2">
        <w:rPr>
          <w:rStyle w:val="Emphasis"/>
          <w:rFonts w:ascii="Cambria" w:hAnsi="Cambria"/>
          <w:sz w:val="20"/>
          <w:szCs w:val="20"/>
        </w:rPr>
        <w:t xml:space="preserve"> </w:t>
      </w:r>
      <w:r w:rsidR="00CE12D9" w:rsidRPr="00C62DF2">
        <w:rPr>
          <w:rStyle w:val="Emphasis"/>
          <w:rFonts w:ascii="Cambria" w:hAnsi="Cambria"/>
          <w:i w:val="0"/>
          <w:iCs w:val="0"/>
          <w:sz w:val="20"/>
          <w:szCs w:val="20"/>
        </w:rPr>
        <w:t>A</w:t>
      </w:r>
      <w:r w:rsidR="00155439" w:rsidRPr="00C62DF2">
        <w:rPr>
          <w:rStyle w:val="Emphasis"/>
          <w:rFonts w:ascii="Cambria" w:hAnsi="Cambria"/>
          <w:i w:val="0"/>
          <w:iCs w:val="0"/>
          <w:sz w:val="20"/>
          <w:szCs w:val="20"/>
        </w:rPr>
        <w:t>s</w:t>
      </w:r>
      <w:r w:rsidR="00CE12D9" w:rsidRPr="00C62DF2">
        <w:rPr>
          <w:rFonts w:ascii="Cambria" w:hAnsi="Cambria"/>
          <w:sz w:val="20"/>
          <w:szCs w:val="20"/>
        </w:rPr>
        <w:t xml:space="preserve"> denú</w:t>
      </w:r>
      <w:r w:rsidR="00155439" w:rsidRPr="00C62DF2">
        <w:rPr>
          <w:rFonts w:ascii="Cambria" w:hAnsi="Cambria"/>
          <w:sz w:val="20"/>
          <w:szCs w:val="20"/>
        </w:rPr>
        <w:t>nci</w:t>
      </w:r>
      <w:r w:rsidR="00CE12D9" w:rsidRPr="00C62DF2">
        <w:rPr>
          <w:rFonts w:ascii="Cambria" w:hAnsi="Cambria"/>
          <w:sz w:val="20"/>
          <w:szCs w:val="20"/>
        </w:rPr>
        <w:t>as sobre mo</w:t>
      </w:r>
      <w:r w:rsidR="00155439" w:rsidRPr="00C62DF2">
        <w:rPr>
          <w:rFonts w:ascii="Cambria" w:hAnsi="Cambria"/>
          <w:sz w:val="20"/>
          <w:szCs w:val="20"/>
        </w:rPr>
        <w:t>rtes, desapar</w:t>
      </w:r>
      <w:r w:rsidR="00CE12D9" w:rsidRPr="00C62DF2">
        <w:rPr>
          <w:rFonts w:ascii="Cambria" w:hAnsi="Cambria"/>
          <w:sz w:val="20"/>
          <w:szCs w:val="20"/>
        </w:rPr>
        <w:t>ecimentos e torturas neste período ditatorial eram</w:t>
      </w:r>
      <w:r w:rsidR="00155439" w:rsidRPr="00C62DF2">
        <w:rPr>
          <w:rFonts w:ascii="Cambria" w:hAnsi="Cambria"/>
          <w:sz w:val="20"/>
          <w:szCs w:val="20"/>
        </w:rPr>
        <w:t xml:space="preserve"> “prontamente desmentidas, censuradas </w:t>
      </w:r>
      <w:r w:rsidR="00CE12D9" w:rsidRPr="00C62DF2">
        <w:rPr>
          <w:rFonts w:ascii="Cambria" w:hAnsi="Cambria"/>
          <w:sz w:val="20"/>
          <w:szCs w:val="20"/>
        </w:rPr>
        <w:t>na</w:t>
      </w:r>
      <w:r w:rsidR="00155439" w:rsidRPr="00C62DF2">
        <w:rPr>
          <w:rFonts w:ascii="Cambria" w:hAnsi="Cambria"/>
          <w:sz w:val="20"/>
          <w:szCs w:val="20"/>
        </w:rPr>
        <w:t xml:space="preserve"> </w:t>
      </w:r>
      <w:r w:rsidR="00CE12D9" w:rsidRPr="00C62DF2">
        <w:rPr>
          <w:rFonts w:ascii="Cambria" w:hAnsi="Cambria"/>
          <w:sz w:val="20"/>
          <w:szCs w:val="20"/>
        </w:rPr>
        <w:t>imprensa e, muitas vezes, resultava</w:t>
      </w:r>
      <w:r w:rsidR="00903D0A" w:rsidRPr="00C62DF2">
        <w:rPr>
          <w:rFonts w:ascii="Cambria" w:hAnsi="Cambria"/>
          <w:sz w:val="20"/>
          <w:szCs w:val="20"/>
        </w:rPr>
        <w:t>m</w:t>
      </w:r>
      <w:r w:rsidR="00CE12D9" w:rsidRPr="00C62DF2">
        <w:rPr>
          <w:rFonts w:ascii="Cambria" w:hAnsi="Cambria"/>
          <w:sz w:val="20"/>
          <w:szCs w:val="20"/>
        </w:rPr>
        <w:t xml:space="preserve"> em problemas para </w:t>
      </w:r>
      <w:r w:rsidR="00155439" w:rsidRPr="00C62DF2">
        <w:rPr>
          <w:rFonts w:ascii="Cambria" w:hAnsi="Cambria"/>
          <w:sz w:val="20"/>
          <w:szCs w:val="20"/>
        </w:rPr>
        <w:t>os denunciantes”</w:t>
      </w:r>
      <w:r w:rsidR="00155439" w:rsidRPr="00C62DF2">
        <w:rPr>
          <w:rStyle w:val="FootnoteReference"/>
          <w:rFonts w:ascii="Cambria" w:hAnsi="Cambria"/>
          <w:sz w:val="20"/>
          <w:szCs w:val="20"/>
        </w:rPr>
        <w:footnoteReference w:id="23"/>
      </w:r>
      <w:r w:rsidR="00155439" w:rsidRPr="00C62DF2">
        <w:rPr>
          <w:rFonts w:ascii="Cambria" w:hAnsi="Cambria"/>
          <w:sz w:val="20"/>
          <w:szCs w:val="20"/>
        </w:rPr>
        <w:t xml:space="preserve">. </w:t>
      </w:r>
      <w:r w:rsidR="00155439" w:rsidRPr="00C62DF2">
        <w:rPr>
          <w:rStyle w:val="Emphasis"/>
          <w:rFonts w:ascii="Cambria" w:hAnsi="Cambria"/>
          <w:i w:val="0"/>
          <w:iCs w:val="0"/>
          <w:sz w:val="20"/>
          <w:szCs w:val="20"/>
        </w:rPr>
        <w:t>Seg</w:t>
      </w:r>
      <w:r w:rsidR="00CE12D9" w:rsidRPr="00C62DF2">
        <w:rPr>
          <w:rStyle w:val="Emphasis"/>
          <w:rFonts w:ascii="Cambria" w:hAnsi="Cambria"/>
          <w:i w:val="0"/>
          <w:iCs w:val="0"/>
          <w:sz w:val="20"/>
          <w:szCs w:val="20"/>
        </w:rPr>
        <w:t>undo o</w:t>
      </w:r>
      <w:r w:rsidR="00CE12D9" w:rsidRPr="00C62DF2">
        <w:rPr>
          <w:rStyle w:val="Emphasis"/>
          <w:rFonts w:ascii="Cambria" w:hAnsi="Cambria"/>
          <w:sz w:val="20"/>
          <w:szCs w:val="20"/>
        </w:rPr>
        <w:t xml:space="preserve"> </w:t>
      </w:r>
      <w:r w:rsidR="00CE12D9" w:rsidRPr="00C62DF2">
        <w:rPr>
          <w:rStyle w:val="Emphasis"/>
          <w:rFonts w:ascii="Cambria" w:hAnsi="Cambria"/>
          <w:i w:val="0"/>
          <w:iCs w:val="0"/>
          <w:sz w:val="20"/>
          <w:szCs w:val="20"/>
        </w:rPr>
        <w:t>projeto “Brasil: Nunca Mais”, “[o] Ministério Público a</w:t>
      </w:r>
      <w:r w:rsidR="00307176" w:rsidRPr="00C62DF2">
        <w:rPr>
          <w:rStyle w:val="Emphasis"/>
          <w:rFonts w:ascii="Cambria" w:hAnsi="Cambria"/>
          <w:i w:val="0"/>
          <w:iCs w:val="0"/>
          <w:sz w:val="20"/>
          <w:szCs w:val="20"/>
        </w:rPr>
        <w:t>gia</w:t>
      </w:r>
      <w:r w:rsidR="00CE12D9" w:rsidRPr="00C62DF2">
        <w:rPr>
          <w:rStyle w:val="Emphasis"/>
          <w:rFonts w:ascii="Cambria" w:hAnsi="Cambria"/>
          <w:i w:val="0"/>
          <w:iCs w:val="0"/>
          <w:sz w:val="20"/>
          <w:szCs w:val="20"/>
        </w:rPr>
        <w:t xml:space="preserve"> mais como braç</w:t>
      </w:r>
      <w:r w:rsidR="00155439" w:rsidRPr="00C62DF2">
        <w:rPr>
          <w:rStyle w:val="Emphasis"/>
          <w:rFonts w:ascii="Cambria" w:hAnsi="Cambria"/>
          <w:i w:val="0"/>
          <w:iCs w:val="0"/>
          <w:sz w:val="20"/>
          <w:szCs w:val="20"/>
        </w:rPr>
        <w:t>o judicial dos organismos policiais de repres</w:t>
      </w:r>
      <w:r w:rsidR="00CE12D9" w:rsidRPr="00C62DF2">
        <w:rPr>
          <w:rStyle w:val="Emphasis"/>
          <w:rFonts w:ascii="Cambria" w:hAnsi="Cambria"/>
          <w:i w:val="0"/>
          <w:iCs w:val="0"/>
          <w:sz w:val="20"/>
          <w:szCs w:val="20"/>
        </w:rPr>
        <w:t>são</w:t>
      </w:r>
      <w:r w:rsidR="00155439" w:rsidRPr="00C62DF2">
        <w:rPr>
          <w:rStyle w:val="Emphasis"/>
          <w:rFonts w:ascii="Cambria" w:hAnsi="Cambria"/>
          <w:i w:val="0"/>
          <w:iCs w:val="0"/>
          <w:sz w:val="20"/>
          <w:szCs w:val="20"/>
        </w:rPr>
        <w:t xml:space="preserve"> política</w:t>
      </w:r>
      <w:r w:rsidR="00A40692" w:rsidRPr="00C62DF2">
        <w:rPr>
          <w:rStyle w:val="Emphasis"/>
          <w:rFonts w:ascii="Cambria" w:hAnsi="Cambria"/>
          <w:i w:val="0"/>
          <w:iCs w:val="0"/>
          <w:sz w:val="20"/>
          <w:szCs w:val="20"/>
        </w:rPr>
        <w:t xml:space="preserve"> </w:t>
      </w:r>
      <w:r w:rsidR="00155439" w:rsidRPr="00C62DF2">
        <w:rPr>
          <w:rStyle w:val="Emphasis"/>
          <w:rFonts w:ascii="Cambria" w:hAnsi="Cambria"/>
          <w:i w:val="0"/>
          <w:iCs w:val="0"/>
          <w:sz w:val="20"/>
          <w:szCs w:val="20"/>
        </w:rPr>
        <w:t xml:space="preserve">[,] </w:t>
      </w:r>
      <w:r w:rsidR="00CE12D9" w:rsidRPr="00C62DF2">
        <w:rPr>
          <w:rStyle w:val="Emphasis"/>
          <w:rFonts w:ascii="Cambria" w:hAnsi="Cambria"/>
          <w:i w:val="0"/>
          <w:iCs w:val="0"/>
          <w:sz w:val="20"/>
          <w:szCs w:val="20"/>
        </w:rPr>
        <w:t>do que como fiscal da lei</w:t>
      </w:r>
      <w:r w:rsidR="00155439" w:rsidRPr="00C62DF2">
        <w:rPr>
          <w:rStyle w:val="Emphasis"/>
          <w:rFonts w:ascii="Cambria" w:hAnsi="Cambria"/>
          <w:i w:val="0"/>
          <w:iCs w:val="0"/>
          <w:sz w:val="20"/>
          <w:szCs w:val="20"/>
        </w:rPr>
        <w:t xml:space="preserve"> e verdade</w:t>
      </w:r>
      <w:r w:rsidR="00CE12D9" w:rsidRPr="00C62DF2">
        <w:rPr>
          <w:rStyle w:val="Emphasis"/>
          <w:rFonts w:ascii="Cambria" w:hAnsi="Cambria"/>
          <w:i w:val="0"/>
          <w:iCs w:val="0"/>
          <w:sz w:val="20"/>
          <w:szCs w:val="20"/>
        </w:rPr>
        <w:t>iro titular da a</w:t>
      </w:r>
      <w:r w:rsidR="00155439" w:rsidRPr="00C62DF2">
        <w:rPr>
          <w:rStyle w:val="Emphasis"/>
          <w:rFonts w:ascii="Cambria" w:hAnsi="Cambria"/>
          <w:i w:val="0"/>
          <w:iCs w:val="0"/>
          <w:sz w:val="20"/>
          <w:szCs w:val="20"/>
        </w:rPr>
        <w:t>ção penal”</w:t>
      </w:r>
      <w:r w:rsidR="00155439" w:rsidRPr="00C62DF2">
        <w:rPr>
          <w:rStyle w:val="FootnoteReference"/>
          <w:rFonts w:ascii="Cambria" w:hAnsi="Cambria"/>
          <w:i/>
          <w:iCs/>
          <w:sz w:val="20"/>
          <w:szCs w:val="20"/>
        </w:rPr>
        <w:footnoteReference w:id="24"/>
      </w:r>
      <w:r w:rsidR="00155439" w:rsidRPr="00C62DF2">
        <w:rPr>
          <w:rStyle w:val="Emphasis"/>
          <w:rFonts w:ascii="Cambria" w:hAnsi="Cambria"/>
          <w:i w:val="0"/>
          <w:iCs w:val="0"/>
          <w:sz w:val="20"/>
          <w:szCs w:val="20"/>
        </w:rPr>
        <w:t>. De mane</w:t>
      </w:r>
      <w:r w:rsidR="00CE12D9" w:rsidRPr="00C62DF2">
        <w:rPr>
          <w:rStyle w:val="Emphasis"/>
          <w:rFonts w:ascii="Cambria" w:hAnsi="Cambria"/>
          <w:i w:val="0"/>
          <w:iCs w:val="0"/>
          <w:sz w:val="20"/>
          <w:szCs w:val="20"/>
        </w:rPr>
        <w:t>ira similar</w:t>
      </w:r>
      <w:r w:rsidR="00903D0A" w:rsidRPr="00C62DF2">
        <w:rPr>
          <w:rStyle w:val="Emphasis"/>
          <w:rFonts w:ascii="Cambria" w:hAnsi="Cambria"/>
          <w:i w:val="0"/>
          <w:iCs w:val="0"/>
          <w:sz w:val="20"/>
          <w:szCs w:val="20"/>
        </w:rPr>
        <w:t>,</w:t>
      </w:r>
      <w:r w:rsidR="00CE12D9" w:rsidRPr="00C62DF2">
        <w:rPr>
          <w:rStyle w:val="Emphasis"/>
          <w:rFonts w:ascii="Cambria" w:hAnsi="Cambria"/>
          <w:i w:val="0"/>
          <w:iCs w:val="0"/>
          <w:sz w:val="20"/>
          <w:szCs w:val="20"/>
        </w:rPr>
        <w:t xml:space="preserve"> o</w:t>
      </w:r>
      <w:r w:rsidR="00155439" w:rsidRPr="00C62DF2">
        <w:rPr>
          <w:rStyle w:val="Emphasis"/>
          <w:rFonts w:ascii="Cambria" w:hAnsi="Cambria"/>
          <w:i w:val="0"/>
          <w:iCs w:val="0"/>
          <w:sz w:val="20"/>
          <w:szCs w:val="20"/>
        </w:rPr>
        <w:t xml:space="preserve"> Relat</w:t>
      </w:r>
      <w:r w:rsidR="00CE12D9" w:rsidRPr="00C62DF2">
        <w:rPr>
          <w:rStyle w:val="Emphasis"/>
          <w:rFonts w:ascii="Cambria" w:hAnsi="Cambria"/>
          <w:i w:val="0"/>
          <w:iCs w:val="0"/>
          <w:sz w:val="20"/>
          <w:szCs w:val="20"/>
        </w:rPr>
        <w:t>ó</w:t>
      </w:r>
      <w:r w:rsidR="00155439" w:rsidRPr="00C62DF2">
        <w:rPr>
          <w:rStyle w:val="Emphasis"/>
          <w:rFonts w:ascii="Cambria" w:hAnsi="Cambria"/>
          <w:i w:val="0"/>
          <w:iCs w:val="0"/>
          <w:sz w:val="20"/>
          <w:szCs w:val="20"/>
        </w:rPr>
        <w:t>rio Final da CNV afirmou</w:t>
      </w:r>
      <w:r w:rsidR="00CE12D9" w:rsidRPr="00C62DF2">
        <w:rPr>
          <w:rStyle w:val="Emphasis"/>
          <w:rFonts w:ascii="Cambria" w:hAnsi="Cambria"/>
          <w:i w:val="0"/>
          <w:iCs w:val="0"/>
          <w:sz w:val="20"/>
          <w:szCs w:val="20"/>
        </w:rPr>
        <w:t xml:space="preserve"> que “</w:t>
      </w:r>
      <w:r w:rsidR="00155439" w:rsidRPr="00C62DF2">
        <w:rPr>
          <w:rStyle w:val="Emphasis"/>
          <w:rFonts w:ascii="Cambria" w:hAnsi="Cambria"/>
          <w:i w:val="0"/>
          <w:iCs w:val="0"/>
          <w:sz w:val="20"/>
          <w:szCs w:val="20"/>
        </w:rPr>
        <w:t>a justiça militar se consolidou</w:t>
      </w:r>
      <w:r w:rsidR="00CE12D9" w:rsidRPr="00C62DF2">
        <w:rPr>
          <w:rStyle w:val="Emphasis"/>
          <w:rFonts w:ascii="Cambria" w:hAnsi="Cambria"/>
          <w:i w:val="0"/>
          <w:iCs w:val="0"/>
          <w:sz w:val="20"/>
          <w:szCs w:val="20"/>
        </w:rPr>
        <w:t xml:space="preserve"> como a</w:t>
      </w:r>
      <w:r w:rsidR="00155439" w:rsidRPr="00C62DF2">
        <w:rPr>
          <w:rStyle w:val="Emphasis"/>
          <w:rFonts w:ascii="Cambria" w:hAnsi="Cambria"/>
          <w:i w:val="0"/>
          <w:iCs w:val="0"/>
          <w:sz w:val="20"/>
          <w:szCs w:val="20"/>
        </w:rPr>
        <w:t xml:space="preserve"> principa</w:t>
      </w:r>
      <w:r w:rsidR="00CE12D9" w:rsidRPr="00C62DF2">
        <w:rPr>
          <w:rStyle w:val="Emphasis"/>
          <w:rFonts w:ascii="Cambria" w:hAnsi="Cambria"/>
          <w:i w:val="0"/>
          <w:iCs w:val="0"/>
          <w:sz w:val="20"/>
          <w:szCs w:val="20"/>
        </w:rPr>
        <w:t>l instância punitiva política da ditadura, especialmente com a chegada do AI-2 (</w:t>
      </w:r>
      <w:r w:rsidR="00566CD5" w:rsidRPr="00C62DF2">
        <w:rPr>
          <w:rStyle w:val="Emphasis"/>
          <w:rFonts w:ascii="Cambria" w:hAnsi="Cambria"/>
          <w:i w:val="0"/>
          <w:iCs w:val="0"/>
          <w:sz w:val="20"/>
          <w:szCs w:val="20"/>
        </w:rPr>
        <w:t>Ato</w:t>
      </w:r>
      <w:r w:rsidR="00CE12D9" w:rsidRPr="00C62DF2">
        <w:rPr>
          <w:rStyle w:val="Emphasis"/>
          <w:rFonts w:ascii="Cambria" w:hAnsi="Cambria"/>
          <w:i w:val="0"/>
          <w:iCs w:val="0"/>
          <w:sz w:val="20"/>
          <w:szCs w:val="20"/>
        </w:rPr>
        <w:t xml:space="preserve"> Institucional Nº </w:t>
      </w:r>
      <w:r w:rsidR="00155439" w:rsidRPr="00C62DF2">
        <w:rPr>
          <w:rStyle w:val="Emphasis"/>
          <w:rFonts w:ascii="Cambria" w:hAnsi="Cambria"/>
          <w:i w:val="0"/>
          <w:iCs w:val="0"/>
          <w:sz w:val="20"/>
          <w:szCs w:val="20"/>
        </w:rPr>
        <w:t xml:space="preserve">2), </w:t>
      </w:r>
      <w:r w:rsidR="006F662C" w:rsidRPr="00C62DF2">
        <w:rPr>
          <w:rStyle w:val="Emphasis"/>
          <w:rFonts w:ascii="Cambria" w:hAnsi="Cambria"/>
          <w:i w:val="0"/>
          <w:iCs w:val="0"/>
          <w:sz w:val="20"/>
          <w:szCs w:val="20"/>
        </w:rPr>
        <w:t>na medida em</w:t>
      </w:r>
      <w:r w:rsidR="00155439" w:rsidRPr="00C62DF2">
        <w:rPr>
          <w:rStyle w:val="Emphasis"/>
          <w:rFonts w:ascii="Cambria" w:hAnsi="Cambria"/>
          <w:i w:val="0"/>
          <w:iCs w:val="0"/>
          <w:sz w:val="20"/>
          <w:szCs w:val="20"/>
        </w:rPr>
        <w:t xml:space="preserve"> que su</w:t>
      </w:r>
      <w:r w:rsidR="006F662C" w:rsidRPr="00C62DF2">
        <w:rPr>
          <w:rStyle w:val="Emphasis"/>
          <w:rFonts w:ascii="Cambria" w:hAnsi="Cambria"/>
          <w:i w:val="0"/>
          <w:iCs w:val="0"/>
          <w:sz w:val="20"/>
          <w:szCs w:val="20"/>
        </w:rPr>
        <w:t>a</w:t>
      </w:r>
      <w:r w:rsidR="00155439" w:rsidRPr="00C62DF2">
        <w:rPr>
          <w:rStyle w:val="Emphasis"/>
          <w:rFonts w:ascii="Cambria" w:hAnsi="Cambria"/>
          <w:i w:val="0"/>
          <w:iCs w:val="0"/>
          <w:sz w:val="20"/>
          <w:szCs w:val="20"/>
        </w:rPr>
        <w:t>s atribu</w:t>
      </w:r>
      <w:r w:rsidR="006F662C" w:rsidRPr="00C62DF2">
        <w:rPr>
          <w:rStyle w:val="Emphasis"/>
          <w:rFonts w:ascii="Cambria" w:hAnsi="Cambria"/>
          <w:i w:val="0"/>
          <w:iCs w:val="0"/>
          <w:sz w:val="20"/>
          <w:szCs w:val="20"/>
        </w:rPr>
        <w:t>i</w:t>
      </w:r>
      <w:r w:rsidR="00155439" w:rsidRPr="00C62DF2">
        <w:rPr>
          <w:rStyle w:val="Emphasis"/>
          <w:rFonts w:ascii="Cambria" w:hAnsi="Cambria"/>
          <w:i w:val="0"/>
          <w:iCs w:val="0"/>
          <w:sz w:val="20"/>
          <w:szCs w:val="20"/>
        </w:rPr>
        <w:t>ções f</w:t>
      </w:r>
      <w:r w:rsidR="006F662C" w:rsidRPr="00C62DF2">
        <w:rPr>
          <w:rStyle w:val="Emphasis"/>
          <w:rFonts w:ascii="Cambria" w:hAnsi="Cambria"/>
          <w:i w:val="0"/>
          <w:iCs w:val="0"/>
          <w:sz w:val="20"/>
          <w:szCs w:val="20"/>
        </w:rPr>
        <w:t>oram</w:t>
      </w:r>
      <w:r w:rsidR="00155439" w:rsidRPr="00C62DF2">
        <w:rPr>
          <w:rStyle w:val="Emphasis"/>
          <w:rFonts w:ascii="Cambria" w:hAnsi="Cambria"/>
          <w:i w:val="0"/>
          <w:iCs w:val="0"/>
          <w:sz w:val="20"/>
          <w:szCs w:val="20"/>
        </w:rPr>
        <w:t xml:space="preserve"> ampliadas para proces</w:t>
      </w:r>
      <w:r w:rsidR="006F662C" w:rsidRPr="00C62DF2">
        <w:rPr>
          <w:rStyle w:val="Emphasis"/>
          <w:rFonts w:ascii="Cambria" w:hAnsi="Cambria"/>
          <w:i w:val="0"/>
          <w:iCs w:val="0"/>
          <w:sz w:val="20"/>
          <w:szCs w:val="20"/>
        </w:rPr>
        <w:t xml:space="preserve">sar e julgar civis acusados por </w:t>
      </w:r>
      <w:r w:rsidR="00801230" w:rsidRPr="00C62DF2">
        <w:rPr>
          <w:rStyle w:val="Emphasis"/>
          <w:rFonts w:ascii="Cambria" w:hAnsi="Cambria"/>
          <w:i w:val="0"/>
          <w:iCs w:val="0"/>
          <w:sz w:val="20"/>
          <w:szCs w:val="20"/>
        </w:rPr>
        <w:t>crimes</w:t>
      </w:r>
      <w:r w:rsidR="006F662C" w:rsidRPr="00C62DF2">
        <w:rPr>
          <w:rStyle w:val="Emphasis"/>
          <w:rFonts w:ascii="Cambria" w:hAnsi="Cambria"/>
          <w:i w:val="0"/>
          <w:iCs w:val="0"/>
          <w:sz w:val="20"/>
          <w:szCs w:val="20"/>
        </w:rPr>
        <w:t xml:space="preserve"> contra </w:t>
      </w:r>
      <w:r w:rsidR="00155439" w:rsidRPr="00C62DF2">
        <w:rPr>
          <w:rStyle w:val="Emphasis"/>
          <w:rFonts w:ascii="Cambria" w:hAnsi="Cambria"/>
          <w:i w:val="0"/>
          <w:iCs w:val="0"/>
          <w:sz w:val="20"/>
          <w:szCs w:val="20"/>
        </w:rPr>
        <w:t>a segurança nacional”</w:t>
      </w:r>
      <w:r w:rsidR="00155439" w:rsidRPr="00C62DF2">
        <w:rPr>
          <w:rStyle w:val="Emphasis"/>
          <w:rFonts w:ascii="Cambria" w:hAnsi="Cambria"/>
          <w:sz w:val="20"/>
          <w:szCs w:val="20"/>
        </w:rPr>
        <w:t>.</w:t>
      </w:r>
      <w:r w:rsidR="00155439" w:rsidRPr="00C62DF2">
        <w:rPr>
          <w:rStyle w:val="FootnoteReference"/>
          <w:rFonts w:ascii="Cambria" w:hAnsi="Cambria"/>
          <w:bCs/>
          <w:sz w:val="20"/>
          <w:szCs w:val="20"/>
        </w:rPr>
        <w:footnoteReference w:id="25"/>
      </w:r>
      <w:r w:rsidR="00155439" w:rsidRPr="00C62DF2">
        <w:rPr>
          <w:rStyle w:val="Emphasis"/>
          <w:rFonts w:ascii="Cambria" w:hAnsi="Cambria"/>
          <w:sz w:val="20"/>
          <w:szCs w:val="20"/>
        </w:rPr>
        <w:t xml:space="preserve"> </w:t>
      </w:r>
    </w:p>
    <w:p w14:paraId="6DF7C4EA" w14:textId="77777777" w:rsidR="00155439" w:rsidRPr="00C62DF2" w:rsidRDefault="00155439" w:rsidP="00FC0CB6">
      <w:pPr>
        <w:ind w:left="720"/>
        <w:jc w:val="both"/>
        <w:rPr>
          <w:rStyle w:val="Emphasis"/>
          <w:rFonts w:ascii="Cambria" w:hAnsi="Cambria"/>
          <w:i w:val="0"/>
          <w:iCs w:val="0"/>
          <w:sz w:val="20"/>
          <w:szCs w:val="20"/>
        </w:rPr>
      </w:pPr>
    </w:p>
    <w:p w14:paraId="554A391C" w14:textId="56CE3101" w:rsidR="00155439" w:rsidRPr="00C62DF2" w:rsidRDefault="006F662C" w:rsidP="00FC0CB6">
      <w:pPr>
        <w:numPr>
          <w:ilvl w:val="0"/>
          <w:numId w:val="2"/>
        </w:numPr>
        <w:jc w:val="both"/>
        <w:rPr>
          <w:rStyle w:val="Emphasis"/>
          <w:rFonts w:ascii="Cambria" w:hAnsi="Cambria"/>
          <w:i w:val="0"/>
          <w:iCs w:val="0"/>
          <w:sz w:val="20"/>
          <w:szCs w:val="20"/>
        </w:rPr>
      </w:pPr>
      <w:r w:rsidRPr="00C62DF2">
        <w:rPr>
          <w:rFonts w:ascii="Cambria" w:hAnsi="Cambria"/>
          <w:sz w:val="20"/>
          <w:szCs w:val="20"/>
        </w:rPr>
        <w:t>Em</w:t>
      </w:r>
      <w:r w:rsidR="00155439" w:rsidRPr="00C62DF2">
        <w:rPr>
          <w:rFonts w:ascii="Cambria" w:hAnsi="Cambria"/>
          <w:sz w:val="20"/>
          <w:szCs w:val="20"/>
        </w:rPr>
        <w:t xml:space="preserve"> 15 de m</w:t>
      </w:r>
      <w:r w:rsidRPr="00C62DF2">
        <w:rPr>
          <w:rFonts w:ascii="Cambria" w:hAnsi="Cambria"/>
          <w:sz w:val="20"/>
          <w:szCs w:val="20"/>
        </w:rPr>
        <w:t>arço de 1979, o</w:t>
      </w:r>
      <w:r w:rsidR="00155439" w:rsidRPr="00C62DF2">
        <w:rPr>
          <w:rFonts w:ascii="Cambria" w:hAnsi="Cambria"/>
          <w:sz w:val="20"/>
          <w:szCs w:val="20"/>
        </w:rPr>
        <w:t xml:space="preserve"> General João Baptista de Oliveira Figueiredo a</w:t>
      </w:r>
      <w:r w:rsidRPr="00C62DF2">
        <w:rPr>
          <w:rFonts w:ascii="Cambria" w:hAnsi="Cambria"/>
          <w:sz w:val="20"/>
          <w:szCs w:val="20"/>
        </w:rPr>
        <w:t>s</w:t>
      </w:r>
      <w:r w:rsidR="00155439" w:rsidRPr="00C62DF2">
        <w:rPr>
          <w:rFonts w:ascii="Cambria" w:hAnsi="Cambria"/>
          <w:sz w:val="20"/>
          <w:szCs w:val="20"/>
        </w:rPr>
        <w:t>sumiu</w:t>
      </w:r>
      <w:r w:rsidRPr="00C62DF2">
        <w:rPr>
          <w:rFonts w:ascii="Cambria" w:hAnsi="Cambria"/>
          <w:sz w:val="20"/>
          <w:szCs w:val="20"/>
        </w:rPr>
        <w:t xml:space="preserve"> a Presidê</w:t>
      </w:r>
      <w:r w:rsidR="00155439" w:rsidRPr="00C62DF2">
        <w:rPr>
          <w:rFonts w:ascii="Cambria" w:hAnsi="Cambria"/>
          <w:sz w:val="20"/>
          <w:szCs w:val="20"/>
        </w:rPr>
        <w:t>ncia da República</w:t>
      </w:r>
      <w:r w:rsidR="00155439" w:rsidRPr="00C62DF2">
        <w:rPr>
          <w:rStyle w:val="FootnoteReference"/>
          <w:rFonts w:ascii="Cambria" w:hAnsi="Cambria"/>
          <w:sz w:val="20"/>
          <w:szCs w:val="20"/>
        </w:rPr>
        <w:footnoteReference w:id="26"/>
      </w:r>
      <w:r w:rsidRPr="00C62DF2">
        <w:rPr>
          <w:rFonts w:ascii="Cambria" w:hAnsi="Cambria"/>
          <w:sz w:val="20"/>
          <w:szCs w:val="20"/>
        </w:rPr>
        <w:t>. No dia 28 de agosto do mesmo ano foi sancionada a Lei</w:t>
      </w:r>
      <w:r w:rsidR="00155439" w:rsidRPr="00C62DF2">
        <w:rPr>
          <w:rFonts w:ascii="Cambria" w:hAnsi="Cambria"/>
          <w:sz w:val="20"/>
          <w:szCs w:val="20"/>
        </w:rPr>
        <w:t xml:space="preserve"> 6.683 (</w:t>
      </w:r>
      <w:r w:rsidRPr="00C62DF2">
        <w:rPr>
          <w:rFonts w:ascii="Cambria" w:hAnsi="Cambria"/>
          <w:sz w:val="20"/>
          <w:szCs w:val="20"/>
        </w:rPr>
        <w:t>doravante “Lei</w:t>
      </w:r>
      <w:r w:rsidR="00155439" w:rsidRPr="00C62DF2">
        <w:rPr>
          <w:rFonts w:ascii="Cambria" w:hAnsi="Cambria"/>
          <w:sz w:val="20"/>
          <w:szCs w:val="20"/>
        </w:rPr>
        <w:t xml:space="preserve"> de Anistia” o</w:t>
      </w:r>
      <w:r w:rsidRPr="00C62DF2">
        <w:rPr>
          <w:rFonts w:ascii="Cambria" w:hAnsi="Cambria"/>
          <w:sz w:val="20"/>
          <w:szCs w:val="20"/>
        </w:rPr>
        <w:t>u “Lei</w:t>
      </w:r>
      <w:r w:rsidR="00155439" w:rsidRPr="00C62DF2">
        <w:rPr>
          <w:rFonts w:ascii="Cambria" w:hAnsi="Cambria"/>
          <w:sz w:val="20"/>
          <w:szCs w:val="20"/>
        </w:rPr>
        <w:t xml:space="preserve"> 6.683/79”), que extinguiu</w:t>
      </w:r>
      <w:r w:rsidRPr="00C62DF2">
        <w:rPr>
          <w:rFonts w:ascii="Cambria" w:hAnsi="Cambria"/>
          <w:sz w:val="20"/>
          <w:szCs w:val="20"/>
        </w:rPr>
        <w:t xml:space="preserve"> a</w:t>
      </w:r>
      <w:r w:rsidR="00155439" w:rsidRPr="00C62DF2">
        <w:rPr>
          <w:rFonts w:ascii="Cambria" w:hAnsi="Cambria"/>
          <w:sz w:val="20"/>
          <w:szCs w:val="20"/>
        </w:rPr>
        <w:t xml:space="preserve"> responsabilidad</w:t>
      </w:r>
      <w:r w:rsidRPr="00C62DF2">
        <w:rPr>
          <w:rFonts w:ascii="Cambria" w:hAnsi="Cambria"/>
          <w:sz w:val="20"/>
          <w:szCs w:val="20"/>
        </w:rPr>
        <w:t>e</w:t>
      </w:r>
      <w:r w:rsidR="00155439" w:rsidRPr="00C62DF2">
        <w:rPr>
          <w:rFonts w:ascii="Cambria" w:hAnsi="Cambria"/>
          <w:sz w:val="20"/>
          <w:szCs w:val="20"/>
        </w:rPr>
        <w:t xml:space="preserve"> penal de todos </w:t>
      </w:r>
      <w:r w:rsidRPr="00C62DF2">
        <w:rPr>
          <w:rFonts w:ascii="Cambria" w:hAnsi="Cambria"/>
          <w:sz w:val="20"/>
          <w:szCs w:val="20"/>
        </w:rPr>
        <w:t>os indivíduos que haviam</w:t>
      </w:r>
      <w:r w:rsidR="00155439" w:rsidRPr="00C62DF2">
        <w:rPr>
          <w:rFonts w:ascii="Cambria" w:hAnsi="Cambria"/>
          <w:sz w:val="20"/>
          <w:szCs w:val="20"/>
        </w:rPr>
        <w:t xml:space="preserve"> cometido “cr</w:t>
      </w:r>
      <w:r w:rsidRPr="00C62DF2">
        <w:rPr>
          <w:rFonts w:ascii="Cambria" w:hAnsi="Cambria"/>
          <w:sz w:val="20"/>
          <w:szCs w:val="20"/>
        </w:rPr>
        <w:t xml:space="preserve">imes </w:t>
      </w:r>
      <w:r w:rsidR="00155439" w:rsidRPr="00C62DF2">
        <w:rPr>
          <w:rFonts w:ascii="Cambria" w:hAnsi="Cambria"/>
          <w:sz w:val="20"/>
          <w:szCs w:val="20"/>
        </w:rPr>
        <w:t>políticos o</w:t>
      </w:r>
      <w:r w:rsidRPr="00C62DF2">
        <w:rPr>
          <w:rFonts w:ascii="Cambria" w:hAnsi="Cambria"/>
          <w:sz w:val="20"/>
          <w:szCs w:val="20"/>
        </w:rPr>
        <w:t>u conexos com estes” no período de</w:t>
      </w:r>
      <w:r w:rsidR="00155439" w:rsidRPr="00C62DF2">
        <w:rPr>
          <w:rFonts w:ascii="Cambria" w:hAnsi="Cambria"/>
          <w:sz w:val="20"/>
          <w:szCs w:val="20"/>
        </w:rPr>
        <w:t xml:space="preserve"> 2 de setembro</w:t>
      </w:r>
      <w:r w:rsidRPr="00C62DF2">
        <w:rPr>
          <w:rFonts w:ascii="Cambria" w:hAnsi="Cambria"/>
          <w:sz w:val="20"/>
          <w:szCs w:val="20"/>
        </w:rPr>
        <w:t xml:space="preserve"> de 1961 a</w:t>
      </w:r>
      <w:r w:rsidR="00155439" w:rsidRPr="00C62DF2">
        <w:rPr>
          <w:rFonts w:ascii="Cambria" w:hAnsi="Cambria"/>
          <w:sz w:val="20"/>
          <w:szCs w:val="20"/>
        </w:rPr>
        <w:t xml:space="preserve"> 15 de agosto de 1979</w:t>
      </w:r>
      <w:r w:rsidR="00155439" w:rsidRPr="00C62DF2">
        <w:rPr>
          <w:rStyle w:val="FootnoteReference"/>
          <w:rFonts w:ascii="Cambria" w:hAnsi="Cambria"/>
          <w:sz w:val="20"/>
          <w:szCs w:val="20"/>
        </w:rPr>
        <w:footnoteReference w:id="27"/>
      </w:r>
      <w:r w:rsidRPr="00C62DF2">
        <w:rPr>
          <w:rFonts w:ascii="Cambria" w:hAnsi="Cambria"/>
          <w:sz w:val="20"/>
          <w:szCs w:val="20"/>
        </w:rPr>
        <w:t>. A Lei</w:t>
      </w:r>
      <w:r w:rsidR="00155439" w:rsidRPr="00C62DF2">
        <w:rPr>
          <w:rFonts w:ascii="Cambria" w:hAnsi="Cambria"/>
          <w:sz w:val="20"/>
          <w:szCs w:val="20"/>
        </w:rPr>
        <w:t xml:space="preserve"> de Anistia t</w:t>
      </w:r>
      <w:r w:rsidRPr="00C62DF2">
        <w:rPr>
          <w:rFonts w:ascii="Cambria" w:hAnsi="Cambria"/>
          <w:sz w:val="20"/>
          <w:szCs w:val="20"/>
        </w:rPr>
        <w:t>inha</w:t>
      </w:r>
      <w:r w:rsidR="00155439" w:rsidRPr="00C62DF2">
        <w:rPr>
          <w:rFonts w:ascii="Cambria" w:hAnsi="Cambria"/>
          <w:sz w:val="20"/>
          <w:szCs w:val="20"/>
        </w:rPr>
        <w:t xml:space="preserve"> como </w:t>
      </w:r>
      <w:r w:rsidR="00566CD5" w:rsidRPr="00C62DF2">
        <w:rPr>
          <w:rFonts w:ascii="Cambria" w:hAnsi="Cambria"/>
          <w:sz w:val="20"/>
          <w:szCs w:val="20"/>
        </w:rPr>
        <w:t>propósito</w:t>
      </w:r>
      <w:r w:rsidRPr="00C62DF2">
        <w:rPr>
          <w:rFonts w:ascii="Cambria" w:hAnsi="Cambria"/>
          <w:sz w:val="20"/>
          <w:szCs w:val="20"/>
        </w:rPr>
        <w:t xml:space="preserve"> principal indultar os ci</w:t>
      </w:r>
      <w:r w:rsidR="00155439" w:rsidRPr="00C62DF2">
        <w:rPr>
          <w:rFonts w:ascii="Cambria" w:hAnsi="Cambria"/>
          <w:sz w:val="20"/>
          <w:szCs w:val="20"/>
        </w:rPr>
        <w:t>dad</w:t>
      </w:r>
      <w:r w:rsidRPr="00C62DF2">
        <w:rPr>
          <w:rFonts w:ascii="Cambria" w:hAnsi="Cambria"/>
          <w:sz w:val="20"/>
          <w:szCs w:val="20"/>
        </w:rPr>
        <w:t>ã</w:t>
      </w:r>
      <w:r w:rsidR="00155439" w:rsidRPr="00C62DF2">
        <w:rPr>
          <w:rFonts w:ascii="Cambria" w:hAnsi="Cambria"/>
          <w:sz w:val="20"/>
          <w:szCs w:val="20"/>
        </w:rPr>
        <w:t>os que f</w:t>
      </w:r>
      <w:r w:rsidRPr="00C62DF2">
        <w:rPr>
          <w:rFonts w:ascii="Cambria" w:hAnsi="Cambria"/>
          <w:sz w:val="20"/>
          <w:szCs w:val="20"/>
        </w:rPr>
        <w:t>oram</w:t>
      </w:r>
      <w:r w:rsidR="00155439" w:rsidRPr="00C62DF2">
        <w:rPr>
          <w:rFonts w:ascii="Cambria" w:hAnsi="Cambria"/>
          <w:sz w:val="20"/>
          <w:szCs w:val="20"/>
        </w:rPr>
        <w:t xml:space="preserve"> proces</w:t>
      </w:r>
      <w:r w:rsidRPr="00C62DF2">
        <w:rPr>
          <w:rFonts w:ascii="Cambria" w:hAnsi="Cambria"/>
          <w:sz w:val="20"/>
          <w:szCs w:val="20"/>
        </w:rPr>
        <w:t>sados com</w:t>
      </w:r>
      <w:r w:rsidR="00155439" w:rsidRPr="00C62DF2">
        <w:rPr>
          <w:rFonts w:ascii="Cambria" w:hAnsi="Cambria"/>
          <w:sz w:val="20"/>
          <w:szCs w:val="20"/>
        </w:rPr>
        <w:t xml:space="preserve"> base </w:t>
      </w:r>
      <w:r w:rsidRPr="00C62DF2">
        <w:rPr>
          <w:rFonts w:ascii="Cambria" w:hAnsi="Cambria"/>
          <w:sz w:val="20"/>
          <w:szCs w:val="20"/>
        </w:rPr>
        <w:t>nas</w:t>
      </w:r>
      <w:r w:rsidR="00155439" w:rsidRPr="00C62DF2">
        <w:rPr>
          <w:rFonts w:ascii="Cambria" w:hAnsi="Cambria"/>
          <w:sz w:val="20"/>
          <w:szCs w:val="20"/>
        </w:rPr>
        <w:t xml:space="preserve"> nor</w:t>
      </w:r>
      <w:r w:rsidRPr="00C62DF2">
        <w:rPr>
          <w:rFonts w:ascii="Cambria" w:hAnsi="Cambria"/>
          <w:sz w:val="20"/>
          <w:szCs w:val="20"/>
        </w:rPr>
        <w:t>mas de exceção aprov</w:t>
      </w:r>
      <w:r w:rsidR="00155439" w:rsidRPr="00C62DF2">
        <w:rPr>
          <w:rFonts w:ascii="Cambria" w:hAnsi="Cambria"/>
          <w:sz w:val="20"/>
          <w:szCs w:val="20"/>
        </w:rPr>
        <w:t>adas p</w:t>
      </w:r>
      <w:r w:rsidRPr="00C62DF2">
        <w:rPr>
          <w:rFonts w:ascii="Cambria" w:hAnsi="Cambria"/>
          <w:sz w:val="20"/>
          <w:szCs w:val="20"/>
        </w:rPr>
        <w:t>el</w:t>
      </w:r>
      <w:r w:rsidR="00155439" w:rsidRPr="00C62DF2">
        <w:rPr>
          <w:rFonts w:ascii="Cambria" w:hAnsi="Cambria"/>
          <w:sz w:val="20"/>
          <w:szCs w:val="20"/>
        </w:rPr>
        <w:t>o</w:t>
      </w:r>
      <w:r w:rsidRPr="00C62DF2">
        <w:rPr>
          <w:rFonts w:ascii="Cambria" w:hAnsi="Cambria"/>
          <w:sz w:val="20"/>
          <w:szCs w:val="20"/>
        </w:rPr>
        <w:t xml:space="preserve"> gov</w:t>
      </w:r>
      <w:r w:rsidR="00155439" w:rsidRPr="00C62DF2">
        <w:rPr>
          <w:rFonts w:ascii="Cambria" w:hAnsi="Cambria"/>
          <w:sz w:val="20"/>
          <w:szCs w:val="20"/>
        </w:rPr>
        <w:t xml:space="preserve">erno militar. </w:t>
      </w:r>
      <w:r w:rsidRPr="00C62DF2">
        <w:rPr>
          <w:rFonts w:ascii="Cambria" w:hAnsi="Cambria"/>
          <w:sz w:val="20"/>
          <w:szCs w:val="20"/>
        </w:rPr>
        <w:t>No entanto</w:t>
      </w:r>
      <w:r w:rsidR="00155439" w:rsidRPr="00C62DF2">
        <w:rPr>
          <w:rFonts w:ascii="Cambria" w:hAnsi="Cambria"/>
          <w:sz w:val="20"/>
          <w:szCs w:val="20"/>
        </w:rPr>
        <w:t>, incorporou</w:t>
      </w:r>
      <w:r w:rsidR="007D61AB" w:rsidRPr="00C62DF2">
        <w:rPr>
          <w:rFonts w:ascii="Cambria" w:hAnsi="Cambria"/>
          <w:sz w:val="20"/>
          <w:szCs w:val="20"/>
        </w:rPr>
        <w:t>-se</w:t>
      </w:r>
      <w:r w:rsidRPr="00C62DF2">
        <w:rPr>
          <w:rFonts w:ascii="Cambria" w:hAnsi="Cambria"/>
          <w:sz w:val="20"/>
          <w:szCs w:val="20"/>
        </w:rPr>
        <w:t xml:space="preserve"> o concei</w:t>
      </w:r>
      <w:r w:rsidR="00155439" w:rsidRPr="00C62DF2">
        <w:rPr>
          <w:rFonts w:ascii="Cambria" w:hAnsi="Cambria"/>
          <w:sz w:val="20"/>
          <w:szCs w:val="20"/>
        </w:rPr>
        <w:t>to de “cr</w:t>
      </w:r>
      <w:r w:rsidRPr="00C62DF2">
        <w:rPr>
          <w:rFonts w:ascii="Cambria" w:hAnsi="Cambria"/>
          <w:sz w:val="20"/>
          <w:szCs w:val="20"/>
        </w:rPr>
        <w:t>imes conexos” “para beneficiar, na teoria, os agentes do</w:t>
      </w:r>
      <w:r w:rsidR="00155439" w:rsidRPr="00C62DF2">
        <w:rPr>
          <w:rFonts w:ascii="Cambria" w:hAnsi="Cambria"/>
          <w:sz w:val="20"/>
          <w:szCs w:val="20"/>
        </w:rPr>
        <w:t xml:space="preserve"> Estado </w:t>
      </w:r>
      <w:r w:rsidRPr="00C62DF2">
        <w:rPr>
          <w:rFonts w:ascii="Cambria" w:hAnsi="Cambria"/>
          <w:sz w:val="20"/>
          <w:szCs w:val="20"/>
        </w:rPr>
        <w:t>envolvidos na prática de torturas e assas</w:t>
      </w:r>
      <w:r w:rsidR="00155439" w:rsidRPr="00C62DF2">
        <w:rPr>
          <w:rFonts w:ascii="Cambria" w:hAnsi="Cambria"/>
          <w:sz w:val="20"/>
          <w:szCs w:val="20"/>
        </w:rPr>
        <w:t>sinatos”</w:t>
      </w:r>
      <w:r w:rsidR="00155439" w:rsidRPr="00C62DF2">
        <w:rPr>
          <w:rStyle w:val="FootnoteReference"/>
          <w:rFonts w:ascii="Cambria" w:hAnsi="Cambria"/>
          <w:sz w:val="20"/>
          <w:szCs w:val="20"/>
        </w:rPr>
        <w:footnoteReference w:id="28"/>
      </w:r>
      <w:r w:rsidR="00155439" w:rsidRPr="00C62DF2">
        <w:rPr>
          <w:rFonts w:ascii="Cambria" w:hAnsi="Cambria"/>
          <w:sz w:val="20"/>
          <w:szCs w:val="20"/>
        </w:rPr>
        <w:t>.</w:t>
      </w:r>
    </w:p>
    <w:p w14:paraId="1B7DBF37" w14:textId="77777777" w:rsidR="00155439" w:rsidRPr="00C62DF2" w:rsidRDefault="00155439" w:rsidP="00FC0CB6">
      <w:pPr>
        <w:pStyle w:val="ListParagraph"/>
        <w:ind w:firstLine="0"/>
        <w:rPr>
          <w:rStyle w:val="Emphasis"/>
          <w:rFonts w:cs="Arial"/>
          <w:i w:val="0"/>
          <w:sz w:val="20"/>
          <w:szCs w:val="20"/>
          <w:lang w:val="pt-BR"/>
        </w:rPr>
      </w:pPr>
    </w:p>
    <w:p w14:paraId="421D64DE" w14:textId="220A25B4" w:rsidR="00155439" w:rsidRPr="00C62DF2" w:rsidRDefault="006F662C" w:rsidP="00FC0CB6">
      <w:pPr>
        <w:numPr>
          <w:ilvl w:val="0"/>
          <w:numId w:val="2"/>
        </w:numPr>
        <w:jc w:val="both"/>
        <w:rPr>
          <w:rStyle w:val="Emphasis"/>
          <w:rFonts w:ascii="Cambria" w:hAnsi="Cambria"/>
          <w:i w:val="0"/>
          <w:iCs w:val="0"/>
          <w:sz w:val="20"/>
          <w:szCs w:val="20"/>
        </w:rPr>
      </w:pPr>
      <w:r w:rsidRPr="00C62DF2">
        <w:rPr>
          <w:rStyle w:val="Emphasis"/>
          <w:rFonts w:ascii="Cambria" w:hAnsi="Cambria" w:cs="Arial"/>
          <w:i w:val="0"/>
          <w:iCs w:val="0"/>
          <w:sz w:val="20"/>
          <w:szCs w:val="20"/>
        </w:rPr>
        <w:t xml:space="preserve">A esse respeito, </w:t>
      </w:r>
      <w:r w:rsidR="00155439" w:rsidRPr="00C62DF2">
        <w:rPr>
          <w:rStyle w:val="Emphasis"/>
          <w:rFonts w:ascii="Cambria" w:hAnsi="Cambria" w:cs="Arial"/>
          <w:i w:val="0"/>
          <w:iCs w:val="0"/>
          <w:sz w:val="20"/>
          <w:szCs w:val="20"/>
        </w:rPr>
        <w:t>a CEMDP constatou q</w:t>
      </w:r>
      <w:r w:rsidRPr="00C62DF2">
        <w:rPr>
          <w:rStyle w:val="Emphasis"/>
          <w:rFonts w:ascii="Cambria" w:hAnsi="Cambria" w:cs="Arial"/>
          <w:i w:val="0"/>
          <w:iCs w:val="0"/>
          <w:sz w:val="20"/>
          <w:szCs w:val="20"/>
        </w:rPr>
        <w:t>ue</w:t>
      </w:r>
      <w:r w:rsidR="007D61AB" w:rsidRPr="00C62DF2">
        <w:rPr>
          <w:rStyle w:val="Emphasis"/>
          <w:rFonts w:ascii="Cambria" w:hAnsi="Cambria" w:cs="Arial"/>
          <w:i w:val="0"/>
          <w:iCs w:val="0"/>
          <w:sz w:val="20"/>
          <w:szCs w:val="20"/>
        </w:rPr>
        <w:t>,</w:t>
      </w:r>
      <w:r w:rsidRPr="00C62DF2">
        <w:rPr>
          <w:rStyle w:val="Emphasis"/>
          <w:rFonts w:ascii="Cambria" w:hAnsi="Cambria" w:cs="Arial"/>
          <w:i w:val="0"/>
          <w:iCs w:val="0"/>
          <w:sz w:val="20"/>
          <w:szCs w:val="20"/>
        </w:rPr>
        <w:t xml:space="preserve"> a partir da adoção da Lei</w:t>
      </w:r>
      <w:r w:rsidR="00155439" w:rsidRPr="00C62DF2">
        <w:rPr>
          <w:rStyle w:val="Emphasis"/>
          <w:rFonts w:ascii="Cambria" w:hAnsi="Cambria" w:cs="Arial"/>
          <w:i w:val="0"/>
          <w:iCs w:val="0"/>
          <w:sz w:val="20"/>
          <w:szCs w:val="20"/>
        </w:rPr>
        <w:t xml:space="preserve"> </w:t>
      </w:r>
      <w:r w:rsidR="00155439" w:rsidRPr="00C62DF2">
        <w:rPr>
          <w:rFonts w:ascii="Cambria" w:hAnsi="Cambria"/>
          <w:sz w:val="20"/>
          <w:szCs w:val="20"/>
        </w:rPr>
        <w:t>6.683/79</w:t>
      </w:r>
      <w:r w:rsidR="007D61AB" w:rsidRPr="00C62DF2">
        <w:rPr>
          <w:rFonts w:ascii="Cambria" w:hAnsi="Cambria"/>
          <w:i/>
          <w:iCs/>
          <w:sz w:val="20"/>
          <w:szCs w:val="20"/>
        </w:rPr>
        <w:t>,</w:t>
      </w:r>
      <w:r w:rsidR="00155439" w:rsidRPr="00C62DF2">
        <w:rPr>
          <w:rStyle w:val="Emphasis"/>
          <w:rFonts w:ascii="Cambria" w:hAnsi="Cambria" w:cs="Arial"/>
          <w:i w:val="0"/>
          <w:iCs w:val="0"/>
          <w:sz w:val="20"/>
          <w:szCs w:val="20"/>
        </w:rPr>
        <w:t xml:space="preserve"> “prevalec</w:t>
      </w:r>
      <w:r w:rsidRPr="00C62DF2">
        <w:rPr>
          <w:rStyle w:val="Emphasis"/>
          <w:rFonts w:ascii="Cambria" w:hAnsi="Cambria" w:cs="Arial"/>
          <w:i w:val="0"/>
          <w:iCs w:val="0"/>
          <w:sz w:val="20"/>
          <w:szCs w:val="20"/>
        </w:rPr>
        <w:t xml:space="preserve">eu como interpretação oficial […] </w:t>
      </w:r>
      <w:r w:rsidR="00155439" w:rsidRPr="00C62DF2">
        <w:rPr>
          <w:rStyle w:val="Emphasis"/>
          <w:rFonts w:ascii="Cambria" w:hAnsi="Cambria" w:cs="Arial"/>
          <w:i w:val="0"/>
          <w:iCs w:val="0"/>
          <w:sz w:val="20"/>
          <w:szCs w:val="20"/>
        </w:rPr>
        <w:t>a ide</w:t>
      </w:r>
      <w:r w:rsidRPr="00C62DF2">
        <w:rPr>
          <w:rStyle w:val="Emphasis"/>
          <w:rFonts w:ascii="Cambria" w:hAnsi="Cambria" w:cs="Arial"/>
          <w:i w:val="0"/>
          <w:iCs w:val="0"/>
          <w:sz w:val="20"/>
          <w:szCs w:val="20"/>
        </w:rPr>
        <w:t xml:space="preserve">ia </w:t>
      </w:r>
      <w:r w:rsidR="005246D4" w:rsidRPr="00C62DF2">
        <w:rPr>
          <w:rStyle w:val="Emphasis"/>
          <w:rFonts w:ascii="Cambria" w:hAnsi="Cambria" w:cs="Arial"/>
          <w:i w:val="0"/>
          <w:iCs w:val="0"/>
          <w:sz w:val="20"/>
          <w:szCs w:val="20"/>
        </w:rPr>
        <w:t xml:space="preserve">de </w:t>
      </w:r>
      <w:r w:rsidRPr="00C62DF2">
        <w:rPr>
          <w:rStyle w:val="Emphasis"/>
          <w:rFonts w:ascii="Cambria" w:hAnsi="Cambria" w:cs="Arial"/>
          <w:i w:val="0"/>
          <w:iCs w:val="0"/>
          <w:sz w:val="20"/>
          <w:szCs w:val="20"/>
        </w:rPr>
        <w:t>que eram</w:t>
      </w:r>
      <w:r w:rsidR="00155439" w:rsidRPr="00C62DF2">
        <w:rPr>
          <w:rStyle w:val="Emphasis"/>
          <w:rFonts w:ascii="Cambria" w:hAnsi="Cambria" w:cs="Arial"/>
          <w:i w:val="0"/>
          <w:iCs w:val="0"/>
          <w:sz w:val="20"/>
          <w:szCs w:val="20"/>
        </w:rPr>
        <w:t xml:space="preserve"> inimput</w:t>
      </w:r>
      <w:r w:rsidRPr="00C62DF2">
        <w:rPr>
          <w:rStyle w:val="Emphasis"/>
          <w:rFonts w:ascii="Cambria" w:hAnsi="Cambria" w:cs="Arial"/>
          <w:i w:val="0"/>
          <w:iCs w:val="0"/>
          <w:sz w:val="20"/>
          <w:szCs w:val="20"/>
        </w:rPr>
        <w:t xml:space="preserve">áveis os </w:t>
      </w:r>
      <w:r w:rsidR="00155439" w:rsidRPr="00C62DF2">
        <w:rPr>
          <w:rStyle w:val="Emphasis"/>
          <w:rFonts w:ascii="Cambria" w:hAnsi="Cambria" w:cs="Arial"/>
          <w:i w:val="0"/>
          <w:iCs w:val="0"/>
          <w:sz w:val="20"/>
          <w:szCs w:val="20"/>
        </w:rPr>
        <w:t>cr</w:t>
      </w:r>
      <w:r w:rsidRPr="00C62DF2">
        <w:rPr>
          <w:rStyle w:val="Emphasis"/>
          <w:rFonts w:ascii="Cambria" w:hAnsi="Cambria" w:cs="Arial"/>
          <w:i w:val="0"/>
          <w:iCs w:val="0"/>
          <w:sz w:val="20"/>
          <w:szCs w:val="20"/>
        </w:rPr>
        <w:t xml:space="preserve">imes </w:t>
      </w:r>
      <w:r w:rsidR="00155439" w:rsidRPr="00C62DF2">
        <w:rPr>
          <w:rStyle w:val="Emphasis"/>
          <w:rFonts w:ascii="Cambria" w:hAnsi="Cambria" w:cs="Arial"/>
          <w:i w:val="0"/>
          <w:iCs w:val="0"/>
          <w:sz w:val="20"/>
          <w:szCs w:val="20"/>
        </w:rPr>
        <w:t>cometidos p</w:t>
      </w:r>
      <w:r w:rsidRPr="00C62DF2">
        <w:rPr>
          <w:rStyle w:val="Emphasis"/>
          <w:rFonts w:ascii="Cambria" w:hAnsi="Cambria" w:cs="Arial"/>
          <w:i w:val="0"/>
          <w:iCs w:val="0"/>
          <w:sz w:val="20"/>
          <w:szCs w:val="20"/>
        </w:rPr>
        <w:t>el</w:t>
      </w:r>
      <w:r w:rsidR="00155439" w:rsidRPr="00C62DF2">
        <w:rPr>
          <w:rStyle w:val="Emphasis"/>
          <w:rFonts w:ascii="Cambria" w:hAnsi="Cambria" w:cs="Arial"/>
          <w:i w:val="0"/>
          <w:iCs w:val="0"/>
          <w:sz w:val="20"/>
          <w:szCs w:val="20"/>
        </w:rPr>
        <w:t>os agentes da repre</w:t>
      </w:r>
      <w:r w:rsidRPr="00C62DF2">
        <w:rPr>
          <w:rStyle w:val="Emphasis"/>
          <w:rFonts w:ascii="Cambria" w:hAnsi="Cambria" w:cs="Arial"/>
          <w:i w:val="0"/>
          <w:iCs w:val="0"/>
          <w:sz w:val="20"/>
          <w:szCs w:val="20"/>
        </w:rPr>
        <w:t>s</w:t>
      </w:r>
      <w:r w:rsidR="00155439" w:rsidRPr="00C62DF2">
        <w:rPr>
          <w:rStyle w:val="Emphasis"/>
          <w:rFonts w:ascii="Cambria" w:hAnsi="Cambria" w:cs="Arial"/>
          <w:i w:val="0"/>
          <w:iCs w:val="0"/>
          <w:sz w:val="20"/>
          <w:szCs w:val="20"/>
        </w:rPr>
        <w:t>s</w:t>
      </w:r>
      <w:r w:rsidRPr="00C62DF2">
        <w:rPr>
          <w:rStyle w:val="Emphasis"/>
          <w:rFonts w:ascii="Cambria" w:hAnsi="Cambria" w:cs="Arial"/>
          <w:i w:val="0"/>
          <w:iCs w:val="0"/>
          <w:sz w:val="20"/>
          <w:szCs w:val="20"/>
        </w:rPr>
        <w:t>ão</w:t>
      </w:r>
      <w:r w:rsidR="00155439" w:rsidRPr="00C62DF2">
        <w:rPr>
          <w:rStyle w:val="Emphasis"/>
          <w:rFonts w:ascii="Cambria" w:hAnsi="Cambria" w:cs="Arial"/>
          <w:i w:val="0"/>
          <w:iCs w:val="0"/>
          <w:sz w:val="20"/>
          <w:szCs w:val="20"/>
        </w:rPr>
        <w:t xml:space="preserve"> política”</w:t>
      </w:r>
      <w:r w:rsidR="007D61AB" w:rsidRPr="00C62DF2">
        <w:rPr>
          <w:rStyle w:val="Emphasis"/>
          <w:rFonts w:ascii="Cambria" w:hAnsi="Cambria" w:cs="Arial"/>
          <w:i w:val="0"/>
          <w:iCs w:val="0"/>
          <w:sz w:val="20"/>
          <w:szCs w:val="20"/>
        </w:rPr>
        <w:t>.</w:t>
      </w:r>
      <w:r w:rsidR="00155439" w:rsidRPr="00C62DF2">
        <w:rPr>
          <w:rStyle w:val="FootnoteReference"/>
          <w:rFonts w:ascii="Cambria" w:hAnsi="Cambria" w:cs="Arial"/>
          <w:bCs/>
          <w:i/>
          <w:iCs/>
          <w:sz w:val="20"/>
          <w:szCs w:val="20"/>
        </w:rPr>
        <w:footnoteReference w:id="29"/>
      </w:r>
      <w:r w:rsidR="00155439" w:rsidRPr="00C62DF2">
        <w:rPr>
          <w:rStyle w:val="Emphasis"/>
          <w:rFonts w:ascii="Cambria" w:hAnsi="Cambria" w:cs="Arial"/>
          <w:i w:val="0"/>
          <w:iCs w:val="0"/>
          <w:sz w:val="20"/>
          <w:szCs w:val="20"/>
        </w:rPr>
        <w:t xml:space="preserve"> </w:t>
      </w:r>
      <w:r w:rsidRPr="00C62DF2">
        <w:rPr>
          <w:rStyle w:val="Emphasis"/>
          <w:rFonts w:ascii="Cambria" w:hAnsi="Cambria"/>
          <w:i w:val="0"/>
          <w:iCs w:val="0"/>
          <w:sz w:val="20"/>
          <w:szCs w:val="20"/>
        </w:rPr>
        <w:t>A</w:t>
      </w:r>
      <w:r w:rsidR="00155439" w:rsidRPr="00C62DF2">
        <w:rPr>
          <w:rStyle w:val="Emphasis"/>
          <w:rFonts w:ascii="Cambria" w:hAnsi="Cambria"/>
          <w:i w:val="0"/>
          <w:iCs w:val="0"/>
          <w:sz w:val="20"/>
          <w:szCs w:val="20"/>
        </w:rPr>
        <w:t xml:space="preserve"> Comissão Nacional da Verdad</w:t>
      </w:r>
      <w:r w:rsidRPr="00C62DF2">
        <w:rPr>
          <w:rStyle w:val="Emphasis"/>
          <w:rFonts w:ascii="Cambria" w:hAnsi="Cambria"/>
          <w:i w:val="0"/>
          <w:iCs w:val="0"/>
          <w:sz w:val="20"/>
          <w:szCs w:val="20"/>
        </w:rPr>
        <w:t>e</w:t>
      </w:r>
      <w:r w:rsidR="00155439" w:rsidRPr="00C62DF2">
        <w:rPr>
          <w:rStyle w:val="Emphasis"/>
          <w:rFonts w:ascii="Cambria" w:hAnsi="Cambria"/>
          <w:i w:val="0"/>
          <w:iCs w:val="0"/>
          <w:sz w:val="20"/>
          <w:szCs w:val="20"/>
        </w:rPr>
        <w:t xml:space="preserve"> observou</w:t>
      </w:r>
      <w:r w:rsidR="000249C9" w:rsidRPr="00C62DF2">
        <w:rPr>
          <w:rStyle w:val="Emphasis"/>
          <w:rFonts w:ascii="Cambria" w:hAnsi="Cambria"/>
          <w:i w:val="0"/>
          <w:iCs w:val="0"/>
          <w:sz w:val="20"/>
          <w:szCs w:val="20"/>
        </w:rPr>
        <w:t xml:space="preserve"> que</w:t>
      </w:r>
      <w:r w:rsidR="00155439" w:rsidRPr="00C62DF2">
        <w:rPr>
          <w:rStyle w:val="Emphasis"/>
          <w:rFonts w:ascii="Cambria" w:hAnsi="Cambria"/>
          <w:i w:val="0"/>
          <w:iCs w:val="0"/>
          <w:sz w:val="20"/>
          <w:szCs w:val="20"/>
        </w:rPr>
        <w:t>:</w:t>
      </w:r>
    </w:p>
    <w:p w14:paraId="7CB361DA" w14:textId="77777777" w:rsidR="00155439" w:rsidRPr="00C62DF2" w:rsidRDefault="00155439" w:rsidP="00FC0CB6">
      <w:pPr>
        <w:jc w:val="both"/>
        <w:rPr>
          <w:rStyle w:val="Emphasis"/>
          <w:rFonts w:ascii="Cambria" w:hAnsi="Cambria"/>
          <w:b/>
          <w:sz w:val="20"/>
          <w:szCs w:val="20"/>
        </w:rPr>
      </w:pPr>
    </w:p>
    <w:p w14:paraId="08BDD3CC" w14:textId="717B4185" w:rsidR="00155439" w:rsidRPr="00C62DF2" w:rsidRDefault="006F662C" w:rsidP="00FC0CB6">
      <w:pPr>
        <w:ind w:left="720"/>
        <w:jc w:val="both"/>
        <w:rPr>
          <w:rFonts w:ascii="Cambria" w:hAnsi="Cambria"/>
          <w:sz w:val="20"/>
          <w:szCs w:val="20"/>
        </w:rPr>
      </w:pPr>
      <w:r w:rsidRPr="00C62DF2">
        <w:rPr>
          <w:rFonts w:ascii="Cambria" w:hAnsi="Cambria"/>
          <w:sz w:val="20"/>
          <w:szCs w:val="20"/>
        </w:rPr>
        <w:t>[A]</w:t>
      </w:r>
      <w:r w:rsidR="00155439" w:rsidRPr="00C62DF2">
        <w:rPr>
          <w:rFonts w:ascii="Cambria" w:hAnsi="Cambria"/>
          <w:sz w:val="20"/>
          <w:szCs w:val="20"/>
        </w:rPr>
        <w:t xml:space="preserve"> Justiça Militar </w:t>
      </w:r>
      <w:r w:rsidR="00155439" w:rsidRPr="00C62DF2">
        <w:rPr>
          <w:rStyle w:val="hps"/>
          <w:rFonts w:ascii="Cambria" w:hAnsi="Cambria"/>
          <w:sz w:val="20"/>
          <w:szCs w:val="20"/>
        </w:rPr>
        <w:t>aplicou</w:t>
      </w:r>
      <w:r w:rsidR="00155439" w:rsidRPr="00C62DF2">
        <w:rPr>
          <w:rFonts w:ascii="Cambria" w:hAnsi="Cambria"/>
          <w:sz w:val="20"/>
          <w:szCs w:val="20"/>
        </w:rPr>
        <w:t xml:space="preserve"> </w:t>
      </w:r>
      <w:r w:rsidR="00BC08E6" w:rsidRPr="00C62DF2">
        <w:rPr>
          <w:rFonts w:ascii="Cambria" w:hAnsi="Cambria"/>
          <w:sz w:val="20"/>
          <w:szCs w:val="20"/>
        </w:rPr>
        <w:t>extensiv</w:t>
      </w:r>
      <w:r w:rsidR="00155439" w:rsidRPr="00C62DF2">
        <w:rPr>
          <w:rStyle w:val="hps"/>
          <w:rFonts w:ascii="Cambria" w:hAnsi="Cambria"/>
          <w:sz w:val="20"/>
          <w:szCs w:val="20"/>
        </w:rPr>
        <w:t>amente</w:t>
      </w:r>
      <w:r w:rsidR="00155439" w:rsidRPr="00C62DF2">
        <w:rPr>
          <w:rFonts w:ascii="Cambria" w:hAnsi="Cambria"/>
          <w:sz w:val="20"/>
          <w:szCs w:val="20"/>
        </w:rPr>
        <w:t xml:space="preserve"> </w:t>
      </w:r>
      <w:r w:rsidR="00155439" w:rsidRPr="00C62DF2">
        <w:rPr>
          <w:rStyle w:val="hps"/>
          <w:rFonts w:ascii="Cambria" w:hAnsi="Cambria"/>
          <w:sz w:val="20"/>
          <w:szCs w:val="20"/>
        </w:rPr>
        <w:t>-</w:t>
      </w:r>
      <w:r w:rsidR="00155439" w:rsidRPr="00C62DF2">
        <w:rPr>
          <w:rFonts w:ascii="Cambria" w:hAnsi="Cambria"/>
          <w:sz w:val="20"/>
          <w:szCs w:val="20"/>
        </w:rPr>
        <w:t xml:space="preserve"> e </w:t>
      </w:r>
      <w:r w:rsidR="00155439" w:rsidRPr="00C62DF2">
        <w:rPr>
          <w:rStyle w:val="hps"/>
          <w:rFonts w:ascii="Cambria" w:hAnsi="Cambria"/>
          <w:sz w:val="20"/>
          <w:szCs w:val="20"/>
        </w:rPr>
        <w:t xml:space="preserve">a </w:t>
      </w:r>
      <w:r w:rsidRPr="00C62DF2">
        <w:rPr>
          <w:rStyle w:val="hps"/>
          <w:rFonts w:ascii="Cambria" w:hAnsi="Cambria"/>
          <w:sz w:val="20"/>
          <w:szCs w:val="20"/>
        </w:rPr>
        <w:t>fatos</w:t>
      </w:r>
      <w:r w:rsidR="00155439" w:rsidRPr="00C62DF2">
        <w:rPr>
          <w:rStyle w:val="hps"/>
          <w:rFonts w:ascii="Cambria" w:hAnsi="Cambria"/>
          <w:sz w:val="20"/>
          <w:szCs w:val="20"/>
        </w:rPr>
        <w:t xml:space="preserve"> posteriores</w:t>
      </w:r>
      <w:r w:rsidR="00155439" w:rsidRPr="00C62DF2">
        <w:rPr>
          <w:rFonts w:ascii="Cambria" w:hAnsi="Cambria"/>
          <w:sz w:val="20"/>
          <w:szCs w:val="20"/>
        </w:rPr>
        <w:t xml:space="preserve"> </w:t>
      </w:r>
      <w:r w:rsidR="00155439" w:rsidRPr="00C62DF2">
        <w:rPr>
          <w:rStyle w:val="hps"/>
          <w:rFonts w:ascii="Cambria" w:hAnsi="Cambria"/>
          <w:sz w:val="20"/>
          <w:szCs w:val="20"/>
        </w:rPr>
        <w:t>-</w:t>
      </w:r>
      <w:r w:rsidR="00155439" w:rsidRPr="00C62DF2">
        <w:rPr>
          <w:rFonts w:ascii="Cambria" w:hAnsi="Cambria"/>
          <w:sz w:val="20"/>
          <w:szCs w:val="20"/>
        </w:rPr>
        <w:t xml:space="preserve"> </w:t>
      </w:r>
      <w:r w:rsidRPr="00C62DF2">
        <w:rPr>
          <w:rStyle w:val="hps"/>
          <w:rFonts w:ascii="Cambria" w:hAnsi="Cambria"/>
          <w:sz w:val="20"/>
          <w:szCs w:val="20"/>
        </w:rPr>
        <w:t>a Lei</w:t>
      </w:r>
      <w:r w:rsidR="00155439" w:rsidRPr="00C62DF2">
        <w:rPr>
          <w:rStyle w:val="hps"/>
          <w:rFonts w:ascii="Cambria" w:hAnsi="Cambria"/>
          <w:sz w:val="20"/>
          <w:szCs w:val="20"/>
        </w:rPr>
        <w:t xml:space="preserve"> de Anistia</w:t>
      </w:r>
      <w:r w:rsidR="00155439" w:rsidRPr="00C62DF2">
        <w:rPr>
          <w:rFonts w:ascii="Cambria" w:hAnsi="Cambria"/>
          <w:sz w:val="20"/>
          <w:szCs w:val="20"/>
        </w:rPr>
        <w:t xml:space="preserve"> </w:t>
      </w:r>
      <w:r w:rsidRPr="00C62DF2">
        <w:rPr>
          <w:rStyle w:val="hps"/>
          <w:rFonts w:ascii="Cambria" w:hAnsi="Cambria"/>
          <w:sz w:val="20"/>
          <w:szCs w:val="20"/>
        </w:rPr>
        <w:t>a</w:t>
      </w:r>
      <w:r w:rsidR="00155439" w:rsidRPr="00C62DF2">
        <w:rPr>
          <w:rStyle w:val="hps"/>
          <w:rFonts w:ascii="Cambria" w:hAnsi="Cambria"/>
          <w:sz w:val="20"/>
          <w:szCs w:val="20"/>
        </w:rPr>
        <w:t>os militares</w:t>
      </w:r>
      <w:r w:rsidR="00155439" w:rsidRPr="00C62DF2">
        <w:rPr>
          <w:rFonts w:ascii="Cambria" w:hAnsi="Cambria"/>
          <w:sz w:val="20"/>
          <w:szCs w:val="20"/>
        </w:rPr>
        <w:t xml:space="preserve">; e </w:t>
      </w:r>
      <w:r w:rsidR="00155439" w:rsidRPr="00C62DF2">
        <w:rPr>
          <w:rStyle w:val="hps"/>
          <w:rFonts w:ascii="Cambria" w:hAnsi="Cambria"/>
          <w:sz w:val="20"/>
          <w:szCs w:val="20"/>
        </w:rPr>
        <w:t>perpetrou</w:t>
      </w:r>
      <w:r w:rsidR="00155439" w:rsidRPr="00C62DF2">
        <w:rPr>
          <w:rFonts w:ascii="Cambria" w:hAnsi="Cambria"/>
          <w:sz w:val="20"/>
          <w:szCs w:val="20"/>
        </w:rPr>
        <w:t xml:space="preserve"> </w:t>
      </w:r>
      <w:r w:rsidRPr="00C62DF2">
        <w:rPr>
          <w:rStyle w:val="hps"/>
          <w:rFonts w:ascii="Cambria" w:hAnsi="Cambria"/>
          <w:sz w:val="20"/>
          <w:szCs w:val="20"/>
        </w:rPr>
        <w:t>um</w:t>
      </w:r>
      <w:r w:rsidR="00155439" w:rsidRPr="00C62DF2">
        <w:rPr>
          <w:rStyle w:val="hps"/>
          <w:rFonts w:ascii="Cambria" w:hAnsi="Cambria"/>
          <w:sz w:val="20"/>
          <w:szCs w:val="20"/>
        </w:rPr>
        <w:t>a omis</w:t>
      </w:r>
      <w:r w:rsidRPr="00C62DF2">
        <w:rPr>
          <w:rStyle w:val="hps"/>
          <w:rFonts w:ascii="Cambria" w:hAnsi="Cambria"/>
          <w:sz w:val="20"/>
          <w:szCs w:val="20"/>
        </w:rPr>
        <w:t>são e legitimação sistemática com</w:t>
      </w:r>
      <w:r w:rsidR="00155439" w:rsidRPr="00C62DF2">
        <w:rPr>
          <w:rStyle w:val="hps"/>
          <w:rFonts w:ascii="Cambria" w:hAnsi="Cambria"/>
          <w:sz w:val="20"/>
          <w:szCs w:val="20"/>
        </w:rPr>
        <w:t xml:space="preserve"> relação </w:t>
      </w:r>
      <w:r w:rsidRPr="00C62DF2">
        <w:rPr>
          <w:rStyle w:val="hps"/>
          <w:rFonts w:ascii="Cambria" w:hAnsi="Cambria"/>
          <w:sz w:val="20"/>
          <w:szCs w:val="20"/>
        </w:rPr>
        <w:t>a</w:t>
      </w:r>
      <w:r w:rsidR="00155439" w:rsidRPr="00C62DF2">
        <w:rPr>
          <w:rFonts w:ascii="Cambria" w:hAnsi="Cambria"/>
          <w:sz w:val="20"/>
          <w:szCs w:val="20"/>
        </w:rPr>
        <w:t xml:space="preserve"> </w:t>
      </w:r>
      <w:r w:rsidR="00155439" w:rsidRPr="00C62DF2">
        <w:rPr>
          <w:rStyle w:val="hps"/>
          <w:rFonts w:ascii="Cambria" w:hAnsi="Cambria"/>
          <w:sz w:val="20"/>
          <w:szCs w:val="20"/>
        </w:rPr>
        <w:t>graves</w:t>
      </w:r>
      <w:r w:rsidR="00155439" w:rsidRPr="00C62DF2">
        <w:rPr>
          <w:rFonts w:ascii="Cambria" w:hAnsi="Cambria"/>
          <w:sz w:val="20"/>
          <w:szCs w:val="20"/>
        </w:rPr>
        <w:t xml:space="preserve"> </w:t>
      </w:r>
      <w:r w:rsidR="00155439" w:rsidRPr="00C62DF2">
        <w:rPr>
          <w:rStyle w:val="hps"/>
          <w:rFonts w:ascii="Cambria" w:hAnsi="Cambria"/>
          <w:sz w:val="20"/>
          <w:szCs w:val="20"/>
        </w:rPr>
        <w:t>violações</w:t>
      </w:r>
      <w:r w:rsidR="00155439" w:rsidRPr="00C62DF2">
        <w:rPr>
          <w:rFonts w:ascii="Cambria" w:hAnsi="Cambria"/>
          <w:sz w:val="20"/>
          <w:szCs w:val="20"/>
        </w:rPr>
        <w:t xml:space="preserve"> </w:t>
      </w:r>
      <w:r w:rsidR="00155439" w:rsidRPr="00C62DF2">
        <w:rPr>
          <w:rStyle w:val="hps"/>
          <w:rFonts w:ascii="Cambria" w:hAnsi="Cambria"/>
          <w:sz w:val="20"/>
          <w:szCs w:val="20"/>
        </w:rPr>
        <w:t>de direitos humanos</w:t>
      </w:r>
      <w:r w:rsidR="00155439" w:rsidRPr="00C62DF2">
        <w:rPr>
          <w:rFonts w:ascii="Cambria" w:hAnsi="Cambria"/>
          <w:sz w:val="20"/>
          <w:szCs w:val="20"/>
        </w:rPr>
        <w:t xml:space="preserve"> </w:t>
      </w:r>
      <w:r w:rsidR="00155439" w:rsidRPr="00C62DF2">
        <w:rPr>
          <w:rStyle w:val="hps"/>
          <w:rFonts w:ascii="Cambria" w:hAnsi="Cambria"/>
          <w:sz w:val="20"/>
          <w:szCs w:val="20"/>
        </w:rPr>
        <w:t>denunciadas p</w:t>
      </w:r>
      <w:r w:rsidRPr="00C62DF2">
        <w:rPr>
          <w:rStyle w:val="hps"/>
          <w:rFonts w:ascii="Cambria" w:hAnsi="Cambria"/>
          <w:sz w:val="20"/>
          <w:szCs w:val="20"/>
        </w:rPr>
        <w:t>elos det</w:t>
      </w:r>
      <w:r w:rsidR="00155439" w:rsidRPr="00C62DF2">
        <w:rPr>
          <w:rStyle w:val="hps"/>
          <w:rFonts w:ascii="Cambria" w:hAnsi="Cambria"/>
          <w:sz w:val="20"/>
          <w:szCs w:val="20"/>
        </w:rPr>
        <w:t>idos políticos</w:t>
      </w:r>
      <w:r w:rsidR="00155439" w:rsidRPr="00C62DF2">
        <w:rPr>
          <w:rFonts w:ascii="Cambria" w:hAnsi="Cambria"/>
          <w:sz w:val="20"/>
          <w:szCs w:val="20"/>
        </w:rPr>
        <w:t>, su</w:t>
      </w:r>
      <w:r w:rsidRPr="00C62DF2">
        <w:rPr>
          <w:rFonts w:ascii="Cambria" w:hAnsi="Cambria"/>
          <w:sz w:val="20"/>
          <w:szCs w:val="20"/>
        </w:rPr>
        <w:t>as famí</w:t>
      </w:r>
      <w:r w:rsidR="00155439" w:rsidRPr="00C62DF2">
        <w:rPr>
          <w:rFonts w:ascii="Cambria" w:hAnsi="Cambria"/>
          <w:sz w:val="20"/>
          <w:szCs w:val="20"/>
        </w:rPr>
        <w:t xml:space="preserve">lias e </w:t>
      </w:r>
      <w:r w:rsidRPr="00C62DF2">
        <w:rPr>
          <w:rStyle w:val="hps"/>
          <w:rFonts w:ascii="Cambria" w:hAnsi="Cambria"/>
          <w:sz w:val="20"/>
          <w:szCs w:val="20"/>
        </w:rPr>
        <w:t>adv</w:t>
      </w:r>
      <w:r w:rsidR="00155439" w:rsidRPr="00C62DF2">
        <w:rPr>
          <w:rStyle w:val="hps"/>
          <w:rFonts w:ascii="Cambria" w:hAnsi="Cambria"/>
          <w:sz w:val="20"/>
          <w:szCs w:val="20"/>
        </w:rPr>
        <w:t>ogados</w:t>
      </w:r>
      <w:r w:rsidR="00155439" w:rsidRPr="00C62DF2">
        <w:rPr>
          <w:rFonts w:ascii="Cambria" w:hAnsi="Cambria"/>
          <w:sz w:val="20"/>
          <w:szCs w:val="20"/>
        </w:rPr>
        <w:t xml:space="preserve">. </w:t>
      </w:r>
      <w:r w:rsidRPr="00C62DF2">
        <w:rPr>
          <w:rFonts w:ascii="Cambria" w:hAnsi="Cambria"/>
          <w:sz w:val="20"/>
          <w:szCs w:val="20"/>
        </w:rPr>
        <w:t>Na</w:t>
      </w:r>
      <w:r w:rsidR="00155439" w:rsidRPr="00C62DF2">
        <w:rPr>
          <w:rFonts w:ascii="Cambria" w:hAnsi="Cambria"/>
          <w:sz w:val="20"/>
          <w:szCs w:val="20"/>
        </w:rPr>
        <w:t xml:space="preserve"> Justiça com</w:t>
      </w:r>
      <w:r w:rsidRPr="00C62DF2">
        <w:rPr>
          <w:rFonts w:ascii="Cambria" w:hAnsi="Cambria"/>
          <w:sz w:val="20"/>
          <w:szCs w:val="20"/>
        </w:rPr>
        <w:t>um</w:t>
      </w:r>
      <w:r w:rsidR="00155439" w:rsidRPr="00C62DF2">
        <w:rPr>
          <w:rFonts w:ascii="Cambria" w:hAnsi="Cambria"/>
          <w:sz w:val="20"/>
          <w:szCs w:val="20"/>
        </w:rPr>
        <w:t xml:space="preserve"> federal e esta</w:t>
      </w:r>
      <w:r w:rsidR="00801230" w:rsidRPr="00C62DF2">
        <w:rPr>
          <w:rFonts w:ascii="Cambria" w:hAnsi="Cambria"/>
          <w:sz w:val="20"/>
          <w:szCs w:val="20"/>
        </w:rPr>
        <w:t>du</w:t>
      </w:r>
      <w:r w:rsidR="00155439" w:rsidRPr="00C62DF2">
        <w:rPr>
          <w:rFonts w:ascii="Cambria" w:hAnsi="Cambria"/>
          <w:sz w:val="20"/>
          <w:szCs w:val="20"/>
        </w:rPr>
        <w:t xml:space="preserve">al </w:t>
      </w:r>
      <w:r w:rsidR="00BC08E6" w:rsidRPr="00C62DF2">
        <w:rPr>
          <w:rFonts w:ascii="Cambria" w:hAnsi="Cambria"/>
          <w:sz w:val="20"/>
          <w:szCs w:val="20"/>
        </w:rPr>
        <w:t>v</w:t>
      </w:r>
      <w:r w:rsidR="00155439" w:rsidRPr="00C62DF2">
        <w:rPr>
          <w:rFonts w:ascii="Cambria" w:hAnsi="Cambria"/>
          <w:sz w:val="20"/>
          <w:szCs w:val="20"/>
        </w:rPr>
        <w:t>i</w:t>
      </w:r>
      <w:r w:rsidR="00BC08E6" w:rsidRPr="00C62DF2">
        <w:rPr>
          <w:rFonts w:ascii="Cambria" w:hAnsi="Cambria"/>
          <w:sz w:val="20"/>
          <w:szCs w:val="20"/>
        </w:rPr>
        <w:t>slumbr</w:t>
      </w:r>
      <w:r w:rsidR="00155439" w:rsidRPr="00C62DF2">
        <w:rPr>
          <w:rFonts w:ascii="Cambria" w:hAnsi="Cambria"/>
          <w:sz w:val="20"/>
          <w:szCs w:val="20"/>
        </w:rPr>
        <w:t>ou</w:t>
      </w:r>
      <w:r w:rsidR="00801230" w:rsidRPr="00C62DF2">
        <w:rPr>
          <w:rFonts w:ascii="Cambria" w:hAnsi="Cambria"/>
          <w:sz w:val="20"/>
          <w:szCs w:val="20"/>
        </w:rPr>
        <w:t>-se</w:t>
      </w:r>
      <w:r w:rsidRPr="00C62DF2">
        <w:rPr>
          <w:rFonts w:ascii="Cambria" w:hAnsi="Cambria"/>
          <w:sz w:val="20"/>
          <w:szCs w:val="20"/>
        </w:rPr>
        <w:t xml:space="preserve"> um significativo </w:t>
      </w:r>
      <w:r w:rsidR="00BC08E6" w:rsidRPr="00C62DF2">
        <w:rPr>
          <w:rFonts w:ascii="Cambria" w:hAnsi="Cambria"/>
          <w:sz w:val="20"/>
          <w:szCs w:val="20"/>
        </w:rPr>
        <w:t xml:space="preserve">abuso </w:t>
      </w:r>
      <w:r w:rsidRPr="00C62DF2">
        <w:rPr>
          <w:rFonts w:ascii="Cambria" w:hAnsi="Cambria"/>
          <w:sz w:val="20"/>
          <w:szCs w:val="20"/>
        </w:rPr>
        <w:t>do direito de defe</w:t>
      </w:r>
      <w:r w:rsidR="00155439" w:rsidRPr="00C62DF2">
        <w:rPr>
          <w:rFonts w:ascii="Cambria" w:hAnsi="Cambria"/>
          <w:sz w:val="20"/>
          <w:szCs w:val="20"/>
        </w:rPr>
        <w:t>sa por parte da Uni</w:t>
      </w:r>
      <w:r w:rsidRPr="00C62DF2">
        <w:rPr>
          <w:rFonts w:ascii="Cambria" w:hAnsi="Cambria"/>
          <w:sz w:val="20"/>
          <w:szCs w:val="20"/>
        </w:rPr>
        <w:t>ã</w:t>
      </w:r>
      <w:r w:rsidR="00155439" w:rsidRPr="00C62DF2">
        <w:rPr>
          <w:rFonts w:ascii="Cambria" w:hAnsi="Cambria"/>
          <w:sz w:val="20"/>
          <w:szCs w:val="20"/>
        </w:rPr>
        <w:t>o e dos agentes d</w:t>
      </w:r>
      <w:r w:rsidR="00BC08E6" w:rsidRPr="00C62DF2">
        <w:rPr>
          <w:rFonts w:ascii="Cambria" w:hAnsi="Cambria"/>
          <w:sz w:val="20"/>
          <w:szCs w:val="20"/>
        </w:rPr>
        <w:t>a</w:t>
      </w:r>
      <w:r w:rsidR="00155439" w:rsidRPr="00C62DF2">
        <w:rPr>
          <w:rFonts w:ascii="Cambria" w:hAnsi="Cambria"/>
          <w:sz w:val="20"/>
          <w:szCs w:val="20"/>
        </w:rPr>
        <w:t xml:space="preserve"> repres</w:t>
      </w:r>
      <w:r w:rsidRPr="00C62DF2">
        <w:rPr>
          <w:rFonts w:ascii="Cambria" w:hAnsi="Cambria"/>
          <w:sz w:val="20"/>
          <w:szCs w:val="20"/>
        </w:rPr>
        <w:t>são</w:t>
      </w:r>
      <w:r w:rsidR="00155439" w:rsidRPr="00C62DF2">
        <w:rPr>
          <w:rFonts w:ascii="Cambria" w:hAnsi="Cambria"/>
          <w:sz w:val="20"/>
          <w:szCs w:val="20"/>
        </w:rPr>
        <w:t xml:space="preserve"> proces</w:t>
      </w:r>
      <w:r w:rsidRPr="00C62DF2">
        <w:rPr>
          <w:rFonts w:ascii="Cambria" w:hAnsi="Cambria"/>
          <w:sz w:val="20"/>
          <w:szCs w:val="20"/>
        </w:rPr>
        <w:t>s</w:t>
      </w:r>
      <w:r w:rsidR="00155439" w:rsidRPr="00C62DF2">
        <w:rPr>
          <w:rFonts w:ascii="Cambria" w:hAnsi="Cambria"/>
          <w:sz w:val="20"/>
          <w:szCs w:val="20"/>
        </w:rPr>
        <w:t xml:space="preserve">ados. </w:t>
      </w:r>
      <w:r w:rsidR="00801230" w:rsidRPr="00C62DF2">
        <w:rPr>
          <w:rFonts w:ascii="Cambria" w:hAnsi="Cambria"/>
          <w:sz w:val="20"/>
          <w:szCs w:val="20"/>
        </w:rPr>
        <w:t>O</w:t>
      </w:r>
      <w:r w:rsidR="00155439" w:rsidRPr="00C62DF2">
        <w:rPr>
          <w:rFonts w:ascii="Cambria" w:hAnsi="Cambria"/>
          <w:sz w:val="20"/>
          <w:szCs w:val="20"/>
        </w:rPr>
        <w:t>bservou</w:t>
      </w:r>
      <w:r w:rsidR="00801230" w:rsidRPr="00C62DF2">
        <w:rPr>
          <w:rFonts w:ascii="Cambria" w:hAnsi="Cambria"/>
          <w:sz w:val="20"/>
          <w:szCs w:val="20"/>
        </w:rPr>
        <w:t>-se</w:t>
      </w:r>
      <w:r w:rsidRPr="00C62DF2">
        <w:rPr>
          <w:rFonts w:ascii="Cambria" w:hAnsi="Cambria"/>
          <w:sz w:val="20"/>
          <w:szCs w:val="20"/>
        </w:rPr>
        <w:t>, também, um</w:t>
      </w:r>
      <w:r w:rsidR="00155439" w:rsidRPr="00C62DF2">
        <w:rPr>
          <w:rFonts w:ascii="Cambria" w:hAnsi="Cambria"/>
          <w:sz w:val="20"/>
          <w:szCs w:val="20"/>
        </w:rPr>
        <w:t xml:space="preserve"> comportamento dos </w:t>
      </w:r>
      <w:r w:rsidRPr="00C62DF2">
        <w:rPr>
          <w:rFonts w:ascii="Cambria" w:hAnsi="Cambria"/>
          <w:sz w:val="20"/>
          <w:szCs w:val="20"/>
        </w:rPr>
        <w:t>órgãos</w:t>
      </w:r>
      <w:r w:rsidR="00155439" w:rsidRPr="00C62DF2">
        <w:rPr>
          <w:rFonts w:ascii="Cambria" w:hAnsi="Cambria"/>
          <w:sz w:val="20"/>
          <w:szCs w:val="20"/>
        </w:rPr>
        <w:t xml:space="preserve"> judic</w:t>
      </w:r>
      <w:r w:rsidR="00BC08E6" w:rsidRPr="00C62DF2">
        <w:rPr>
          <w:rFonts w:ascii="Cambria" w:hAnsi="Cambria"/>
          <w:sz w:val="20"/>
          <w:szCs w:val="20"/>
        </w:rPr>
        <w:t>ante</w:t>
      </w:r>
      <w:r w:rsidRPr="00C62DF2">
        <w:rPr>
          <w:rFonts w:ascii="Cambria" w:hAnsi="Cambria"/>
          <w:sz w:val="20"/>
          <w:szCs w:val="20"/>
        </w:rPr>
        <w:t xml:space="preserve">s - </w:t>
      </w:r>
      <w:r w:rsidR="00BC08E6" w:rsidRPr="00C62DF2">
        <w:rPr>
          <w:rFonts w:ascii="Cambria" w:hAnsi="Cambria"/>
          <w:sz w:val="20"/>
          <w:szCs w:val="20"/>
        </w:rPr>
        <w:t>notada</w:t>
      </w:r>
      <w:r w:rsidRPr="00C62DF2">
        <w:rPr>
          <w:rFonts w:ascii="Cambria" w:hAnsi="Cambria"/>
          <w:sz w:val="20"/>
          <w:szCs w:val="20"/>
        </w:rPr>
        <w:t>mente das instâncias superiores –  na maioria das vez</w:t>
      </w:r>
      <w:r w:rsidR="00155439" w:rsidRPr="00C62DF2">
        <w:rPr>
          <w:rFonts w:ascii="Cambria" w:hAnsi="Cambria"/>
          <w:sz w:val="20"/>
          <w:szCs w:val="20"/>
        </w:rPr>
        <w:t>es, guiado p</w:t>
      </w:r>
      <w:r w:rsidRPr="00C62DF2">
        <w:rPr>
          <w:rFonts w:ascii="Cambria" w:hAnsi="Cambria"/>
          <w:sz w:val="20"/>
          <w:szCs w:val="20"/>
        </w:rPr>
        <w:t>ela interpretação do</w:t>
      </w:r>
      <w:r w:rsidR="00155439" w:rsidRPr="00C62DF2">
        <w:rPr>
          <w:rFonts w:ascii="Cambria" w:hAnsi="Cambria"/>
          <w:sz w:val="20"/>
          <w:szCs w:val="20"/>
        </w:rPr>
        <w:t xml:space="preserve"> Supremo Tribunal Federal, que persiste, a</w:t>
      </w:r>
      <w:r w:rsidRPr="00C62DF2">
        <w:rPr>
          <w:rFonts w:ascii="Cambria" w:hAnsi="Cambria"/>
          <w:sz w:val="20"/>
          <w:szCs w:val="20"/>
        </w:rPr>
        <w:t>inda hoje, em</w:t>
      </w:r>
      <w:r w:rsidR="00155439" w:rsidRPr="00C62DF2">
        <w:rPr>
          <w:rFonts w:ascii="Cambria" w:hAnsi="Cambria"/>
          <w:sz w:val="20"/>
          <w:szCs w:val="20"/>
        </w:rPr>
        <w:t xml:space="preserve"> interpretar a</w:t>
      </w:r>
      <w:r w:rsidRPr="00C62DF2">
        <w:rPr>
          <w:rFonts w:ascii="Cambria" w:hAnsi="Cambria"/>
          <w:sz w:val="20"/>
          <w:szCs w:val="20"/>
        </w:rPr>
        <w:t xml:space="preserve"> </w:t>
      </w:r>
      <w:r w:rsidR="00BC08E6" w:rsidRPr="00C62DF2">
        <w:rPr>
          <w:rFonts w:ascii="Cambria" w:hAnsi="Cambria"/>
          <w:sz w:val="20"/>
          <w:szCs w:val="20"/>
        </w:rPr>
        <w:t>L</w:t>
      </w:r>
      <w:r w:rsidRPr="00C62DF2">
        <w:rPr>
          <w:rFonts w:ascii="Cambria" w:hAnsi="Cambria"/>
          <w:sz w:val="20"/>
          <w:szCs w:val="20"/>
        </w:rPr>
        <w:t>ei</w:t>
      </w:r>
      <w:r w:rsidR="00155439" w:rsidRPr="00C62DF2">
        <w:rPr>
          <w:rFonts w:ascii="Cambria" w:hAnsi="Cambria"/>
          <w:sz w:val="20"/>
          <w:szCs w:val="20"/>
        </w:rPr>
        <w:t xml:space="preserve"> de A</w:t>
      </w:r>
      <w:r w:rsidRPr="00C62DF2">
        <w:rPr>
          <w:rFonts w:ascii="Cambria" w:hAnsi="Cambria"/>
          <w:sz w:val="20"/>
          <w:szCs w:val="20"/>
        </w:rPr>
        <w:t xml:space="preserve">nistia como </w:t>
      </w:r>
      <w:r w:rsidR="00566CD5" w:rsidRPr="00C62DF2">
        <w:rPr>
          <w:rFonts w:ascii="Cambria" w:hAnsi="Cambria"/>
          <w:sz w:val="20"/>
          <w:szCs w:val="20"/>
        </w:rPr>
        <w:t>um</w:t>
      </w:r>
      <w:r w:rsidRPr="00C62DF2">
        <w:rPr>
          <w:rFonts w:ascii="Cambria" w:hAnsi="Cambria"/>
          <w:sz w:val="20"/>
          <w:szCs w:val="20"/>
        </w:rPr>
        <w:t xml:space="preserve"> </w:t>
      </w:r>
      <w:r w:rsidR="00BC08E6" w:rsidRPr="00C62DF2">
        <w:rPr>
          <w:rFonts w:ascii="Cambria" w:hAnsi="Cambria"/>
          <w:sz w:val="20"/>
          <w:szCs w:val="20"/>
        </w:rPr>
        <w:t>óbice</w:t>
      </w:r>
      <w:r w:rsidRPr="00C62DF2">
        <w:rPr>
          <w:rFonts w:ascii="Cambria" w:hAnsi="Cambria"/>
          <w:sz w:val="20"/>
          <w:szCs w:val="20"/>
        </w:rPr>
        <w:t xml:space="preserve"> </w:t>
      </w:r>
      <w:r w:rsidR="00BC08E6" w:rsidRPr="00C62DF2">
        <w:rPr>
          <w:rFonts w:ascii="Cambria" w:hAnsi="Cambria"/>
          <w:sz w:val="20"/>
          <w:szCs w:val="20"/>
        </w:rPr>
        <w:t>a</w:t>
      </w:r>
      <w:r w:rsidRPr="00C62DF2">
        <w:rPr>
          <w:rFonts w:ascii="Cambria" w:hAnsi="Cambria"/>
          <w:sz w:val="20"/>
          <w:szCs w:val="20"/>
        </w:rPr>
        <w:t>o</w:t>
      </w:r>
      <w:r w:rsidR="00155439" w:rsidRPr="00C62DF2">
        <w:rPr>
          <w:rFonts w:ascii="Cambria" w:hAnsi="Cambria"/>
          <w:sz w:val="20"/>
          <w:szCs w:val="20"/>
        </w:rPr>
        <w:t xml:space="preserve"> </w:t>
      </w:r>
      <w:r w:rsidR="00566CD5" w:rsidRPr="00C62DF2">
        <w:rPr>
          <w:rFonts w:ascii="Cambria" w:hAnsi="Cambria"/>
          <w:sz w:val="20"/>
          <w:szCs w:val="20"/>
        </w:rPr>
        <w:t>processamento</w:t>
      </w:r>
      <w:r w:rsidR="00155439" w:rsidRPr="00C62DF2">
        <w:rPr>
          <w:rFonts w:ascii="Cambria" w:hAnsi="Cambria"/>
          <w:sz w:val="20"/>
          <w:szCs w:val="20"/>
        </w:rPr>
        <w:t xml:space="preserve"> e </w:t>
      </w:r>
      <w:r w:rsidR="00BC08E6" w:rsidRPr="00C62DF2">
        <w:rPr>
          <w:rFonts w:ascii="Cambria" w:hAnsi="Cambria"/>
          <w:sz w:val="20"/>
          <w:szCs w:val="20"/>
        </w:rPr>
        <w:t>à apur</w:t>
      </w:r>
      <w:r w:rsidR="00155439" w:rsidRPr="00C62DF2">
        <w:rPr>
          <w:rFonts w:ascii="Cambria" w:hAnsi="Cambria"/>
          <w:sz w:val="20"/>
          <w:szCs w:val="20"/>
        </w:rPr>
        <w:t>ação de graves violações de direitos humanos perpetradas p</w:t>
      </w:r>
      <w:r w:rsidRPr="00C62DF2">
        <w:rPr>
          <w:rFonts w:ascii="Cambria" w:hAnsi="Cambria"/>
          <w:sz w:val="20"/>
          <w:szCs w:val="20"/>
        </w:rPr>
        <w:t>e</w:t>
      </w:r>
      <w:r w:rsidR="00155439" w:rsidRPr="00C62DF2">
        <w:rPr>
          <w:rFonts w:ascii="Cambria" w:hAnsi="Cambria"/>
          <w:sz w:val="20"/>
          <w:szCs w:val="20"/>
        </w:rPr>
        <w:t>los agentes da repres</w:t>
      </w:r>
      <w:r w:rsidRPr="00C62DF2">
        <w:rPr>
          <w:rFonts w:ascii="Cambria" w:hAnsi="Cambria"/>
          <w:sz w:val="20"/>
          <w:szCs w:val="20"/>
        </w:rPr>
        <w:t>são durante a di</w:t>
      </w:r>
      <w:r w:rsidR="00155439" w:rsidRPr="00C62DF2">
        <w:rPr>
          <w:rFonts w:ascii="Cambria" w:hAnsi="Cambria"/>
          <w:sz w:val="20"/>
          <w:szCs w:val="20"/>
        </w:rPr>
        <w:t>tadura</w:t>
      </w:r>
      <w:r w:rsidR="00155439" w:rsidRPr="00C62DF2">
        <w:rPr>
          <w:rStyle w:val="FootnoteReference"/>
          <w:rFonts w:ascii="Cambria" w:eastAsia="Calibri" w:hAnsi="Cambria" w:cs="AGaramondPro-Regular"/>
          <w:sz w:val="20"/>
          <w:szCs w:val="20"/>
        </w:rPr>
        <w:footnoteReference w:id="30"/>
      </w:r>
      <w:r w:rsidR="00155439" w:rsidRPr="00C62DF2">
        <w:rPr>
          <w:rFonts w:ascii="Cambria" w:hAnsi="Cambria"/>
          <w:sz w:val="20"/>
          <w:szCs w:val="20"/>
        </w:rPr>
        <w:t>.</w:t>
      </w:r>
    </w:p>
    <w:p w14:paraId="7572E64A" w14:textId="77777777" w:rsidR="00155439" w:rsidRPr="00C62DF2" w:rsidRDefault="00155439" w:rsidP="00FC0CB6">
      <w:pPr>
        <w:ind w:left="720"/>
        <w:jc w:val="both"/>
        <w:rPr>
          <w:rFonts w:ascii="Cambria" w:hAnsi="Cambria"/>
          <w:sz w:val="20"/>
          <w:szCs w:val="20"/>
        </w:rPr>
      </w:pPr>
    </w:p>
    <w:p w14:paraId="53F99307" w14:textId="41DC4528" w:rsidR="00155439" w:rsidRPr="00C62DF2" w:rsidRDefault="006F662C" w:rsidP="00FC0CB6">
      <w:pPr>
        <w:numPr>
          <w:ilvl w:val="0"/>
          <w:numId w:val="2"/>
        </w:numPr>
        <w:jc w:val="both"/>
        <w:rPr>
          <w:rStyle w:val="Emphasis"/>
          <w:rFonts w:ascii="Cambria" w:hAnsi="Cambria"/>
          <w:i w:val="0"/>
          <w:iCs w:val="0"/>
          <w:sz w:val="20"/>
          <w:szCs w:val="20"/>
        </w:rPr>
      </w:pPr>
      <w:r w:rsidRPr="00C62DF2">
        <w:rPr>
          <w:rFonts w:ascii="Cambria" w:hAnsi="Cambria"/>
          <w:sz w:val="20"/>
          <w:szCs w:val="20"/>
        </w:rPr>
        <w:t>A a</w:t>
      </w:r>
      <w:r w:rsidR="00155439" w:rsidRPr="00C62DF2">
        <w:rPr>
          <w:rFonts w:ascii="Cambria" w:hAnsi="Cambria"/>
          <w:sz w:val="20"/>
          <w:szCs w:val="20"/>
        </w:rPr>
        <w:t>ção de repres</w:t>
      </w:r>
      <w:r w:rsidRPr="00C62DF2">
        <w:rPr>
          <w:rFonts w:ascii="Cambria" w:hAnsi="Cambria"/>
          <w:sz w:val="20"/>
          <w:szCs w:val="20"/>
        </w:rPr>
        <w:t>são</w:t>
      </w:r>
      <w:r w:rsidR="00155439" w:rsidRPr="00C62DF2">
        <w:rPr>
          <w:rFonts w:ascii="Cambria" w:hAnsi="Cambria"/>
          <w:sz w:val="20"/>
          <w:szCs w:val="20"/>
        </w:rPr>
        <w:t xml:space="preserve"> que resultou </w:t>
      </w:r>
      <w:r w:rsidR="00BC08E6" w:rsidRPr="00C62DF2">
        <w:rPr>
          <w:rFonts w:ascii="Cambria" w:hAnsi="Cambria"/>
          <w:sz w:val="20"/>
          <w:szCs w:val="20"/>
        </w:rPr>
        <w:t>em</w:t>
      </w:r>
      <w:r w:rsidRPr="00C62DF2">
        <w:rPr>
          <w:rFonts w:ascii="Cambria" w:hAnsi="Cambria"/>
          <w:sz w:val="20"/>
          <w:szCs w:val="20"/>
        </w:rPr>
        <w:t xml:space="preserve"> execução e mo</w:t>
      </w:r>
      <w:r w:rsidR="00155439" w:rsidRPr="00C62DF2">
        <w:rPr>
          <w:rFonts w:ascii="Cambria" w:hAnsi="Cambria"/>
          <w:sz w:val="20"/>
          <w:szCs w:val="20"/>
        </w:rPr>
        <w:t xml:space="preserve">rtes </w:t>
      </w:r>
      <w:r w:rsidRPr="00C62DF2">
        <w:rPr>
          <w:rFonts w:ascii="Cambria" w:hAnsi="Cambria"/>
          <w:sz w:val="20"/>
          <w:szCs w:val="20"/>
        </w:rPr>
        <w:t>sob tortura esteve</w:t>
      </w:r>
      <w:r w:rsidR="00155439" w:rsidRPr="00C62DF2">
        <w:rPr>
          <w:rFonts w:ascii="Cambria" w:hAnsi="Cambria"/>
          <w:sz w:val="20"/>
          <w:szCs w:val="20"/>
        </w:rPr>
        <w:t xml:space="preserve"> fundamentalmente dirigida contra militantes de organizações políticas</w:t>
      </w:r>
      <w:r w:rsidR="00BC08E6" w:rsidRPr="00C62DF2">
        <w:rPr>
          <w:rFonts w:ascii="Cambria" w:hAnsi="Cambria"/>
          <w:sz w:val="20"/>
          <w:szCs w:val="20"/>
        </w:rPr>
        <w:t>,</w:t>
      </w:r>
      <w:r w:rsidR="00155439" w:rsidRPr="00C62DF2">
        <w:rPr>
          <w:rFonts w:ascii="Cambria" w:hAnsi="Cambria"/>
          <w:sz w:val="20"/>
          <w:szCs w:val="20"/>
        </w:rPr>
        <w:t xml:space="preserve"> como </w:t>
      </w:r>
      <w:r w:rsidR="00BC08E6" w:rsidRPr="00C62DF2">
        <w:rPr>
          <w:rFonts w:ascii="Cambria" w:hAnsi="Cambria"/>
          <w:sz w:val="20"/>
          <w:szCs w:val="20"/>
        </w:rPr>
        <w:t xml:space="preserve">a </w:t>
      </w:r>
      <w:r w:rsidR="00155439" w:rsidRPr="00C62DF2">
        <w:rPr>
          <w:rFonts w:ascii="Cambria" w:hAnsi="Cambria"/>
          <w:sz w:val="20"/>
          <w:szCs w:val="20"/>
        </w:rPr>
        <w:t xml:space="preserve">Ação </w:t>
      </w:r>
      <w:r w:rsidR="00566CD5" w:rsidRPr="00C62DF2">
        <w:rPr>
          <w:rFonts w:ascii="Cambria" w:hAnsi="Cambria"/>
          <w:sz w:val="20"/>
          <w:szCs w:val="20"/>
        </w:rPr>
        <w:t>Libertadora</w:t>
      </w:r>
      <w:r w:rsidR="00155439" w:rsidRPr="00C62DF2">
        <w:rPr>
          <w:rFonts w:ascii="Cambria" w:hAnsi="Cambria"/>
          <w:sz w:val="20"/>
          <w:szCs w:val="20"/>
        </w:rPr>
        <w:t xml:space="preserve"> Nacional (ALN), </w:t>
      </w:r>
      <w:r w:rsidR="00BC08E6" w:rsidRPr="00C62DF2">
        <w:rPr>
          <w:rFonts w:ascii="Cambria" w:hAnsi="Cambria"/>
          <w:sz w:val="20"/>
          <w:szCs w:val="20"/>
        </w:rPr>
        <w:t xml:space="preserve">o </w:t>
      </w:r>
      <w:r w:rsidR="00155439" w:rsidRPr="00C62DF2">
        <w:rPr>
          <w:rFonts w:ascii="Cambria" w:hAnsi="Cambria"/>
          <w:sz w:val="20"/>
          <w:szCs w:val="20"/>
        </w:rPr>
        <w:t xml:space="preserve">Partido Comunista Brasileiro (PCB), VAR-Palmares, </w:t>
      </w:r>
      <w:r w:rsidR="00BC08E6" w:rsidRPr="00C62DF2">
        <w:rPr>
          <w:rFonts w:ascii="Cambria" w:hAnsi="Cambria"/>
          <w:sz w:val="20"/>
          <w:szCs w:val="20"/>
        </w:rPr>
        <w:t xml:space="preserve">a </w:t>
      </w:r>
      <w:r w:rsidR="00155439" w:rsidRPr="00C62DF2">
        <w:rPr>
          <w:rFonts w:ascii="Cambria" w:hAnsi="Cambria"/>
          <w:sz w:val="20"/>
          <w:szCs w:val="20"/>
        </w:rPr>
        <w:t xml:space="preserve">Vanguarda Popular Revolucionária (VPR), </w:t>
      </w:r>
      <w:r w:rsidR="00BC08E6" w:rsidRPr="00C62DF2">
        <w:rPr>
          <w:rFonts w:ascii="Cambria" w:hAnsi="Cambria"/>
          <w:sz w:val="20"/>
          <w:szCs w:val="20"/>
        </w:rPr>
        <w:t xml:space="preserve">o </w:t>
      </w:r>
      <w:r w:rsidR="00155439" w:rsidRPr="00C62DF2">
        <w:rPr>
          <w:rFonts w:ascii="Cambria" w:hAnsi="Cambria"/>
          <w:sz w:val="20"/>
          <w:szCs w:val="20"/>
        </w:rPr>
        <w:t xml:space="preserve">Movimento Revolucionário 8 de Outubro (MR-8), </w:t>
      </w:r>
      <w:r w:rsidR="00BC08E6" w:rsidRPr="00C62DF2">
        <w:rPr>
          <w:rFonts w:ascii="Cambria" w:hAnsi="Cambria"/>
          <w:sz w:val="20"/>
          <w:szCs w:val="20"/>
        </w:rPr>
        <w:t xml:space="preserve">o </w:t>
      </w:r>
      <w:r w:rsidR="00155439" w:rsidRPr="00C62DF2">
        <w:rPr>
          <w:rFonts w:ascii="Cambria" w:hAnsi="Cambria"/>
          <w:sz w:val="20"/>
          <w:szCs w:val="20"/>
        </w:rPr>
        <w:t xml:space="preserve">Partido Brasileiro Comunista Revolucionário (PCBR), </w:t>
      </w:r>
      <w:r w:rsidR="00BC08E6" w:rsidRPr="00C62DF2">
        <w:rPr>
          <w:rFonts w:ascii="Cambria" w:hAnsi="Cambria"/>
          <w:sz w:val="20"/>
          <w:szCs w:val="20"/>
        </w:rPr>
        <w:t xml:space="preserve">o </w:t>
      </w:r>
      <w:r w:rsidR="00155439" w:rsidRPr="00C62DF2">
        <w:rPr>
          <w:rFonts w:ascii="Cambria" w:hAnsi="Cambria"/>
          <w:sz w:val="20"/>
          <w:szCs w:val="20"/>
        </w:rPr>
        <w:t xml:space="preserve">Partido Comunista do Brasil (PCdoB) e </w:t>
      </w:r>
      <w:r w:rsidR="00BC08E6" w:rsidRPr="00C62DF2">
        <w:rPr>
          <w:rFonts w:ascii="Cambria" w:hAnsi="Cambria"/>
          <w:sz w:val="20"/>
          <w:szCs w:val="20"/>
        </w:rPr>
        <w:t xml:space="preserve">o </w:t>
      </w:r>
      <w:r w:rsidR="00155439" w:rsidRPr="00C62DF2">
        <w:rPr>
          <w:rFonts w:ascii="Cambria" w:hAnsi="Cambria"/>
          <w:sz w:val="20"/>
          <w:szCs w:val="20"/>
        </w:rPr>
        <w:t>Partido Trabalhista Brasileiro (PTB)</w:t>
      </w:r>
      <w:r w:rsidR="00155439" w:rsidRPr="00C62DF2">
        <w:rPr>
          <w:rStyle w:val="FootnoteReference"/>
          <w:rFonts w:ascii="Cambria" w:hAnsi="Cambria"/>
          <w:sz w:val="20"/>
          <w:szCs w:val="20"/>
        </w:rPr>
        <w:footnoteReference w:id="31"/>
      </w:r>
      <w:r w:rsidR="00155439" w:rsidRPr="00C62DF2">
        <w:rPr>
          <w:rFonts w:ascii="Cambria" w:hAnsi="Cambria"/>
          <w:sz w:val="20"/>
          <w:szCs w:val="20"/>
        </w:rPr>
        <w:t>. Seg</w:t>
      </w:r>
      <w:r w:rsidRPr="00C62DF2">
        <w:rPr>
          <w:rFonts w:ascii="Cambria" w:hAnsi="Cambria"/>
          <w:sz w:val="20"/>
          <w:szCs w:val="20"/>
        </w:rPr>
        <w:t xml:space="preserve">undo a </w:t>
      </w:r>
      <w:r w:rsidR="00155439" w:rsidRPr="00C62DF2">
        <w:rPr>
          <w:rFonts w:ascii="Cambria" w:hAnsi="Cambria"/>
          <w:sz w:val="20"/>
          <w:szCs w:val="20"/>
        </w:rPr>
        <w:t>Comissão Nacional da Verdad</w:t>
      </w:r>
      <w:r w:rsidRPr="00C62DF2">
        <w:rPr>
          <w:rFonts w:ascii="Cambria" w:hAnsi="Cambria"/>
          <w:sz w:val="20"/>
          <w:szCs w:val="20"/>
        </w:rPr>
        <w:t xml:space="preserve">e, </w:t>
      </w:r>
      <w:r w:rsidR="00155439" w:rsidRPr="00C62DF2">
        <w:rPr>
          <w:rFonts w:ascii="Cambria" w:hAnsi="Cambria"/>
          <w:sz w:val="20"/>
          <w:szCs w:val="20"/>
        </w:rPr>
        <w:t>as graves v</w:t>
      </w:r>
      <w:r w:rsidRPr="00C62DF2">
        <w:rPr>
          <w:rFonts w:ascii="Cambria" w:hAnsi="Cambria"/>
          <w:sz w:val="20"/>
          <w:szCs w:val="20"/>
        </w:rPr>
        <w:t>iolações de direitos humanos ocorridas durante a di</w:t>
      </w:r>
      <w:r w:rsidR="00155439" w:rsidRPr="00C62DF2">
        <w:rPr>
          <w:rFonts w:ascii="Cambria" w:hAnsi="Cambria"/>
          <w:sz w:val="20"/>
          <w:szCs w:val="20"/>
        </w:rPr>
        <w:t>tadura civil</w:t>
      </w:r>
      <w:r w:rsidR="00BC08E6" w:rsidRPr="00C62DF2">
        <w:rPr>
          <w:rFonts w:ascii="Cambria" w:hAnsi="Cambria"/>
          <w:sz w:val="20"/>
          <w:szCs w:val="20"/>
        </w:rPr>
        <w:t>-</w:t>
      </w:r>
      <w:r w:rsidR="00155439" w:rsidRPr="00C62DF2">
        <w:rPr>
          <w:rFonts w:ascii="Cambria" w:hAnsi="Cambria"/>
          <w:sz w:val="20"/>
          <w:szCs w:val="20"/>
        </w:rPr>
        <w:t>militar n</w:t>
      </w:r>
      <w:r w:rsidRPr="00C62DF2">
        <w:rPr>
          <w:rFonts w:ascii="Cambria" w:hAnsi="Cambria"/>
          <w:sz w:val="20"/>
          <w:szCs w:val="20"/>
        </w:rPr>
        <w:t>ão eram</w:t>
      </w:r>
      <w:r w:rsidR="00155439" w:rsidRPr="00C62DF2">
        <w:rPr>
          <w:rFonts w:ascii="Cambria" w:hAnsi="Cambria"/>
          <w:sz w:val="20"/>
          <w:szCs w:val="20"/>
        </w:rPr>
        <w:t xml:space="preserve"> divulgadas o</w:t>
      </w:r>
      <w:r w:rsidRPr="00C62DF2">
        <w:rPr>
          <w:rFonts w:ascii="Cambria" w:hAnsi="Cambria"/>
          <w:sz w:val="20"/>
          <w:szCs w:val="20"/>
        </w:rPr>
        <w:t>u</w:t>
      </w:r>
      <w:r w:rsidR="00155439" w:rsidRPr="00C62DF2">
        <w:rPr>
          <w:rFonts w:ascii="Cambria" w:hAnsi="Cambria"/>
          <w:sz w:val="20"/>
          <w:szCs w:val="20"/>
        </w:rPr>
        <w:t xml:space="preserve"> era</w:t>
      </w:r>
      <w:r w:rsidRPr="00C62DF2">
        <w:rPr>
          <w:rFonts w:ascii="Cambria" w:hAnsi="Cambria"/>
          <w:sz w:val="20"/>
          <w:szCs w:val="20"/>
        </w:rPr>
        <w:t>m</w:t>
      </w:r>
      <w:r w:rsidR="00155439" w:rsidRPr="00C62DF2">
        <w:rPr>
          <w:rFonts w:ascii="Cambria" w:hAnsi="Cambria"/>
          <w:sz w:val="20"/>
          <w:szCs w:val="20"/>
        </w:rPr>
        <w:t xml:space="preserve"> divulgadas </w:t>
      </w:r>
      <w:r w:rsidRPr="00C62DF2">
        <w:rPr>
          <w:rFonts w:ascii="Cambria" w:hAnsi="Cambria"/>
          <w:sz w:val="20"/>
          <w:szCs w:val="20"/>
        </w:rPr>
        <w:t>em</w:t>
      </w:r>
      <w:r w:rsidR="00155439" w:rsidRPr="00C62DF2">
        <w:rPr>
          <w:rFonts w:ascii="Cambria" w:hAnsi="Cambria"/>
          <w:sz w:val="20"/>
          <w:szCs w:val="20"/>
        </w:rPr>
        <w:t xml:space="preserve"> vers</w:t>
      </w:r>
      <w:r w:rsidRPr="00C62DF2">
        <w:rPr>
          <w:rFonts w:ascii="Cambria" w:hAnsi="Cambria"/>
          <w:sz w:val="20"/>
          <w:szCs w:val="20"/>
        </w:rPr>
        <w:t>ões falsas, com apoio da forte censura impo</w:t>
      </w:r>
      <w:r w:rsidR="00155439" w:rsidRPr="00C62DF2">
        <w:rPr>
          <w:rFonts w:ascii="Cambria" w:hAnsi="Cambria"/>
          <w:sz w:val="20"/>
          <w:szCs w:val="20"/>
        </w:rPr>
        <w:t>sta p</w:t>
      </w:r>
      <w:r w:rsidRPr="00C62DF2">
        <w:rPr>
          <w:rFonts w:ascii="Cambria" w:hAnsi="Cambria"/>
          <w:sz w:val="20"/>
          <w:szCs w:val="20"/>
        </w:rPr>
        <w:t>ela ditadura aos me</w:t>
      </w:r>
      <w:r w:rsidR="00155439" w:rsidRPr="00C62DF2">
        <w:rPr>
          <w:rFonts w:ascii="Cambria" w:hAnsi="Cambria"/>
          <w:sz w:val="20"/>
          <w:szCs w:val="20"/>
        </w:rPr>
        <w:t>ios de comunicação</w:t>
      </w:r>
      <w:r w:rsidR="00155439" w:rsidRPr="00C62DF2">
        <w:rPr>
          <w:rStyle w:val="FootnoteReference"/>
          <w:rFonts w:ascii="Cambria" w:hAnsi="Cambria"/>
          <w:sz w:val="20"/>
          <w:szCs w:val="20"/>
        </w:rPr>
        <w:footnoteReference w:id="32"/>
      </w:r>
      <w:r w:rsidR="00155439" w:rsidRPr="00C62DF2">
        <w:rPr>
          <w:rFonts w:ascii="Cambria" w:hAnsi="Cambria"/>
          <w:sz w:val="20"/>
          <w:szCs w:val="20"/>
        </w:rPr>
        <w:t xml:space="preserve">. </w:t>
      </w:r>
      <w:r w:rsidRPr="00C62DF2">
        <w:rPr>
          <w:rFonts w:ascii="Cambria" w:hAnsi="Cambria"/>
          <w:sz w:val="20"/>
          <w:szCs w:val="20"/>
        </w:rPr>
        <w:t>Nesse sentido, o</w:t>
      </w:r>
      <w:r w:rsidR="00155439" w:rsidRPr="00C62DF2">
        <w:rPr>
          <w:rFonts w:ascii="Cambria" w:hAnsi="Cambria"/>
          <w:sz w:val="20"/>
          <w:szCs w:val="20"/>
        </w:rPr>
        <w:t xml:space="preserve"> </w:t>
      </w:r>
      <w:r w:rsidRPr="00C62DF2">
        <w:rPr>
          <w:rFonts w:ascii="Cambria" w:hAnsi="Cambria"/>
          <w:sz w:val="20"/>
          <w:szCs w:val="20"/>
        </w:rPr>
        <w:t>acoberta</w:t>
      </w:r>
      <w:r w:rsidR="00155439" w:rsidRPr="00C62DF2">
        <w:rPr>
          <w:rFonts w:ascii="Cambria" w:hAnsi="Cambria"/>
          <w:sz w:val="20"/>
          <w:szCs w:val="20"/>
        </w:rPr>
        <w:t>mento</w:t>
      </w:r>
      <w:r w:rsidRPr="00C62DF2">
        <w:rPr>
          <w:rFonts w:ascii="Cambria" w:hAnsi="Cambria"/>
          <w:sz w:val="20"/>
          <w:szCs w:val="20"/>
        </w:rPr>
        <w:t xml:space="preserve"> de assassinato</w:t>
      </w:r>
      <w:r w:rsidR="006513A4" w:rsidRPr="00C62DF2">
        <w:rPr>
          <w:rFonts w:ascii="Cambria" w:hAnsi="Cambria"/>
          <w:sz w:val="20"/>
          <w:szCs w:val="20"/>
        </w:rPr>
        <w:t>s</w:t>
      </w:r>
      <w:r w:rsidRPr="00C62DF2">
        <w:rPr>
          <w:rFonts w:ascii="Cambria" w:hAnsi="Cambria"/>
          <w:sz w:val="20"/>
          <w:szCs w:val="20"/>
        </w:rPr>
        <w:t xml:space="preserve"> por parte de membros do Ex</w:t>
      </w:r>
      <w:r w:rsidR="00155439" w:rsidRPr="00C62DF2">
        <w:rPr>
          <w:rFonts w:ascii="Cambria" w:hAnsi="Cambria"/>
          <w:sz w:val="20"/>
          <w:szCs w:val="20"/>
        </w:rPr>
        <w:t>érc</w:t>
      </w:r>
      <w:r w:rsidRPr="00C62DF2">
        <w:rPr>
          <w:rFonts w:ascii="Cambria" w:hAnsi="Cambria"/>
          <w:sz w:val="20"/>
          <w:szCs w:val="20"/>
        </w:rPr>
        <w:t>ito de pessoas opositoras se dav</w:t>
      </w:r>
      <w:r w:rsidR="00155439" w:rsidRPr="00C62DF2">
        <w:rPr>
          <w:rFonts w:ascii="Cambria" w:hAnsi="Cambria"/>
          <w:sz w:val="20"/>
          <w:szCs w:val="20"/>
        </w:rPr>
        <w:t>a</w:t>
      </w:r>
      <w:r w:rsidRPr="00C62DF2">
        <w:rPr>
          <w:rFonts w:ascii="Cambria" w:hAnsi="Cambria"/>
          <w:sz w:val="20"/>
          <w:szCs w:val="20"/>
        </w:rPr>
        <w:t>, maj</w:t>
      </w:r>
      <w:r w:rsidR="00155439" w:rsidRPr="00C62DF2">
        <w:rPr>
          <w:rFonts w:ascii="Cambria" w:hAnsi="Cambria"/>
          <w:sz w:val="20"/>
          <w:szCs w:val="20"/>
        </w:rPr>
        <w:t xml:space="preserve">oritariamente, </w:t>
      </w:r>
      <w:r w:rsidRPr="00C62DF2">
        <w:rPr>
          <w:rFonts w:ascii="Cambria" w:hAnsi="Cambria"/>
          <w:sz w:val="20"/>
          <w:szCs w:val="20"/>
        </w:rPr>
        <w:t xml:space="preserve">sob a </w:t>
      </w:r>
      <w:r w:rsidR="00155439" w:rsidRPr="00C62DF2">
        <w:rPr>
          <w:rFonts w:ascii="Cambria" w:hAnsi="Cambria"/>
          <w:sz w:val="20"/>
          <w:szCs w:val="20"/>
        </w:rPr>
        <w:t>hip</w:t>
      </w:r>
      <w:r w:rsidRPr="00C62DF2">
        <w:rPr>
          <w:rFonts w:ascii="Cambria" w:hAnsi="Cambria"/>
          <w:sz w:val="20"/>
          <w:szCs w:val="20"/>
        </w:rPr>
        <w:t>ótese de que as mo</w:t>
      </w:r>
      <w:r w:rsidR="00155439" w:rsidRPr="00C62DF2">
        <w:rPr>
          <w:rFonts w:ascii="Cambria" w:hAnsi="Cambria"/>
          <w:sz w:val="20"/>
          <w:szCs w:val="20"/>
        </w:rPr>
        <w:t>rtes oc</w:t>
      </w:r>
      <w:r w:rsidR="00566CD5" w:rsidRPr="00C62DF2">
        <w:rPr>
          <w:rFonts w:ascii="Cambria" w:hAnsi="Cambria"/>
          <w:sz w:val="20"/>
          <w:szCs w:val="20"/>
        </w:rPr>
        <w:t>orriam em falsos confront</w:t>
      </w:r>
      <w:r w:rsidRPr="00C62DF2">
        <w:rPr>
          <w:rFonts w:ascii="Cambria" w:hAnsi="Cambria"/>
          <w:sz w:val="20"/>
          <w:szCs w:val="20"/>
        </w:rPr>
        <w:t>os com armas de fogo. A esse respeito, o</w:t>
      </w:r>
      <w:r w:rsidR="00155439" w:rsidRPr="00C62DF2">
        <w:rPr>
          <w:rFonts w:ascii="Cambria" w:hAnsi="Cambria"/>
          <w:sz w:val="20"/>
          <w:szCs w:val="20"/>
        </w:rPr>
        <w:t xml:space="preserve"> caso de Eduar</w:t>
      </w:r>
      <w:r w:rsidRPr="00C62DF2">
        <w:rPr>
          <w:rFonts w:ascii="Cambria" w:hAnsi="Cambria"/>
          <w:sz w:val="20"/>
          <w:szCs w:val="20"/>
        </w:rPr>
        <w:t>do Collen Leite foi reconhe</w:t>
      </w:r>
      <w:r w:rsidR="00155439" w:rsidRPr="00C62DF2">
        <w:rPr>
          <w:rFonts w:ascii="Cambria" w:hAnsi="Cambria"/>
          <w:sz w:val="20"/>
          <w:szCs w:val="20"/>
        </w:rPr>
        <w:t>cido p</w:t>
      </w:r>
      <w:r w:rsidRPr="00C62DF2">
        <w:rPr>
          <w:rFonts w:ascii="Cambria" w:hAnsi="Cambria"/>
          <w:sz w:val="20"/>
          <w:szCs w:val="20"/>
        </w:rPr>
        <w:t>ela CNV como um</w:t>
      </w:r>
      <w:r w:rsidR="00155439" w:rsidRPr="00C62DF2">
        <w:rPr>
          <w:rFonts w:ascii="Cambria" w:hAnsi="Cambria"/>
          <w:sz w:val="20"/>
          <w:szCs w:val="20"/>
        </w:rPr>
        <w:t>a das falsas vers</w:t>
      </w:r>
      <w:r w:rsidRPr="00C62DF2">
        <w:rPr>
          <w:rFonts w:ascii="Cambria" w:hAnsi="Cambria"/>
          <w:sz w:val="20"/>
          <w:szCs w:val="20"/>
        </w:rPr>
        <w:t>ões desses assas</w:t>
      </w:r>
      <w:r w:rsidR="00155439" w:rsidRPr="00C62DF2">
        <w:rPr>
          <w:rFonts w:ascii="Cambria" w:hAnsi="Cambria"/>
          <w:sz w:val="20"/>
          <w:szCs w:val="20"/>
        </w:rPr>
        <w:t xml:space="preserve">sinatos </w:t>
      </w:r>
      <w:r w:rsidR="00155439" w:rsidRPr="00C62DF2">
        <w:rPr>
          <w:rStyle w:val="FootnoteReference"/>
          <w:rFonts w:ascii="Cambria" w:hAnsi="Cambria"/>
          <w:sz w:val="20"/>
          <w:szCs w:val="20"/>
        </w:rPr>
        <w:footnoteReference w:id="33"/>
      </w:r>
      <w:r w:rsidR="00155439" w:rsidRPr="00C62DF2">
        <w:rPr>
          <w:rFonts w:ascii="Cambria" w:hAnsi="Cambria"/>
          <w:sz w:val="20"/>
          <w:szCs w:val="20"/>
        </w:rPr>
        <w:t>.</w:t>
      </w:r>
    </w:p>
    <w:p w14:paraId="288A4DFC" w14:textId="77777777" w:rsidR="00155439" w:rsidRPr="00C62DF2" w:rsidRDefault="00155439" w:rsidP="00FC0CB6">
      <w:pPr>
        <w:pStyle w:val="Body"/>
        <w:ind w:firstLine="0"/>
        <w:rPr>
          <w:color w:val="auto"/>
          <w:lang w:val="pt-BR"/>
        </w:rPr>
      </w:pPr>
    </w:p>
    <w:p w14:paraId="66F2AA37" w14:textId="77777777" w:rsidR="00E13122" w:rsidRPr="00C62DF2" w:rsidRDefault="00E13122" w:rsidP="00FC0CB6">
      <w:pPr>
        <w:pStyle w:val="ListParagraph"/>
        <w:ind w:firstLine="0"/>
        <w:rPr>
          <w:rStyle w:val="Emphasis"/>
          <w:rFonts w:cs="Arial"/>
          <w:i w:val="0"/>
          <w:sz w:val="20"/>
          <w:szCs w:val="20"/>
          <w:lang w:val="pt-BR"/>
        </w:rPr>
      </w:pPr>
    </w:p>
    <w:p w14:paraId="0678E091" w14:textId="77777777" w:rsidR="00E13122" w:rsidRPr="00C62DF2" w:rsidRDefault="00E13122" w:rsidP="00FC0CB6">
      <w:pPr>
        <w:rPr>
          <w:rFonts w:ascii="Cambria" w:hAnsi="Cambria"/>
          <w:b/>
          <w:bCs/>
          <w:sz w:val="20"/>
          <w:szCs w:val="20"/>
        </w:rPr>
      </w:pPr>
    </w:p>
    <w:p w14:paraId="664BD352" w14:textId="2FDD4073" w:rsidR="00E13122" w:rsidRPr="00C62DF2" w:rsidRDefault="00E13122" w:rsidP="00FC0CB6">
      <w:pPr>
        <w:pStyle w:val="Heading2"/>
        <w:ind w:firstLine="0"/>
        <w:rPr>
          <w:lang w:val="pt-BR"/>
        </w:rPr>
      </w:pPr>
      <w:bookmarkStart w:id="6" w:name="_Toc85895001"/>
      <w:r w:rsidRPr="00C62DF2">
        <w:rPr>
          <w:lang w:val="pt-BR"/>
        </w:rPr>
        <w:t>Sobre as supostas vítimas e suas ações contra a ditadura civil</w:t>
      </w:r>
      <w:r w:rsidR="004A09A4" w:rsidRPr="00C62DF2">
        <w:rPr>
          <w:lang w:val="pt-BR"/>
        </w:rPr>
        <w:t>-</w:t>
      </w:r>
      <w:r w:rsidRPr="00C62DF2">
        <w:rPr>
          <w:lang w:val="pt-BR"/>
        </w:rPr>
        <w:t>militar brasileira</w:t>
      </w:r>
      <w:bookmarkEnd w:id="6"/>
    </w:p>
    <w:p w14:paraId="05F6D6EC" w14:textId="77777777" w:rsidR="00E13122" w:rsidRPr="00C62DF2" w:rsidRDefault="00E13122" w:rsidP="00FC0CB6">
      <w:pPr>
        <w:rPr>
          <w:rFonts w:ascii="Cambria" w:hAnsi="Cambria"/>
          <w:sz w:val="20"/>
          <w:szCs w:val="20"/>
          <w:lang w:eastAsia="es-CL"/>
        </w:rPr>
      </w:pPr>
    </w:p>
    <w:p w14:paraId="699FBEF3" w14:textId="04769D7F" w:rsidR="00E13122" w:rsidRPr="00C62DF2" w:rsidRDefault="00E13122" w:rsidP="00FC0CB6">
      <w:pPr>
        <w:numPr>
          <w:ilvl w:val="0"/>
          <w:numId w:val="2"/>
        </w:numPr>
        <w:jc w:val="both"/>
        <w:rPr>
          <w:rFonts w:ascii="Cambria" w:hAnsi="Cambria"/>
          <w:sz w:val="20"/>
          <w:szCs w:val="20"/>
        </w:rPr>
      </w:pPr>
      <w:r w:rsidRPr="00C62DF2">
        <w:rPr>
          <w:rFonts w:ascii="Cambria" w:hAnsi="Cambria"/>
          <w:sz w:val="20"/>
          <w:szCs w:val="20"/>
        </w:rPr>
        <w:t xml:space="preserve">A parte peticionária identificou como vítimas no presente caso Eduardo Collen Leite, Denise Peres Crispim, Eduarda Crispim Leite, Leonardo Ditta, </w:t>
      </w:r>
      <w:r w:rsidRPr="00C62DF2">
        <w:rPr>
          <w:rStyle w:val="Emphasis"/>
          <w:rFonts w:ascii="Cambria" w:hAnsi="Cambria"/>
          <w:i w:val="0"/>
          <w:iCs w:val="0"/>
          <w:sz w:val="20"/>
          <w:szCs w:val="20"/>
        </w:rPr>
        <w:t>José Maria Crispim e Encarna</w:t>
      </w:r>
      <w:r w:rsidR="006E76DA" w:rsidRPr="00C62DF2">
        <w:rPr>
          <w:rStyle w:val="Emphasis"/>
          <w:rFonts w:ascii="Cambria" w:hAnsi="Cambria"/>
          <w:i w:val="0"/>
          <w:iCs w:val="0"/>
          <w:sz w:val="20"/>
          <w:szCs w:val="20"/>
        </w:rPr>
        <w:t>ción</w:t>
      </w:r>
      <w:r w:rsidRPr="00C62DF2">
        <w:rPr>
          <w:rStyle w:val="Emphasis"/>
          <w:rFonts w:ascii="Cambria" w:hAnsi="Cambria"/>
          <w:i w:val="0"/>
          <w:iCs w:val="0"/>
          <w:sz w:val="20"/>
          <w:szCs w:val="20"/>
        </w:rPr>
        <w:t xml:space="preserve"> Lopes Perez.</w:t>
      </w:r>
    </w:p>
    <w:p w14:paraId="306D585B" w14:textId="77777777" w:rsidR="00E13122" w:rsidRPr="00C62DF2" w:rsidRDefault="00E13122" w:rsidP="00FC0CB6">
      <w:pPr>
        <w:ind w:left="720"/>
        <w:jc w:val="both"/>
        <w:rPr>
          <w:rStyle w:val="Emphasis"/>
          <w:rFonts w:ascii="Cambria" w:hAnsi="Cambria"/>
          <w:i w:val="0"/>
          <w:iCs w:val="0"/>
          <w:sz w:val="20"/>
          <w:szCs w:val="20"/>
        </w:rPr>
      </w:pPr>
    </w:p>
    <w:p w14:paraId="6DE359FF" w14:textId="33E7843C" w:rsidR="00E13122" w:rsidRPr="00C62DF2" w:rsidRDefault="00E13122" w:rsidP="00FC0CB6">
      <w:pPr>
        <w:numPr>
          <w:ilvl w:val="0"/>
          <w:numId w:val="2"/>
        </w:numPr>
        <w:jc w:val="both"/>
        <w:rPr>
          <w:rFonts w:ascii="Cambria" w:hAnsi="Cambria"/>
          <w:sz w:val="20"/>
          <w:szCs w:val="20"/>
        </w:rPr>
      </w:pPr>
      <w:r w:rsidRPr="00C62DF2">
        <w:rPr>
          <w:rStyle w:val="Emphasis"/>
          <w:rFonts w:ascii="Cambria" w:hAnsi="Cambria" w:cs="Arial"/>
          <w:i w:val="0"/>
          <w:sz w:val="20"/>
          <w:szCs w:val="20"/>
        </w:rPr>
        <w:t>Eduardo Collen Leite era técnico em telefonia</w:t>
      </w:r>
      <w:r w:rsidRPr="00C62DF2">
        <w:rPr>
          <w:rStyle w:val="FootnoteReference"/>
          <w:rFonts w:ascii="Cambria" w:hAnsi="Cambria" w:cs="Arial"/>
          <w:iCs/>
          <w:sz w:val="20"/>
          <w:szCs w:val="20"/>
        </w:rPr>
        <w:footnoteReference w:id="34"/>
      </w:r>
      <w:r w:rsidRPr="00C62DF2">
        <w:rPr>
          <w:rStyle w:val="Emphasis"/>
          <w:rFonts w:ascii="Cambria" w:hAnsi="Cambria" w:cs="Arial"/>
          <w:i w:val="0"/>
          <w:sz w:val="20"/>
          <w:szCs w:val="20"/>
        </w:rPr>
        <w:t xml:space="preserve"> e e</w:t>
      </w:r>
      <w:r w:rsidRPr="00C62DF2">
        <w:rPr>
          <w:rFonts w:ascii="Cambria" w:hAnsi="Cambria"/>
          <w:sz w:val="20"/>
          <w:szCs w:val="20"/>
        </w:rPr>
        <w:t>m 1967 entrou para o Exército brasileiro, atuando na 7ª Companhia de Guarda e no Hospital do Exército em São Paulo</w:t>
      </w:r>
      <w:r w:rsidRPr="00C62DF2">
        <w:rPr>
          <w:rStyle w:val="FootnoteReference"/>
          <w:rFonts w:ascii="Cambria" w:hAnsi="Cambria" w:cs="Arial"/>
          <w:sz w:val="20"/>
          <w:szCs w:val="20"/>
        </w:rPr>
        <w:footnoteReference w:id="35"/>
      </w:r>
      <w:r w:rsidRPr="00C62DF2">
        <w:rPr>
          <w:rFonts w:ascii="Cambria" w:hAnsi="Cambria"/>
          <w:sz w:val="20"/>
          <w:szCs w:val="20"/>
        </w:rPr>
        <w:t xml:space="preserve">. Eduardo começou a se interessar por questões políticas muito jovem, ingressando na Política Operária </w:t>
      </w:r>
      <w:r w:rsidR="003318E3" w:rsidRPr="00C62DF2">
        <w:rPr>
          <w:rFonts w:ascii="Cambria" w:hAnsi="Cambria"/>
          <w:sz w:val="20"/>
          <w:szCs w:val="20"/>
        </w:rPr>
        <w:t>(</w:t>
      </w:r>
      <w:r w:rsidRPr="00C62DF2">
        <w:rPr>
          <w:rFonts w:ascii="Cambria" w:hAnsi="Cambria"/>
          <w:sz w:val="20"/>
          <w:szCs w:val="20"/>
        </w:rPr>
        <w:t>POLOP</w:t>
      </w:r>
      <w:r w:rsidR="003318E3" w:rsidRPr="00C62DF2">
        <w:rPr>
          <w:rFonts w:ascii="Cambria" w:hAnsi="Cambria"/>
          <w:sz w:val="20"/>
          <w:szCs w:val="20"/>
        </w:rPr>
        <w:t>)</w:t>
      </w:r>
      <w:r w:rsidRPr="00C62DF2">
        <w:rPr>
          <w:rFonts w:ascii="Cambria" w:hAnsi="Cambria"/>
          <w:sz w:val="20"/>
          <w:szCs w:val="20"/>
        </w:rPr>
        <w:t xml:space="preserve"> e sendo um de seus coordenadores. Em 1968, vinculou</w:t>
      </w:r>
      <w:r w:rsidR="003318E3" w:rsidRPr="00C62DF2">
        <w:rPr>
          <w:rFonts w:ascii="Cambria" w:hAnsi="Cambria"/>
          <w:sz w:val="20"/>
          <w:szCs w:val="20"/>
        </w:rPr>
        <w:t>-se</w:t>
      </w:r>
      <w:r w:rsidRPr="00C62DF2">
        <w:rPr>
          <w:rFonts w:ascii="Cambria" w:hAnsi="Cambria"/>
          <w:sz w:val="20"/>
          <w:szCs w:val="20"/>
        </w:rPr>
        <w:t xml:space="preserve"> à Vanguarda Popular Revolucionária (VPR), onde ficou até abril de 1969, quando fundou a Rede Democrática (REDE)</w:t>
      </w:r>
      <w:r w:rsidRPr="00C62DF2">
        <w:rPr>
          <w:rStyle w:val="FootnoteReference"/>
          <w:rFonts w:ascii="Cambria" w:hAnsi="Cambria" w:cs="Arial"/>
          <w:sz w:val="20"/>
          <w:szCs w:val="20"/>
        </w:rPr>
        <w:footnoteReference w:id="36"/>
      </w:r>
      <w:r w:rsidRPr="00C62DF2">
        <w:rPr>
          <w:rFonts w:ascii="Cambria" w:hAnsi="Cambria"/>
          <w:sz w:val="20"/>
          <w:szCs w:val="20"/>
        </w:rPr>
        <w:t>. Eduardo era conhecido pelo apelido “Bacuri”</w:t>
      </w:r>
      <w:r w:rsidR="00F131BD" w:rsidRPr="00C62DF2">
        <w:rPr>
          <w:rFonts w:ascii="Cambria" w:hAnsi="Cambria"/>
          <w:sz w:val="20"/>
          <w:szCs w:val="20"/>
        </w:rPr>
        <w:t>,</w:t>
      </w:r>
      <w:r w:rsidRPr="00C62DF2">
        <w:rPr>
          <w:rFonts w:ascii="Cambria" w:hAnsi="Cambria"/>
          <w:sz w:val="20"/>
          <w:szCs w:val="20"/>
        </w:rPr>
        <w:t xml:space="preserve"> que</w:t>
      </w:r>
      <w:r w:rsidR="00F131BD" w:rsidRPr="00C62DF2">
        <w:rPr>
          <w:rFonts w:ascii="Cambria" w:hAnsi="Cambria"/>
          <w:sz w:val="20"/>
          <w:szCs w:val="20"/>
        </w:rPr>
        <w:t>,</w:t>
      </w:r>
      <w:r w:rsidRPr="00C62DF2">
        <w:rPr>
          <w:rFonts w:ascii="Cambria" w:hAnsi="Cambria"/>
          <w:sz w:val="20"/>
          <w:szCs w:val="20"/>
        </w:rPr>
        <w:t xml:space="preserve"> de acordo com fontes acadêmicas</w:t>
      </w:r>
      <w:r w:rsidR="00F131BD" w:rsidRPr="00C62DF2">
        <w:rPr>
          <w:rFonts w:ascii="Cambria" w:hAnsi="Cambria"/>
          <w:sz w:val="20"/>
          <w:szCs w:val="20"/>
        </w:rPr>
        <w:t>,</w:t>
      </w:r>
      <w:r w:rsidRPr="00C62DF2">
        <w:rPr>
          <w:rFonts w:ascii="Cambria" w:hAnsi="Cambria"/>
          <w:sz w:val="20"/>
          <w:szCs w:val="20"/>
        </w:rPr>
        <w:t xml:space="preserve"> lhe foi dado como “nome de guerra” devido a seus instintos aguçados e grande capacidade de planejamento de ações</w:t>
      </w:r>
      <w:r w:rsidRPr="00C62DF2">
        <w:rPr>
          <w:rStyle w:val="FootnoteReference"/>
          <w:rFonts w:ascii="Cambria" w:hAnsi="Cambria"/>
          <w:sz w:val="20"/>
          <w:szCs w:val="20"/>
        </w:rPr>
        <w:footnoteReference w:id="37"/>
      </w:r>
      <w:r w:rsidRPr="00C62DF2">
        <w:rPr>
          <w:rFonts w:ascii="Cambria" w:hAnsi="Cambria"/>
          <w:sz w:val="20"/>
          <w:szCs w:val="20"/>
        </w:rPr>
        <w:t>. A Comissão destaca que, segundo a Comissão de Anistia do Brasil, Eduardo Collen Leite foi um dos mais ativos militantes em ações armadas contra o regime civil</w:t>
      </w:r>
      <w:r w:rsidR="00F131BD" w:rsidRPr="00C62DF2">
        <w:rPr>
          <w:rFonts w:ascii="Cambria" w:hAnsi="Cambria"/>
          <w:sz w:val="20"/>
          <w:szCs w:val="20"/>
        </w:rPr>
        <w:t>-</w:t>
      </w:r>
      <w:r w:rsidRPr="00C62DF2">
        <w:rPr>
          <w:rFonts w:ascii="Cambria" w:hAnsi="Cambria"/>
          <w:sz w:val="20"/>
          <w:szCs w:val="20"/>
        </w:rPr>
        <w:t>militar brasileiro</w:t>
      </w:r>
      <w:r w:rsidRPr="00C62DF2">
        <w:rPr>
          <w:rStyle w:val="FootnoteReference"/>
          <w:rFonts w:ascii="Cambria" w:hAnsi="Cambria" w:cs="Arial"/>
          <w:sz w:val="20"/>
          <w:szCs w:val="20"/>
        </w:rPr>
        <w:footnoteReference w:id="38"/>
      </w:r>
      <w:r w:rsidRPr="00C62DF2">
        <w:rPr>
          <w:rFonts w:ascii="Cambria" w:hAnsi="Cambria"/>
          <w:sz w:val="20"/>
          <w:szCs w:val="20"/>
        </w:rPr>
        <w:t>.</w:t>
      </w:r>
    </w:p>
    <w:p w14:paraId="46007BA8" w14:textId="77777777" w:rsidR="00E13122" w:rsidRPr="00C62DF2" w:rsidRDefault="00E13122" w:rsidP="00FC0CB6">
      <w:pPr>
        <w:pStyle w:val="ListParagraph"/>
        <w:ind w:firstLine="0"/>
        <w:rPr>
          <w:rStyle w:val="Emphasis"/>
          <w:i w:val="0"/>
          <w:iCs w:val="0"/>
          <w:sz w:val="20"/>
          <w:szCs w:val="20"/>
          <w:lang w:val="pt-BR"/>
        </w:rPr>
      </w:pPr>
    </w:p>
    <w:p w14:paraId="1B94A4CA" w14:textId="578F9107"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 xml:space="preserve">Por outro lado, Denise Peres Crispim, era filha dos militantes políticos José Maria Crispim e </w:t>
      </w:r>
      <w:r w:rsidR="006E76DA" w:rsidRPr="00C62DF2">
        <w:rPr>
          <w:rStyle w:val="Emphasis"/>
          <w:rFonts w:ascii="Cambria" w:hAnsi="Cambria"/>
          <w:i w:val="0"/>
          <w:iCs w:val="0"/>
          <w:sz w:val="20"/>
          <w:szCs w:val="20"/>
        </w:rPr>
        <w:t>Encarnación</w:t>
      </w:r>
      <w:r w:rsidRPr="00C62DF2">
        <w:rPr>
          <w:rStyle w:val="Emphasis"/>
          <w:rFonts w:ascii="Cambria" w:hAnsi="Cambria"/>
          <w:i w:val="0"/>
          <w:iCs w:val="0"/>
          <w:sz w:val="20"/>
          <w:szCs w:val="20"/>
        </w:rPr>
        <w:t xml:space="preserve"> Lopes Perez. Seu pai foi Deputado Constituinte do Estado de São Paulo pelo Partido Comunista Brasileiro (PCB) e</w:t>
      </w:r>
      <w:r w:rsidR="00F131BD"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devido a suas atividades</w:t>
      </w:r>
      <w:r w:rsidR="00F131BD"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foi perseguido pela ditadura brasileira e teve seus direitos políticos cassados em 1947. Sua mãe foi integrante da VPN e alugava imóveis para os outros integrantes do agrupamento</w:t>
      </w:r>
      <w:r w:rsidRPr="00C62DF2">
        <w:rPr>
          <w:rStyle w:val="FootnoteReference"/>
          <w:rFonts w:ascii="Cambria" w:hAnsi="Cambria" w:cs="Arial"/>
          <w:sz w:val="20"/>
          <w:szCs w:val="20"/>
        </w:rPr>
        <w:footnoteReference w:id="39"/>
      </w:r>
      <w:r w:rsidRPr="00C62DF2">
        <w:rPr>
          <w:rStyle w:val="Emphasis"/>
          <w:rFonts w:ascii="Cambria" w:hAnsi="Cambria"/>
          <w:i w:val="0"/>
          <w:iCs w:val="0"/>
          <w:sz w:val="20"/>
          <w:szCs w:val="20"/>
        </w:rPr>
        <w:t>. Assim, Denise nasceu em 2 de dezembro de 1949, quando seus pais viviam na clandestinidade e recebeu o falso nome de “Laura Santos”, para poder escapar das perseguições do Estado brasileiro contra seus pais</w:t>
      </w:r>
      <w:r w:rsidRPr="00C62DF2">
        <w:rPr>
          <w:rStyle w:val="FootnoteReference"/>
          <w:rFonts w:ascii="Cambria" w:hAnsi="Cambria"/>
          <w:sz w:val="20"/>
          <w:szCs w:val="20"/>
        </w:rPr>
        <w:footnoteReference w:id="40"/>
      </w:r>
      <w:r w:rsidRPr="00C62DF2">
        <w:rPr>
          <w:rStyle w:val="Emphasis"/>
          <w:rFonts w:ascii="Cambria" w:hAnsi="Cambria"/>
          <w:i w:val="0"/>
          <w:iCs w:val="0"/>
          <w:sz w:val="20"/>
          <w:szCs w:val="20"/>
        </w:rPr>
        <w:t xml:space="preserve">. </w:t>
      </w:r>
    </w:p>
    <w:p w14:paraId="30829B2C" w14:textId="77777777" w:rsidR="00E13122" w:rsidRPr="00C62DF2" w:rsidRDefault="00E13122" w:rsidP="00FC0CB6">
      <w:pPr>
        <w:pStyle w:val="ListParagraph"/>
        <w:ind w:firstLine="0"/>
        <w:rPr>
          <w:rStyle w:val="Emphasis"/>
          <w:i w:val="0"/>
          <w:iCs w:val="0"/>
          <w:sz w:val="20"/>
          <w:szCs w:val="20"/>
          <w:lang w:val="pt-BR"/>
        </w:rPr>
      </w:pPr>
    </w:p>
    <w:p w14:paraId="1D87ACE5" w14:textId="11DFA2D1" w:rsidR="00E13122" w:rsidRPr="00C62DF2" w:rsidRDefault="00E13122" w:rsidP="00FC0CB6">
      <w:pPr>
        <w:numPr>
          <w:ilvl w:val="0"/>
          <w:numId w:val="2"/>
        </w:numPr>
        <w:jc w:val="both"/>
        <w:rPr>
          <w:rFonts w:ascii="Cambria" w:hAnsi="Cambria"/>
          <w:sz w:val="20"/>
          <w:szCs w:val="20"/>
        </w:rPr>
      </w:pPr>
      <w:r w:rsidRPr="00C62DF2">
        <w:rPr>
          <w:rStyle w:val="Emphasis"/>
          <w:rFonts w:ascii="Cambria" w:hAnsi="Cambria"/>
          <w:i w:val="0"/>
          <w:iCs w:val="0"/>
          <w:sz w:val="20"/>
          <w:szCs w:val="20"/>
        </w:rPr>
        <w:t>Denise e sua família estiveram envolvidos em atividades políticas de esquerda</w:t>
      </w:r>
      <w:r w:rsidRPr="00C62DF2">
        <w:rPr>
          <w:rStyle w:val="FootnoteReference"/>
          <w:rFonts w:ascii="Cambria" w:hAnsi="Cambria"/>
          <w:sz w:val="20"/>
          <w:szCs w:val="20"/>
        </w:rPr>
        <w:footnoteReference w:id="41"/>
      </w:r>
      <w:r w:rsidRPr="00C62DF2">
        <w:rPr>
          <w:rStyle w:val="Emphasis"/>
          <w:rFonts w:ascii="Cambria" w:hAnsi="Cambria"/>
          <w:i w:val="0"/>
          <w:iCs w:val="0"/>
          <w:sz w:val="20"/>
          <w:szCs w:val="20"/>
        </w:rPr>
        <w:t xml:space="preserve"> contra os governos ditatoriais </w:t>
      </w:r>
      <w:r w:rsidR="00F131BD" w:rsidRPr="00C62DF2">
        <w:rPr>
          <w:rStyle w:val="Emphasis"/>
          <w:rFonts w:ascii="Cambria" w:hAnsi="Cambria"/>
          <w:i w:val="0"/>
          <w:iCs w:val="0"/>
          <w:sz w:val="20"/>
          <w:szCs w:val="20"/>
        </w:rPr>
        <w:t>d</w:t>
      </w:r>
      <w:r w:rsidRPr="00C62DF2">
        <w:rPr>
          <w:rStyle w:val="Emphasis"/>
          <w:rFonts w:ascii="Cambria" w:hAnsi="Cambria"/>
          <w:i w:val="0"/>
          <w:iCs w:val="0"/>
          <w:sz w:val="20"/>
          <w:szCs w:val="20"/>
        </w:rPr>
        <w:t>o Brasil</w:t>
      </w:r>
      <w:r w:rsidR="00F131BD"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por isso, com o golpe militar de 1964, passaram a viver na clandestinidade e a viver difíceis situações financeiras.</w:t>
      </w:r>
      <w:r w:rsidRPr="00C62DF2">
        <w:rPr>
          <w:rFonts w:ascii="Cambria" w:hAnsi="Cambria"/>
          <w:sz w:val="20"/>
          <w:szCs w:val="20"/>
        </w:rPr>
        <w:t xml:space="preserve"> Entre 1966 e 1967, Denise trabalhou em um ateli</w:t>
      </w:r>
      <w:r w:rsidR="00F131BD" w:rsidRPr="00C62DF2">
        <w:rPr>
          <w:rFonts w:ascii="Cambria" w:hAnsi="Cambria"/>
          <w:sz w:val="20"/>
          <w:szCs w:val="20"/>
        </w:rPr>
        <w:t>ê</w:t>
      </w:r>
      <w:r w:rsidRPr="00C62DF2">
        <w:rPr>
          <w:rFonts w:ascii="Cambria" w:hAnsi="Cambria"/>
          <w:sz w:val="20"/>
          <w:szCs w:val="20"/>
        </w:rPr>
        <w:t xml:space="preserve"> em São Paulo, onde aprendeu técnicas de artesanato e passou a confeccionar roupas para vender nos finais de semana </w:t>
      </w:r>
      <w:r w:rsidR="000249C9" w:rsidRPr="00C62DF2">
        <w:rPr>
          <w:rFonts w:ascii="Cambria" w:hAnsi="Cambria"/>
          <w:sz w:val="20"/>
          <w:szCs w:val="20"/>
        </w:rPr>
        <w:t xml:space="preserve">em </w:t>
      </w:r>
      <w:r w:rsidRPr="00C62DF2">
        <w:rPr>
          <w:rFonts w:ascii="Cambria" w:hAnsi="Cambria"/>
          <w:sz w:val="20"/>
          <w:szCs w:val="20"/>
        </w:rPr>
        <w:t>uma feira da cidade</w:t>
      </w:r>
      <w:r w:rsidR="00F131BD" w:rsidRPr="00C62DF2">
        <w:rPr>
          <w:rFonts w:ascii="Cambria" w:hAnsi="Cambria"/>
          <w:sz w:val="20"/>
          <w:szCs w:val="20"/>
        </w:rPr>
        <w:t>;</w:t>
      </w:r>
      <w:r w:rsidRPr="00C62DF2">
        <w:rPr>
          <w:rFonts w:ascii="Cambria" w:hAnsi="Cambria"/>
          <w:sz w:val="20"/>
          <w:szCs w:val="20"/>
        </w:rPr>
        <w:t xml:space="preserve"> para complementar a renda familiar</w:t>
      </w:r>
      <w:r w:rsidR="00F131BD" w:rsidRPr="00C62DF2">
        <w:rPr>
          <w:rFonts w:ascii="Cambria" w:hAnsi="Cambria"/>
          <w:sz w:val="20"/>
          <w:szCs w:val="20"/>
        </w:rPr>
        <w:t>,</w:t>
      </w:r>
      <w:r w:rsidRPr="00C62DF2">
        <w:rPr>
          <w:rFonts w:ascii="Cambria" w:hAnsi="Cambria"/>
          <w:sz w:val="20"/>
          <w:szCs w:val="20"/>
        </w:rPr>
        <w:t xml:space="preserve"> trabalhou como </w:t>
      </w:r>
      <w:r w:rsidR="00F131BD" w:rsidRPr="00C62DF2">
        <w:rPr>
          <w:rFonts w:ascii="Cambria" w:hAnsi="Cambria"/>
          <w:sz w:val="20"/>
          <w:szCs w:val="20"/>
        </w:rPr>
        <w:t>a</w:t>
      </w:r>
      <w:r w:rsidRPr="00C62DF2">
        <w:rPr>
          <w:rFonts w:ascii="Cambria" w:hAnsi="Cambria"/>
          <w:sz w:val="20"/>
          <w:szCs w:val="20"/>
        </w:rPr>
        <w:t>compan</w:t>
      </w:r>
      <w:r w:rsidR="00F131BD" w:rsidRPr="00C62DF2">
        <w:rPr>
          <w:rFonts w:ascii="Cambria" w:hAnsi="Cambria"/>
          <w:sz w:val="20"/>
          <w:szCs w:val="20"/>
        </w:rPr>
        <w:t>hante</w:t>
      </w:r>
      <w:r w:rsidRPr="00C62DF2">
        <w:rPr>
          <w:rFonts w:ascii="Cambria" w:hAnsi="Cambria"/>
          <w:sz w:val="20"/>
          <w:szCs w:val="20"/>
        </w:rPr>
        <w:t xml:space="preserve"> de pessoas doentes</w:t>
      </w:r>
      <w:r w:rsidRPr="00C62DF2">
        <w:rPr>
          <w:rStyle w:val="FootnoteReference"/>
          <w:rFonts w:ascii="Cambria" w:hAnsi="Cambria" w:cs="Arial"/>
          <w:sz w:val="20"/>
          <w:szCs w:val="20"/>
        </w:rPr>
        <w:footnoteReference w:id="42"/>
      </w:r>
      <w:r w:rsidRPr="00C62DF2">
        <w:rPr>
          <w:rStyle w:val="Emphasis"/>
          <w:rFonts w:ascii="Cambria" w:hAnsi="Cambria"/>
          <w:i w:val="0"/>
          <w:iCs w:val="0"/>
          <w:sz w:val="20"/>
          <w:szCs w:val="20"/>
        </w:rPr>
        <w:t xml:space="preserve">. </w:t>
      </w:r>
      <w:r w:rsidR="00F131BD" w:rsidRPr="00C62DF2">
        <w:rPr>
          <w:rStyle w:val="Emphasis"/>
          <w:rFonts w:ascii="Cambria" w:hAnsi="Cambria"/>
          <w:i w:val="0"/>
          <w:iCs w:val="0"/>
          <w:sz w:val="20"/>
          <w:szCs w:val="20"/>
        </w:rPr>
        <w:t>C</w:t>
      </w:r>
      <w:r w:rsidRPr="00C62DF2">
        <w:rPr>
          <w:rStyle w:val="Emphasis"/>
          <w:rFonts w:ascii="Cambria" w:hAnsi="Cambria"/>
          <w:i w:val="0"/>
          <w:iCs w:val="0"/>
          <w:sz w:val="20"/>
          <w:szCs w:val="20"/>
        </w:rPr>
        <w:t xml:space="preserve">om o golpe militar de 1964, </w:t>
      </w:r>
      <w:r w:rsidRPr="00C62DF2">
        <w:rPr>
          <w:rFonts w:ascii="Cambria" w:hAnsi="Cambria"/>
          <w:sz w:val="20"/>
          <w:szCs w:val="20"/>
        </w:rPr>
        <w:t xml:space="preserve">as perseguições contra a família de Denise Peres Crispim passaram a ocorrer diariamente, de maneira que </w:t>
      </w:r>
      <w:r w:rsidR="00F12D3B" w:rsidRPr="00C62DF2">
        <w:rPr>
          <w:rFonts w:ascii="Cambria" w:hAnsi="Cambria"/>
          <w:sz w:val="20"/>
          <w:szCs w:val="20"/>
        </w:rPr>
        <w:t>foram</w:t>
      </w:r>
      <w:r w:rsidRPr="00C62DF2">
        <w:rPr>
          <w:rFonts w:ascii="Cambria" w:hAnsi="Cambria"/>
          <w:sz w:val="20"/>
          <w:szCs w:val="20"/>
        </w:rPr>
        <w:t xml:space="preserve"> obrigados a viver separados. Assim, a posição política de Denise fez com que ela passasse a ser diretamente perseguida pela Ditadura a partir de 1969</w:t>
      </w:r>
      <w:r w:rsidRPr="00C62DF2">
        <w:rPr>
          <w:rStyle w:val="FootnoteReference"/>
          <w:rFonts w:ascii="Cambria" w:hAnsi="Cambria" w:cs="Arial"/>
          <w:sz w:val="20"/>
          <w:szCs w:val="20"/>
        </w:rPr>
        <w:footnoteReference w:id="43"/>
      </w:r>
      <w:r w:rsidRPr="00C62DF2">
        <w:rPr>
          <w:rFonts w:ascii="Cambria" w:hAnsi="Cambria"/>
          <w:sz w:val="20"/>
          <w:szCs w:val="20"/>
        </w:rPr>
        <w:t>. Nesse contexto, Denise ingressou na</w:t>
      </w:r>
      <w:r w:rsidRPr="00C62DF2">
        <w:rPr>
          <w:rStyle w:val="Emphasis"/>
          <w:rFonts w:ascii="Cambria" w:hAnsi="Cambria"/>
          <w:i w:val="0"/>
          <w:iCs w:val="0"/>
          <w:sz w:val="20"/>
          <w:szCs w:val="20"/>
        </w:rPr>
        <w:t xml:space="preserve"> militância política por incentivo de seu irmão Joelso</w:t>
      </w:r>
      <w:r w:rsidRPr="00C62DF2">
        <w:rPr>
          <w:rFonts w:ascii="Cambria" w:hAnsi="Cambria"/>
          <w:sz w:val="20"/>
          <w:szCs w:val="20"/>
        </w:rPr>
        <w:t>n</w:t>
      </w:r>
      <w:r w:rsidRPr="00C62DF2">
        <w:rPr>
          <w:rStyle w:val="FootnoteReference"/>
          <w:rFonts w:ascii="Cambria" w:hAnsi="Cambria" w:cs="Arial"/>
          <w:sz w:val="20"/>
          <w:szCs w:val="20"/>
        </w:rPr>
        <w:footnoteReference w:id="44"/>
      </w:r>
      <w:r w:rsidRPr="00C62DF2">
        <w:rPr>
          <w:rFonts w:ascii="Cambria" w:hAnsi="Cambria"/>
          <w:sz w:val="20"/>
          <w:szCs w:val="20"/>
        </w:rPr>
        <w:t xml:space="preserve"> (que, anos mais tarde, foi torturado e executado pelos agentes d</w:t>
      </w:r>
      <w:r w:rsidR="00F131BD" w:rsidRPr="00C62DF2">
        <w:rPr>
          <w:rFonts w:ascii="Cambria" w:hAnsi="Cambria"/>
          <w:sz w:val="20"/>
          <w:szCs w:val="20"/>
        </w:rPr>
        <w:t>a</w:t>
      </w:r>
      <w:r w:rsidRPr="00C62DF2">
        <w:rPr>
          <w:rFonts w:ascii="Cambria" w:hAnsi="Cambria"/>
          <w:sz w:val="20"/>
          <w:szCs w:val="20"/>
        </w:rPr>
        <w:t xml:space="preserve"> repressão)</w:t>
      </w:r>
      <w:r w:rsidRPr="00C62DF2">
        <w:rPr>
          <w:rStyle w:val="FootnoteReference"/>
          <w:rFonts w:ascii="Cambria" w:hAnsi="Cambria" w:cs="Arial"/>
          <w:sz w:val="20"/>
          <w:szCs w:val="20"/>
        </w:rPr>
        <w:footnoteReference w:id="45"/>
      </w:r>
      <w:r w:rsidRPr="00C62DF2">
        <w:rPr>
          <w:rFonts w:ascii="Cambria" w:hAnsi="Cambria"/>
          <w:sz w:val="20"/>
          <w:szCs w:val="20"/>
        </w:rPr>
        <w:t>.</w:t>
      </w:r>
    </w:p>
    <w:p w14:paraId="790092B9" w14:textId="77777777" w:rsidR="00E13122" w:rsidRPr="00C62DF2" w:rsidRDefault="00E13122" w:rsidP="00FC0CB6">
      <w:pPr>
        <w:pStyle w:val="ListParagraph"/>
        <w:ind w:firstLine="0"/>
        <w:rPr>
          <w:sz w:val="20"/>
          <w:szCs w:val="20"/>
          <w:lang w:val="pt-BR"/>
        </w:rPr>
      </w:pPr>
    </w:p>
    <w:p w14:paraId="2609B2A1" w14:textId="4192C0C5" w:rsidR="00E13122" w:rsidRPr="00C62DF2" w:rsidRDefault="00E13122" w:rsidP="00FC0CB6">
      <w:pPr>
        <w:numPr>
          <w:ilvl w:val="0"/>
          <w:numId w:val="2"/>
        </w:numPr>
        <w:jc w:val="both"/>
        <w:rPr>
          <w:rFonts w:ascii="Cambria" w:hAnsi="Cambria"/>
          <w:sz w:val="20"/>
          <w:szCs w:val="20"/>
        </w:rPr>
      </w:pPr>
      <w:r w:rsidRPr="00C62DF2">
        <w:rPr>
          <w:rFonts w:ascii="Cambria" w:hAnsi="Cambria"/>
          <w:sz w:val="20"/>
          <w:szCs w:val="20"/>
        </w:rPr>
        <w:t>Em agosto de 1969, Eduardo Collen Leite e Denise Peres Crispim se conheceram</w:t>
      </w:r>
      <w:r w:rsidR="00F131BD" w:rsidRPr="00C62DF2">
        <w:rPr>
          <w:rFonts w:ascii="Cambria" w:hAnsi="Cambria"/>
          <w:sz w:val="20"/>
          <w:szCs w:val="20"/>
        </w:rPr>
        <w:t>,</w:t>
      </w:r>
      <w:r w:rsidRPr="00C62DF2">
        <w:rPr>
          <w:rFonts w:ascii="Cambria" w:hAnsi="Cambria"/>
          <w:sz w:val="20"/>
          <w:szCs w:val="20"/>
        </w:rPr>
        <w:t xml:space="preserve"> iniciaram um relacionamento amoroso e passaram a viver juntos</w:t>
      </w:r>
      <w:r w:rsidRPr="00C62DF2">
        <w:rPr>
          <w:rStyle w:val="FootnoteReference"/>
          <w:rFonts w:ascii="Cambria" w:hAnsi="Cambria"/>
          <w:sz w:val="20"/>
          <w:szCs w:val="20"/>
        </w:rPr>
        <w:footnoteReference w:id="46"/>
      </w:r>
      <w:r w:rsidRPr="00C62DF2">
        <w:rPr>
          <w:rFonts w:ascii="Cambria" w:hAnsi="Cambria"/>
          <w:sz w:val="20"/>
          <w:szCs w:val="20"/>
        </w:rPr>
        <w:t xml:space="preserve">. Segundo reconheceu a Comissão de Anistia do Brasil, </w:t>
      </w:r>
      <w:r w:rsidRPr="00C62DF2">
        <w:rPr>
          <w:rStyle w:val="Emphasis"/>
          <w:rFonts w:ascii="Cambria" w:hAnsi="Cambria"/>
          <w:i w:val="0"/>
          <w:iCs w:val="0"/>
          <w:sz w:val="20"/>
          <w:szCs w:val="20"/>
        </w:rPr>
        <w:t xml:space="preserve">Eduardo e Denise não foram casados, </w:t>
      </w:r>
      <w:r w:rsidR="00F131BD" w:rsidRPr="00C62DF2">
        <w:rPr>
          <w:rStyle w:val="Emphasis"/>
          <w:rFonts w:ascii="Cambria" w:hAnsi="Cambria"/>
          <w:i w:val="0"/>
          <w:iCs w:val="0"/>
          <w:sz w:val="20"/>
          <w:szCs w:val="20"/>
        </w:rPr>
        <w:t>mas</w:t>
      </w:r>
      <w:r w:rsidRPr="00C62DF2">
        <w:rPr>
          <w:rStyle w:val="Emphasis"/>
          <w:rFonts w:ascii="Cambria" w:hAnsi="Cambria"/>
          <w:i w:val="0"/>
          <w:iCs w:val="0"/>
          <w:sz w:val="20"/>
          <w:szCs w:val="20"/>
        </w:rPr>
        <w:t xml:space="preserve"> viveram maritalmente e isso era de conhecimento público e notório</w:t>
      </w:r>
      <w:r w:rsidRPr="00C62DF2">
        <w:rPr>
          <w:rStyle w:val="FootnoteReference"/>
          <w:rFonts w:ascii="Cambria" w:hAnsi="Cambria" w:cs="Arial"/>
          <w:sz w:val="20"/>
          <w:szCs w:val="20"/>
        </w:rPr>
        <w:footnoteReference w:id="47"/>
      </w:r>
      <w:r w:rsidRPr="00C62DF2">
        <w:rPr>
          <w:rFonts w:ascii="Cambria" w:hAnsi="Cambria"/>
          <w:sz w:val="20"/>
          <w:szCs w:val="20"/>
        </w:rPr>
        <w:t>. Juntos, participaram de organizações políticas de resistência ao regime civil</w:t>
      </w:r>
      <w:r w:rsidR="00F131BD" w:rsidRPr="00C62DF2">
        <w:rPr>
          <w:rFonts w:ascii="Cambria" w:hAnsi="Cambria"/>
          <w:sz w:val="20"/>
          <w:szCs w:val="20"/>
        </w:rPr>
        <w:t>-</w:t>
      </w:r>
      <w:r w:rsidRPr="00C62DF2">
        <w:rPr>
          <w:rFonts w:ascii="Cambria" w:hAnsi="Cambria"/>
          <w:sz w:val="20"/>
          <w:szCs w:val="20"/>
        </w:rPr>
        <w:t>militar, como a VPR, a ALN e a REDE, atuando na luta armada até que Denise ficou grávida em janeiro de 1970</w:t>
      </w:r>
      <w:r w:rsidRPr="00C62DF2">
        <w:rPr>
          <w:rStyle w:val="FootnoteReference"/>
          <w:rFonts w:ascii="Cambria" w:hAnsi="Cambria" w:cs="Arial"/>
          <w:sz w:val="20"/>
          <w:szCs w:val="20"/>
        </w:rPr>
        <w:footnoteReference w:id="48"/>
      </w:r>
      <w:r w:rsidRPr="00C62DF2">
        <w:rPr>
          <w:rFonts w:ascii="Cambria" w:hAnsi="Cambria"/>
          <w:sz w:val="20"/>
          <w:szCs w:val="20"/>
        </w:rPr>
        <w:t>. Segundo declaração de Denise, ela ensinou a Eduardo técnicas para sobreviver na clandestinidade e para atuar contra o regime militar, pois estava mais acostumada que ele à perseguição política</w:t>
      </w:r>
      <w:r w:rsidRPr="00C62DF2">
        <w:rPr>
          <w:rStyle w:val="FootnoteReference"/>
          <w:rFonts w:ascii="Cambria" w:hAnsi="Cambria"/>
          <w:sz w:val="20"/>
          <w:szCs w:val="20"/>
        </w:rPr>
        <w:footnoteReference w:id="49"/>
      </w:r>
      <w:r w:rsidRPr="00C62DF2">
        <w:rPr>
          <w:rFonts w:ascii="Cambria" w:hAnsi="Cambria"/>
          <w:sz w:val="20"/>
          <w:szCs w:val="20"/>
        </w:rPr>
        <w:t xml:space="preserve">. Com a gravidez, Denise deixou a luta armada e passou a atuar na gestão das ações de resistência. </w:t>
      </w:r>
    </w:p>
    <w:p w14:paraId="5D1681DC" w14:textId="77777777" w:rsidR="00E13122" w:rsidRPr="00C62DF2" w:rsidRDefault="00E13122" w:rsidP="00FC0CB6">
      <w:pPr>
        <w:pStyle w:val="ListParagraph"/>
        <w:ind w:firstLine="0"/>
        <w:rPr>
          <w:sz w:val="20"/>
          <w:szCs w:val="20"/>
          <w:lang w:val="pt-BR"/>
        </w:rPr>
      </w:pPr>
    </w:p>
    <w:p w14:paraId="4380B7AD" w14:textId="4B75F0A2" w:rsidR="00E13122" w:rsidRPr="00C62DF2" w:rsidRDefault="00E13122" w:rsidP="00FC0CB6">
      <w:pPr>
        <w:numPr>
          <w:ilvl w:val="0"/>
          <w:numId w:val="2"/>
        </w:numPr>
        <w:jc w:val="both"/>
        <w:rPr>
          <w:rFonts w:ascii="Cambria" w:hAnsi="Cambria"/>
          <w:sz w:val="20"/>
          <w:szCs w:val="20"/>
        </w:rPr>
      </w:pPr>
      <w:r w:rsidRPr="00C62DF2">
        <w:rPr>
          <w:rFonts w:ascii="Cambria" w:hAnsi="Cambria"/>
          <w:sz w:val="20"/>
          <w:szCs w:val="20"/>
        </w:rPr>
        <w:t>A Comissão observa que</w:t>
      </w:r>
      <w:r w:rsidR="00F12D3B" w:rsidRPr="00C62DF2">
        <w:rPr>
          <w:rFonts w:ascii="Cambria" w:hAnsi="Cambria"/>
          <w:sz w:val="20"/>
          <w:szCs w:val="20"/>
        </w:rPr>
        <w:t>,</w:t>
      </w:r>
      <w:r w:rsidRPr="00C62DF2">
        <w:rPr>
          <w:rFonts w:ascii="Cambria" w:hAnsi="Cambria"/>
          <w:sz w:val="20"/>
          <w:szCs w:val="20"/>
        </w:rPr>
        <w:t xml:space="preserve"> em 11 de março de 1970</w:t>
      </w:r>
      <w:r w:rsidR="0031318D" w:rsidRPr="00C62DF2">
        <w:rPr>
          <w:rFonts w:ascii="Cambria" w:hAnsi="Cambria"/>
          <w:sz w:val="20"/>
          <w:szCs w:val="20"/>
        </w:rPr>
        <w:t>,</w:t>
      </w:r>
      <w:r w:rsidRPr="00C62DF2">
        <w:rPr>
          <w:rFonts w:ascii="Cambria" w:hAnsi="Cambria"/>
          <w:sz w:val="20"/>
          <w:szCs w:val="20"/>
        </w:rPr>
        <w:t xml:space="preserve"> Denise Crispim </w:t>
      </w:r>
      <w:r w:rsidR="00F131BD" w:rsidRPr="00C62DF2">
        <w:rPr>
          <w:rFonts w:ascii="Cambria" w:hAnsi="Cambria"/>
          <w:sz w:val="20"/>
          <w:szCs w:val="20"/>
        </w:rPr>
        <w:t>e</w:t>
      </w:r>
      <w:r w:rsidRPr="00C62DF2">
        <w:rPr>
          <w:rFonts w:ascii="Cambria" w:hAnsi="Cambria"/>
          <w:sz w:val="20"/>
          <w:szCs w:val="20"/>
        </w:rPr>
        <w:t xml:space="preserve"> Eduardo Collen Leite participaram do sequestro do Cônsul </w:t>
      </w:r>
      <w:r w:rsidR="00276135" w:rsidRPr="00C62DF2">
        <w:rPr>
          <w:rFonts w:ascii="Cambria" w:hAnsi="Cambria"/>
          <w:sz w:val="20"/>
          <w:szCs w:val="20"/>
        </w:rPr>
        <w:t>Ger</w:t>
      </w:r>
      <w:r w:rsidRPr="00C62DF2">
        <w:rPr>
          <w:rFonts w:ascii="Cambria" w:hAnsi="Cambria"/>
          <w:sz w:val="20"/>
          <w:szCs w:val="20"/>
        </w:rPr>
        <w:t>al do Japão em São Paulo, senhor Nobuo Okuchi, sendo ela responsável pelo cativeiro do Cônsul e por comunicar à Embaixada d</w:t>
      </w:r>
      <w:r w:rsidR="00276135" w:rsidRPr="00C62DF2">
        <w:rPr>
          <w:rFonts w:ascii="Cambria" w:hAnsi="Cambria"/>
          <w:sz w:val="20"/>
          <w:szCs w:val="20"/>
        </w:rPr>
        <w:t>o</w:t>
      </w:r>
      <w:r w:rsidRPr="00C62DF2">
        <w:rPr>
          <w:rFonts w:ascii="Cambria" w:hAnsi="Cambria"/>
          <w:sz w:val="20"/>
          <w:szCs w:val="20"/>
        </w:rPr>
        <w:t xml:space="preserve"> Japão no Brasil e à imprensa que o Cônsul </w:t>
      </w:r>
      <w:r w:rsidR="00276135" w:rsidRPr="00C62DF2">
        <w:rPr>
          <w:rFonts w:ascii="Cambria" w:hAnsi="Cambria"/>
          <w:sz w:val="20"/>
          <w:szCs w:val="20"/>
        </w:rPr>
        <w:t>Ger</w:t>
      </w:r>
      <w:r w:rsidRPr="00C62DF2">
        <w:rPr>
          <w:rFonts w:ascii="Cambria" w:hAnsi="Cambria"/>
          <w:sz w:val="20"/>
          <w:szCs w:val="20"/>
        </w:rPr>
        <w:t>al do Japão havia sido sequestrado pela VPR, exigindo em troca de sua liber</w:t>
      </w:r>
      <w:r w:rsidR="00276135" w:rsidRPr="00C62DF2">
        <w:rPr>
          <w:rFonts w:ascii="Cambria" w:hAnsi="Cambria"/>
          <w:sz w:val="20"/>
          <w:szCs w:val="20"/>
        </w:rPr>
        <w:t>tação</w:t>
      </w:r>
      <w:r w:rsidRPr="00C62DF2">
        <w:rPr>
          <w:rFonts w:ascii="Cambria" w:hAnsi="Cambria"/>
          <w:sz w:val="20"/>
          <w:szCs w:val="20"/>
        </w:rPr>
        <w:t xml:space="preserve"> a de cinco companheiros privados de liberdade pela Ditadura</w:t>
      </w:r>
      <w:r w:rsidRPr="00C62DF2">
        <w:rPr>
          <w:rStyle w:val="FootnoteReference"/>
          <w:rFonts w:ascii="Cambria" w:hAnsi="Cambria" w:cs="Arial"/>
          <w:sz w:val="20"/>
          <w:szCs w:val="20"/>
        </w:rPr>
        <w:footnoteReference w:id="50"/>
      </w:r>
      <w:r w:rsidRPr="00C62DF2">
        <w:rPr>
          <w:rFonts w:ascii="Cambria" w:hAnsi="Cambria"/>
          <w:sz w:val="20"/>
          <w:szCs w:val="20"/>
        </w:rPr>
        <w:t>.</w:t>
      </w:r>
    </w:p>
    <w:p w14:paraId="3C13511F" w14:textId="77777777" w:rsidR="00E13122" w:rsidRPr="00C62DF2" w:rsidRDefault="00E13122" w:rsidP="00FC0CB6">
      <w:pPr>
        <w:jc w:val="both"/>
        <w:rPr>
          <w:rFonts w:ascii="Cambria" w:hAnsi="Cambria"/>
          <w:sz w:val="20"/>
          <w:szCs w:val="20"/>
        </w:rPr>
      </w:pPr>
    </w:p>
    <w:p w14:paraId="4C1BF3F8" w14:textId="5C2AD6C1" w:rsidR="00E13122" w:rsidRPr="00C62DF2" w:rsidRDefault="00E13122" w:rsidP="00FC0CB6">
      <w:pPr>
        <w:pStyle w:val="Heading2"/>
        <w:ind w:firstLine="0"/>
        <w:rPr>
          <w:lang w:val="pt-BR"/>
        </w:rPr>
      </w:pPr>
      <w:bookmarkStart w:id="7" w:name="_Toc68178887"/>
      <w:bookmarkStart w:id="8" w:name="_Toc68178888"/>
      <w:bookmarkStart w:id="9" w:name="_Toc85895002"/>
      <w:bookmarkEnd w:id="7"/>
      <w:bookmarkEnd w:id="8"/>
      <w:r w:rsidRPr="00C62DF2">
        <w:rPr>
          <w:lang w:val="pt-BR"/>
        </w:rPr>
        <w:t>A detenção arbitrária e tortura de Denis</w:t>
      </w:r>
      <w:r w:rsidR="00216D82" w:rsidRPr="00C62DF2">
        <w:rPr>
          <w:lang w:val="pt-BR"/>
        </w:rPr>
        <w:t>e</w:t>
      </w:r>
      <w:r w:rsidRPr="00C62DF2">
        <w:rPr>
          <w:lang w:val="pt-BR"/>
        </w:rPr>
        <w:t xml:space="preserve"> Peres Crispim</w:t>
      </w:r>
      <w:bookmarkEnd w:id="9"/>
      <w:r w:rsidRPr="00C62DF2">
        <w:rPr>
          <w:lang w:val="pt-BR"/>
        </w:rPr>
        <w:t xml:space="preserve"> </w:t>
      </w:r>
    </w:p>
    <w:p w14:paraId="676B4589" w14:textId="77777777" w:rsidR="00E13122" w:rsidRPr="00C62DF2" w:rsidRDefault="00E13122" w:rsidP="00FC0CB6">
      <w:pPr>
        <w:pStyle w:val="Body"/>
        <w:ind w:firstLine="0"/>
        <w:rPr>
          <w:lang w:val="pt-BR"/>
        </w:rPr>
      </w:pPr>
    </w:p>
    <w:p w14:paraId="19578DCF" w14:textId="536FFB24" w:rsidR="00E13122" w:rsidRPr="00C62DF2" w:rsidRDefault="00E13122" w:rsidP="00FC0CB6">
      <w:pPr>
        <w:numPr>
          <w:ilvl w:val="0"/>
          <w:numId w:val="2"/>
        </w:numPr>
        <w:jc w:val="both"/>
        <w:rPr>
          <w:rFonts w:ascii="Cambria" w:hAnsi="Cambria"/>
          <w:sz w:val="20"/>
          <w:szCs w:val="20"/>
        </w:rPr>
      </w:pPr>
      <w:r w:rsidRPr="00C62DF2">
        <w:rPr>
          <w:rStyle w:val="Emphasis"/>
          <w:rFonts w:ascii="Cambria" w:hAnsi="Cambria"/>
          <w:i w:val="0"/>
          <w:iCs w:val="0"/>
          <w:sz w:val="20"/>
          <w:szCs w:val="20"/>
        </w:rPr>
        <w:t xml:space="preserve">Em 23 de julho de 1970, Denise Peres Crispim </w:t>
      </w:r>
      <w:r w:rsidR="0031318D" w:rsidRPr="00C62DF2">
        <w:rPr>
          <w:rStyle w:val="Emphasis"/>
          <w:rFonts w:ascii="Cambria" w:hAnsi="Cambria"/>
          <w:i w:val="0"/>
          <w:iCs w:val="0"/>
          <w:sz w:val="20"/>
          <w:szCs w:val="20"/>
        </w:rPr>
        <w:t>estava com</w:t>
      </w:r>
      <w:r w:rsidRPr="00C62DF2">
        <w:rPr>
          <w:rStyle w:val="Emphasis"/>
          <w:rFonts w:ascii="Cambria" w:hAnsi="Cambria"/>
          <w:i w:val="0"/>
          <w:iCs w:val="0"/>
          <w:sz w:val="20"/>
          <w:szCs w:val="20"/>
        </w:rPr>
        <w:t xml:space="preserve"> seis meses de gravidez e foi detida na porta de sua casa pela Coordenação de Execução da Operação Bandeirantes (OBAN), sob a acusação de prática de crimes de subversão e terrorismo. Segundo sua própria declaração </w:t>
      </w:r>
      <w:r w:rsidR="004E3BF4" w:rsidRPr="00C62DF2">
        <w:rPr>
          <w:rStyle w:val="Emphasis"/>
          <w:rFonts w:ascii="Cambria" w:hAnsi="Cambria"/>
          <w:i w:val="0"/>
          <w:iCs w:val="0"/>
          <w:sz w:val="20"/>
          <w:szCs w:val="20"/>
        </w:rPr>
        <w:t>à</w:t>
      </w:r>
      <w:r w:rsidRPr="00C62DF2">
        <w:rPr>
          <w:rStyle w:val="Emphasis"/>
          <w:rFonts w:ascii="Cambria" w:hAnsi="Cambria"/>
          <w:i w:val="0"/>
          <w:iCs w:val="0"/>
          <w:sz w:val="20"/>
          <w:szCs w:val="20"/>
        </w:rPr>
        <w:t xml:space="preserve"> Comissão de Anistia, Denise Peres Crispim foi levada ao DOPS e teria sido submetida a interrogatórios e torturas pela manhã, tarde e noite desde o dia 23 </w:t>
      </w:r>
      <w:r w:rsidRPr="00C62DF2">
        <w:rPr>
          <w:rStyle w:val="Emphasis"/>
          <w:rFonts w:ascii="Cambria" w:hAnsi="Cambria"/>
          <w:i w:val="0"/>
          <w:iCs w:val="0"/>
          <w:sz w:val="20"/>
          <w:szCs w:val="20"/>
        </w:rPr>
        <w:lastRenderedPageBreak/>
        <w:t>de julho de 1970 até 30 de julho de 1970. Conforme denunci</w:t>
      </w:r>
      <w:r w:rsidR="007076A6" w:rsidRPr="00C62DF2">
        <w:rPr>
          <w:rStyle w:val="Emphasis"/>
          <w:rFonts w:ascii="Cambria" w:hAnsi="Cambria"/>
          <w:i w:val="0"/>
          <w:iCs w:val="0"/>
          <w:sz w:val="20"/>
          <w:szCs w:val="20"/>
        </w:rPr>
        <w:t xml:space="preserve">ou, </w:t>
      </w:r>
      <w:r w:rsidRPr="00C62DF2">
        <w:rPr>
          <w:rStyle w:val="Emphasis"/>
          <w:rFonts w:ascii="Cambria" w:hAnsi="Cambria"/>
          <w:i w:val="0"/>
          <w:iCs w:val="0"/>
          <w:sz w:val="20"/>
          <w:szCs w:val="20"/>
        </w:rPr>
        <w:t xml:space="preserve">nas torturas foi obrigada a ficar em pé </w:t>
      </w:r>
      <w:r w:rsidR="007076A6" w:rsidRPr="00C62DF2">
        <w:rPr>
          <w:rStyle w:val="Emphasis"/>
          <w:rFonts w:ascii="Cambria" w:hAnsi="Cambria"/>
          <w:i w:val="0"/>
          <w:iCs w:val="0"/>
          <w:sz w:val="20"/>
          <w:szCs w:val="20"/>
        </w:rPr>
        <w:t xml:space="preserve">por </w:t>
      </w:r>
      <w:r w:rsidRPr="00C62DF2">
        <w:rPr>
          <w:rStyle w:val="Emphasis"/>
          <w:rFonts w:ascii="Cambria" w:hAnsi="Cambria"/>
          <w:i w:val="0"/>
          <w:iCs w:val="0"/>
          <w:sz w:val="20"/>
          <w:szCs w:val="20"/>
        </w:rPr>
        <w:t xml:space="preserve">quase dez horas, não podia comer ou beber água, além de ter sido obrigada a ficar nua com os braços e pernas amarrados. Denise indicou que parte significativa dos interrogatórios ocorreu no zoológico da cidade de São Paulo </w:t>
      </w:r>
      <w:r w:rsidR="007076A6" w:rsidRPr="00C62DF2">
        <w:rPr>
          <w:rStyle w:val="Emphasis"/>
          <w:rFonts w:ascii="Cambria" w:hAnsi="Cambria"/>
          <w:i w:val="0"/>
          <w:iCs w:val="0"/>
          <w:sz w:val="20"/>
          <w:szCs w:val="20"/>
        </w:rPr>
        <w:t>à</w:t>
      </w:r>
      <w:r w:rsidRPr="00C62DF2">
        <w:rPr>
          <w:rStyle w:val="Emphasis"/>
          <w:rFonts w:ascii="Cambria" w:hAnsi="Cambria"/>
          <w:i w:val="0"/>
          <w:iCs w:val="0"/>
          <w:sz w:val="20"/>
          <w:szCs w:val="20"/>
        </w:rPr>
        <w:t xml:space="preserve"> meia-noite e várias vezes foi ameaçada </w:t>
      </w:r>
      <w:r w:rsidR="007076A6" w:rsidRPr="00C62DF2">
        <w:rPr>
          <w:rStyle w:val="Emphasis"/>
          <w:rFonts w:ascii="Cambria" w:hAnsi="Cambria"/>
          <w:i w:val="0"/>
          <w:iCs w:val="0"/>
          <w:sz w:val="20"/>
          <w:szCs w:val="20"/>
        </w:rPr>
        <w:t xml:space="preserve">de </w:t>
      </w:r>
      <w:r w:rsidRPr="00C62DF2">
        <w:rPr>
          <w:rStyle w:val="Emphasis"/>
          <w:rFonts w:ascii="Cambria" w:hAnsi="Cambria"/>
          <w:i w:val="0"/>
          <w:iCs w:val="0"/>
          <w:sz w:val="20"/>
          <w:szCs w:val="20"/>
        </w:rPr>
        <w:t>ser lançada aos tigres. Denise indicou que na última vez que foi interrogada ali teve crises de vômito com sangue, de forma que teve que ser levada a um hospital militar, onde se constatou que</w:t>
      </w:r>
      <w:r w:rsidR="007076A6"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se ela continuasse a sofrer torturas</w:t>
      </w:r>
      <w:r w:rsidR="007076A6"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iria sofrer um aborto</w:t>
      </w:r>
      <w:r w:rsidRPr="00C62DF2">
        <w:rPr>
          <w:rStyle w:val="FootnoteReference"/>
          <w:rFonts w:ascii="Cambria" w:hAnsi="Cambria" w:cs="Arial"/>
          <w:sz w:val="20"/>
          <w:szCs w:val="20"/>
        </w:rPr>
        <w:footnoteReference w:id="51"/>
      </w:r>
      <w:r w:rsidRPr="00C62DF2">
        <w:rPr>
          <w:rFonts w:ascii="Cambria" w:hAnsi="Cambria"/>
          <w:sz w:val="20"/>
          <w:szCs w:val="20"/>
        </w:rPr>
        <w:t xml:space="preserve">. A Comissão nota que o Estado não apresentou informação que contradissesse o </w:t>
      </w:r>
      <w:r w:rsidR="007076A6" w:rsidRPr="00C62DF2">
        <w:rPr>
          <w:rFonts w:ascii="Cambria" w:hAnsi="Cambria"/>
          <w:sz w:val="20"/>
          <w:szCs w:val="20"/>
        </w:rPr>
        <w:t xml:space="preserve">que </w:t>
      </w:r>
      <w:r w:rsidRPr="00C62DF2">
        <w:rPr>
          <w:rFonts w:ascii="Cambria" w:hAnsi="Cambria"/>
          <w:sz w:val="20"/>
          <w:szCs w:val="20"/>
        </w:rPr>
        <w:t>a suposta vítima</w:t>
      </w:r>
      <w:r w:rsidR="007076A6" w:rsidRPr="00C62DF2">
        <w:rPr>
          <w:rFonts w:ascii="Cambria" w:hAnsi="Cambria"/>
          <w:sz w:val="20"/>
          <w:szCs w:val="20"/>
        </w:rPr>
        <w:t xml:space="preserve"> afirmou à</w:t>
      </w:r>
      <w:r w:rsidRPr="00C62DF2">
        <w:rPr>
          <w:rFonts w:ascii="Cambria" w:hAnsi="Cambria"/>
          <w:sz w:val="20"/>
          <w:szCs w:val="20"/>
        </w:rPr>
        <w:t xml:space="preserve"> Comissão de Anistia.</w:t>
      </w:r>
    </w:p>
    <w:p w14:paraId="4EE80D66" w14:textId="77777777" w:rsidR="00E13122" w:rsidRPr="00C62DF2" w:rsidRDefault="00E13122" w:rsidP="00FC0CB6">
      <w:pPr>
        <w:ind w:left="720"/>
        <w:jc w:val="both"/>
        <w:rPr>
          <w:rFonts w:ascii="Cambria" w:hAnsi="Cambria"/>
          <w:sz w:val="20"/>
          <w:szCs w:val="20"/>
        </w:rPr>
      </w:pPr>
    </w:p>
    <w:p w14:paraId="3756DBAB" w14:textId="0A440AB0" w:rsidR="00E13122" w:rsidRPr="00C62DF2" w:rsidRDefault="00E13122" w:rsidP="00FC0CB6">
      <w:pPr>
        <w:numPr>
          <w:ilvl w:val="0"/>
          <w:numId w:val="2"/>
        </w:numPr>
        <w:jc w:val="both"/>
        <w:rPr>
          <w:rStyle w:val="Emphasis"/>
          <w:rFonts w:ascii="Cambria" w:hAnsi="Cambria"/>
          <w:i w:val="0"/>
          <w:iCs w:val="0"/>
          <w:sz w:val="20"/>
          <w:szCs w:val="20"/>
        </w:rPr>
      </w:pPr>
      <w:r w:rsidRPr="00C62DF2">
        <w:rPr>
          <w:rFonts w:ascii="Cambria" w:hAnsi="Cambria"/>
          <w:sz w:val="20"/>
          <w:szCs w:val="20"/>
        </w:rPr>
        <w:t>Além disso, a Comissão observa que</w:t>
      </w:r>
      <w:r w:rsidR="007076A6" w:rsidRPr="00C62DF2">
        <w:rPr>
          <w:rFonts w:ascii="Cambria" w:hAnsi="Cambria"/>
          <w:sz w:val="20"/>
          <w:szCs w:val="20"/>
        </w:rPr>
        <w:t>,</w:t>
      </w:r>
      <w:r w:rsidRPr="00C62DF2">
        <w:rPr>
          <w:rFonts w:ascii="Cambria" w:hAnsi="Cambria"/>
          <w:sz w:val="20"/>
          <w:szCs w:val="20"/>
        </w:rPr>
        <w:t xml:space="preserve"> </w:t>
      </w:r>
      <w:r w:rsidR="007076A6" w:rsidRPr="00C62DF2">
        <w:rPr>
          <w:rFonts w:ascii="Cambria" w:hAnsi="Cambria"/>
          <w:sz w:val="20"/>
          <w:szCs w:val="20"/>
        </w:rPr>
        <w:t>segundo</w:t>
      </w:r>
      <w:r w:rsidRPr="00C62DF2">
        <w:rPr>
          <w:rFonts w:ascii="Cambria" w:hAnsi="Cambria"/>
          <w:sz w:val="20"/>
          <w:szCs w:val="20"/>
        </w:rPr>
        <w:t xml:space="preserve"> as atas dos interrogatórios a que Denise foi submetida, os mesmos ocorriam ao longo de muitas horas; por exemplo, o interrogatório de 23 de julho de 1970 levou mais de dez horas (das 14</w:t>
      </w:r>
      <w:r w:rsidR="007076A6" w:rsidRPr="00C62DF2">
        <w:rPr>
          <w:rFonts w:ascii="Cambria" w:hAnsi="Cambria"/>
          <w:sz w:val="20"/>
          <w:szCs w:val="20"/>
        </w:rPr>
        <w:t>h</w:t>
      </w:r>
      <w:r w:rsidRPr="00C62DF2">
        <w:rPr>
          <w:rFonts w:ascii="Cambria" w:hAnsi="Cambria"/>
          <w:sz w:val="20"/>
          <w:szCs w:val="20"/>
        </w:rPr>
        <w:t xml:space="preserve"> às 20h e depois das 21h às 1</w:t>
      </w:r>
      <w:r w:rsidR="007076A6" w:rsidRPr="00C62DF2">
        <w:rPr>
          <w:rFonts w:ascii="Cambria" w:hAnsi="Cambria"/>
          <w:sz w:val="20"/>
          <w:szCs w:val="20"/>
        </w:rPr>
        <w:t>h</w:t>
      </w:r>
      <w:r w:rsidRPr="00C62DF2">
        <w:rPr>
          <w:rFonts w:ascii="Cambria" w:hAnsi="Cambria"/>
          <w:sz w:val="20"/>
          <w:szCs w:val="20"/>
        </w:rPr>
        <w:t>40</w:t>
      </w:r>
      <w:r w:rsidR="0031318D" w:rsidRPr="00C62DF2">
        <w:rPr>
          <w:rFonts w:ascii="Cambria" w:hAnsi="Cambria"/>
          <w:sz w:val="20"/>
          <w:szCs w:val="20"/>
        </w:rPr>
        <w:t>min</w:t>
      </w:r>
      <w:r w:rsidRPr="00C62DF2">
        <w:rPr>
          <w:rFonts w:ascii="Cambria" w:hAnsi="Cambria"/>
          <w:sz w:val="20"/>
          <w:szCs w:val="20"/>
        </w:rPr>
        <w:t>); o interrogatório de 24 de julho levou mais de três horas (das 9h às 12</w:t>
      </w:r>
      <w:r w:rsidR="007076A6" w:rsidRPr="00C62DF2">
        <w:rPr>
          <w:rFonts w:ascii="Cambria" w:hAnsi="Cambria"/>
          <w:sz w:val="20"/>
          <w:szCs w:val="20"/>
        </w:rPr>
        <w:t>h</w:t>
      </w:r>
      <w:r w:rsidRPr="00C62DF2">
        <w:rPr>
          <w:rFonts w:ascii="Cambria" w:hAnsi="Cambria"/>
          <w:sz w:val="20"/>
          <w:szCs w:val="20"/>
        </w:rPr>
        <w:t>30</w:t>
      </w:r>
      <w:r w:rsidR="0031318D" w:rsidRPr="00C62DF2">
        <w:rPr>
          <w:rFonts w:ascii="Cambria" w:hAnsi="Cambria"/>
          <w:sz w:val="20"/>
          <w:szCs w:val="20"/>
        </w:rPr>
        <w:t>min</w:t>
      </w:r>
      <w:r w:rsidRPr="00C62DF2">
        <w:rPr>
          <w:rFonts w:ascii="Cambria" w:hAnsi="Cambria"/>
          <w:sz w:val="20"/>
          <w:szCs w:val="20"/>
        </w:rPr>
        <w:t>); as sessões de interrogatório de 28 de julho ocorreram ao longo de todo o dia (das 4h às 6h, das 14</w:t>
      </w:r>
      <w:r w:rsidR="007076A6" w:rsidRPr="00C62DF2">
        <w:rPr>
          <w:rFonts w:ascii="Cambria" w:hAnsi="Cambria"/>
          <w:sz w:val="20"/>
          <w:szCs w:val="20"/>
        </w:rPr>
        <w:t>h</w:t>
      </w:r>
      <w:r w:rsidRPr="00C62DF2">
        <w:rPr>
          <w:rFonts w:ascii="Cambria" w:hAnsi="Cambria"/>
          <w:sz w:val="20"/>
          <w:szCs w:val="20"/>
        </w:rPr>
        <w:t>30</w:t>
      </w:r>
      <w:r w:rsidR="0031318D" w:rsidRPr="00C62DF2">
        <w:rPr>
          <w:rFonts w:ascii="Cambria" w:hAnsi="Cambria"/>
          <w:sz w:val="20"/>
          <w:szCs w:val="20"/>
        </w:rPr>
        <w:t>min</w:t>
      </w:r>
      <w:r w:rsidRPr="00C62DF2">
        <w:rPr>
          <w:rFonts w:ascii="Cambria" w:hAnsi="Cambria"/>
          <w:sz w:val="20"/>
          <w:szCs w:val="20"/>
        </w:rPr>
        <w:t xml:space="preserve"> às 15h, das 21h às 23h); já o interrogatório d</w:t>
      </w:r>
      <w:r w:rsidR="007076A6" w:rsidRPr="00C62DF2">
        <w:rPr>
          <w:rFonts w:ascii="Cambria" w:hAnsi="Cambria"/>
          <w:sz w:val="20"/>
          <w:szCs w:val="20"/>
        </w:rPr>
        <w:t>e</w:t>
      </w:r>
      <w:r w:rsidRPr="00C62DF2">
        <w:rPr>
          <w:rFonts w:ascii="Cambria" w:hAnsi="Cambria"/>
          <w:sz w:val="20"/>
          <w:szCs w:val="20"/>
        </w:rPr>
        <w:t xml:space="preserve"> 30 de julho durou dez horas (das 10</w:t>
      </w:r>
      <w:r w:rsidR="007076A6" w:rsidRPr="00C62DF2">
        <w:rPr>
          <w:rFonts w:ascii="Cambria" w:hAnsi="Cambria"/>
          <w:sz w:val="20"/>
          <w:szCs w:val="20"/>
        </w:rPr>
        <w:t>h</w:t>
      </w:r>
      <w:r w:rsidRPr="00C62DF2">
        <w:rPr>
          <w:rFonts w:ascii="Cambria" w:hAnsi="Cambria"/>
          <w:sz w:val="20"/>
          <w:szCs w:val="20"/>
        </w:rPr>
        <w:t>50</w:t>
      </w:r>
      <w:r w:rsidR="0031318D" w:rsidRPr="00C62DF2">
        <w:rPr>
          <w:rFonts w:ascii="Cambria" w:hAnsi="Cambria"/>
          <w:sz w:val="20"/>
          <w:szCs w:val="20"/>
        </w:rPr>
        <w:t>min</w:t>
      </w:r>
      <w:r w:rsidRPr="00C62DF2">
        <w:rPr>
          <w:rFonts w:ascii="Cambria" w:hAnsi="Cambria"/>
          <w:sz w:val="20"/>
          <w:szCs w:val="20"/>
        </w:rPr>
        <w:t xml:space="preserve"> às 20</w:t>
      </w:r>
      <w:r w:rsidR="007076A6" w:rsidRPr="00C62DF2">
        <w:rPr>
          <w:rFonts w:ascii="Cambria" w:hAnsi="Cambria"/>
          <w:sz w:val="20"/>
          <w:szCs w:val="20"/>
        </w:rPr>
        <w:t>h</w:t>
      </w:r>
      <w:r w:rsidRPr="00C62DF2">
        <w:rPr>
          <w:rFonts w:ascii="Cambria" w:hAnsi="Cambria"/>
          <w:sz w:val="20"/>
          <w:szCs w:val="20"/>
        </w:rPr>
        <w:t>50</w:t>
      </w:r>
      <w:r w:rsidR="0031318D" w:rsidRPr="00C62DF2">
        <w:rPr>
          <w:rFonts w:ascii="Cambria" w:hAnsi="Cambria"/>
          <w:sz w:val="20"/>
          <w:szCs w:val="20"/>
        </w:rPr>
        <w:t>min</w:t>
      </w:r>
      <w:r w:rsidRPr="00C62DF2">
        <w:rPr>
          <w:rFonts w:ascii="Cambria" w:hAnsi="Cambria"/>
          <w:sz w:val="20"/>
          <w:szCs w:val="20"/>
        </w:rPr>
        <w:t>) e durante essas sessões Denise Crispim foi obrigada a declarar sua relação com Eduardo Collen Leite, assim como sobre informações relacionadas a ele e a outros opositores da ditadura e também foi obrigada a confessar os planos das organizações das quais participou</w:t>
      </w:r>
      <w:r w:rsidRPr="00C62DF2">
        <w:rPr>
          <w:rStyle w:val="FootnoteReference"/>
          <w:rFonts w:ascii="Cambria" w:hAnsi="Cambria" w:cs="Arial"/>
          <w:sz w:val="20"/>
          <w:szCs w:val="20"/>
        </w:rPr>
        <w:footnoteReference w:id="52"/>
      </w:r>
      <w:r w:rsidRPr="00C62DF2">
        <w:rPr>
          <w:rFonts w:ascii="Cambria" w:hAnsi="Cambria"/>
          <w:sz w:val="20"/>
          <w:szCs w:val="20"/>
        </w:rPr>
        <w:t xml:space="preserve">. </w:t>
      </w:r>
    </w:p>
    <w:p w14:paraId="1A361241" w14:textId="77777777" w:rsidR="00E13122" w:rsidRPr="00C62DF2" w:rsidRDefault="00E13122" w:rsidP="00FC0CB6">
      <w:pPr>
        <w:ind w:left="720"/>
        <w:jc w:val="both"/>
        <w:rPr>
          <w:rStyle w:val="Emphasis"/>
          <w:rFonts w:ascii="Cambria" w:hAnsi="Cambria"/>
          <w:i w:val="0"/>
          <w:iCs w:val="0"/>
          <w:sz w:val="20"/>
          <w:szCs w:val="20"/>
        </w:rPr>
      </w:pPr>
    </w:p>
    <w:p w14:paraId="27670701" w14:textId="639B72EC" w:rsidR="00E13122" w:rsidRPr="00C62DF2" w:rsidRDefault="00030872" w:rsidP="00FC0CB6">
      <w:pPr>
        <w:numPr>
          <w:ilvl w:val="0"/>
          <w:numId w:val="2"/>
        </w:numPr>
        <w:jc w:val="both"/>
        <w:rPr>
          <w:rFonts w:ascii="Cambria" w:hAnsi="Cambria"/>
          <w:sz w:val="20"/>
          <w:szCs w:val="20"/>
        </w:rPr>
      </w:pPr>
      <w:r w:rsidRPr="00C62DF2">
        <w:rPr>
          <w:rFonts w:ascii="Cambria" w:hAnsi="Cambria"/>
          <w:sz w:val="20"/>
          <w:szCs w:val="20"/>
        </w:rPr>
        <w:t>A</w:t>
      </w:r>
      <w:r w:rsidR="00E13122" w:rsidRPr="00C62DF2">
        <w:rPr>
          <w:rFonts w:ascii="Cambria" w:hAnsi="Cambria"/>
          <w:sz w:val="20"/>
          <w:szCs w:val="20"/>
        </w:rPr>
        <w:t xml:space="preserve"> senhora Denise Crispim indicou que em 11 de agosto de 1970, depois de 20 dias de prisão, a Justiça Militar de São Paulo converteu a prisão preventiva</w:t>
      </w:r>
      <w:r w:rsidR="00E13122" w:rsidRPr="00C62DF2">
        <w:rPr>
          <w:rStyle w:val="FootnoteReference"/>
          <w:rFonts w:ascii="Cambria" w:hAnsi="Cambria" w:cs="Arial"/>
          <w:sz w:val="20"/>
          <w:szCs w:val="20"/>
        </w:rPr>
        <w:footnoteReference w:id="53"/>
      </w:r>
      <w:r w:rsidR="00E13122" w:rsidRPr="00C62DF2">
        <w:rPr>
          <w:rFonts w:ascii="Cambria" w:hAnsi="Cambria"/>
          <w:sz w:val="20"/>
          <w:szCs w:val="20"/>
        </w:rPr>
        <w:t xml:space="preserve"> em prisão provisória e determinou que ela f</w:t>
      </w:r>
      <w:r w:rsidR="00735E8B" w:rsidRPr="00C62DF2">
        <w:rPr>
          <w:rFonts w:ascii="Cambria" w:hAnsi="Cambria"/>
          <w:sz w:val="20"/>
          <w:szCs w:val="20"/>
        </w:rPr>
        <w:t>ica</w:t>
      </w:r>
      <w:r w:rsidR="00E13122" w:rsidRPr="00C62DF2">
        <w:rPr>
          <w:rFonts w:ascii="Cambria" w:hAnsi="Cambria"/>
          <w:sz w:val="20"/>
          <w:szCs w:val="20"/>
        </w:rPr>
        <w:t xml:space="preserve">sse </w:t>
      </w:r>
      <w:r w:rsidR="00735E8B" w:rsidRPr="00C62DF2">
        <w:rPr>
          <w:rFonts w:ascii="Cambria" w:hAnsi="Cambria"/>
          <w:sz w:val="20"/>
          <w:szCs w:val="20"/>
        </w:rPr>
        <w:t>reclusa</w:t>
      </w:r>
      <w:r w:rsidR="00E13122" w:rsidRPr="00C62DF2">
        <w:rPr>
          <w:rFonts w:ascii="Cambria" w:hAnsi="Cambria"/>
          <w:sz w:val="20"/>
          <w:szCs w:val="20"/>
        </w:rPr>
        <w:t xml:space="preserve"> no Hospital e Maternidade Militar Santana</w:t>
      </w:r>
      <w:r w:rsidRPr="00C62DF2">
        <w:rPr>
          <w:rFonts w:ascii="Cambria" w:hAnsi="Cambria"/>
          <w:sz w:val="20"/>
          <w:szCs w:val="20"/>
        </w:rPr>
        <w:t>,</w:t>
      </w:r>
      <w:r w:rsidR="00E13122" w:rsidRPr="00C62DF2">
        <w:rPr>
          <w:rFonts w:ascii="Cambria" w:hAnsi="Cambria"/>
          <w:sz w:val="20"/>
          <w:szCs w:val="20"/>
        </w:rPr>
        <w:t xml:space="preserve"> onde ficou sob custódia de militares, e que ela acreditava ser uma maternidade clandestina</w:t>
      </w:r>
      <w:r w:rsidR="00E13122" w:rsidRPr="00C62DF2">
        <w:rPr>
          <w:rStyle w:val="FootnoteReference"/>
          <w:rFonts w:ascii="Cambria" w:hAnsi="Cambria" w:cs="Arial"/>
          <w:sz w:val="20"/>
          <w:szCs w:val="20"/>
        </w:rPr>
        <w:footnoteReference w:id="54"/>
      </w:r>
      <w:r w:rsidR="00E13122" w:rsidRPr="00C62DF2">
        <w:rPr>
          <w:rFonts w:ascii="Cambria" w:hAnsi="Cambria"/>
          <w:sz w:val="20"/>
          <w:szCs w:val="20"/>
        </w:rPr>
        <w:t>. Denise esteve “internada” sob custódia estatal enquanto esteve grávida por quatro meses</w:t>
      </w:r>
      <w:r w:rsidR="00735E8B" w:rsidRPr="00C62DF2">
        <w:rPr>
          <w:rFonts w:ascii="Cambria" w:hAnsi="Cambria"/>
          <w:sz w:val="20"/>
          <w:szCs w:val="20"/>
        </w:rPr>
        <w:t xml:space="preserve"> e </w:t>
      </w:r>
      <w:r w:rsidR="00E13122" w:rsidRPr="00C62DF2">
        <w:rPr>
          <w:rFonts w:ascii="Cambria" w:hAnsi="Cambria"/>
          <w:sz w:val="20"/>
          <w:szCs w:val="20"/>
        </w:rPr>
        <w:t xml:space="preserve">indicou que </w:t>
      </w:r>
      <w:r w:rsidR="00735E8B" w:rsidRPr="00C62DF2">
        <w:rPr>
          <w:rFonts w:ascii="Cambria" w:hAnsi="Cambria"/>
          <w:sz w:val="20"/>
          <w:szCs w:val="20"/>
        </w:rPr>
        <w:t xml:space="preserve">nesse período </w:t>
      </w:r>
      <w:r w:rsidR="00E13122" w:rsidRPr="00C62DF2">
        <w:rPr>
          <w:rFonts w:ascii="Cambria" w:hAnsi="Cambria"/>
          <w:sz w:val="20"/>
          <w:szCs w:val="20"/>
        </w:rPr>
        <w:t>foi interrogada diversas vezes pelo DOPS</w:t>
      </w:r>
      <w:r w:rsidR="00735E8B" w:rsidRPr="00C62DF2">
        <w:rPr>
          <w:rFonts w:ascii="Cambria" w:hAnsi="Cambria"/>
          <w:sz w:val="20"/>
          <w:szCs w:val="20"/>
        </w:rPr>
        <w:t>.</w:t>
      </w:r>
      <w:r w:rsidR="00E13122" w:rsidRPr="00C62DF2">
        <w:rPr>
          <w:rStyle w:val="FootnoteReference"/>
          <w:rFonts w:ascii="Cambria" w:hAnsi="Cambria" w:cs="Arial"/>
          <w:sz w:val="20"/>
          <w:szCs w:val="20"/>
        </w:rPr>
        <w:footnoteReference w:id="55"/>
      </w:r>
    </w:p>
    <w:p w14:paraId="36847E77" w14:textId="77777777" w:rsidR="00E13122" w:rsidRPr="00C62DF2" w:rsidRDefault="00E13122" w:rsidP="00FC0CB6">
      <w:pPr>
        <w:pStyle w:val="ListParagraph"/>
        <w:ind w:firstLine="0"/>
        <w:rPr>
          <w:rStyle w:val="Emphasis"/>
          <w:i w:val="0"/>
          <w:iCs w:val="0"/>
          <w:sz w:val="20"/>
          <w:szCs w:val="20"/>
          <w:lang w:val="pt-BR"/>
        </w:rPr>
      </w:pPr>
    </w:p>
    <w:p w14:paraId="13F4718D" w14:textId="294DD44E"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Em 1</w:t>
      </w:r>
      <w:r w:rsidR="00735E8B" w:rsidRPr="00C62DF2">
        <w:rPr>
          <w:rStyle w:val="Emphasis"/>
          <w:rFonts w:ascii="Cambria" w:hAnsi="Cambria"/>
          <w:i w:val="0"/>
          <w:iCs w:val="0"/>
          <w:sz w:val="20"/>
          <w:szCs w:val="20"/>
        </w:rPr>
        <w:t>º</w:t>
      </w:r>
      <w:r w:rsidRPr="00C62DF2">
        <w:rPr>
          <w:rStyle w:val="Emphasis"/>
          <w:rFonts w:ascii="Cambria" w:hAnsi="Cambria"/>
          <w:i w:val="0"/>
          <w:iCs w:val="0"/>
          <w:sz w:val="20"/>
          <w:szCs w:val="20"/>
        </w:rPr>
        <w:t xml:space="preserve"> de outubro de 1970 nasceu Eduarda, filha de Denise Peres Crispim e Eduardo Collen Leite, enquanto Denise estava sob custódia do Estado. Em 26 de outubro de 1970, as autoridades militares expediram uma declaração que autorizou Denise e Eduarda a viver na casa do senhor Alberto Leite, pai de Bacuri, impossibilitando que eles mudassem de residência</w:t>
      </w:r>
      <w:r w:rsidRPr="00C62DF2">
        <w:rPr>
          <w:rStyle w:val="FootnoteReference"/>
          <w:rFonts w:ascii="Cambria" w:hAnsi="Cambria" w:cs="Arial"/>
          <w:sz w:val="20"/>
          <w:szCs w:val="20"/>
        </w:rPr>
        <w:footnoteReference w:id="56"/>
      </w:r>
      <w:r w:rsidRPr="00C62DF2">
        <w:rPr>
          <w:rStyle w:val="Emphasis"/>
          <w:rFonts w:ascii="Cambria" w:hAnsi="Cambria"/>
          <w:i w:val="0"/>
          <w:iCs w:val="0"/>
          <w:sz w:val="20"/>
          <w:szCs w:val="20"/>
        </w:rPr>
        <w:t>. Denise denunciou que nesse período era levada ao DOPS a cada 15 dias para ser interrogada e ameaçada por cerca de três horas. Em março de 1971, Denise e Eduarda foram autorizadas a residir na cidade de Fortaleza, no Ceará, onde Denise continuou a se apresentar periodicamente aos militares</w:t>
      </w:r>
      <w:r w:rsidRPr="00C62DF2">
        <w:rPr>
          <w:rStyle w:val="FootnoteReference"/>
          <w:rFonts w:ascii="Cambria" w:hAnsi="Cambria" w:cs="Arial"/>
          <w:sz w:val="20"/>
          <w:szCs w:val="20"/>
        </w:rPr>
        <w:footnoteReference w:id="57"/>
      </w:r>
      <w:r w:rsidRPr="00C62DF2">
        <w:rPr>
          <w:rFonts w:ascii="Cambria" w:hAnsi="Cambria"/>
          <w:sz w:val="20"/>
          <w:szCs w:val="20"/>
        </w:rPr>
        <w:t>.</w:t>
      </w:r>
      <w:r w:rsidRPr="00C62DF2">
        <w:rPr>
          <w:rStyle w:val="Emphasis"/>
          <w:rFonts w:ascii="Cambria" w:hAnsi="Cambria"/>
          <w:i w:val="0"/>
          <w:iCs w:val="0"/>
          <w:sz w:val="20"/>
          <w:szCs w:val="20"/>
        </w:rPr>
        <w:t xml:space="preserve"> Nesse sentido, o serviço de informações do DOPS indicou que Denise e sua filha estavam detidas </w:t>
      </w:r>
      <w:r w:rsidR="00735E8B" w:rsidRPr="00C62DF2">
        <w:rPr>
          <w:rStyle w:val="Emphasis"/>
          <w:rFonts w:ascii="Cambria" w:hAnsi="Cambria"/>
          <w:i w:val="0"/>
          <w:iCs w:val="0"/>
          <w:sz w:val="20"/>
          <w:szCs w:val="20"/>
        </w:rPr>
        <w:t>na</w:t>
      </w:r>
      <w:r w:rsidRPr="00C62DF2">
        <w:rPr>
          <w:rStyle w:val="Emphasis"/>
          <w:rFonts w:ascii="Cambria" w:hAnsi="Cambria"/>
          <w:i w:val="0"/>
          <w:iCs w:val="0"/>
          <w:sz w:val="20"/>
          <w:szCs w:val="20"/>
        </w:rPr>
        <w:t xml:space="preserve"> condição de “menagem”, isto é, uma espécie de prisão domiciliar</w:t>
      </w:r>
      <w:r w:rsidRPr="00C62DF2">
        <w:rPr>
          <w:rStyle w:val="FootnoteReference"/>
          <w:rFonts w:ascii="Cambria" w:hAnsi="Cambria"/>
          <w:sz w:val="20"/>
          <w:szCs w:val="20"/>
        </w:rPr>
        <w:footnoteReference w:id="58"/>
      </w:r>
      <w:r w:rsidRPr="00C62DF2">
        <w:rPr>
          <w:rStyle w:val="Emphasis"/>
          <w:rFonts w:ascii="Cambria" w:hAnsi="Cambria"/>
          <w:i w:val="0"/>
          <w:iCs w:val="0"/>
          <w:sz w:val="20"/>
          <w:szCs w:val="20"/>
        </w:rPr>
        <w:t xml:space="preserve">. Em dezembro de 1970, Eduarda e Denise foram submetidas a um exame de corpo </w:t>
      </w:r>
      <w:r w:rsidR="00735E8B" w:rsidRPr="00C62DF2">
        <w:rPr>
          <w:rStyle w:val="Emphasis"/>
          <w:rFonts w:ascii="Cambria" w:hAnsi="Cambria"/>
          <w:i w:val="0"/>
          <w:iCs w:val="0"/>
          <w:sz w:val="20"/>
          <w:szCs w:val="20"/>
        </w:rPr>
        <w:t>d</w:t>
      </w:r>
      <w:r w:rsidRPr="00C62DF2">
        <w:rPr>
          <w:rStyle w:val="Emphasis"/>
          <w:rFonts w:ascii="Cambria" w:hAnsi="Cambria"/>
          <w:i w:val="0"/>
          <w:iCs w:val="0"/>
          <w:sz w:val="20"/>
          <w:szCs w:val="20"/>
        </w:rPr>
        <w:t>e delito</w:t>
      </w:r>
      <w:r w:rsidRPr="00C62DF2">
        <w:rPr>
          <w:rStyle w:val="FootnoteReference"/>
          <w:rFonts w:ascii="Cambria" w:hAnsi="Cambria" w:cs="Arial"/>
          <w:sz w:val="20"/>
          <w:szCs w:val="20"/>
        </w:rPr>
        <w:footnoteReference w:id="59"/>
      </w:r>
      <w:r w:rsidRPr="00C62DF2">
        <w:rPr>
          <w:rStyle w:val="Emphasis"/>
          <w:rFonts w:ascii="Cambria" w:hAnsi="Cambria"/>
          <w:i w:val="0"/>
          <w:iCs w:val="0"/>
          <w:sz w:val="20"/>
          <w:szCs w:val="20"/>
        </w:rPr>
        <w:t>. A Comissão não conta com os resultados de</w:t>
      </w:r>
      <w:r w:rsidR="00735E8B" w:rsidRPr="00C62DF2">
        <w:rPr>
          <w:rStyle w:val="Emphasis"/>
          <w:rFonts w:ascii="Cambria" w:hAnsi="Cambria"/>
          <w:i w:val="0"/>
          <w:iCs w:val="0"/>
          <w:sz w:val="20"/>
          <w:szCs w:val="20"/>
        </w:rPr>
        <w:t>sse</w:t>
      </w:r>
      <w:r w:rsidRPr="00C62DF2">
        <w:rPr>
          <w:rStyle w:val="Emphasis"/>
          <w:rFonts w:ascii="Cambria" w:hAnsi="Cambria"/>
          <w:i w:val="0"/>
          <w:iCs w:val="0"/>
          <w:sz w:val="20"/>
          <w:szCs w:val="20"/>
        </w:rPr>
        <w:t xml:space="preserve"> exame.</w:t>
      </w:r>
    </w:p>
    <w:p w14:paraId="23B4EB4B" w14:textId="77777777" w:rsidR="00E13122" w:rsidRPr="00C62DF2" w:rsidRDefault="00E13122" w:rsidP="00FC0CB6">
      <w:pPr>
        <w:ind w:left="720"/>
        <w:jc w:val="both"/>
        <w:rPr>
          <w:rStyle w:val="Emphasis"/>
          <w:rFonts w:ascii="Cambria" w:hAnsi="Cambria"/>
          <w:i w:val="0"/>
          <w:iCs w:val="0"/>
          <w:sz w:val="20"/>
          <w:szCs w:val="20"/>
        </w:rPr>
      </w:pPr>
    </w:p>
    <w:p w14:paraId="6EB35125" w14:textId="3266FFDF" w:rsidR="00E13122" w:rsidRPr="00C62DF2" w:rsidRDefault="00E13122" w:rsidP="00FC0CB6">
      <w:pPr>
        <w:numPr>
          <w:ilvl w:val="0"/>
          <w:numId w:val="2"/>
        </w:numPr>
        <w:jc w:val="both"/>
        <w:rPr>
          <w:rStyle w:val="Emphasis"/>
          <w:rFonts w:ascii="Cambria" w:hAnsi="Cambria"/>
          <w:i w:val="0"/>
          <w:iCs w:val="0"/>
          <w:sz w:val="20"/>
          <w:szCs w:val="20"/>
        </w:rPr>
      </w:pPr>
      <w:r w:rsidRPr="00C62DF2">
        <w:rPr>
          <w:rFonts w:ascii="Cambria" w:hAnsi="Cambria"/>
          <w:sz w:val="20"/>
          <w:szCs w:val="20"/>
        </w:rPr>
        <w:t xml:space="preserve">Posteriormente, em 17 de maio de 1972, Denise foi condenada </w:t>
      </w:r>
      <w:r w:rsidR="0031318D" w:rsidRPr="00C62DF2">
        <w:rPr>
          <w:rFonts w:ascii="Cambria" w:hAnsi="Cambria"/>
          <w:sz w:val="20"/>
          <w:szCs w:val="20"/>
        </w:rPr>
        <w:t>à revelia</w:t>
      </w:r>
      <w:r w:rsidRPr="00C62DF2">
        <w:rPr>
          <w:rFonts w:ascii="Cambria" w:hAnsi="Cambria"/>
          <w:sz w:val="20"/>
          <w:szCs w:val="20"/>
        </w:rPr>
        <w:t xml:space="preserve"> a 18 meses de reclusão pelo Supremo Tribunal Militar, que declarou que ela exibia características de “loucura mortal que o veneno marxista havia conseguido inocular em muitos brasileiros”</w:t>
      </w:r>
      <w:r w:rsidRPr="00C62DF2">
        <w:rPr>
          <w:rStyle w:val="FootnoteReference"/>
          <w:rFonts w:ascii="Cambria" w:hAnsi="Cambria" w:cs="Arial"/>
          <w:sz w:val="20"/>
          <w:szCs w:val="20"/>
        </w:rPr>
        <w:footnoteReference w:id="60"/>
      </w:r>
      <w:r w:rsidRPr="00C62DF2">
        <w:rPr>
          <w:rFonts w:ascii="Cambria" w:hAnsi="Cambria"/>
          <w:sz w:val="20"/>
          <w:szCs w:val="20"/>
        </w:rPr>
        <w:t>.</w:t>
      </w:r>
    </w:p>
    <w:p w14:paraId="703CDB6B" w14:textId="77777777" w:rsidR="00E13122" w:rsidRPr="00C62DF2" w:rsidRDefault="00E13122" w:rsidP="00FC0CB6">
      <w:pPr>
        <w:pStyle w:val="Heading2"/>
        <w:numPr>
          <w:ilvl w:val="0"/>
          <w:numId w:val="0"/>
        </w:numPr>
        <w:rPr>
          <w:rFonts w:eastAsia="Times New Roman" w:cs="Times New Roman"/>
          <w:lang w:val="pt-BR"/>
        </w:rPr>
      </w:pPr>
    </w:p>
    <w:p w14:paraId="69BA9620" w14:textId="77777777" w:rsidR="00E13122" w:rsidRPr="00C62DF2" w:rsidRDefault="00E13122" w:rsidP="00FC0CB6">
      <w:pPr>
        <w:pStyle w:val="Heading2"/>
        <w:ind w:firstLine="0"/>
        <w:rPr>
          <w:lang w:val="pt-BR"/>
        </w:rPr>
      </w:pPr>
      <w:bookmarkStart w:id="10" w:name="_Toc85895003"/>
      <w:r w:rsidRPr="00C62DF2">
        <w:rPr>
          <w:lang w:val="pt-BR"/>
        </w:rPr>
        <w:t>A detenção arbitrária, tortura e morte de Eduardo Collen Leite</w:t>
      </w:r>
      <w:bookmarkEnd w:id="10"/>
      <w:r w:rsidRPr="00C62DF2">
        <w:rPr>
          <w:lang w:val="pt-BR"/>
        </w:rPr>
        <w:t xml:space="preserve"> </w:t>
      </w:r>
    </w:p>
    <w:p w14:paraId="361E2603" w14:textId="77777777" w:rsidR="00E13122" w:rsidRPr="00C62DF2" w:rsidRDefault="00E13122" w:rsidP="00FC0CB6">
      <w:pPr>
        <w:pStyle w:val="ListParagraph"/>
        <w:ind w:firstLine="0"/>
        <w:rPr>
          <w:rStyle w:val="Emphasis"/>
          <w:i w:val="0"/>
          <w:iCs w:val="0"/>
          <w:sz w:val="20"/>
          <w:szCs w:val="20"/>
          <w:lang w:val="pt-BR"/>
        </w:rPr>
      </w:pPr>
    </w:p>
    <w:p w14:paraId="3DA51981" w14:textId="3472CF46"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cs="Arial"/>
          <w:i w:val="0"/>
          <w:sz w:val="20"/>
          <w:szCs w:val="20"/>
        </w:rPr>
        <w:t>De acordo com o Relatório da Comissão Nacional da Verdade, em 21 de agosto de 1970</w:t>
      </w:r>
      <w:r w:rsidR="0031318D" w:rsidRPr="00C62DF2">
        <w:rPr>
          <w:rStyle w:val="Emphasis"/>
          <w:rFonts w:ascii="Cambria" w:hAnsi="Cambria" w:cs="Arial"/>
          <w:i w:val="0"/>
          <w:sz w:val="20"/>
          <w:szCs w:val="20"/>
        </w:rPr>
        <w:t>,</w:t>
      </w:r>
      <w:r w:rsidRPr="00C62DF2">
        <w:rPr>
          <w:rStyle w:val="Emphasis"/>
          <w:rFonts w:ascii="Cambria" w:hAnsi="Cambria" w:cs="Arial"/>
          <w:i w:val="0"/>
          <w:sz w:val="20"/>
          <w:szCs w:val="20"/>
        </w:rPr>
        <w:t xml:space="preserve"> Eduardo Collen Leite chegava em sua casa na cidade do Rio de Janeiro quando foi privado de liberdade por policiais do DOPS de São Paulo, que atuavam sob o comando do Comissário Fleury, e deram um soco no queixo de Eduardo que o fez desmaiar. Eduardo foi levado a um centro clandestino de torturas em São Conrado, Rio de Janeiro, o qual era vinculado ao Centro de Informação da Marinha (CENIMAR). No centro clandestino, Eduardo Collen foi visto pelo senhor Ottoni Guimarães Fernandes Júnior, um amigo seu que também estava privado de liberdade e que declarou </w:t>
      </w:r>
      <w:r w:rsidR="009B2FAF" w:rsidRPr="00C62DF2">
        <w:rPr>
          <w:rStyle w:val="Emphasis"/>
          <w:rFonts w:ascii="Cambria" w:hAnsi="Cambria" w:cs="Arial"/>
          <w:i w:val="0"/>
          <w:sz w:val="20"/>
          <w:szCs w:val="20"/>
        </w:rPr>
        <w:t>à</w:t>
      </w:r>
      <w:r w:rsidRPr="00C62DF2">
        <w:rPr>
          <w:rStyle w:val="Emphasis"/>
          <w:rFonts w:ascii="Cambria" w:hAnsi="Cambria" w:cs="Arial"/>
          <w:i w:val="0"/>
          <w:sz w:val="20"/>
          <w:szCs w:val="20"/>
        </w:rPr>
        <w:t xml:space="preserve"> Comissão da Verdade de São Paulo que os agentes militares declararam que Eduardo seria assassinado depois das torturas. Além disso, o Relatório da CNV afirma que</w:t>
      </w:r>
      <w:r w:rsidR="009B2FAF" w:rsidRPr="00C62DF2">
        <w:rPr>
          <w:rStyle w:val="Emphasis"/>
          <w:rFonts w:ascii="Cambria" w:hAnsi="Cambria" w:cs="Arial"/>
          <w:i w:val="0"/>
          <w:sz w:val="20"/>
          <w:szCs w:val="20"/>
        </w:rPr>
        <w:t>,</w:t>
      </w:r>
      <w:r w:rsidRPr="00C62DF2">
        <w:rPr>
          <w:rStyle w:val="Emphasis"/>
          <w:rFonts w:ascii="Cambria" w:hAnsi="Cambria" w:cs="Arial"/>
          <w:i w:val="0"/>
          <w:sz w:val="20"/>
          <w:szCs w:val="20"/>
        </w:rPr>
        <w:t xml:space="preserve"> enquanto esteve no centro clandestino de privação de liberdade, Eduardo Collen foi torturado</w:t>
      </w:r>
      <w:r w:rsidRPr="00C62DF2">
        <w:rPr>
          <w:rStyle w:val="FootnoteReference"/>
          <w:rFonts w:ascii="Cambria" w:hAnsi="Cambria"/>
          <w:sz w:val="20"/>
          <w:szCs w:val="20"/>
        </w:rPr>
        <w:footnoteReference w:id="61"/>
      </w:r>
      <w:r w:rsidRPr="00C62DF2">
        <w:rPr>
          <w:rStyle w:val="Emphasis"/>
          <w:rFonts w:ascii="Cambria" w:hAnsi="Cambria"/>
          <w:sz w:val="20"/>
          <w:szCs w:val="20"/>
        </w:rPr>
        <w:t>.</w:t>
      </w:r>
    </w:p>
    <w:p w14:paraId="01D05098" w14:textId="77777777" w:rsidR="00E13122" w:rsidRPr="00C62DF2" w:rsidRDefault="00E13122" w:rsidP="00FC0CB6">
      <w:pPr>
        <w:ind w:left="720"/>
        <w:jc w:val="both"/>
        <w:rPr>
          <w:rStyle w:val="Emphasis"/>
          <w:rFonts w:ascii="Cambria" w:hAnsi="Cambria"/>
          <w:i w:val="0"/>
          <w:iCs w:val="0"/>
          <w:sz w:val="20"/>
          <w:szCs w:val="20"/>
        </w:rPr>
      </w:pPr>
    </w:p>
    <w:p w14:paraId="2FB08BD2" w14:textId="09208B2B"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cs="Arial"/>
          <w:i w:val="0"/>
          <w:sz w:val="20"/>
          <w:szCs w:val="20"/>
        </w:rPr>
        <w:t>O mesmo relatório indica que</w:t>
      </w:r>
      <w:r w:rsidR="009B2FAF" w:rsidRPr="00C62DF2">
        <w:rPr>
          <w:rStyle w:val="Emphasis"/>
          <w:rFonts w:ascii="Cambria" w:hAnsi="Cambria" w:cs="Arial"/>
          <w:i w:val="0"/>
          <w:sz w:val="20"/>
          <w:szCs w:val="20"/>
        </w:rPr>
        <w:t>,</w:t>
      </w:r>
      <w:r w:rsidRPr="00C62DF2">
        <w:rPr>
          <w:rStyle w:val="Emphasis"/>
          <w:rFonts w:ascii="Cambria" w:hAnsi="Cambria" w:cs="Arial"/>
          <w:i w:val="0"/>
          <w:sz w:val="20"/>
          <w:szCs w:val="20"/>
        </w:rPr>
        <w:t xml:space="preserve"> </w:t>
      </w:r>
      <w:r w:rsidR="009B2FAF" w:rsidRPr="00C62DF2">
        <w:rPr>
          <w:rStyle w:val="Emphasis"/>
          <w:rFonts w:ascii="Cambria" w:hAnsi="Cambria" w:cs="Arial"/>
          <w:i w:val="0"/>
          <w:sz w:val="20"/>
          <w:szCs w:val="20"/>
        </w:rPr>
        <w:t>depois das</w:t>
      </w:r>
      <w:r w:rsidRPr="00C62DF2">
        <w:rPr>
          <w:rStyle w:val="Emphasis"/>
          <w:rFonts w:ascii="Cambria" w:hAnsi="Cambria" w:cs="Arial"/>
          <w:i w:val="0"/>
          <w:sz w:val="20"/>
          <w:szCs w:val="20"/>
        </w:rPr>
        <w:t xml:space="preserve"> torturas, Eduardo foi levado ao DOI-COID do 1</w:t>
      </w:r>
      <w:r w:rsidR="009B2FAF" w:rsidRPr="00C62DF2">
        <w:rPr>
          <w:rStyle w:val="Emphasis"/>
          <w:rFonts w:ascii="Cambria" w:hAnsi="Cambria" w:cs="Arial"/>
          <w:i w:val="0"/>
          <w:sz w:val="20"/>
          <w:szCs w:val="20"/>
        </w:rPr>
        <w:t>º</w:t>
      </w:r>
      <w:r w:rsidRPr="00C62DF2">
        <w:rPr>
          <w:rStyle w:val="Emphasis"/>
          <w:rFonts w:ascii="Cambria" w:hAnsi="Cambria" w:cs="Arial"/>
          <w:i w:val="0"/>
          <w:sz w:val="20"/>
          <w:szCs w:val="20"/>
        </w:rPr>
        <w:t xml:space="preserve"> Exército no Rio, onde a senhora Cecilia Coimbra, que também estava privada de liberdade, o avistou e percebeu que ele quase não podia andar e tinha marcas de tortura. A CNV reconheceu que a suposta vítima foi novamente torturada na sede do DOI-COID.</w:t>
      </w:r>
      <w:r w:rsidRPr="00C62DF2">
        <w:rPr>
          <w:rStyle w:val="FootnoteReference"/>
          <w:rFonts w:ascii="Cambria" w:hAnsi="Cambria"/>
          <w:sz w:val="20"/>
          <w:szCs w:val="20"/>
        </w:rPr>
        <w:footnoteReference w:id="62"/>
      </w:r>
      <w:r w:rsidRPr="00C62DF2">
        <w:rPr>
          <w:rStyle w:val="Emphasis"/>
          <w:rFonts w:ascii="Cambria" w:hAnsi="Cambria"/>
          <w:sz w:val="20"/>
          <w:szCs w:val="20"/>
        </w:rPr>
        <w:t xml:space="preserve"> </w:t>
      </w:r>
      <w:r w:rsidRPr="00C62DF2">
        <w:rPr>
          <w:rStyle w:val="Emphasis"/>
          <w:rFonts w:ascii="Cambria" w:hAnsi="Cambria"/>
          <w:i w:val="0"/>
          <w:iCs w:val="0"/>
          <w:sz w:val="20"/>
          <w:szCs w:val="20"/>
        </w:rPr>
        <w:t xml:space="preserve">Segundo a CNV, enquanto Eduardo estava privado de liberdade, Denise foi levada grávida e </w:t>
      </w:r>
      <w:r w:rsidRPr="00C62DF2">
        <w:rPr>
          <w:rFonts w:ascii="Cambria" w:hAnsi="Cambria"/>
          <w:sz w:val="20"/>
          <w:szCs w:val="20"/>
        </w:rPr>
        <w:t xml:space="preserve">com os olhos vendados a um lugar desconhecido onde encontrou o delegado Fleury, que lhe disse que Eduardo estava em uma cela e que ela poderia falar com ele por um minuto. Segundo declarações de Denise, </w:t>
      </w:r>
      <w:r w:rsidRPr="00C62DF2">
        <w:rPr>
          <w:rStyle w:val="Emphasis"/>
          <w:rFonts w:ascii="Cambria" w:hAnsi="Cambria" w:cs="Arial"/>
          <w:i w:val="0"/>
          <w:sz w:val="20"/>
          <w:szCs w:val="20"/>
        </w:rPr>
        <w:t xml:space="preserve">Eduardo Collen </w:t>
      </w:r>
      <w:r w:rsidRPr="00C62DF2">
        <w:rPr>
          <w:rFonts w:ascii="Cambria" w:hAnsi="Cambria"/>
          <w:sz w:val="20"/>
          <w:szCs w:val="20"/>
        </w:rPr>
        <w:t>estava com as mãos algemadas, com os lábios inchados e com muitos hematomas por todo o corpo. A</w:t>
      </w:r>
      <w:r w:rsidR="009B2FAF" w:rsidRPr="00C62DF2">
        <w:rPr>
          <w:rFonts w:ascii="Cambria" w:hAnsi="Cambria"/>
          <w:sz w:val="20"/>
          <w:szCs w:val="20"/>
        </w:rPr>
        <w:t>crescent</w:t>
      </w:r>
      <w:r w:rsidRPr="00C62DF2">
        <w:rPr>
          <w:rFonts w:ascii="Cambria" w:hAnsi="Cambria"/>
          <w:sz w:val="20"/>
          <w:szCs w:val="20"/>
        </w:rPr>
        <w:t xml:space="preserve">ou que o </w:t>
      </w:r>
      <w:r w:rsidR="0031318D" w:rsidRPr="00C62DF2">
        <w:rPr>
          <w:rFonts w:ascii="Cambria" w:hAnsi="Cambria"/>
          <w:sz w:val="20"/>
          <w:szCs w:val="20"/>
        </w:rPr>
        <w:t>delegad</w:t>
      </w:r>
      <w:r w:rsidRPr="00C62DF2">
        <w:rPr>
          <w:rFonts w:ascii="Cambria" w:hAnsi="Cambria"/>
          <w:sz w:val="20"/>
          <w:szCs w:val="20"/>
        </w:rPr>
        <w:t>o permitiu que Eduardo tocasse seu ventre, sendo essa ocasião a última em que se viram</w:t>
      </w:r>
      <w:r w:rsidRPr="00C62DF2">
        <w:rPr>
          <w:rStyle w:val="FootnoteReference"/>
          <w:rFonts w:ascii="Cambria" w:hAnsi="Cambria" w:cs="Arial"/>
          <w:sz w:val="20"/>
          <w:szCs w:val="20"/>
        </w:rPr>
        <w:footnoteReference w:id="63"/>
      </w:r>
      <w:r w:rsidRPr="00C62DF2">
        <w:rPr>
          <w:rFonts w:ascii="Cambria" w:hAnsi="Cambria"/>
          <w:sz w:val="20"/>
          <w:szCs w:val="20"/>
        </w:rPr>
        <w:t>.</w:t>
      </w:r>
    </w:p>
    <w:p w14:paraId="22F0BE67" w14:textId="77777777" w:rsidR="00E13122" w:rsidRPr="00C62DF2" w:rsidRDefault="00E13122" w:rsidP="00FC0CB6">
      <w:pPr>
        <w:pStyle w:val="ListParagraph"/>
        <w:ind w:firstLine="0"/>
        <w:rPr>
          <w:rStyle w:val="Emphasis"/>
          <w:rFonts w:cs="Arial"/>
          <w:i w:val="0"/>
          <w:sz w:val="20"/>
          <w:szCs w:val="20"/>
          <w:lang w:val="pt-BR"/>
        </w:rPr>
      </w:pPr>
    </w:p>
    <w:p w14:paraId="08C52800" w14:textId="33BC20CD"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cs="Arial"/>
          <w:i w:val="0"/>
          <w:sz w:val="20"/>
          <w:szCs w:val="20"/>
        </w:rPr>
        <w:t xml:space="preserve">Segundo a CNV, Eduardo Collen foi </w:t>
      </w:r>
      <w:r w:rsidR="0031318D" w:rsidRPr="00C62DF2">
        <w:rPr>
          <w:rStyle w:val="Emphasis"/>
          <w:rFonts w:ascii="Cambria" w:hAnsi="Cambria" w:cs="Arial"/>
          <w:i w:val="0"/>
          <w:sz w:val="20"/>
          <w:szCs w:val="20"/>
        </w:rPr>
        <w:t>transferido</w:t>
      </w:r>
      <w:r w:rsidRPr="00C62DF2">
        <w:rPr>
          <w:rStyle w:val="Emphasis"/>
          <w:rFonts w:ascii="Cambria" w:hAnsi="Cambria" w:cs="Arial"/>
          <w:i w:val="0"/>
          <w:sz w:val="20"/>
          <w:szCs w:val="20"/>
        </w:rPr>
        <w:t xml:space="preserve"> a um novo centro clandestino de tortura e, posteriormente, foi levado ao 41º Distrito Policial de São Paulo, onde foi entregue à equipe do delegado Fleury. Posteriormente, foi novamente tra</w:t>
      </w:r>
      <w:r w:rsidR="0031318D" w:rsidRPr="00C62DF2">
        <w:rPr>
          <w:rStyle w:val="Emphasis"/>
          <w:rFonts w:ascii="Cambria" w:hAnsi="Cambria" w:cs="Arial"/>
          <w:i w:val="0"/>
          <w:sz w:val="20"/>
          <w:szCs w:val="20"/>
        </w:rPr>
        <w:t>nsferido</w:t>
      </w:r>
      <w:r w:rsidRPr="00C62DF2">
        <w:rPr>
          <w:rStyle w:val="Emphasis"/>
          <w:rFonts w:ascii="Cambria" w:hAnsi="Cambria" w:cs="Arial"/>
          <w:i w:val="0"/>
          <w:sz w:val="20"/>
          <w:szCs w:val="20"/>
        </w:rPr>
        <w:t xml:space="preserve"> ao C</w:t>
      </w:r>
      <w:r w:rsidR="00A547E9" w:rsidRPr="00C62DF2">
        <w:rPr>
          <w:rStyle w:val="Emphasis"/>
          <w:rFonts w:ascii="Cambria" w:hAnsi="Cambria" w:cs="Arial"/>
          <w:i w:val="0"/>
          <w:sz w:val="20"/>
          <w:szCs w:val="20"/>
        </w:rPr>
        <w:t>ENIMAR</w:t>
      </w:r>
      <w:r w:rsidRPr="00C62DF2">
        <w:rPr>
          <w:rStyle w:val="Emphasis"/>
          <w:rFonts w:ascii="Cambria" w:hAnsi="Cambria" w:cs="Arial"/>
          <w:i w:val="0"/>
          <w:sz w:val="20"/>
          <w:szCs w:val="20"/>
        </w:rPr>
        <w:t>/RJ onde foi torturado até setembro de 1970, quando retornou a São Paulo</w:t>
      </w:r>
      <w:r w:rsidRPr="00C62DF2">
        <w:rPr>
          <w:rStyle w:val="FootnoteReference"/>
          <w:rFonts w:ascii="Cambria" w:hAnsi="Cambria"/>
          <w:sz w:val="20"/>
          <w:szCs w:val="20"/>
        </w:rPr>
        <w:footnoteReference w:id="64"/>
      </w:r>
      <w:r w:rsidRPr="00C62DF2">
        <w:rPr>
          <w:rStyle w:val="Emphasis"/>
          <w:rFonts w:ascii="Cambria" w:hAnsi="Cambria"/>
          <w:sz w:val="20"/>
          <w:szCs w:val="20"/>
        </w:rPr>
        <w:t xml:space="preserve">. </w:t>
      </w:r>
      <w:r w:rsidR="00A547E9" w:rsidRPr="00C62DF2">
        <w:rPr>
          <w:rStyle w:val="Emphasis"/>
          <w:rFonts w:ascii="Cambria" w:hAnsi="Cambria"/>
          <w:i w:val="0"/>
          <w:iCs w:val="0"/>
          <w:sz w:val="20"/>
          <w:szCs w:val="20"/>
        </w:rPr>
        <w:t>A</w:t>
      </w:r>
      <w:r w:rsidRPr="00C62DF2">
        <w:rPr>
          <w:rStyle w:val="Emphasis"/>
          <w:rFonts w:ascii="Cambria" w:hAnsi="Cambria"/>
          <w:i w:val="0"/>
          <w:iCs w:val="0"/>
          <w:sz w:val="20"/>
          <w:szCs w:val="20"/>
        </w:rPr>
        <w:t xml:space="preserve"> CNV reconheceu que</w:t>
      </w:r>
      <w:r w:rsidR="00A547E9"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quando Eduardo retornou a São Paulo, foi levado ao DOI-CODI do II Exército e, em outubro, tra</w:t>
      </w:r>
      <w:r w:rsidR="00B94E17" w:rsidRPr="00C62DF2">
        <w:rPr>
          <w:rStyle w:val="Emphasis"/>
          <w:rFonts w:ascii="Cambria" w:hAnsi="Cambria"/>
          <w:i w:val="0"/>
          <w:iCs w:val="0"/>
          <w:sz w:val="20"/>
          <w:szCs w:val="20"/>
        </w:rPr>
        <w:t>nsferid</w:t>
      </w:r>
      <w:r w:rsidRPr="00C62DF2">
        <w:rPr>
          <w:rStyle w:val="Emphasis"/>
          <w:rFonts w:ascii="Cambria" w:hAnsi="Cambria"/>
          <w:i w:val="0"/>
          <w:iCs w:val="0"/>
          <w:sz w:val="20"/>
          <w:szCs w:val="20"/>
        </w:rPr>
        <w:t>o ao Departamento Estadual de Ordem Política e Social de São Paulo (DEOPS/SP), onde foi deixado na cela nº 4, chamada “fundão do DOPS”</w:t>
      </w:r>
      <w:r w:rsidR="00A547E9" w:rsidRPr="00C62DF2">
        <w:rPr>
          <w:rStyle w:val="Emphasis"/>
          <w:rFonts w:ascii="Cambria" w:hAnsi="Cambria"/>
          <w:i w:val="0"/>
          <w:iCs w:val="0"/>
          <w:sz w:val="20"/>
          <w:szCs w:val="20"/>
        </w:rPr>
        <w:t>.</w:t>
      </w:r>
      <w:r w:rsidRPr="00C62DF2">
        <w:rPr>
          <w:rStyle w:val="FootnoteReference"/>
          <w:rFonts w:ascii="Cambria" w:hAnsi="Cambria"/>
          <w:sz w:val="20"/>
          <w:szCs w:val="20"/>
        </w:rPr>
        <w:t xml:space="preserve"> </w:t>
      </w:r>
      <w:r w:rsidRPr="00C62DF2">
        <w:rPr>
          <w:rStyle w:val="FootnoteReference"/>
          <w:rFonts w:ascii="Cambria" w:hAnsi="Cambria"/>
          <w:sz w:val="20"/>
          <w:szCs w:val="20"/>
        </w:rPr>
        <w:footnoteReference w:id="65"/>
      </w:r>
      <w:r w:rsidRPr="00C62DF2">
        <w:rPr>
          <w:rStyle w:val="Emphasis"/>
          <w:rFonts w:ascii="Cambria" w:hAnsi="Cambria"/>
          <w:i w:val="0"/>
          <w:iCs w:val="0"/>
          <w:sz w:val="20"/>
          <w:szCs w:val="20"/>
        </w:rPr>
        <w:t xml:space="preserve"> </w:t>
      </w:r>
    </w:p>
    <w:p w14:paraId="0E9C2C6B" w14:textId="77777777" w:rsidR="00E13122" w:rsidRPr="00C62DF2" w:rsidRDefault="00E13122" w:rsidP="00FC0CB6">
      <w:pPr>
        <w:pStyle w:val="ListParagraph"/>
        <w:ind w:firstLine="0"/>
        <w:rPr>
          <w:rStyle w:val="Emphasis"/>
          <w:i w:val="0"/>
          <w:iCs w:val="0"/>
          <w:sz w:val="20"/>
          <w:szCs w:val="20"/>
          <w:lang w:val="pt-BR"/>
        </w:rPr>
      </w:pPr>
    </w:p>
    <w:p w14:paraId="1860C2FD" w14:textId="24F7FD0C"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A Comissão observa que</w:t>
      </w:r>
      <w:r w:rsidR="00A547E9"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enquanto esteve sob custódia do Estado </w:t>
      </w:r>
      <w:r w:rsidR="00A547E9" w:rsidRPr="00C62DF2">
        <w:rPr>
          <w:rStyle w:val="Emphasis"/>
          <w:rFonts w:ascii="Cambria" w:hAnsi="Cambria"/>
          <w:i w:val="0"/>
          <w:iCs w:val="0"/>
          <w:sz w:val="20"/>
          <w:szCs w:val="20"/>
        </w:rPr>
        <w:t>n</w:t>
      </w:r>
      <w:r w:rsidRPr="00C62DF2">
        <w:rPr>
          <w:rStyle w:val="Emphasis"/>
          <w:rFonts w:ascii="Cambria" w:hAnsi="Cambria"/>
          <w:i w:val="0"/>
          <w:iCs w:val="0"/>
          <w:sz w:val="20"/>
          <w:szCs w:val="20"/>
        </w:rPr>
        <w:t>o DOPS/SP</w:t>
      </w:r>
      <w:r w:rsidR="00A547E9"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divulgou</w:t>
      </w:r>
      <w:r w:rsidR="00A547E9" w:rsidRPr="00C62DF2">
        <w:rPr>
          <w:rStyle w:val="Emphasis"/>
          <w:rFonts w:ascii="Cambria" w:hAnsi="Cambria"/>
          <w:i w:val="0"/>
          <w:iCs w:val="0"/>
          <w:sz w:val="20"/>
          <w:szCs w:val="20"/>
        </w:rPr>
        <w:t>-se</w:t>
      </w:r>
      <w:r w:rsidRPr="00C62DF2">
        <w:rPr>
          <w:rStyle w:val="Emphasis"/>
          <w:rFonts w:ascii="Cambria" w:hAnsi="Cambria"/>
          <w:i w:val="0"/>
          <w:iCs w:val="0"/>
          <w:sz w:val="20"/>
          <w:szCs w:val="20"/>
        </w:rPr>
        <w:t xml:space="preserve"> que Eduardo Collen Leite havia escapado durante uma ação policial dirigida a deter Joaquim Câmara Ferreira, </w:t>
      </w:r>
      <w:r w:rsidR="00A547E9" w:rsidRPr="00C62DF2">
        <w:rPr>
          <w:rStyle w:val="Emphasis"/>
          <w:rFonts w:ascii="Cambria" w:hAnsi="Cambria"/>
          <w:i w:val="0"/>
          <w:iCs w:val="0"/>
          <w:sz w:val="20"/>
          <w:szCs w:val="20"/>
        </w:rPr>
        <w:t xml:space="preserve">na </w:t>
      </w:r>
      <w:r w:rsidR="00A547E9" w:rsidRPr="00C62DF2">
        <w:rPr>
          <w:rStyle w:val="Emphasis"/>
          <w:rFonts w:ascii="Cambria" w:hAnsi="Cambria"/>
          <w:i w:val="0"/>
          <w:iCs w:val="0"/>
          <w:sz w:val="20"/>
          <w:szCs w:val="20"/>
        </w:rPr>
        <w:lastRenderedPageBreak/>
        <w:t>qual</w:t>
      </w:r>
      <w:r w:rsidRPr="00C62DF2">
        <w:rPr>
          <w:rStyle w:val="Emphasis"/>
          <w:rFonts w:ascii="Cambria" w:hAnsi="Cambria"/>
          <w:i w:val="0"/>
          <w:iCs w:val="0"/>
          <w:sz w:val="20"/>
          <w:szCs w:val="20"/>
        </w:rPr>
        <w:t xml:space="preserve"> este último teria perdido a vida</w:t>
      </w:r>
      <w:r w:rsidRPr="00C62DF2">
        <w:rPr>
          <w:rStyle w:val="FootnoteReference"/>
          <w:rFonts w:ascii="Cambria" w:hAnsi="Cambria"/>
          <w:sz w:val="20"/>
          <w:szCs w:val="20"/>
        </w:rPr>
        <w:footnoteReference w:id="66"/>
      </w:r>
      <w:r w:rsidRPr="00C62DF2">
        <w:rPr>
          <w:rStyle w:val="Emphasis"/>
          <w:rFonts w:ascii="Cambria" w:hAnsi="Cambria"/>
          <w:sz w:val="20"/>
          <w:szCs w:val="20"/>
        </w:rPr>
        <w:t xml:space="preserve">. </w:t>
      </w:r>
      <w:r w:rsidRPr="00C62DF2">
        <w:rPr>
          <w:rStyle w:val="Emphasis"/>
          <w:rFonts w:ascii="Cambria" w:hAnsi="Cambria"/>
          <w:i w:val="0"/>
          <w:iCs w:val="0"/>
          <w:sz w:val="20"/>
          <w:szCs w:val="20"/>
        </w:rPr>
        <w:t>Segundo o relatório da CNV</w:t>
      </w:r>
      <w:r w:rsidR="00A547E9" w:rsidRPr="00C62DF2">
        <w:rPr>
          <w:rStyle w:val="Emphasis"/>
          <w:rFonts w:ascii="Cambria" w:hAnsi="Cambria"/>
          <w:i w:val="0"/>
          <w:iCs w:val="0"/>
          <w:sz w:val="20"/>
          <w:szCs w:val="20"/>
        </w:rPr>
        <w:t>,</w:t>
      </w:r>
      <w:r w:rsidRPr="00C62DF2">
        <w:rPr>
          <w:rStyle w:val="FootnoteReference"/>
          <w:rFonts w:ascii="Cambria" w:hAnsi="Cambria"/>
          <w:sz w:val="20"/>
          <w:szCs w:val="20"/>
        </w:rPr>
        <w:footnoteReference w:id="67"/>
      </w:r>
      <w:r w:rsidRPr="00C62DF2">
        <w:rPr>
          <w:rStyle w:val="Emphasis"/>
          <w:rFonts w:ascii="Cambria" w:hAnsi="Cambria"/>
          <w:i w:val="0"/>
          <w:iCs w:val="0"/>
          <w:sz w:val="20"/>
          <w:szCs w:val="20"/>
        </w:rPr>
        <w:t xml:space="preserve"> e</w:t>
      </w:r>
      <w:r w:rsidRPr="00C62DF2">
        <w:rPr>
          <w:rFonts w:ascii="Cambria" w:hAnsi="Cambria"/>
          <w:sz w:val="20"/>
          <w:szCs w:val="20"/>
        </w:rPr>
        <w:t xml:space="preserve">m 23 de outubro de 1970 Eduardo </w:t>
      </w:r>
      <w:r w:rsidR="00B94E17" w:rsidRPr="00C62DF2">
        <w:rPr>
          <w:rFonts w:ascii="Cambria" w:hAnsi="Cambria"/>
          <w:sz w:val="20"/>
          <w:szCs w:val="20"/>
        </w:rPr>
        <w:t>Leite</w:t>
      </w:r>
      <w:r w:rsidRPr="00C62DF2">
        <w:rPr>
          <w:rFonts w:ascii="Cambria" w:hAnsi="Cambria"/>
          <w:sz w:val="20"/>
          <w:szCs w:val="20"/>
        </w:rPr>
        <w:t xml:space="preserve"> teve conhecimento dessa notícia, que, sendo falsa, lhe deu a entender que tinha a intenção de acobertar que seria executado. Conforme declarações de ex</w:t>
      </w:r>
      <w:r w:rsidR="00B94E17" w:rsidRPr="00C62DF2">
        <w:rPr>
          <w:rFonts w:ascii="Cambria" w:hAnsi="Cambria"/>
          <w:sz w:val="20"/>
          <w:szCs w:val="20"/>
        </w:rPr>
        <w:t xml:space="preserve"> </w:t>
      </w:r>
      <w:r w:rsidRPr="00C62DF2">
        <w:rPr>
          <w:rFonts w:ascii="Cambria" w:hAnsi="Cambria"/>
          <w:sz w:val="20"/>
          <w:szCs w:val="20"/>
        </w:rPr>
        <w:t xml:space="preserve">presos políticos, </w:t>
      </w:r>
      <w:r w:rsidRPr="00C62DF2">
        <w:rPr>
          <w:rStyle w:val="Emphasis"/>
          <w:rFonts w:ascii="Cambria" w:hAnsi="Cambria" w:cs="Arial"/>
          <w:i w:val="0"/>
          <w:sz w:val="20"/>
          <w:szCs w:val="20"/>
        </w:rPr>
        <w:t xml:space="preserve">Eduardo </w:t>
      </w:r>
      <w:r w:rsidR="00B94E17" w:rsidRPr="00C62DF2">
        <w:rPr>
          <w:rStyle w:val="Emphasis"/>
          <w:rFonts w:ascii="Cambria" w:hAnsi="Cambria" w:cs="Arial"/>
          <w:i w:val="0"/>
          <w:sz w:val="20"/>
          <w:szCs w:val="20"/>
        </w:rPr>
        <w:t>Leite</w:t>
      </w:r>
      <w:r w:rsidRPr="00C62DF2">
        <w:rPr>
          <w:rStyle w:val="Emphasis"/>
          <w:rFonts w:ascii="Cambria" w:hAnsi="Cambria" w:cs="Arial"/>
          <w:i w:val="0"/>
          <w:sz w:val="20"/>
          <w:szCs w:val="20"/>
        </w:rPr>
        <w:t xml:space="preserve"> </w:t>
      </w:r>
      <w:r w:rsidRPr="00C62DF2">
        <w:rPr>
          <w:rFonts w:ascii="Cambria" w:hAnsi="Cambria"/>
          <w:sz w:val="20"/>
          <w:szCs w:val="20"/>
        </w:rPr>
        <w:t xml:space="preserve">não esteve presente na cena de morte de Joaquim Câmara, pois teria perdido mobilidade das pernas </w:t>
      </w:r>
      <w:r w:rsidR="00A547E9" w:rsidRPr="00C62DF2">
        <w:rPr>
          <w:rFonts w:ascii="Cambria" w:hAnsi="Cambria"/>
          <w:sz w:val="20"/>
          <w:szCs w:val="20"/>
        </w:rPr>
        <w:t>em</w:t>
      </w:r>
      <w:r w:rsidRPr="00C62DF2">
        <w:rPr>
          <w:rFonts w:ascii="Cambria" w:hAnsi="Cambria"/>
          <w:sz w:val="20"/>
          <w:szCs w:val="20"/>
        </w:rPr>
        <w:t xml:space="preserve"> resultado das torturas que sofreu</w:t>
      </w:r>
      <w:r w:rsidRPr="00C62DF2">
        <w:rPr>
          <w:rStyle w:val="FootnoteReference"/>
          <w:rFonts w:ascii="Cambria" w:hAnsi="Cambria" w:cs="Arial"/>
          <w:sz w:val="20"/>
          <w:szCs w:val="20"/>
        </w:rPr>
        <w:footnoteReference w:id="68"/>
      </w:r>
      <w:r w:rsidRPr="00C62DF2">
        <w:rPr>
          <w:rFonts w:ascii="Cambria" w:hAnsi="Cambria"/>
          <w:sz w:val="20"/>
          <w:szCs w:val="20"/>
        </w:rPr>
        <w:t>. A</w:t>
      </w:r>
      <w:r w:rsidRPr="00C62DF2">
        <w:rPr>
          <w:rStyle w:val="Emphasis"/>
          <w:rFonts w:ascii="Cambria" w:hAnsi="Cambria"/>
          <w:i w:val="0"/>
          <w:iCs w:val="0"/>
          <w:sz w:val="20"/>
          <w:szCs w:val="20"/>
        </w:rPr>
        <w:t xml:space="preserve"> Comissão de Anistia apontou que os outros detidos no DOPS estavam preocupados com o que poderia ocorrer com Eduardo Collen Leite</w:t>
      </w:r>
      <w:r w:rsidR="00A547E9" w:rsidRPr="00C62DF2">
        <w:rPr>
          <w:rStyle w:val="Emphasis"/>
          <w:rFonts w:ascii="Cambria" w:hAnsi="Cambria"/>
          <w:i w:val="0"/>
          <w:iCs w:val="0"/>
          <w:sz w:val="20"/>
          <w:szCs w:val="20"/>
        </w:rPr>
        <w:t xml:space="preserve"> e</w:t>
      </w:r>
      <w:r w:rsidRPr="00C62DF2">
        <w:rPr>
          <w:rStyle w:val="Emphasis"/>
          <w:rFonts w:ascii="Cambria" w:hAnsi="Cambria"/>
          <w:i w:val="0"/>
          <w:iCs w:val="0"/>
          <w:sz w:val="20"/>
          <w:szCs w:val="20"/>
        </w:rPr>
        <w:t>, por isso</w:t>
      </w:r>
      <w:r w:rsidR="00A547E9"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iniciaram um esquema de vigilância.</w:t>
      </w:r>
      <w:r w:rsidRPr="00C62DF2">
        <w:rPr>
          <w:rStyle w:val="FootnoteReference"/>
          <w:rFonts w:ascii="Cambria" w:hAnsi="Cambria" w:cs="Arial"/>
          <w:sz w:val="20"/>
          <w:szCs w:val="20"/>
        </w:rPr>
        <w:footnoteReference w:id="69"/>
      </w:r>
      <w:r w:rsidRPr="00C62DF2">
        <w:rPr>
          <w:rFonts w:ascii="Cambria" w:hAnsi="Cambria"/>
          <w:sz w:val="20"/>
          <w:szCs w:val="20"/>
        </w:rPr>
        <w:t xml:space="preserve"> No entanto, </w:t>
      </w:r>
      <w:r w:rsidRPr="00C62DF2">
        <w:rPr>
          <w:rStyle w:val="Emphasis"/>
          <w:rFonts w:ascii="Cambria" w:hAnsi="Cambria"/>
          <w:i w:val="0"/>
          <w:iCs w:val="0"/>
          <w:sz w:val="20"/>
          <w:szCs w:val="20"/>
        </w:rPr>
        <w:t>em 27 de outubro de 1970, a suposta vítima foi retirada de sua cela</w:t>
      </w:r>
      <w:r w:rsidR="00A547E9"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w:t>
      </w:r>
      <w:r w:rsidR="00A547E9" w:rsidRPr="00C62DF2">
        <w:rPr>
          <w:rStyle w:val="Emphasis"/>
          <w:rFonts w:ascii="Cambria" w:hAnsi="Cambria"/>
          <w:i w:val="0"/>
          <w:iCs w:val="0"/>
          <w:sz w:val="20"/>
          <w:szCs w:val="20"/>
        </w:rPr>
        <w:t>embora</w:t>
      </w:r>
      <w:r w:rsidRPr="00C62DF2">
        <w:rPr>
          <w:rStyle w:val="Emphasis"/>
          <w:rFonts w:ascii="Cambria" w:hAnsi="Cambria"/>
          <w:i w:val="0"/>
          <w:iCs w:val="0"/>
          <w:sz w:val="20"/>
          <w:szCs w:val="20"/>
        </w:rPr>
        <w:t xml:space="preserve"> os outros detidos </w:t>
      </w:r>
      <w:r w:rsidR="00A547E9" w:rsidRPr="00C62DF2">
        <w:rPr>
          <w:rStyle w:val="Emphasis"/>
          <w:rFonts w:ascii="Cambria" w:hAnsi="Cambria"/>
          <w:i w:val="0"/>
          <w:iCs w:val="0"/>
          <w:sz w:val="20"/>
          <w:szCs w:val="20"/>
        </w:rPr>
        <w:t xml:space="preserve">tenham </w:t>
      </w:r>
      <w:r w:rsidRPr="00C62DF2">
        <w:rPr>
          <w:rStyle w:val="Emphasis"/>
          <w:rFonts w:ascii="Cambria" w:hAnsi="Cambria"/>
          <w:i w:val="0"/>
          <w:iCs w:val="0"/>
          <w:sz w:val="20"/>
          <w:szCs w:val="20"/>
        </w:rPr>
        <w:t>protesta</w:t>
      </w:r>
      <w:r w:rsidR="00A547E9" w:rsidRPr="00C62DF2">
        <w:rPr>
          <w:rStyle w:val="Emphasis"/>
          <w:rFonts w:ascii="Cambria" w:hAnsi="Cambria"/>
          <w:i w:val="0"/>
          <w:iCs w:val="0"/>
          <w:sz w:val="20"/>
          <w:szCs w:val="20"/>
        </w:rPr>
        <w:t>do contra</w:t>
      </w:r>
      <w:r w:rsidRPr="00C62DF2">
        <w:rPr>
          <w:rStyle w:val="Emphasis"/>
          <w:rFonts w:ascii="Cambria" w:hAnsi="Cambria"/>
          <w:i w:val="0"/>
          <w:iCs w:val="0"/>
          <w:sz w:val="20"/>
          <w:szCs w:val="20"/>
        </w:rPr>
        <w:t xml:space="preserve"> esse fato. Segundo relatos de testemunhas </w:t>
      </w:r>
      <w:r w:rsidR="00A547E9" w:rsidRPr="00C62DF2">
        <w:rPr>
          <w:rStyle w:val="Emphasis"/>
          <w:rFonts w:ascii="Cambria" w:hAnsi="Cambria"/>
          <w:i w:val="0"/>
          <w:iCs w:val="0"/>
          <w:sz w:val="20"/>
          <w:szCs w:val="20"/>
        </w:rPr>
        <w:t xml:space="preserve">à Ordem </w:t>
      </w:r>
      <w:r w:rsidRPr="00C62DF2">
        <w:rPr>
          <w:rFonts w:ascii="Cambria" w:hAnsi="Cambria" w:cs="Verdana"/>
          <w:sz w:val="20"/>
          <w:szCs w:val="20"/>
        </w:rPr>
        <w:t>d</w:t>
      </w:r>
      <w:r w:rsidR="00A547E9" w:rsidRPr="00C62DF2">
        <w:rPr>
          <w:rFonts w:ascii="Cambria" w:hAnsi="Cambria" w:cs="Verdana"/>
          <w:sz w:val="20"/>
          <w:szCs w:val="20"/>
        </w:rPr>
        <w:t>os</w:t>
      </w:r>
      <w:r w:rsidRPr="00C62DF2">
        <w:rPr>
          <w:rFonts w:ascii="Cambria" w:hAnsi="Cambria" w:cs="Verdana"/>
          <w:sz w:val="20"/>
          <w:szCs w:val="20"/>
        </w:rPr>
        <w:t xml:space="preserve"> Advogados d</w:t>
      </w:r>
      <w:r w:rsidR="00A547E9" w:rsidRPr="00C62DF2">
        <w:rPr>
          <w:rFonts w:ascii="Cambria" w:hAnsi="Cambria" w:cs="Verdana"/>
          <w:sz w:val="20"/>
          <w:szCs w:val="20"/>
        </w:rPr>
        <w:t>o</w:t>
      </w:r>
      <w:r w:rsidRPr="00C62DF2">
        <w:rPr>
          <w:rFonts w:ascii="Cambria" w:hAnsi="Cambria" w:cs="Verdana"/>
          <w:sz w:val="20"/>
          <w:szCs w:val="20"/>
        </w:rPr>
        <w:t xml:space="preserve"> Brasil</w:t>
      </w:r>
      <w:r w:rsidRPr="00C62DF2">
        <w:rPr>
          <w:rStyle w:val="Emphasis"/>
          <w:rFonts w:ascii="Cambria" w:hAnsi="Cambria"/>
          <w:i w:val="0"/>
          <w:iCs w:val="0"/>
          <w:sz w:val="20"/>
          <w:szCs w:val="20"/>
        </w:rPr>
        <w:t xml:space="preserve">, Eduardo </w:t>
      </w:r>
      <w:r w:rsidR="00B94E17" w:rsidRPr="00C62DF2">
        <w:rPr>
          <w:rStyle w:val="Emphasis"/>
          <w:rFonts w:ascii="Cambria" w:hAnsi="Cambria"/>
          <w:i w:val="0"/>
          <w:iCs w:val="0"/>
          <w:sz w:val="20"/>
          <w:szCs w:val="20"/>
        </w:rPr>
        <w:t>Leite</w:t>
      </w:r>
      <w:r w:rsidRPr="00C62DF2">
        <w:rPr>
          <w:rStyle w:val="Emphasis"/>
          <w:rFonts w:ascii="Cambria" w:hAnsi="Cambria"/>
          <w:i w:val="0"/>
          <w:iCs w:val="0"/>
          <w:sz w:val="20"/>
          <w:szCs w:val="20"/>
        </w:rPr>
        <w:t xml:space="preserve"> não podia andar devido às torturas que sofreu e, desde então, nunca mais foi visto por outros presos políticos</w:t>
      </w:r>
      <w:r w:rsidRPr="00C62DF2">
        <w:rPr>
          <w:rStyle w:val="FootnoteReference"/>
          <w:rFonts w:ascii="Cambria" w:hAnsi="Cambria"/>
          <w:sz w:val="20"/>
          <w:szCs w:val="20"/>
        </w:rPr>
        <w:footnoteReference w:id="70"/>
      </w:r>
      <w:r w:rsidRPr="00C62DF2">
        <w:rPr>
          <w:rStyle w:val="Emphasis"/>
          <w:rFonts w:ascii="Cambria" w:hAnsi="Cambria"/>
          <w:sz w:val="20"/>
          <w:szCs w:val="20"/>
        </w:rPr>
        <w:t>.</w:t>
      </w:r>
      <w:r w:rsidRPr="00C62DF2">
        <w:rPr>
          <w:rStyle w:val="Emphasis"/>
          <w:rFonts w:ascii="Cambria" w:hAnsi="Cambria"/>
          <w:i w:val="0"/>
          <w:iCs w:val="0"/>
          <w:sz w:val="20"/>
          <w:szCs w:val="20"/>
        </w:rPr>
        <w:t xml:space="preserve"> No entanto, em 16 de novembro de 1970 foi </w:t>
      </w:r>
      <w:r w:rsidR="00A547E9" w:rsidRPr="00C62DF2">
        <w:rPr>
          <w:rStyle w:val="Emphasis"/>
          <w:rFonts w:ascii="Cambria" w:hAnsi="Cambria"/>
          <w:i w:val="0"/>
          <w:iCs w:val="0"/>
          <w:sz w:val="20"/>
          <w:szCs w:val="20"/>
        </w:rPr>
        <w:t>emiti</w:t>
      </w:r>
      <w:r w:rsidRPr="00C62DF2">
        <w:rPr>
          <w:rStyle w:val="Emphasis"/>
          <w:rFonts w:ascii="Cambria" w:hAnsi="Cambria"/>
          <w:i w:val="0"/>
          <w:iCs w:val="0"/>
          <w:sz w:val="20"/>
          <w:szCs w:val="20"/>
        </w:rPr>
        <w:t>do um manda</w:t>
      </w:r>
      <w:r w:rsidR="00A547E9" w:rsidRPr="00C62DF2">
        <w:rPr>
          <w:rStyle w:val="Emphasis"/>
          <w:rFonts w:ascii="Cambria" w:hAnsi="Cambria"/>
          <w:i w:val="0"/>
          <w:iCs w:val="0"/>
          <w:sz w:val="20"/>
          <w:szCs w:val="20"/>
        </w:rPr>
        <w:t>d</w:t>
      </w:r>
      <w:r w:rsidRPr="00C62DF2">
        <w:rPr>
          <w:rStyle w:val="Emphasis"/>
          <w:rFonts w:ascii="Cambria" w:hAnsi="Cambria"/>
          <w:i w:val="0"/>
          <w:iCs w:val="0"/>
          <w:sz w:val="20"/>
          <w:szCs w:val="20"/>
        </w:rPr>
        <w:t xml:space="preserve">o de prisão contra sua pessoa, </w:t>
      </w:r>
      <w:r w:rsidR="00A547E9" w:rsidRPr="00C62DF2">
        <w:rPr>
          <w:rStyle w:val="Emphasis"/>
          <w:rFonts w:ascii="Cambria" w:hAnsi="Cambria"/>
          <w:i w:val="0"/>
          <w:iCs w:val="0"/>
          <w:sz w:val="20"/>
          <w:szCs w:val="20"/>
        </w:rPr>
        <w:t>embora</w:t>
      </w:r>
      <w:r w:rsidRPr="00C62DF2">
        <w:rPr>
          <w:rStyle w:val="Emphasis"/>
          <w:rFonts w:ascii="Cambria" w:hAnsi="Cambria"/>
          <w:i w:val="0"/>
          <w:iCs w:val="0"/>
          <w:sz w:val="20"/>
          <w:szCs w:val="20"/>
        </w:rPr>
        <w:t xml:space="preserve"> já estivesse sob custódia estatal</w:t>
      </w:r>
      <w:r w:rsidRPr="00C62DF2">
        <w:rPr>
          <w:rStyle w:val="FootnoteReference"/>
          <w:rFonts w:ascii="Cambria" w:hAnsi="Cambria"/>
          <w:sz w:val="20"/>
          <w:szCs w:val="20"/>
        </w:rPr>
        <w:footnoteReference w:id="71"/>
      </w:r>
      <w:r w:rsidRPr="00C62DF2">
        <w:rPr>
          <w:rStyle w:val="Emphasis"/>
          <w:rFonts w:ascii="Cambria" w:hAnsi="Cambria"/>
          <w:sz w:val="20"/>
          <w:szCs w:val="20"/>
        </w:rPr>
        <w:t>.</w:t>
      </w:r>
    </w:p>
    <w:p w14:paraId="53252DA4" w14:textId="77777777" w:rsidR="00E13122" w:rsidRPr="00C62DF2" w:rsidRDefault="00E13122" w:rsidP="00FC0CB6">
      <w:pPr>
        <w:jc w:val="both"/>
        <w:rPr>
          <w:rStyle w:val="Emphasis"/>
          <w:rFonts w:ascii="Cambria" w:hAnsi="Cambria"/>
          <w:i w:val="0"/>
          <w:iCs w:val="0"/>
          <w:sz w:val="20"/>
          <w:szCs w:val="20"/>
        </w:rPr>
      </w:pPr>
    </w:p>
    <w:p w14:paraId="5454BC3A" w14:textId="02A0DF1C"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Segundo as conclusões da CNV</w:t>
      </w:r>
      <w:r w:rsidR="004F566B"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Eduardo </w:t>
      </w:r>
      <w:r w:rsidR="00B94E17" w:rsidRPr="00C62DF2">
        <w:rPr>
          <w:rStyle w:val="Emphasis"/>
          <w:rFonts w:ascii="Cambria" w:hAnsi="Cambria"/>
          <w:i w:val="0"/>
          <w:iCs w:val="0"/>
          <w:sz w:val="20"/>
          <w:szCs w:val="20"/>
        </w:rPr>
        <w:t>Leite</w:t>
      </w:r>
      <w:r w:rsidRPr="00C62DF2">
        <w:rPr>
          <w:rStyle w:val="Emphasis"/>
          <w:rFonts w:ascii="Cambria" w:hAnsi="Cambria"/>
          <w:i w:val="0"/>
          <w:iCs w:val="0"/>
          <w:sz w:val="20"/>
          <w:szCs w:val="20"/>
        </w:rPr>
        <w:t xml:space="preserve"> esteve sob custódia do Estado por 109 dias, até 8 de dezembro de 1970</w:t>
      </w:r>
      <w:r w:rsidR="004F566B"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qu</w:t>
      </w:r>
      <w:r w:rsidR="004F566B" w:rsidRPr="00C62DF2">
        <w:rPr>
          <w:rStyle w:val="Emphasis"/>
          <w:rFonts w:ascii="Cambria" w:hAnsi="Cambria"/>
          <w:i w:val="0"/>
          <w:iCs w:val="0"/>
          <w:sz w:val="20"/>
          <w:szCs w:val="20"/>
        </w:rPr>
        <w:t>ando</w:t>
      </w:r>
      <w:r w:rsidRPr="00C62DF2">
        <w:rPr>
          <w:rStyle w:val="Emphasis"/>
          <w:rFonts w:ascii="Cambria" w:hAnsi="Cambria"/>
          <w:i w:val="0"/>
          <w:iCs w:val="0"/>
          <w:sz w:val="20"/>
          <w:szCs w:val="20"/>
        </w:rPr>
        <w:t xml:space="preserve"> se divulgou que teria falecido em um tiroteio na cidade de São Sebastião, em São Paulo. Não obstante, a própria CNV indicou que, na realidade, foi assassinado no Quartel Andradas, na cidade do Guarujá, São Paulo, por um major do Exército</w:t>
      </w:r>
      <w:r w:rsidR="00B94E17"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no banheiro que se converteu em sua cela. </w:t>
      </w:r>
      <w:r w:rsidR="007B0ED7" w:rsidRPr="00C62DF2">
        <w:rPr>
          <w:rStyle w:val="Emphasis"/>
          <w:rFonts w:ascii="Cambria" w:hAnsi="Cambria"/>
          <w:i w:val="0"/>
          <w:iCs w:val="0"/>
          <w:sz w:val="20"/>
          <w:szCs w:val="20"/>
        </w:rPr>
        <w:t>A</w:t>
      </w:r>
      <w:r w:rsidRPr="00C62DF2">
        <w:rPr>
          <w:rStyle w:val="Emphasis"/>
          <w:rFonts w:ascii="Cambria" w:hAnsi="Cambria"/>
          <w:i w:val="0"/>
          <w:iCs w:val="0"/>
          <w:sz w:val="20"/>
          <w:szCs w:val="20"/>
        </w:rPr>
        <w:t xml:space="preserve"> CNV reconheceu que a ordem do assassinato foi dada pelo coronel Erar de Campo Vasconcelos, que teria “recomendado à OBAN que se tomassem as providências para que Eduardo Leite não fosse trocado </w:t>
      </w:r>
      <w:r w:rsidR="00B94E17" w:rsidRPr="00C62DF2">
        <w:rPr>
          <w:rStyle w:val="Emphasis"/>
          <w:rFonts w:ascii="Cambria" w:hAnsi="Cambria"/>
          <w:i w:val="0"/>
          <w:iCs w:val="0"/>
          <w:sz w:val="20"/>
          <w:szCs w:val="20"/>
        </w:rPr>
        <w:t>em um</w:t>
      </w:r>
      <w:r w:rsidRPr="00C62DF2">
        <w:rPr>
          <w:rStyle w:val="Emphasis"/>
          <w:rFonts w:ascii="Cambria" w:hAnsi="Cambria"/>
          <w:i w:val="0"/>
          <w:iCs w:val="0"/>
          <w:sz w:val="20"/>
          <w:szCs w:val="20"/>
        </w:rPr>
        <w:t xml:space="preserve"> eventual sequestro de embaixador que pudesse ocorrer.”</w:t>
      </w:r>
      <w:r w:rsidRPr="00C62DF2">
        <w:rPr>
          <w:rStyle w:val="FootnoteReference"/>
          <w:rFonts w:ascii="Cambria" w:hAnsi="Cambria"/>
          <w:sz w:val="20"/>
          <w:szCs w:val="20"/>
        </w:rPr>
        <w:footnoteReference w:id="72"/>
      </w:r>
      <w:r w:rsidRPr="00C62DF2">
        <w:rPr>
          <w:rStyle w:val="Emphasis"/>
          <w:rFonts w:ascii="Cambria" w:hAnsi="Cambria"/>
          <w:i w:val="0"/>
          <w:iCs w:val="0"/>
          <w:sz w:val="20"/>
          <w:szCs w:val="20"/>
        </w:rPr>
        <w:t xml:space="preserve"> </w:t>
      </w:r>
    </w:p>
    <w:p w14:paraId="51C5DA21" w14:textId="77777777" w:rsidR="00E13122" w:rsidRPr="00C62DF2" w:rsidRDefault="00E13122" w:rsidP="00FC0CB6">
      <w:pPr>
        <w:pStyle w:val="ListParagraph"/>
        <w:ind w:firstLine="0"/>
        <w:rPr>
          <w:rStyle w:val="Emphasis"/>
          <w:i w:val="0"/>
          <w:iCs w:val="0"/>
          <w:sz w:val="20"/>
          <w:szCs w:val="20"/>
          <w:lang w:val="pt-BR"/>
        </w:rPr>
      </w:pPr>
    </w:p>
    <w:p w14:paraId="2E4E14C2" w14:textId="0B2F3172"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 xml:space="preserve">Segundo a Comissão de Anistia, a morte de Eduardo </w:t>
      </w:r>
      <w:r w:rsidR="00B94E17" w:rsidRPr="00C62DF2">
        <w:rPr>
          <w:rStyle w:val="Emphasis"/>
          <w:rFonts w:ascii="Cambria" w:hAnsi="Cambria"/>
          <w:i w:val="0"/>
          <w:iCs w:val="0"/>
          <w:sz w:val="20"/>
          <w:szCs w:val="20"/>
        </w:rPr>
        <w:t xml:space="preserve">Leite </w:t>
      </w:r>
      <w:r w:rsidRPr="00C62DF2">
        <w:rPr>
          <w:rStyle w:val="Emphasis"/>
          <w:rFonts w:ascii="Cambria" w:hAnsi="Cambria"/>
          <w:i w:val="0"/>
          <w:iCs w:val="0"/>
          <w:sz w:val="20"/>
          <w:szCs w:val="20"/>
        </w:rPr>
        <w:t>é “a mais terrível de toda a ditadura brasileira”, pois</w:t>
      </w:r>
      <w:r w:rsidR="007B0ED7"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“desde sua prisão em 21 de agosto de 1970 até 8 de dezembro de 1970, ele foi torturado incessantemente por diversos órgãos da repressão, DOI-CODI, DEOPS, como se ele fosse o maior dos troféus e o retrato do que a ditadura podia fazer.”</w:t>
      </w:r>
      <w:r w:rsidRPr="00C62DF2">
        <w:rPr>
          <w:rStyle w:val="FootnoteReference"/>
          <w:rFonts w:ascii="Cambria" w:hAnsi="Cambria" w:cs="Arial"/>
          <w:sz w:val="20"/>
          <w:szCs w:val="20"/>
        </w:rPr>
        <w:footnoteReference w:id="73"/>
      </w:r>
      <w:r w:rsidRPr="00C62DF2">
        <w:rPr>
          <w:rFonts w:ascii="Cambria" w:hAnsi="Cambria"/>
          <w:sz w:val="20"/>
          <w:szCs w:val="20"/>
        </w:rPr>
        <w:t xml:space="preserve"> </w:t>
      </w:r>
      <w:r w:rsidR="007B0ED7" w:rsidRPr="00C62DF2">
        <w:rPr>
          <w:rFonts w:ascii="Cambria" w:hAnsi="Cambria"/>
          <w:sz w:val="20"/>
          <w:szCs w:val="20"/>
        </w:rPr>
        <w:t>O</w:t>
      </w:r>
      <w:r w:rsidRPr="00C62DF2">
        <w:rPr>
          <w:rFonts w:ascii="Cambria" w:hAnsi="Cambria"/>
          <w:sz w:val="20"/>
          <w:szCs w:val="20"/>
        </w:rPr>
        <w:t xml:space="preserve">s </w:t>
      </w:r>
      <w:r w:rsidRPr="00C62DF2">
        <w:rPr>
          <w:rStyle w:val="Emphasis"/>
          <w:rFonts w:ascii="Cambria" w:hAnsi="Cambria"/>
          <w:i w:val="0"/>
          <w:iCs w:val="0"/>
          <w:sz w:val="20"/>
          <w:szCs w:val="20"/>
        </w:rPr>
        <w:t>meios de comunicação registraram, depois do término da ditadura no Brasil, que era falsa a notícia de que Bacuri morreu em um tiroteio e destacaram que sua execução ocorreu para impossibilitar que ele entr</w:t>
      </w:r>
      <w:r w:rsidR="007B0ED7" w:rsidRPr="00C62DF2">
        <w:rPr>
          <w:rStyle w:val="Emphasis"/>
          <w:rFonts w:ascii="Cambria" w:hAnsi="Cambria"/>
          <w:i w:val="0"/>
          <w:iCs w:val="0"/>
          <w:sz w:val="20"/>
          <w:szCs w:val="20"/>
        </w:rPr>
        <w:t>asse</w:t>
      </w:r>
      <w:r w:rsidRPr="00C62DF2">
        <w:rPr>
          <w:rStyle w:val="Emphasis"/>
          <w:rFonts w:ascii="Cambria" w:hAnsi="Cambria"/>
          <w:i w:val="0"/>
          <w:iCs w:val="0"/>
          <w:sz w:val="20"/>
          <w:szCs w:val="20"/>
        </w:rPr>
        <w:t xml:space="preserve"> na lista de prisioneiros que seriam trocados com a finalidade de obter a liber</w:t>
      </w:r>
      <w:r w:rsidR="007B0ED7" w:rsidRPr="00C62DF2">
        <w:rPr>
          <w:rStyle w:val="Emphasis"/>
          <w:rFonts w:ascii="Cambria" w:hAnsi="Cambria"/>
          <w:i w:val="0"/>
          <w:iCs w:val="0"/>
          <w:sz w:val="20"/>
          <w:szCs w:val="20"/>
        </w:rPr>
        <w:t>tação</w:t>
      </w:r>
      <w:r w:rsidRPr="00C62DF2">
        <w:rPr>
          <w:rStyle w:val="Emphasis"/>
          <w:rFonts w:ascii="Cambria" w:hAnsi="Cambria"/>
          <w:i w:val="0"/>
          <w:iCs w:val="0"/>
          <w:sz w:val="20"/>
          <w:szCs w:val="20"/>
        </w:rPr>
        <w:t xml:space="preserve"> do Embaixador d</w:t>
      </w:r>
      <w:r w:rsidR="007B0ED7" w:rsidRPr="00C62DF2">
        <w:rPr>
          <w:rStyle w:val="Emphasis"/>
          <w:rFonts w:ascii="Cambria" w:hAnsi="Cambria"/>
          <w:i w:val="0"/>
          <w:iCs w:val="0"/>
          <w:sz w:val="20"/>
          <w:szCs w:val="20"/>
        </w:rPr>
        <w:t>a</w:t>
      </w:r>
      <w:r w:rsidRPr="00C62DF2">
        <w:rPr>
          <w:rStyle w:val="Emphasis"/>
          <w:rFonts w:ascii="Cambria" w:hAnsi="Cambria"/>
          <w:i w:val="0"/>
          <w:iCs w:val="0"/>
          <w:sz w:val="20"/>
          <w:szCs w:val="20"/>
        </w:rPr>
        <w:t xml:space="preserve"> Suíça no Brasil, que se encontrava privado da liberdade pelos movimentos VPR e Movimento Revolucionário 8 de Outubro (MR-8)</w:t>
      </w:r>
      <w:r w:rsidRPr="00C62DF2">
        <w:rPr>
          <w:rStyle w:val="FootnoteReference"/>
          <w:rFonts w:ascii="Cambria" w:hAnsi="Cambria"/>
          <w:sz w:val="20"/>
          <w:szCs w:val="20"/>
        </w:rPr>
        <w:footnoteReference w:id="74"/>
      </w:r>
      <w:r w:rsidRPr="00C62DF2">
        <w:rPr>
          <w:rStyle w:val="Emphasis"/>
          <w:rFonts w:ascii="Cambria" w:hAnsi="Cambria"/>
          <w:i w:val="0"/>
          <w:iCs w:val="0"/>
          <w:sz w:val="20"/>
          <w:szCs w:val="20"/>
        </w:rPr>
        <w:t>.</w:t>
      </w:r>
    </w:p>
    <w:p w14:paraId="047F181E" w14:textId="77777777" w:rsidR="00E13122" w:rsidRPr="00C62DF2" w:rsidRDefault="00E13122" w:rsidP="00FC0CB6">
      <w:pPr>
        <w:pStyle w:val="ListParagraph"/>
        <w:ind w:firstLine="0"/>
        <w:rPr>
          <w:rStyle w:val="Emphasis"/>
          <w:i w:val="0"/>
          <w:iCs w:val="0"/>
          <w:sz w:val="20"/>
          <w:szCs w:val="20"/>
          <w:lang w:val="pt-BR"/>
        </w:rPr>
      </w:pPr>
    </w:p>
    <w:p w14:paraId="1ACCEEDF" w14:textId="4ECF6761"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Além disso, a CNV reconheceu que, apesar das visíveis marcas de tortura no corpo de Eduardo, o laudo de exame necroscópico atestou que não havia marcas de tortura, mas indicou que somente havia ferimentos de disparos de arma de fogo</w:t>
      </w:r>
      <w:r w:rsidRPr="00C62DF2">
        <w:rPr>
          <w:rStyle w:val="FootnoteReference"/>
          <w:rFonts w:ascii="Cambria" w:hAnsi="Cambria"/>
          <w:sz w:val="20"/>
          <w:szCs w:val="20"/>
        </w:rPr>
        <w:footnoteReference w:id="75"/>
      </w:r>
      <w:r w:rsidRPr="00C62DF2">
        <w:rPr>
          <w:rStyle w:val="Emphasis"/>
          <w:rFonts w:ascii="Cambria" w:hAnsi="Cambria"/>
          <w:i w:val="0"/>
          <w:iCs w:val="0"/>
          <w:sz w:val="20"/>
          <w:szCs w:val="20"/>
        </w:rPr>
        <w:t xml:space="preserve">. A perícia do corpo de Eduardo foi realizada pelo Instituto Médico </w:t>
      </w:r>
      <w:r w:rsidR="00546BE6" w:rsidRPr="00C62DF2">
        <w:rPr>
          <w:rStyle w:val="Emphasis"/>
          <w:rFonts w:ascii="Cambria" w:hAnsi="Cambria"/>
          <w:i w:val="0"/>
          <w:iCs w:val="0"/>
          <w:sz w:val="20"/>
          <w:szCs w:val="20"/>
        </w:rPr>
        <w:t>Legal</w:t>
      </w:r>
      <w:r w:rsidRPr="00C62DF2">
        <w:rPr>
          <w:rStyle w:val="Emphasis"/>
          <w:rFonts w:ascii="Cambria" w:hAnsi="Cambria"/>
          <w:i w:val="0"/>
          <w:iCs w:val="0"/>
          <w:sz w:val="20"/>
          <w:szCs w:val="20"/>
        </w:rPr>
        <w:t>, órgão vinculado à Secretaria de Segurança Pública e ao Departamento da Polícia Científica de São Paulo</w:t>
      </w:r>
      <w:r w:rsidRPr="00C62DF2">
        <w:rPr>
          <w:rStyle w:val="FootnoteReference"/>
          <w:rFonts w:ascii="Cambria" w:hAnsi="Cambria"/>
          <w:sz w:val="20"/>
          <w:szCs w:val="20"/>
        </w:rPr>
        <w:footnoteReference w:id="76"/>
      </w:r>
      <w:r w:rsidRPr="00C62DF2">
        <w:rPr>
          <w:rStyle w:val="Emphasis"/>
          <w:rFonts w:ascii="Cambria" w:hAnsi="Cambria"/>
          <w:i w:val="0"/>
          <w:iCs w:val="0"/>
          <w:sz w:val="20"/>
          <w:szCs w:val="20"/>
        </w:rPr>
        <w:t xml:space="preserve">. Seu corpo </w:t>
      </w:r>
      <w:r w:rsidRPr="00C62DF2">
        <w:rPr>
          <w:rStyle w:val="Emphasis"/>
          <w:rFonts w:ascii="Cambria" w:hAnsi="Cambria"/>
          <w:i w:val="0"/>
          <w:iCs w:val="0"/>
          <w:sz w:val="20"/>
          <w:szCs w:val="20"/>
        </w:rPr>
        <w:lastRenderedPageBreak/>
        <w:t xml:space="preserve">foi abandonado no Cemitério de Areia Branca, na cidade de Santos, São Paulo, e depois entregue </w:t>
      </w:r>
      <w:r w:rsidR="009C26C4" w:rsidRPr="00C62DF2">
        <w:rPr>
          <w:rStyle w:val="Emphasis"/>
          <w:rFonts w:ascii="Cambria" w:hAnsi="Cambria"/>
          <w:i w:val="0"/>
          <w:iCs w:val="0"/>
          <w:sz w:val="20"/>
          <w:szCs w:val="20"/>
        </w:rPr>
        <w:t>à</w:t>
      </w:r>
      <w:r w:rsidRPr="00C62DF2">
        <w:rPr>
          <w:rStyle w:val="Emphasis"/>
          <w:rFonts w:ascii="Cambria" w:hAnsi="Cambria"/>
          <w:i w:val="0"/>
          <w:iCs w:val="0"/>
          <w:sz w:val="20"/>
          <w:szCs w:val="20"/>
        </w:rPr>
        <w:t xml:space="preserve"> sua família</w:t>
      </w:r>
      <w:r w:rsidRPr="00C62DF2">
        <w:rPr>
          <w:rStyle w:val="FootnoteReference"/>
          <w:rFonts w:ascii="Cambria" w:hAnsi="Cambria"/>
          <w:sz w:val="20"/>
          <w:szCs w:val="20"/>
        </w:rPr>
        <w:footnoteReference w:id="77"/>
      </w:r>
      <w:r w:rsidRPr="00C62DF2">
        <w:rPr>
          <w:rStyle w:val="Emphasis"/>
          <w:rFonts w:ascii="Cambria" w:hAnsi="Cambria"/>
          <w:i w:val="0"/>
          <w:iCs w:val="0"/>
          <w:sz w:val="20"/>
          <w:szCs w:val="20"/>
        </w:rPr>
        <w:t>, que constatou a existência de hematomas, escoriações, queimaduras, dentes arrancados e orelhas cortadas, além dos olhos vaz</w:t>
      </w:r>
      <w:r w:rsidR="00A56A2A" w:rsidRPr="00C62DF2">
        <w:rPr>
          <w:rStyle w:val="Emphasis"/>
          <w:rFonts w:ascii="Cambria" w:hAnsi="Cambria"/>
          <w:i w:val="0"/>
          <w:iCs w:val="0"/>
          <w:sz w:val="20"/>
          <w:szCs w:val="20"/>
        </w:rPr>
        <w:t>ad</w:t>
      </w:r>
      <w:r w:rsidRPr="00C62DF2">
        <w:rPr>
          <w:rStyle w:val="Emphasis"/>
          <w:rFonts w:ascii="Cambria" w:hAnsi="Cambria"/>
          <w:i w:val="0"/>
          <w:iCs w:val="0"/>
          <w:sz w:val="20"/>
          <w:szCs w:val="20"/>
        </w:rPr>
        <w:t>os.</w:t>
      </w:r>
      <w:r w:rsidRPr="00C62DF2">
        <w:rPr>
          <w:rStyle w:val="FootnoteReference"/>
          <w:rFonts w:ascii="Cambria" w:hAnsi="Cambria"/>
          <w:sz w:val="20"/>
          <w:szCs w:val="20"/>
        </w:rPr>
        <w:footnoteReference w:id="78"/>
      </w:r>
    </w:p>
    <w:p w14:paraId="42F4AECA" w14:textId="77777777" w:rsidR="00E13122" w:rsidRPr="00C62DF2" w:rsidRDefault="00E13122" w:rsidP="00FC0CB6">
      <w:pPr>
        <w:pStyle w:val="Body"/>
        <w:ind w:firstLine="0"/>
        <w:rPr>
          <w:lang w:val="pt-BR"/>
        </w:rPr>
      </w:pPr>
    </w:p>
    <w:p w14:paraId="3FE243B0" w14:textId="77777777" w:rsidR="00E13122" w:rsidRPr="00C62DF2" w:rsidRDefault="00E13122" w:rsidP="00FC0CB6">
      <w:pPr>
        <w:pStyle w:val="Heading2"/>
        <w:ind w:firstLine="0"/>
        <w:rPr>
          <w:lang w:val="pt-BR"/>
        </w:rPr>
      </w:pPr>
      <w:bookmarkStart w:id="11" w:name="_Toc85895004"/>
      <w:r w:rsidRPr="00C62DF2">
        <w:rPr>
          <w:lang w:val="pt-BR"/>
        </w:rPr>
        <w:t>O asilo forçado de Denise Peres Crispim e sua filha Eduarda</w:t>
      </w:r>
      <w:bookmarkEnd w:id="11"/>
    </w:p>
    <w:p w14:paraId="664B9BA4" w14:textId="77777777" w:rsidR="00E13122" w:rsidRPr="00C62DF2" w:rsidRDefault="00E13122" w:rsidP="00FC0CB6">
      <w:pPr>
        <w:jc w:val="both"/>
        <w:rPr>
          <w:rFonts w:ascii="Cambria" w:hAnsi="Cambria"/>
          <w:sz w:val="20"/>
          <w:szCs w:val="20"/>
          <w:lang w:eastAsia="es-CL"/>
        </w:rPr>
      </w:pPr>
    </w:p>
    <w:p w14:paraId="7D9EC136" w14:textId="50AFF3CC"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 xml:space="preserve">De acordo com </w:t>
      </w:r>
      <w:r w:rsidR="00CF08D0" w:rsidRPr="00C62DF2">
        <w:rPr>
          <w:rStyle w:val="Emphasis"/>
          <w:rFonts w:ascii="Cambria" w:hAnsi="Cambria"/>
          <w:i w:val="0"/>
          <w:iCs w:val="0"/>
          <w:sz w:val="20"/>
          <w:szCs w:val="20"/>
        </w:rPr>
        <w:t>sua</w:t>
      </w:r>
      <w:r w:rsidRPr="00C62DF2">
        <w:rPr>
          <w:rStyle w:val="Emphasis"/>
          <w:rFonts w:ascii="Cambria" w:hAnsi="Cambria"/>
          <w:i w:val="0"/>
          <w:iCs w:val="0"/>
          <w:sz w:val="20"/>
          <w:szCs w:val="20"/>
        </w:rPr>
        <w:t xml:space="preserve"> declara</w:t>
      </w:r>
      <w:r w:rsidR="00CF08D0" w:rsidRPr="00C62DF2">
        <w:rPr>
          <w:rStyle w:val="Emphasis"/>
          <w:rFonts w:ascii="Cambria" w:hAnsi="Cambria"/>
          <w:i w:val="0"/>
          <w:iCs w:val="0"/>
          <w:sz w:val="20"/>
          <w:szCs w:val="20"/>
        </w:rPr>
        <w:t>çã</w:t>
      </w:r>
      <w:r w:rsidRPr="00C62DF2">
        <w:rPr>
          <w:rStyle w:val="Emphasis"/>
          <w:rFonts w:ascii="Cambria" w:hAnsi="Cambria"/>
          <w:i w:val="0"/>
          <w:iCs w:val="0"/>
          <w:sz w:val="20"/>
          <w:szCs w:val="20"/>
        </w:rPr>
        <w:t>o</w:t>
      </w:r>
      <w:r w:rsidR="00CF08D0"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em agosto de 1971</w:t>
      </w:r>
      <w:r w:rsidR="00B94E17"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w:t>
      </w:r>
      <w:r w:rsidR="00CF08D0" w:rsidRPr="00C62DF2">
        <w:rPr>
          <w:rStyle w:val="Emphasis"/>
          <w:rFonts w:ascii="Cambria" w:hAnsi="Cambria"/>
          <w:i w:val="0"/>
          <w:iCs w:val="0"/>
          <w:sz w:val="20"/>
          <w:szCs w:val="20"/>
        </w:rPr>
        <w:t xml:space="preserve">Denise Peres Crispim </w:t>
      </w:r>
      <w:r w:rsidRPr="00C62DF2">
        <w:rPr>
          <w:rStyle w:val="Emphasis"/>
          <w:rFonts w:ascii="Cambria" w:hAnsi="Cambria"/>
          <w:i w:val="0"/>
          <w:iCs w:val="0"/>
          <w:sz w:val="20"/>
          <w:szCs w:val="20"/>
        </w:rPr>
        <w:t>ingressou juntamente com sua filha de dez meses na Embaixada do Chile no Brasil, onde solicitou asilo diplomático, o qual foi concedido. Assim, elas viveram no edifício da Embaixada do Chile por 11 meses</w:t>
      </w:r>
      <w:r w:rsidRPr="00C62DF2">
        <w:rPr>
          <w:rStyle w:val="FootnoteReference"/>
          <w:rFonts w:ascii="Cambria" w:hAnsi="Cambria" w:cs="Arial"/>
          <w:sz w:val="20"/>
          <w:szCs w:val="20"/>
        </w:rPr>
        <w:footnoteReference w:id="79"/>
      </w:r>
      <w:r w:rsidRPr="00C62DF2">
        <w:rPr>
          <w:rStyle w:val="Emphasis"/>
          <w:rFonts w:ascii="Cambria" w:hAnsi="Cambria"/>
          <w:i w:val="0"/>
          <w:iCs w:val="0"/>
          <w:sz w:val="20"/>
          <w:szCs w:val="20"/>
        </w:rPr>
        <w:t>. Enquanto</w:t>
      </w:r>
      <w:r w:rsidRPr="00C62DF2">
        <w:rPr>
          <w:rFonts w:ascii="Cambria" w:hAnsi="Cambria"/>
          <w:sz w:val="20"/>
          <w:szCs w:val="20"/>
        </w:rPr>
        <w:t xml:space="preserve"> estava isolada na Embaixada do Chile, Denise foi condenada </w:t>
      </w:r>
      <w:r w:rsidR="00B94E17" w:rsidRPr="00C62DF2">
        <w:rPr>
          <w:rFonts w:ascii="Cambria" w:hAnsi="Cambria"/>
          <w:sz w:val="20"/>
          <w:szCs w:val="20"/>
        </w:rPr>
        <w:t>à revelia</w:t>
      </w:r>
      <w:r w:rsidRPr="00C62DF2">
        <w:rPr>
          <w:rFonts w:ascii="Cambria" w:hAnsi="Cambria"/>
          <w:sz w:val="20"/>
          <w:szCs w:val="20"/>
        </w:rPr>
        <w:t>, em 28 de outubro de 1971, pela 1ª Auditoria da 2ª Circunscrição Judiciária Militar de São Paulo a 18 meses de prisão</w:t>
      </w:r>
      <w:r w:rsidRPr="00C62DF2">
        <w:rPr>
          <w:rStyle w:val="FootnoteReference"/>
          <w:rFonts w:ascii="Cambria" w:hAnsi="Cambria" w:cs="Arial"/>
          <w:sz w:val="20"/>
          <w:szCs w:val="20"/>
        </w:rPr>
        <w:footnoteReference w:id="80"/>
      </w:r>
      <w:r w:rsidR="00CF08D0" w:rsidRPr="00C62DF2">
        <w:rPr>
          <w:rFonts w:ascii="Cambria" w:hAnsi="Cambria"/>
          <w:sz w:val="20"/>
          <w:szCs w:val="20"/>
        </w:rPr>
        <w:t>;</w:t>
      </w:r>
      <w:r w:rsidRPr="00C62DF2">
        <w:rPr>
          <w:rFonts w:ascii="Cambria" w:hAnsi="Cambria"/>
          <w:sz w:val="20"/>
          <w:szCs w:val="20"/>
        </w:rPr>
        <w:t xml:space="preserve"> em maio </w:t>
      </w:r>
      <w:r w:rsidRPr="00C62DF2">
        <w:rPr>
          <w:rStyle w:val="Emphasis"/>
          <w:rFonts w:ascii="Cambria" w:hAnsi="Cambria"/>
          <w:i w:val="0"/>
          <w:iCs w:val="0"/>
          <w:sz w:val="20"/>
          <w:szCs w:val="20"/>
        </w:rPr>
        <w:t xml:space="preserve">de 1972, </w:t>
      </w:r>
      <w:r w:rsidR="00CF08D0" w:rsidRPr="00C62DF2">
        <w:rPr>
          <w:rStyle w:val="Emphasis"/>
          <w:rFonts w:ascii="Cambria" w:hAnsi="Cambria"/>
          <w:i w:val="0"/>
          <w:iCs w:val="0"/>
          <w:sz w:val="20"/>
          <w:szCs w:val="20"/>
        </w:rPr>
        <w:t>foi expedido</w:t>
      </w:r>
      <w:r w:rsidRPr="00C62DF2">
        <w:rPr>
          <w:rStyle w:val="Emphasis"/>
          <w:rFonts w:ascii="Cambria" w:hAnsi="Cambria"/>
          <w:i w:val="0"/>
          <w:iCs w:val="0"/>
          <w:sz w:val="20"/>
          <w:szCs w:val="20"/>
        </w:rPr>
        <w:t xml:space="preserve"> um manda</w:t>
      </w:r>
      <w:r w:rsidR="00CF08D0" w:rsidRPr="00C62DF2">
        <w:rPr>
          <w:rStyle w:val="Emphasis"/>
          <w:rFonts w:ascii="Cambria" w:hAnsi="Cambria"/>
          <w:i w:val="0"/>
          <w:iCs w:val="0"/>
          <w:sz w:val="20"/>
          <w:szCs w:val="20"/>
        </w:rPr>
        <w:t>d</w:t>
      </w:r>
      <w:r w:rsidRPr="00C62DF2">
        <w:rPr>
          <w:rStyle w:val="Emphasis"/>
          <w:rFonts w:ascii="Cambria" w:hAnsi="Cambria"/>
          <w:i w:val="0"/>
          <w:iCs w:val="0"/>
          <w:sz w:val="20"/>
          <w:szCs w:val="20"/>
        </w:rPr>
        <w:t xml:space="preserve">o de prisão contra sua pessoa devido a </w:t>
      </w:r>
      <w:r w:rsidR="00CF08D0" w:rsidRPr="00C62DF2">
        <w:rPr>
          <w:rStyle w:val="Emphasis"/>
          <w:rFonts w:ascii="Cambria" w:hAnsi="Cambria"/>
          <w:i w:val="0"/>
          <w:iCs w:val="0"/>
          <w:sz w:val="20"/>
          <w:szCs w:val="20"/>
        </w:rPr>
        <w:t>essa</w:t>
      </w:r>
      <w:r w:rsidRPr="00C62DF2">
        <w:rPr>
          <w:rStyle w:val="Emphasis"/>
          <w:rFonts w:ascii="Cambria" w:hAnsi="Cambria"/>
          <w:i w:val="0"/>
          <w:iCs w:val="0"/>
          <w:sz w:val="20"/>
          <w:szCs w:val="20"/>
        </w:rPr>
        <w:t xml:space="preserve"> condenação.</w:t>
      </w:r>
      <w:r w:rsidRPr="00C62DF2">
        <w:rPr>
          <w:rStyle w:val="FootnoteReference"/>
          <w:rFonts w:ascii="Cambria" w:hAnsi="Cambria"/>
          <w:sz w:val="20"/>
          <w:szCs w:val="20"/>
        </w:rPr>
        <w:footnoteReference w:id="81"/>
      </w:r>
      <w:r w:rsidRPr="00C62DF2">
        <w:rPr>
          <w:rStyle w:val="Emphasis"/>
          <w:rFonts w:ascii="Cambria" w:hAnsi="Cambria"/>
          <w:i w:val="0"/>
          <w:iCs w:val="0"/>
          <w:sz w:val="20"/>
          <w:szCs w:val="20"/>
        </w:rPr>
        <w:t xml:space="preserve"> Denise e Eduarda permaneceram no edifício da Embaixada do Chile até julho de 1972, quando obtiveram autorização para sair do Brasil. Assim, a mãe e a filha foram para o Chile onde viveram entre 1972 e 1973, quando deixaram o país em direção à Itália, devido ao golpe de Estado no Chile. A Comissão observa que Denise</w:t>
      </w:r>
      <w:r w:rsidR="00CF08D0"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enquanto esteve no Chile, foi novamente condenada </w:t>
      </w:r>
      <w:r w:rsidR="00B94E17" w:rsidRPr="00C62DF2">
        <w:rPr>
          <w:rStyle w:val="Emphasis"/>
          <w:rFonts w:ascii="Cambria" w:hAnsi="Cambria"/>
          <w:i w:val="0"/>
          <w:iCs w:val="0"/>
          <w:sz w:val="20"/>
          <w:szCs w:val="20"/>
        </w:rPr>
        <w:t xml:space="preserve">à revelia </w:t>
      </w:r>
      <w:r w:rsidRPr="00C62DF2">
        <w:rPr>
          <w:rStyle w:val="Emphasis"/>
          <w:rFonts w:ascii="Cambria" w:hAnsi="Cambria"/>
          <w:i w:val="0"/>
          <w:iCs w:val="0"/>
          <w:sz w:val="20"/>
          <w:szCs w:val="20"/>
        </w:rPr>
        <w:t>a 10 anos de prisão e perdeu seus direitos políticos</w:t>
      </w:r>
      <w:r w:rsidRPr="00C62DF2">
        <w:rPr>
          <w:rStyle w:val="FootnoteReference"/>
          <w:rFonts w:ascii="Cambria" w:hAnsi="Cambria" w:cs="Arial"/>
          <w:sz w:val="20"/>
          <w:szCs w:val="20"/>
        </w:rPr>
        <w:footnoteReference w:id="82"/>
      </w:r>
      <w:r w:rsidRPr="00C62DF2">
        <w:rPr>
          <w:rStyle w:val="Emphasis"/>
          <w:rFonts w:ascii="Cambria" w:hAnsi="Cambria"/>
          <w:i w:val="0"/>
          <w:iCs w:val="0"/>
          <w:sz w:val="20"/>
          <w:szCs w:val="20"/>
        </w:rPr>
        <w:t>, e que o Estado, por meio do Ministério da Aeronáutica, monitorava sua localização.</w:t>
      </w:r>
      <w:r w:rsidRPr="00C62DF2">
        <w:rPr>
          <w:rStyle w:val="FootnoteReference"/>
          <w:rFonts w:ascii="Cambria" w:hAnsi="Cambria"/>
          <w:sz w:val="20"/>
          <w:szCs w:val="20"/>
        </w:rPr>
        <w:footnoteReference w:id="83"/>
      </w:r>
    </w:p>
    <w:p w14:paraId="4E671E44" w14:textId="77777777" w:rsidR="00E13122" w:rsidRPr="00C62DF2" w:rsidRDefault="00E13122" w:rsidP="00FC0CB6">
      <w:pPr>
        <w:pStyle w:val="ListParagraph"/>
        <w:ind w:firstLine="0"/>
        <w:rPr>
          <w:rStyle w:val="Emphasis"/>
          <w:i w:val="0"/>
          <w:iCs w:val="0"/>
          <w:sz w:val="20"/>
          <w:szCs w:val="20"/>
          <w:lang w:val="pt-BR"/>
        </w:rPr>
      </w:pPr>
    </w:p>
    <w:p w14:paraId="6500F509" w14:textId="0928A684"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De acordo com a documentação da Agência das Nações Unidas para Refugiados, em 22 de dezembro de 1973</w:t>
      </w:r>
      <w:r w:rsidR="00B94E17"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essa agência e o Governo da Itália reconheceram a senhora Denise Peres Crispim e sua filha como refugiadas.</w:t>
      </w:r>
      <w:r w:rsidRPr="00C62DF2">
        <w:rPr>
          <w:rStyle w:val="FootnoteReference"/>
          <w:rFonts w:ascii="Cambria" w:hAnsi="Cambria"/>
          <w:sz w:val="20"/>
          <w:szCs w:val="20"/>
        </w:rPr>
        <w:footnoteReference w:id="84"/>
      </w:r>
      <w:r w:rsidRPr="00C62DF2">
        <w:rPr>
          <w:rStyle w:val="Emphasis"/>
          <w:rFonts w:ascii="Cambria" w:hAnsi="Cambria"/>
          <w:i w:val="0"/>
          <w:iCs w:val="0"/>
          <w:sz w:val="20"/>
          <w:szCs w:val="20"/>
        </w:rPr>
        <w:t xml:space="preserve"> Em 17 de novembro de 1974, Denise e Eduarda solicitaram asilo político, o qual foi concedido pelo governo italiano.</w:t>
      </w:r>
      <w:r w:rsidRPr="00C62DF2">
        <w:rPr>
          <w:rStyle w:val="FootnoteReference"/>
          <w:rFonts w:ascii="Cambria" w:hAnsi="Cambria" w:cs="Arial"/>
          <w:sz w:val="20"/>
          <w:szCs w:val="20"/>
        </w:rPr>
        <w:footnoteReference w:id="85"/>
      </w:r>
      <w:r w:rsidRPr="00C62DF2">
        <w:rPr>
          <w:rStyle w:val="Emphasis"/>
          <w:rFonts w:ascii="Cambria" w:hAnsi="Cambria"/>
          <w:i w:val="0"/>
          <w:iCs w:val="0"/>
          <w:sz w:val="20"/>
          <w:szCs w:val="20"/>
        </w:rPr>
        <w:t xml:space="preserve"> Em 10 de julho de 1975, a Itália concedeu um “</w:t>
      </w:r>
      <w:r w:rsidRPr="00C62DF2">
        <w:rPr>
          <w:rStyle w:val="Emphasis"/>
          <w:rFonts w:ascii="Cambria" w:hAnsi="Cambria"/>
          <w:sz w:val="20"/>
          <w:szCs w:val="20"/>
        </w:rPr>
        <w:t>documento di viaggio</w:t>
      </w:r>
      <w:r w:rsidRPr="00C62DF2">
        <w:rPr>
          <w:rStyle w:val="Emphasis"/>
          <w:rFonts w:ascii="Cambria" w:hAnsi="Cambria"/>
          <w:i w:val="0"/>
          <w:iCs w:val="0"/>
          <w:sz w:val="20"/>
          <w:szCs w:val="20"/>
        </w:rPr>
        <w:t>” ou “</w:t>
      </w:r>
      <w:r w:rsidRPr="00C62DF2">
        <w:rPr>
          <w:rStyle w:val="Emphasis"/>
          <w:rFonts w:ascii="Cambria" w:hAnsi="Cambria"/>
          <w:sz w:val="20"/>
          <w:szCs w:val="20"/>
        </w:rPr>
        <w:t>titre de voayge</w:t>
      </w:r>
      <w:r w:rsidRPr="00C62DF2">
        <w:rPr>
          <w:rStyle w:val="Emphasis"/>
          <w:rFonts w:ascii="Cambria" w:hAnsi="Cambria"/>
          <w:i w:val="0"/>
          <w:iCs w:val="0"/>
          <w:sz w:val="20"/>
          <w:szCs w:val="20"/>
        </w:rPr>
        <w:t xml:space="preserve">” a Denise, </w:t>
      </w:r>
      <w:r w:rsidR="005445BB" w:rsidRPr="00C62DF2">
        <w:rPr>
          <w:rStyle w:val="Emphasis"/>
          <w:rFonts w:ascii="Cambria" w:hAnsi="Cambria"/>
          <w:i w:val="0"/>
          <w:iCs w:val="0"/>
          <w:sz w:val="20"/>
          <w:szCs w:val="20"/>
        </w:rPr>
        <w:t xml:space="preserve">o qual estava </w:t>
      </w:r>
      <w:r w:rsidRPr="00C62DF2">
        <w:rPr>
          <w:rStyle w:val="Emphasis"/>
          <w:rFonts w:ascii="Cambria" w:hAnsi="Cambria"/>
          <w:i w:val="0"/>
          <w:iCs w:val="0"/>
          <w:sz w:val="20"/>
          <w:szCs w:val="20"/>
        </w:rPr>
        <w:t>base</w:t>
      </w:r>
      <w:r w:rsidR="005445BB" w:rsidRPr="00C62DF2">
        <w:rPr>
          <w:rStyle w:val="Emphasis"/>
          <w:rFonts w:ascii="Cambria" w:hAnsi="Cambria"/>
          <w:i w:val="0"/>
          <w:iCs w:val="0"/>
          <w:sz w:val="20"/>
          <w:szCs w:val="20"/>
        </w:rPr>
        <w:t>ado</w:t>
      </w:r>
      <w:r w:rsidRPr="00C62DF2">
        <w:rPr>
          <w:rStyle w:val="Emphasis"/>
          <w:rFonts w:ascii="Cambria" w:hAnsi="Cambria"/>
          <w:i w:val="0"/>
          <w:iCs w:val="0"/>
          <w:sz w:val="20"/>
          <w:szCs w:val="20"/>
        </w:rPr>
        <w:t xml:space="preserve"> na Convenção sobre o Estatuto de Refugiados de 1951, e que permite inferir que a condição jurídica de Denise e Eduarda na Itália era de “refugiadas.”</w:t>
      </w:r>
      <w:r w:rsidRPr="00C62DF2">
        <w:rPr>
          <w:rStyle w:val="FootnoteReference"/>
          <w:rFonts w:ascii="Cambria" w:hAnsi="Cambria" w:cs="Arial"/>
          <w:sz w:val="20"/>
          <w:szCs w:val="20"/>
        </w:rPr>
        <w:t xml:space="preserve"> </w:t>
      </w:r>
      <w:r w:rsidRPr="00C62DF2">
        <w:rPr>
          <w:rStyle w:val="FootnoteReference"/>
          <w:rFonts w:ascii="Cambria" w:hAnsi="Cambria" w:cs="Arial"/>
          <w:sz w:val="20"/>
          <w:szCs w:val="20"/>
        </w:rPr>
        <w:footnoteReference w:id="86"/>
      </w:r>
      <w:r w:rsidRPr="00C62DF2">
        <w:rPr>
          <w:rStyle w:val="Emphasis"/>
          <w:rFonts w:ascii="Cambria" w:hAnsi="Cambria"/>
          <w:i w:val="0"/>
          <w:iCs w:val="0"/>
          <w:sz w:val="20"/>
          <w:szCs w:val="20"/>
        </w:rPr>
        <w:t xml:space="preserve"> </w:t>
      </w:r>
    </w:p>
    <w:p w14:paraId="70C54E68" w14:textId="77777777" w:rsidR="00E13122" w:rsidRPr="00C62DF2" w:rsidRDefault="00E13122" w:rsidP="00FC0CB6">
      <w:pPr>
        <w:pStyle w:val="ListParagraph"/>
        <w:ind w:firstLine="0"/>
        <w:rPr>
          <w:sz w:val="20"/>
          <w:szCs w:val="20"/>
          <w:lang w:val="pt-BR"/>
        </w:rPr>
      </w:pPr>
    </w:p>
    <w:p w14:paraId="5C5DDA73" w14:textId="47D53D89" w:rsidR="00E13122" w:rsidRPr="00C62DF2" w:rsidRDefault="00E13122" w:rsidP="00FC0CB6">
      <w:pPr>
        <w:numPr>
          <w:ilvl w:val="0"/>
          <w:numId w:val="2"/>
        </w:numPr>
        <w:jc w:val="both"/>
        <w:rPr>
          <w:rFonts w:ascii="Cambria" w:hAnsi="Cambria"/>
          <w:sz w:val="20"/>
          <w:szCs w:val="20"/>
        </w:rPr>
      </w:pPr>
      <w:r w:rsidRPr="00C62DF2">
        <w:rPr>
          <w:rFonts w:ascii="Cambria" w:hAnsi="Cambria"/>
          <w:sz w:val="20"/>
          <w:szCs w:val="20"/>
        </w:rPr>
        <w:t xml:space="preserve">Segundo declaração do senhor Leonardo Ditta, quando Denise e Eduarda chegaram à Itália, foram acolhidas por uma rede de amigos e ele foi o responsável por ajudá-las. Eduarda tinha três anos </w:t>
      </w:r>
      <w:r w:rsidRPr="00C62DF2">
        <w:rPr>
          <w:rStyle w:val="FootnoteReference"/>
          <w:rFonts w:ascii="Cambria" w:hAnsi="Cambria"/>
          <w:sz w:val="20"/>
          <w:szCs w:val="20"/>
        </w:rPr>
        <w:footnoteReference w:id="87"/>
      </w:r>
      <w:r w:rsidRPr="00C62DF2">
        <w:rPr>
          <w:rFonts w:ascii="Cambria" w:hAnsi="Cambria"/>
          <w:sz w:val="20"/>
          <w:szCs w:val="20"/>
        </w:rPr>
        <w:t>. Denise indicou que ela e sua filha continuaram sendo vigiadas e perseguidas pelas autoridades brasileiras</w:t>
      </w:r>
      <w:r w:rsidRPr="00C62DF2">
        <w:rPr>
          <w:rStyle w:val="FootnoteReference"/>
          <w:rFonts w:ascii="Cambria" w:hAnsi="Cambria" w:cs="Arial"/>
          <w:sz w:val="20"/>
          <w:szCs w:val="20"/>
        </w:rPr>
        <w:footnoteReference w:id="88"/>
      </w:r>
      <w:r w:rsidRPr="00C62DF2">
        <w:rPr>
          <w:rFonts w:ascii="Cambria" w:hAnsi="Cambria"/>
          <w:sz w:val="20"/>
          <w:szCs w:val="20"/>
        </w:rPr>
        <w:t>. Além disso, segundo a declaração do senhor Leonardo Ditta, Eduarda só teve conhecimento da história de seu pai biológico, Eduardo Collen Leite, na sua adolescência</w:t>
      </w:r>
      <w:r w:rsidRPr="00C62DF2">
        <w:rPr>
          <w:rStyle w:val="FootnoteReference"/>
          <w:rFonts w:ascii="Cambria" w:hAnsi="Cambria"/>
          <w:sz w:val="20"/>
          <w:szCs w:val="20"/>
        </w:rPr>
        <w:footnoteReference w:id="89"/>
      </w:r>
      <w:r w:rsidRPr="00C62DF2">
        <w:rPr>
          <w:rFonts w:ascii="Cambria" w:hAnsi="Cambria"/>
          <w:sz w:val="20"/>
          <w:szCs w:val="20"/>
        </w:rPr>
        <w:t>. Quando Eduarda completou 21 anos, Leonardo Ditta a adotou</w:t>
      </w:r>
      <w:r w:rsidRPr="00C62DF2">
        <w:rPr>
          <w:rStyle w:val="FootnoteReference"/>
          <w:rFonts w:ascii="Cambria" w:hAnsi="Cambria" w:cs="Arial"/>
          <w:sz w:val="20"/>
          <w:szCs w:val="20"/>
        </w:rPr>
        <w:footnoteReference w:id="90"/>
      </w:r>
      <w:r w:rsidRPr="00C62DF2">
        <w:rPr>
          <w:rFonts w:ascii="Cambria" w:hAnsi="Cambria"/>
          <w:sz w:val="20"/>
          <w:szCs w:val="20"/>
        </w:rPr>
        <w:t>. A Comissão observa que na certidão de nascimento de Eduarda não se indic</w:t>
      </w:r>
      <w:r w:rsidR="005445BB" w:rsidRPr="00C62DF2">
        <w:rPr>
          <w:rFonts w:ascii="Cambria" w:hAnsi="Cambria"/>
          <w:sz w:val="20"/>
          <w:szCs w:val="20"/>
        </w:rPr>
        <w:t>a</w:t>
      </w:r>
      <w:r w:rsidRPr="00C62DF2">
        <w:rPr>
          <w:rFonts w:ascii="Cambria" w:hAnsi="Cambria"/>
          <w:sz w:val="20"/>
          <w:szCs w:val="20"/>
        </w:rPr>
        <w:t xml:space="preserve"> o nome do pai, </w:t>
      </w:r>
      <w:r w:rsidR="005445BB" w:rsidRPr="00C62DF2">
        <w:rPr>
          <w:rFonts w:ascii="Cambria" w:hAnsi="Cambria"/>
          <w:sz w:val="20"/>
          <w:szCs w:val="20"/>
        </w:rPr>
        <w:t>mas</w:t>
      </w:r>
      <w:r w:rsidRPr="00C62DF2">
        <w:rPr>
          <w:rFonts w:ascii="Cambria" w:hAnsi="Cambria"/>
          <w:sz w:val="20"/>
          <w:szCs w:val="20"/>
        </w:rPr>
        <w:t xml:space="preserve"> o </w:t>
      </w:r>
      <w:r w:rsidRPr="00C62DF2">
        <w:rPr>
          <w:rFonts w:ascii="Cambria" w:hAnsi="Cambria"/>
          <w:sz w:val="20"/>
          <w:szCs w:val="20"/>
        </w:rPr>
        <w:lastRenderedPageBreak/>
        <w:t>nome registrado foi “Eduarda Crispim Leite.”</w:t>
      </w:r>
      <w:r w:rsidRPr="00C62DF2">
        <w:rPr>
          <w:rStyle w:val="FootnoteReference"/>
          <w:rFonts w:ascii="Cambria" w:hAnsi="Cambria" w:cs="Arial"/>
          <w:sz w:val="20"/>
          <w:szCs w:val="20"/>
        </w:rPr>
        <w:t xml:space="preserve"> </w:t>
      </w:r>
      <w:r w:rsidRPr="00C62DF2">
        <w:rPr>
          <w:rStyle w:val="FootnoteReference"/>
          <w:rFonts w:ascii="Cambria" w:hAnsi="Cambria" w:cs="Arial"/>
          <w:sz w:val="20"/>
          <w:szCs w:val="20"/>
        </w:rPr>
        <w:footnoteReference w:id="91"/>
      </w:r>
      <w:r w:rsidRPr="00C62DF2">
        <w:rPr>
          <w:rFonts w:ascii="Cambria" w:hAnsi="Cambria"/>
          <w:sz w:val="20"/>
          <w:szCs w:val="20"/>
        </w:rPr>
        <w:t xml:space="preserve"> Segundo a Comissão de Anistia, o nome de Eduardo Collen Leite foi incluído na certidão de nascimento de Eduarda somente em 11 de dezembro de 2009</w:t>
      </w:r>
      <w:r w:rsidRPr="00C62DF2">
        <w:rPr>
          <w:rStyle w:val="FootnoteReference"/>
          <w:rFonts w:ascii="Cambria" w:hAnsi="Cambria" w:cs="Arial"/>
          <w:sz w:val="20"/>
          <w:szCs w:val="20"/>
        </w:rPr>
        <w:footnoteReference w:id="92"/>
      </w:r>
      <w:r w:rsidRPr="00C62DF2">
        <w:rPr>
          <w:rFonts w:ascii="Cambria" w:hAnsi="Cambria"/>
          <w:sz w:val="20"/>
          <w:szCs w:val="20"/>
        </w:rPr>
        <w:t>.</w:t>
      </w:r>
    </w:p>
    <w:p w14:paraId="1792528F" w14:textId="77777777" w:rsidR="00E13122" w:rsidRPr="00C62DF2" w:rsidRDefault="00E13122" w:rsidP="00FC0CB6">
      <w:pPr>
        <w:ind w:left="720"/>
        <w:jc w:val="both"/>
        <w:rPr>
          <w:rFonts w:ascii="Cambria" w:hAnsi="Cambria"/>
          <w:sz w:val="20"/>
          <w:szCs w:val="20"/>
        </w:rPr>
      </w:pPr>
    </w:p>
    <w:p w14:paraId="6375F730" w14:textId="77777777" w:rsidR="00E13122" w:rsidRPr="00C62DF2" w:rsidRDefault="00E13122" w:rsidP="00FC0CB6">
      <w:pPr>
        <w:jc w:val="both"/>
        <w:rPr>
          <w:rFonts w:ascii="Cambria" w:hAnsi="Cambria"/>
          <w:sz w:val="20"/>
          <w:szCs w:val="20"/>
          <w:lang w:eastAsia="es-CL"/>
        </w:rPr>
      </w:pPr>
    </w:p>
    <w:p w14:paraId="3F98D1F7" w14:textId="35F89A76" w:rsidR="00E13122" w:rsidRPr="00C62DF2" w:rsidRDefault="00E13122" w:rsidP="00FC0CB6">
      <w:pPr>
        <w:pStyle w:val="Heading2"/>
        <w:ind w:firstLine="0"/>
        <w:rPr>
          <w:lang w:val="pt-BR"/>
        </w:rPr>
      </w:pPr>
      <w:bookmarkStart w:id="12" w:name="_Toc85895005"/>
      <w:r w:rsidRPr="00C62DF2">
        <w:rPr>
          <w:lang w:val="pt-BR"/>
        </w:rPr>
        <w:t xml:space="preserve">Quanto às investigações </w:t>
      </w:r>
      <w:r w:rsidR="00A96001" w:rsidRPr="00C62DF2">
        <w:rPr>
          <w:lang w:val="pt-BR"/>
        </w:rPr>
        <w:t>realiza</w:t>
      </w:r>
      <w:r w:rsidRPr="00C62DF2">
        <w:rPr>
          <w:lang w:val="pt-BR"/>
        </w:rPr>
        <w:t xml:space="preserve">das </w:t>
      </w:r>
      <w:r w:rsidR="00A96001" w:rsidRPr="00C62DF2">
        <w:rPr>
          <w:lang w:val="pt-BR"/>
        </w:rPr>
        <w:t>n</w:t>
      </w:r>
      <w:r w:rsidRPr="00C62DF2">
        <w:rPr>
          <w:lang w:val="pt-BR"/>
        </w:rPr>
        <w:t>o presente caso</w:t>
      </w:r>
      <w:bookmarkEnd w:id="12"/>
    </w:p>
    <w:p w14:paraId="64BBCF4A" w14:textId="77777777" w:rsidR="00E13122" w:rsidRPr="00C62DF2" w:rsidRDefault="00E13122" w:rsidP="00FC0CB6">
      <w:pPr>
        <w:jc w:val="both"/>
        <w:rPr>
          <w:rFonts w:ascii="Cambria" w:hAnsi="Cambria"/>
          <w:sz w:val="20"/>
          <w:szCs w:val="20"/>
          <w:lang w:eastAsia="es-CL"/>
        </w:rPr>
      </w:pPr>
    </w:p>
    <w:p w14:paraId="140C2C91" w14:textId="62528F15"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sz w:val="20"/>
          <w:szCs w:val="20"/>
        </w:rPr>
        <w:t>Os atos de tortura sofridos por Eduardo Collen Leite foram denunciados à 2ª Auditoria da Justiça Militar de São Paulo. O magistrado responsável pelas investigações apresentou declaraç</w:t>
      </w:r>
      <w:r w:rsidR="007F409A" w:rsidRPr="00C62DF2">
        <w:rPr>
          <w:rStyle w:val="Emphasis"/>
          <w:rFonts w:ascii="Cambria" w:hAnsi="Cambria"/>
          <w:i w:val="0"/>
          <w:sz w:val="20"/>
          <w:szCs w:val="20"/>
        </w:rPr>
        <w:t>ão à</w:t>
      </w:r>
      <w:r w:rsidRPr="00C62DF2">
        <w:rPr>
          <w:rStyle w:val="Emphasis"/>
          <w:rFonts w:ascii="Cambria" w:hAnsi="Cambria"/>
          <w:i w:val="0"/>
          <w:sz w:val="20"/>
          <w:szCs w:val="20"/>
        </w:rPr>
        <w:t xml:space="preserve"> CNV</w:t>
      </w:r>
      <w:r w:rsidR="004169FF" w:rsidRPr="00C62DF2">
        <w:rPr>
          <w:rStyle w:val="Emphasis"/>
          <w:rFonts w:ascii="Cambria" w:hAnsi="Cambria"/>
          <w:i w:val="0"/>
          <w:sz w:val="20"/>
          <w:szCs w:val="20"/>
        </w:rPr>
        <w:t>,</w:t>
      </w:r>
      <w:r w:rsidRPr="00C62DF2">
        <w:rPr>
          <w:rStyle w:val="Emphasis"/>
          <w:rFonts w:ascii="Cambria" w:hAnsi="Cambria"/>
          <w:i w:val="0"/>
          <w:sz w:val="20"/>
          <w:szCs w:val="20"/>
        </w:rPr>
        <w:t xml:space="preserve"> em 31 de julho de 2014</w:t>
      </w:r>
      <w:r w:rsidR="004169FF" w:rsidRPr="00C62DF2">
        <w:rPr>
          <w:rStyle w:val="Emphasis"/>
          <w:rFonts w:ascii="Cambria" w:hAnsi="Cambria"/>
          <w:i w:val="0"/>
          <w:sz w:val="20"/>
          <w:szCs w:val="20"/>
        </w:rPr>
        <w:t>,</w:t>
      </w:r>
      <w:r w:rsidRPr="00C62DF2">
        <w:rPr>
          <w:rStyle w:val="Emphasis"/>
          <w:rFonts w:ascii="Cambria" w:hAnsi="Cambria"/>
          <w:i w:val="0"/>
          <w:sz w:val="20"/>
          <w:szCs w:val="20"/>
        </w:rPr>
        <w:t xml:space="preserve"> e declarou que </w:t>
      </w:r>
      <w:r w:rsidR="004169FF" w:rsidRPr="00C62DF2">
        <w:rPr>
          <w:rStyle w:val="Emphasis"/>
          <w:rFonts w:ascii="Cambria" w:hAnsi="Cambria"/>
          <w:i w:val="0"/>
          <w:sz w:val="20"/>
          <w:szCs w:val="20"/>
        </w:rPr>
        <w:t xml:space="preserve">os fatos não foram investigados </w:t>
      </w:r>
      <w:r w:rsidRPr="00C62DF2">
        <w:rPr>
          <w:rStyle w:val="Emphasis"/>
          <w:rFonts w:ascii="Cambria" w:hAnsi="Cambria"/>
          <w:i w:val="0"/>
          <w:sz w:val="20"/>
          <w:szCs w:val="20"/>
        </w:rPr>
        <w:t>porque “havia uma guerra no Brasil”</w:t>
      </w:r>
      <w:r w:rsidR="007F409A" w:rsidRPr="00C62DF2">
        <w:rPr>
          <w:rStyle w:val="Emphasis"/>
          <w:rFonts w:ascii="Cambria" w:hAnsi="Cambria"/>
          <w:i w:val="0"/>
          <w:sz w:val="20"/>
          <w:szCs w:val="20"/>
        </w:rPr>
        <w:t>.</w:t>
      </w:r>
      <w:r w:rsidRPr="00C62DF2">
        <w:rPr>
          <w:rStyle w:val="FootnoteReference"/>
          <w:rFonts w:ascii="Cambria" w:hAnsi="Cambria"/>
          <w:iCs/>
          <w:sz w:val="20"/>
          <w:szCs w:val="20"/>
        </w:rPr>
        <w:footnoteReference w:id="93"/>
      </w:r>
      <w:r w:rsidRPr="00C62DF2">
        <w:rPr>
          <w:rStyle w:val="Emphasis"/>
          <w:rFonts w:ascii="Cambria" w:hAnsi="Cambria"/>
          <w:sz w:val="20"/>
          <w:szCs w:val="20"/>
        </w:rPr>
        <w:t xml:space="preserve"> </w:t>
      </w:r>
    </w:p>
    <w:p w14:paraId="3216729F" w14:textId="77777777" w:rsidR="00E13122" w:rsidRPr="00C62DF2" w:rsidRDefault="00E13122" w:rsidP="00FC0CB6">
      <w:pPr>
        <w:ind w:left="720"/>
        <w:jc w:val="both"/>
        <w:rPr>
          <w:rStyle w:val="Emphasis"/>
          <w:rFonts w:ascii="Cambria" w:hAnsi="Cambria"/>
          <w:i w:val="0"/>
          <w:iCs w:val="0"/>
          <w:sz w:val="20"/>
          <w:szCs w:val="20"/>
        </w:rPr>
      </w:pPr>
    </w:p>
    <w:p w14:paraId="2237FD3A" w14:textId="144816E3" w:rsidR="00E13122" w:rsidRPr="00C62DF2" w:rsidRDefault="00E13122"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Por outro lado, a senhora</w:t>
      </w:r>
      <w:r w:rsidRPr="00C62DF2">
        <w:rPr>
          <w:rFonts w:ascii="Cambria" w:hAnsi="Cambria"/>
          <w:sz w:val="20"/>
          <w:szCs w:val="20"/>
        </w:rPr>
        <w:t xml:space="preserve"> Denise Peres Crispim formulou </w:t>
      </w:r>
      <w:r w:rsidRPr="00C62DF2">
        <w:rPr>
          <w:rFonts w:ascii="Cambria" w:hAnsi="Cambria"/>
          <w:i/>
          <w:iCs/>
          <w:sz w:val="20"/>
          <w:szCs w:val="20"/>
        </w:rPr>
        <w:t xml:space="preserve">noticia criminis </w:t>
      </w:r>
      <w:r w:rsidRPr="00C62DF2">
        <w:rPr>
          <w:rFonts w:ascii="Cambria" w:hAnsi="Cambria"/>
          <w:sz w:val="20"/>
          <w:szCs w:val="20"/>
        </w:rPr>
        <w:t>ao Ministério Público Federal na qual expôs alguns fatos vinculados com a tortura e execução de Eduardo Collen Leite em 1</w:t>
      </w:r>
      <w:r w:rsidR="007F409A" w:rsidRPr="00C62DF2">
        <w:rPr>
          <w:rFonts w:ascii="Cambria" w:hAnsi="Cambria"/>
          <w:sz w:val="20"/>
          <w:szCs w:val="20"/>
        </w:rPr>
        <w:t>º</w:t>
      </w:r>
      <w:r w:rsidRPr="00C62DF2">
        <w:rPr>
          <w:rFonts w:ascii="Cambria" w:hAnsi="Cambria"/>
          <w:sz w:val="20"/>
          <w:szCs w:val="20"/>
        </w:rPr>
        <w:t xml:space="preserve"> de julho de 2011</w:t>
      </w:r>
      <w:r w:rsidRPr="00C62DF2">
        <w:rPr>
          <w:rStyle w:val="FootnoteReference"/>
          <w:rFonts w:ascii="Cambria" w:hAnsi="Cambria"/>
          <w:iCs/>
          <w:sz w:val="20"/>
          <w:szCs w:val="20"/>
        </w:rPr>
        <w:footnoteReference w:id="94"/>
      </w:r>
      <w:r w:rsidRPr="00C62DF2">
        <w:rPr>
          <w:rFonts w:ascii="Cambria" w:hAnsi="Cambria"/>
          <w:sz w:val="20"/>
          <w:szCs w:val="20"/>
        </w:rPr>
        <w:t>. Em 3 de fevereiro de 2012, o MPF solicitou o arquivamento do caso</w:t>
      </w:r>
      <w:r w:rsidR="007F409A" w:rsidRPr="00C62DF2">
        <w:rPr>
          <w:rFonts w:ascii="Cambria" w:hAnsi="Cambria"/>
          <w:sz w:val="20"/>
          <w:szCs w:val="20"/>
        </w:rPr>
        <w:t>,</w:t>
      </w:r>
      <w:r w:rsidRPr="00C62DF2">
        <w:rPr>
          <w:rFonts w:ascii="Cambria" w:hAnsi="Cambria"/>
          <w:sz w:val="20"/>
          <w:szCs w:val="20"/>
        </w:rPr>
        <w:t xml:space="preserve"> caracterizando</w:t>
      </w:r>
      <w:r w:rsidR="007F409A" w:rsidRPr="00C62DF2">
        <w:rPr>
          <w:rFonts w:ascii="Cambria" w:hAnsi="Cambria"/>
          <w:sz w:val="20"/>
          <w:szCs w:val="20"/>
        </w:rPr>
        <w:t>-</w:t>
      </w:r>
      <w:r w:rsidRPr="00C62DF2">
        <w:rPr>
          <w:rFonts w:ascii="Cambria" w:hAnsi="Cambria"/>
          <w:sz w:val="20"/>
          <w:szCs w:val="20"/>
        </w:rPr>
        <w:t xml:space="preserve">o como homicídio qualificado, e fundamentou sua solicitação nos seguintes três pontos: (a) a prescrição da pretensão punitiva, devido a que o artigo 109 do Código Penal estabelece um prazo de prescrição de no máximo 20 anos para o </w:t>
      </w:r>
      <w:r w:rsidR="007F409A" w:rsidRPr="00C62DF2">
        <w:rPr>
          <w:rFonts w:ascii="Cambria" w:hAnsi="Cambria"/>
          <w:sz w:val="20"/>
          <w:szCs w:val="20"/>
        </w:rPr>
        <w:t>crime</w:t>
      </w:r>
      <w:r w:rsidRPr="00C62DF2">
        <w:rPr>
          <w:rFonts w:ascii="Cambria" w:hAnsi="Cambria"/>
          <w:sz w:val="20"/>
          <w:szCs w:val="20"/>
        </w:rPr>
        <w:t xml:space="preserve"> de homicídio qualificado; (b) a impossibilidade de reconhecer o delito como “crime </w:t>
      </w:r>
      <w:r w:rsidR="000647E7" w:rsidRPr="00C62DF2">
        <w:rPr>
          <w:rFonts w:ascii="Cambria" w:hAnsi="Cambria"/>
          <w:sz w:val="20"/>
          <w:szCs w:val="20"/>
        </w:rPr>
        <w:t>contra a humanidade</w:t>
      </w:r>
      <w:r w:rsidRPr="00C62DF2">
        <w:rPr>
          <w:rFonts w:ascii="Cambria" w:hAnsi="Cambria"/>
          <w:sz w:val="20"/>
          <w:szCs w:val="20"/>
        </w:rPr>
        <w:t xml:space="preserve">”, pois a legislação interna não estabelece </w:t>
      </w:r>
      <w:r w:rsidR="007F409A" w:rsidRPr="00C62DF2">
        <w:rPr>
          <w:rFonts w:ascii="Cambria" w:hAnsi="Cambria"/>
          <w:sz w:val="20"/>
          <w:szCs w:val="20"/>
        </w:rPr>
        <w:t>esse crime</w:t>
      </w:r>
      <w:r w:rsidRPr="00C62DF2">
        <w:rPr>
          <w:rFonts w:ascii="Cambria" w:hAnsi="Cambria"/>
          <w:sz w:val="20"/>
          <w:szCs w:val="20"/>
        </w:rPr>
        <w:t>; e (c) que a legislação brasileira não adotava a imprescritibilidade criminal em 1970</w:t>
      </w:r>
      <w:r w:rsidRPr="00C62DF2">
        <w:rPr>
          <w:rStyle w:val="FootnoteReference"/>
          <w:rFonts w:ascii="Cambria" w:hAnsi="Cambria"/>
          <w:iCs/>
          <w:sz w:val="20"/>
          <w:szCs w:val="20"/>
        </w:rPr>
        <w:footnoteReference w:id="95"/>
      </w:r>
      <w:r w:rsidRPr="00C62DF2">
        <w:rPr>
          <w:rStyle w:val="Emphasis"/>
          <w:rFonts w:ascii="Cambria" w:hAnsi="Cambria"/>
          <w:i w:val="0"/>
          <w:iCs w:val="0"/>
          <w:sz w:val="20"/>
          <w:szCs w:val="20"/>
        </w:rPr>
        <w:t>.</w:t>
      </w:r>
      <w:r w:rsidRPr="00C62DF2">
        <w:rPr>
          <w:rStyle w:val="Emphasis"/>
          <w:rFonts w:ascii="Cambria" w:hAnsi="Cambria"/>
          <w:sz w:val="20"/>
          <w:szCs w:val="20"/>
        </w:rPr>
        <w:t xml:space="preserve"> </w:t>
      </w:r>
      <w:r w:rsidRPr="00C62DF2">
        <w:rPr>
          <w:rStyle w:val="Emphasis"/>
          <w:rFonts w:ascii="Cambria" w:hAnsi="Cambria"/>
          <w:i w:val="0"/>
          <w:iCs w:val="0"/>
          <w:sz w:val="20"/>
          <w:szCs w:val="20"/>
        </w:rPr>
        <w:t xml:space="preserve">No dia 14 de fevereiro de 2012, foi determinado o arquivamento do caso, reconhecendo a prescrição do </w:t>
      </w:r>
      <w:r w:rsidR="007F409A" w:rsidRPr="00C62DF2">
        <w:rPr>
          <w:rStyle w:val="Emphasis"/>
          <w:rFonts w:ascii="Cambria" w:hAnsi="Cambria"/>
          <w:i w:val="0"/>
          <w:iCs w:val="0"/>
          <w:sz w:val="20"/>
          <w:szCs w:val="20"/>
        </w:rPr>
        <w:t>crime</w:t>
      </w:r>
      <w:r w:rsidRPr="00C62DF2">
        <w:rPr>
          <w:rStyle w:val="FootnoteReference"/>
          <w:rFonts w:ascii="Cambria" w:hAnsi="Cambria"/>
          <w:iCs/>
          <w:sz w:val="20"/>
          <w:szCs w:val="20"/>
        </w:rPr>
        <w:footnoteReference w:id="96"/>
      </w:r>
      <w:r w:rsidRPr="00C62DF2">
        <w:rPr>
          <w:rStyle w:val="Emphasis"/>
          <w:rFonts w:ascii="Cambria" w:hAnsi="Cambria"/>
          <w:i w:val="0"/>
          <w:iCs w:val="0"/>
          <w:sz w:val="20"/>
          <w:szCs w:val="20"/>
        </w:rPr>
        <w:t>.</w:t>
      </w:r>
    </w:p>
    <w:p w14:paraId="58FA6E23" w14:textId="77777777" w:rsidR="00E13122" w:rsidRPr="00C62DF2" w:rsidRDefault="00E13122" w:rsidP="00FC0CB6">
      <w:pPr>
        <w:pStyle w:val="Body"/>
        <w:ind w:firstLine="0"/>
        <w:rPr>
          <w:lang w:val="pt-BR"/>
        </w:rPr>
      </w:pPr>
    </w:p>
    <w:p w14:paraId="1A602D47" w14:textId="5CF905ED" w:rsidR="00E13122" w:rsidRPr="00C62DF2" w:rsidRDefault="00E13122" w:rsidP="00FC0CB6">
      <w:pPr>
        <w:pStyle w:val="Heading2"/>
        <w:ind w:firstLine="0"/>
        <w:rPr>
          <w:lang w:val="pt-BR"/>
        </w:rPr>
      </w:pPr>
      <w:bookmarkStart w:id="13" w:name="_Toc85895006"/>
      <w:r w:rsidRPr="00C62DF2">
        <w:rPr>
          <w:lang w:val="pt-BR"/>
        </w:rPr>
        <w:t xml:space="preserve">Quanto às ações </w:t>
      </w:r>
      <w:r w:rsidR="00D1021E" w:rsidRPr="00C62DF2">
        <w:rPr>
          <w:lang w:val="pt-BR"/>
        </w:rPr>
        <w:t>realiza</w:t>
      </w:r>
      <w:r w:rsidRPr="00C62DF2">
        <w:rPr>
          <w:lang w:val="pt-BR"/>
        </w:rPr>
        <w:t xml:space="preserve">das </w:t>
      </w:r>
      <w:r w:rsidR="007F409A" w:rsidRPr="00C62DF2">
        <w:rPr>
          <w:lang w:val="pt-BR"/>
        </w:rPr>
        <w:t>per</w:t>
      </w:r>
      <w:r w:rsidRPr="00C62DF2">
        <w:rPr>
          <w:lang w:val="pt-BR"/>
        </w:rPr>
        <w:t>ante a Comissão de Anistia</w:t>
      </w:r>
      <w:bookmarkEnd w:id="13"/>
    </w:p>
    <w:p w14:paraId="76B5BA3B" w14:textId="77777777" w:rsidR="00E13122" w:rsidRPr="00C62DF2" w:rsidRDefault="00E13122" w:rsidP="00FC0CB6">
      <w:pPr>
        <w:jc w:val="both"/>
        <w:rPr>
          <w:rFonts w:ascii="Cambria" w:hAnsi="Cambria"/>
          <w:sz w:val="20"/>
          <w:szCs w:val="20"/>
          <w:lang w:eastAsia="es-CL"/>
        </w:rPr>
      </w:pPr>
    </w:p>
    <w:p w14:paraId="34B6678A" w14:textId="000ECE9A" w:rsidR="00E13122" w:rsidRPr="00C62DF2" w:rsidRDefault="00E13122" w:rsidP="00FC0CB6">
      <w:pPr>
        <w:numPr>
          <w:ilvl w:val="0"/>
          <w:numId w:val="2"/>
        </w:numPr>
        <w:jc w:val="both"/>
        <w:rPr>
          <w:rFonts w:ascii="Cambria" w:hAnsi="Cambria"/>
          <w:sz w:val="20"/>
          <w:szCs w:val="20"/>
        </w:rPr>
      </w:pPr>
      <w:r w:rsidRPr="00C62DF2">
        <w:rPr>
          <w:rFonts w:ascii="Cambria" w:hAnsi="Cambria"/>
          <w:sz w:val="20"/>
          <w:szCs w:val="20"/>
        </w:rPr>
        <w:t>Eduarda Crispim Leite e Denise Peres C</w:t>
      </w:r>
      <w:r w:rsidR="00BD4407" w:rsidRPr="00C62DF2">
        <w:rPr>
          <w:rFonts w:ascii="Cambria" w:hAnsi="Cambria"/>
          <w:sz w:val="20"/>
          <w:szCs w:val="20"/>
        </w:rPr>
        <w:t>ri</w:t>
      </w:r>
      <w:r w:rsidRPr="00C62DF2">
        <w:rPr>
          <w:rFonts w:ascii="Cambria" w:hAnsi="Cambria"/>
          <w:sz w:val="20"/>
          <w:szCs w:val="20"/>
        </w:rPr>
        <w:t xml:space="preserve">spim solicitaram </w:t>
      </w:r>
      <w:r w:rsidR="007F409A" w:rsidRPr="00C62DF2">
        <w:rPr>
          <w:rFonts w:ascii="Cambria" w:hAnsi="Cambria"/>
          <w:sz w:val="20"/>
          <w:szCs w:val="20"/>
        </w:rPr>
        <w:t>à</w:t>
      </w:r>
      <w:r w:rsidRPr="00C62DF2">
        <w:rPr>
          <w:rFonts w:ascii="Cambria" w:hAnsi="Cambria"/>
          <w:sz w:val="20"/>
          <w:szCs w:val="20"/>
        </w:rPr>
        <w:t xml:space="preserve"> Comissão de Anistia a declaração de anistiado político de Eduardo Collen Leite e uma reparação econômica por detenção arbitrária, tortura e execução de Eduardo, a qual tramitou </w:t>
      </w:r>
      <w:r w:rsidR="00BD4407" w:rsidRPr="00C62DF2">
        <w:rPr>
          <w:rFonts w:ascii="Cambria" w:hAnsi="Cambria"/>
          <w:sz w:val="20"/>
          <w:szCs w:val="20"/>
        </w:rPr>
        <w:t>sob</w:t>
      </w:r>
      <w:r w:rsidRPr="00C62DF2">
        <w:rPr>
          <w:rFonts w:ascii="Cambria" w:hAnsi="Cambria"/>
          <w:sz w:val="20"/>
          <w:szCs w:val="20"/>
        </w:rPr>
        <w:t xml:space="preserve"> o número 2008.01.63086</w:t>
      </w:r>
      <w:r w:rsidR="007F409A" w:rsidRPr="00C62DF2">
        <w:rPr>
          <w:rFonts w:ascii="Cambria" w:hAnsi="Cambria"/>
          <w:sz w:val="20"/>
          <w:szCs w:val="20"/>
        </w:rPr>
        <w:t>.</w:t>
      </w:r>
      <w:r w:rsidRPr="00C62DF2">
        <w:rPr>
          <w:rStyle w:val="FootnoteReference"/>
          <w:rFonts w:ascii="Cambria" w:hAnsi="Cambria" w:cs="Arial"/>
          <w:sz w:val="20"/>
          <w:szCs w:val="20"/>
        </w:rPr>
        <w:footnoteReference w:id="97"/>
      </w:r>
      <w:r w:rsidRPr="00C62DF2">
        <w:rPr>
          <w:rFonts w:ascii="Cambria" w:hAnsi="Cambria"/>
          <w:sz w:val="20"/>
          <w:szCs w:val="20"/>
        </w:rPr>
        <w:t xml:space="preserve"> Em 21 de maio de 2009, por meio da Portaria nº 1625, o Ministério d</w:t>
      </w:r>
      <w:r w:rsidR="007F409A" w:rsidRPr="00C62DF2">
        <w:rPr>
          <w:rFonts w:ascii="Cambria" w:hAnsi="Cambria"/>
          <w:sz w:val="20"/>
          <w:szCs w:val="20"/>
        </w:rPr>
        <w:t>a</w:t>
      </w:r>
      <w:r w:rsidRPr="00C62DF2">
        <w:rPr>
          <w:rFonts w:ascii="Cambria" w:hAnsi="Cambria"/>
          <w:sz w:val="20"/>
          <w:szCs w:val="20"/>
        </w:rPr>
        <w:t xml:space="preserve"> Justiça do Brasil reconheceu Eduardo Collen Leite como anistiado político </w:t>
      </w:r>
      <w:r w:rsidRPr="00C62DF2">
        <w:rPr>
          <w:rFonts w:ascii="Cambria" w:hAnsi="Cambria"/>
          <w:i/>
          <w:iCs/>
          <w:sz w:val="20"/>
          <w:szCs w:val="20"/>
        </w:rPr>
        <w:t xml:space="preserve">post mortem </w:t>
      </w:r>
      <w:r w:rsidRPr="00C62DF2">
        <w:rPr>
          <w:rFonts w:ascii="Cambria" w:hAnsi="Cambria"/>
          <w:sz w:val="20"/>
          <w:szCs w:val="20"/>
        </w:rPr>
        <w:t>e</w:t>
      </w:r>
      <w:r w:rsidRPr="00C62DF2">
        <w:rPr>
          <w:rFonts w:ascii="Cambria" w:hAnsi="Cambria"/>
          <w:i/>
          <w:iCs/>
          <w:sz w:val="20"/>
          <w:szCs w:val="20"/>
        </w:rPr>
        <w:t xml:space="preserve"> </w:t>
      </w:r>
      <w:r w:rsidRPr="00C62DF2">
        <w:rPr>
          <w:rFonts w:ascii="Cambria" w:hAnsi="Cambria"/>
          <w:sz w:val="20"/>
          <w:szCs w:val="20"/>
        </w:rPr>
        <w:t>concedeu à senhora Denise Peres Crispim reparações econômicas, de caráter indenizatório</w:t>
      </w:r>
      <w:r w:rsidR="007F409A" w:rsidRPr="00C62DF2">
        <w:rPr>
          <w:rFonts w:ascii="Cambria" w:hAnsi="Cambria"/>
          <w:sz w:val="20"/>
          <w:szCs w:val="20"/>
        </w:rPr>
        <w:t>,</w:t>
      </w:r>
      <w:r w:rsidRPr="00C62DF2">
        <w:rPr>
          <w:rFonts w:ascii="Cambria" w:hAnsi="Cambria"/>
          <w:sz w:val="20"/>
          <w:szCs w:val="20"/>
        </w:rPr>
        <w:t xml:space="preserve"> no montante de R$ 100.000,00 (cem mil reais)</w:t>
      </w:r>
      <w:r w:rsidRPr="00C62DF2">
        <w:rPr>
          <w:rStyle w:val="FootnoteReference"/>
          <w:rFonts w:ascii="Cambria" w:hAnsi="Cambria" w:cs="Arial"/>
          <w:sz w:val="20"/>
          <w:szCs w:val="20"/>
        </w:rPr>
        <w:footnoteReference w:id="98"/>
      </w:r>
      <w:r w:rsidRPr="00C62DF2">
        <w:rPr>
          <w:rFonts w:ascii="Cambria" w:hAnsi="Cambria"/>
          <w:sz w:val="20"/>
          <w:szCs w:val="20"/>
        </w:rPr>
        <w:t>.</w:t>
      </w:r>
    </w:p>
    <w:p w14:paraId="54AEE795" w14:textId="77777777" w:rsidR="00E13122" w:rsidRPr="00C62DF2" w:rsidRDefault="00E13122" w:rsidP="00FC0CB6">
      <w:pPr>
        <w:ind w:left="720"/>
        <w:jc w:val="both"/>
        <w:rPr>
          <w:rFonts w:ascii="Cambria" w:hAnsi="Cambria"/>
          <w:sz w:val="20"/>
          <w:szCs w:val="20"/>
        </w:rPr>
      </w:pPr>
    </w:p>
    <w:p w14:paraId="54F71FC9" w14:textId="6DE0F027" w:rsidR="00E13122" w:rsidRPr="00C62DF2" w:rsidRDefault="00E13122" w:rsidP="00FC0CB6">
      <w:pPr>
        <w:numPr>
          <w:ilvl w:val="0"/>
          <w:numId w:val="2"/>
        </w:numPr>
        <w:jc w:val="both"/>
        <w:rPr>
          <w:rFonts w:ascii="Cambria" w:hAnsi="Cambria"/>
          <w:sz w:val="20"/>
          <w:szCs w:val="20"/>
        </w:rPr>
      </w:pPr>
      <w:r w:rsidRPr="00C62DF2">
        <w:rPr>
          <w:rFonts w:ascii="Cambria" w:hAnsi="Cambria"/>
          <w:sz w:val="20"/>
          <w:szCs w:val="20"/>
        </w:rPr>
        <w:t xml:space="preserve">Por outro lado, em 13 de abril de 2007, Denise solicitou </w:t>
      </w:r>
      <w:r w:rsidR="007F409A" w:rsidRPr="00C62DF2">
        <w:rPr>
          <w:rFonts w:ascii="Cambria" w:hAnsi="Cambria"/>
          <w:sz w:val="20"/>
          <w:szCs w:val="20"/>
        </w:rPr>
        <w:t>à</w:t>
      </w:r>
      <w:r w:rsidRPr="00C62DF2">
        <w:rPr>
          <w:rFonts w:ascii="Cambria" w:hAnsi="Cambria"/>
          <w:sz w:val="20"/>
          <w:szCs w:val="20"/>
        </w:rPr>
        <w:t xml:space="preserve"> Comissão de Anistia do Ministério d</w:t>
      </w:r>
      <w:r w:rsidR="007F409A" w:rsidRPr="00C62DF2">
        <w:rPr>
          <w:rFonts w:ascii="Cambria" w:hAnsi="Cambria"/>
          <w:sz w:val="20"/>
          <w:szCs w:val="20"/>
        </w:rPr>
        <w:t>a</w:t>
      </w:r>
      <w:r w:rsidRPr="00C62DF2">
        <w:rPr>
          <w:rFonts w:ascii="Cambria" w:hAnsi="Cambria"/>
          <w:sz w:val="20"/>
          <w:szCs w:val="20"/>
        </w:rPr>
        <w:t xml:space="preserve"> Justiça do Brasil </w:t>
      </w:r>
      <w:r w:rsidR="00BA7F1C" w:rsidRPr="00C62DF2">
        <w:rPr>
          <w:rFonts w:ascii="Cambria" w:hAnsi="Cambria"/>
          <w:sz w:val="20"/>
          <w:szCs w:val="20"/>
        </w:rPr>
        <w:t xml:space="preserve">o </w:t>
      </w:r>
      <w:r w:rsidRPr="00C62DF2">
        <w:rPr>
          <w:rFonts w:ascii="Cambria" w:hAnsi="Cambria"/>
          <w:sz w:val="20"/>
          <w:szCs w:val="20"/>
        </w:rPr>
        <w:t xml:space="preserve">seu próprio reconhecimento de </w:t>
      </w:r>
      <w:r w:rsidR="007F409A" w:rsidRPr="00C62DF2">
        <w:rPr>
          <w:rFonts w:ascii="Cambria" w:hAnsi="Cambria"/>
          <w:sz w:val="20"/>
          <w:szCs w:val="20"/>
        </w:rPr>
        <w:t>a</w:t>
      </w:r>
      <w:r w:rsidRPr="00C62DF2">
        <w:rPr>
          <w:rFonts w:ascii="Cambria" w:hAnsi="Cambria"/>
          <w:sz w:val="20"/>
          <w:szCs w:val="20"/>
        </w:rPr>
        <w:t>nistia</w:t>
      </w:r>
      <w:r w:rsidR="00387A05" w:rsidRPr="00C62DF2">
        <w:rPr>
          <w:rFonts w:ascii="Cambria" w:hAnsi="Cambria"/>
          <w:sz w:val="20"/>
          <w:szCs w:val="20"/>
        </w:rPr>
        <w:t>da</w:t>
      </w:r>
      <w:r w:rsidRPr="00C62DF2">
        <w:rPr>
          <w:rFonts w:ascii="Cambria" w:hAnsi="Cambria"/>
          <w:sz w:val="20"/>
          <w:szCs w:val="20"/>
        </w:rPr>
        <w:t>, pela perseguição política, detenção</w:t>
      </w:r>
      <w:r w:rsidR="007F409A" w:rsidRPr="00C62DF2">
        <w:rPr>
          <w:rFonts w:ascii="Cambria" w:hAnsi="Cambria"/>
          <w:sz w:val="20"/>
          <w:szCs w:val="20"/>
        </w:rPr>
        <w:t xml:space="preserve"> e</w:t>
      </w:r>
      <w:r w:rsidRPr="00C62DF2">
        <w:rPr>
          <w:rFonts w:ascii="Cambria" w:hAnsi="Cambria"/>
          <w:sz w:val="20"/>
          <w:szCs w:val="20"/>
        </w:rPr>
        <w:t xml:space="preserve"> tortura que sofreu enquanto estava grávida e sob custódia estatal, assim </w:t>
      </w:r>
      <w:r w:rsidR="007F409A" w:rsidRPr="00C62DF2">
        <w:rPr>
          <w:rFonts w:ascii="Cambria" w:hAnsi="Cambria"/>
          <w:sz w:val="20"/>
          <w:szCs w:val="20"/>
        </w:rPr>
        <w:t xml:space="preserve">como </w:t>
      </w:r>
      <w:r w:rsidRPr="00C62DF2">
        <w:rPr>
          <w:rFonts w:ascii="Cambria" w:hAnsi="Cambria"/>
          <w:sz w:val="20"/>
          <w:szCs w:val="20"/>
        </w:rPr>
        <w:t>por seu trabalho de parto ter sido realizado enquanto estava sob custódia dos militares, e por seu exílio forçado no Chile e na Itália</w:t>
      </w:r>
      <w:r w:rsidRPr="00C62DF2">
        <w:rPr>
          <w:rStyle w:val="FootnoteReference"/>
          <w:rFonts w:ascii="Cambria" w:hAnsi="Cambria" w:cs="Arial"/>
          <w:sz w:val="20"/>
          <w:szCs w:val="20"/>
        </w:rPr>
        <w:footnoteReference w:id="99"/>
      </w:r>
      <w:r w:rsidRPr="00C62DF2">
        <w:rPr>
          <w:rFonts w:ascii="Cambria" w:hAnsi="Cambria"/>
          <w:sz w:val="20"/>
          <w:szCs w:val="20"/>
        </w:rPr>
        <w:t xml:space="preserve">. A 2ª Sessão de Tortura da Comissão de Anistia avaliou a solicitação e, em 6 de março de 2009, concedeu a declaração de </w:t>
      </w:r>
      <w:r w:rsidR="007F409A" w:rsidRPr="00C62DF2">
        <w:rPr>
          <w:rFonts w:ascii="Cambria" w:hAnsi="Cambria"/>
          <w:sz w:val="20"/>
          <w:szCs w:val="20"/>
        </w:rPr>
        <w:t>a</w:t>
      </w:r>
      <w:r w:rsidRPr="00C62DF2">
        <w:rPr>
          <w:rFonts w:ascii="Cambria" w:hAnsi="Cambria"/>
          <w:sz w:val="20"/>
          <w:szCs w:val="20"/>
        </w:rPr>
        <w:t>nistia</w:t>
      </w:r>
      <w:r w:rsidR="00BA7F1C" w:rsidRPr="00C62DF2">
        <w:rPr>
          <w:rFonts w:ascii="Cambria" w:hAnsi="Cambria"/>
          <w:sz w:val="20"/>
          <w:szCs w:val="20"/>
        </w:rPr>
        <w:t>da</w:t>
      </w:r>
      <w:r w:rsidRPr="00C62DF2">
        <w:rPr>
          <w:rFonts w:ascii="Cambria" w:hAnsi="Cambria"/>
          <w:sz w:val="20"/>
          <w:szCs w:val="20"/>
        </w:rPr>
        <w:t xml:space="preserve"> política e determinou uma reparação de R$ 1.236,25 (mil</w:t>
      </w:r>
      <w:r w:rsidR="007F409A" w:rsidRPr="00C62DF2">
        <w:rPr>
          <w:rFonts w:ascii="Cambria" w:hAnsi="Cambria"/>
          <w:sz w:val="20"/>
          <w:szCs w:val="20"/>
        </w:rPr>
        <w:t>,</w:t>
      </w:r>
      <w:r w:rsidRPr="00C62DF2">
        <w:rPr>
          <w:rFonts w:ascii="Cambria" w:hAnsi="Cambria"/>
          <w:sz w:val="20"/>
          <w:szCs w:val="20"/>
        </w:rPr>
        <w:t xml:space="preserve"> duzentos e trinta e seis reais e vinte e cinco centavos) mensais e R$ 110.788,60 (cento e dez mil, seiscentos e oitenta e oito reais e sessenta centavos), reconhecendo que Denise foi perseguida pela ditadura, foi privada da liberdade grávida e teve que se refugiar no Chile e depois na Itália</w:t>
      </w:r>
      <w:r w:rsidR="007F409A" w:rsidRPr="00C62DF2">
        <w:rPr>
          <w:rFonts w:ascii="Cambria" w:hAnsi="Cambria"/>
          <w:sz w:val="20"/>
          <w:szCs w:val="20"/>
        </w:rPr>
        <w:t>;</w:t>
      </w:r>
      <w:r w:rsidRPr="00C62DF2">
        <w:rPr>
          <w:rFonts w:ascii="Cambria" w:hAnsi="Cambria"/>
          <w:sz w:val="20"/>
          <w:szCs w:val="20"/>
        </w:rPr>
        <w:t xml:space="preserve"> além d</w:t>
      </w:r>
      <w:r w:rsidR="007F409A" w:rsidRPr="00C62DF2">
        <w:rPr>
          <w:rFonts w:ascii="Cambria" w:hAnsi="Cambria"/>
          <w:sz w:val="20"/>
          <w:szCs w:val="20"/>
        </w:rPr>
        <w:t>iss</w:t>
      </w:r>
      <w:r w:rsidRPr="00C62DF2">
        <w:rPr>
          <w:rFonts w:ascii="Cambria" w:hAnsi="Cambria"/>
          <w:sz w:val="20"/>
          <w:szCs w:val="20"/>
        </w:rPr>
        <w:t>o</w:t>
      </w:r>
      <w:r w:rsidR="007F409A" w:rsidRPr="00C62DF2">
        <w:rPr>
          <w:rFonts w:ascii="Cambria" w:hAnsi="Cambria"/>
          <w:sz w:val="20"/>
          <w:szCs w:val="20"/>
        </w:rPr>
        <w:t>,</w:t>
      </w:r>
      <w:r w:rsidRPr="00C62DF2">
        <w:rPr>
          <w:rFonts w:ascii="Cambria" w:hAnsi="Cambria"/>
          <w:sz w:val="20"/>
          <w:szCs w:val="20"/>
        </w:rPr>
        <w:t xml:space="preserve"> reconheceu que Denise “compõe a história brasileira como uma das mais ilustres militantes na luta pela democratização do país”. Essa Comissão lhe concedeu uma indenização pela </w:t>
      </w:r>
      <w:r w:rsidRPr="00C62DF2">
        <w:rPr>
          <w:rFonts w:ascii="Cambria" w:hAnsi="Cambria"/>
          <w:sz w:val="20"/>
          <w:szCs w:val="20"/>
        </w:rPr>
        <w:lastRenderedPageBreak/>
        <w:t>impossibilidade de trabalhar devido à perseguição política que sofreu.</w:t>
      </w:r>
      <w:r w:rsidRPr="00C62DF2">
        <w:rPr>
          <w:rStyle w:val="FootnoteReference"/>
          <w:rFonts w:ascii="Cambria" w:hAnsi="Cambria"/>
          <w:sz w:val="20"/>
          <w:szCs w:val="20"/>
        </w:rPr>
        <w:footnoteReference w:id="100"/>
      </w:r>
      <w:r w:rsidRPr="00C62DF2">
        <w:rPr>
          <w:rFonts w:ascii="Cambria" w:hAnsi="Cambria"/>
          <w:sz w:val="20"/>
          <w:szCs w:val="20"/>
        </w:rPr>
        <w:t xml:space="preserve"> Denise apresentou recurso contra essa decisão, solicitando a revisão de sua profissão para “cenógrafa.”</w:t>
      </w:r>
      <w:r w:rsidRPr="00C62DF2">
        <w:rPr>
          <w:rStyle w:val="FootnoteReference"/>
          <w:rFonts w:ascii="Cambria" w:hAnsi="Cambria" w:cs="Arial"/>
          <w:sz w:val="20"/>
          <w:szCs w:val="20"/>
        </w:rPr>
        <w:footnoteReference w:id="101"/>
      </w:r>
      <w:r w:rsidRPr="00C62DF2">
        <w:rPr>
          <w:rFonts w:ascii="Cambria" w:hAnsi="Cambria"/>
          <w:sz w:val="20"/>
          <w:szCs w:val="20"/>
        </w:rPr>
        <w:t xml:space="preserve"> </w:t>
      </w:r>
    </w:p>
    <w:p w14:paraId="278B4800" w14:textId="77777777" w:rsidR="00E13122" w:rsidRPr="00C62DF2" w:rsidRDefault="00E13122" w:rsidP="00FC0CB6">
      <w:pPr>
        <w:pStyle w:val="ListParagraph"/>
        <w:ind w:firstLine="0"/>
        <w:rPr>
          <w:sz w:val="20"/>
          <w:szCs w:val="20"/>
          <w:lang w:val="pt-BR"/>
        </w:rPr>
      </w:pPr>
    </w:p>
    <w:p w14:paraId="2555E3A5" w14:textId="42BC2175" w:rsidR="00E13122" w:rsidRPr="00C62DF2" w:rsidRDefault="00E13122" w:rsidP="00FC0CB6">
      <w:pPr>
        <w:numPr>
          <w:ilvl w:val="0"/>
          <w:numId w:val="2"/>
        </w:numPr>
        <w:jc w:val="both"/>
        <w:rPr>
          <w:rFonts w:ascii="Cambria" w:hAnsi="Cambria"/>
          <w:sz w:val="20"/>
          <w:szCs w:val="20"/>
        </w:rPr>
      </w:pPr>
      <w:r w:rsidRPr="00C62DF2">
        <w:rPr>
          <w:rFonts w:ascii="Cambria" w:hAnsi="Cambria"/>
          <w:sz w:val="20"/>
          <w:szCs w:val="20"/>
        </w:rPr>
        <w:t>Em 27 de maio de 2009, por meio da Portaria nº 0969, o Ministério d</w:t>
      </w:r>
      <w:r w:rsidR="0007789C" w:rsidRPr="00C62DF2">
        <w:rPr>
          <w:rFonts w:ascii="Cambria" w:hAnsi="Cambria"/>
          <w:sz w:val="20"/>
          <w:szCs w:val="20"/>
        </w:rPr>
        <w:t>a</w:t>
      </w:r>
      <w:r w:rsidRPr="00C62DF2">
        <w:rPr>
          <w:rFonts w:ascii="Cambria" w:hAnsi="Cambria"/>
          <w:sz w:val="20"/>
          <w:szCs w:val="20"/>
        </w:rPr>
        <w:t xml:space="preserve"> Justiça do Brasil reconheceu Denise Peres Crispim como anistiada política e lhe concedeu uma reparação econômica no montante de R$ 505.553,08 (quinhentos e cinco mil, quinhentos e cinquenta e três reais e oito centavos) e uma pensão mensal de R$ 5.561,64 (cinco mil, quinhentos e sessenta e um reais e sessenta e quatro centavos) pela perseguição sofrida como filha de José Maria Crispim e </w:t>
      </w:r>
      <w:r w:rsidR="006E76DA" w:rsidRPr="00C62DF2">
        <w:rPr>
          <w:rFonts w:ascii="Cambria" w:hAnsi="Cambria"/>
          <w:sz w:val="20"/>
          <w:szCs w:val="20"/>
        </w:rPr>
        <w:t>Encarnación</w:t>
      </w:r>
      <w:r w:rsidRPr="00C62DF2">
        <w:rPr>
          <w:rFonts w:ascii="Cambria" w:hAnsi="Cambria"/>
          <w:sz w:val="20"/>
          <w:szCs w:val="20"/>
        </w:rPr>
        <w:t xml:space="preserve"> Lopes Perez, assim como por ser companheira de Eduardo Collen Leite, que </w:t>
      </w:r>
      <w:r w:rsidR="0007789C" w:rsidRPr="00C62DF2">
        <w:rPr>
          <w:rFonts w:ascii="Cambria" w:hAnsi="Cambria"/>
          <w:sz w:val="20"/>
          <w:szCs w:val="20"/>
        </w:rPr>
        <w:t>a</w:t>
      </w:r>
      <w:r w:rsidRPr="00C62DF2">
        <w:rPr>
          <w:rFonts w:ascii="Cambria" w:hAnsi="Cambria"/>
          <w:sz w:val="20"/>
          <w:szCs w:val="20"/>
        </w:rPr>
        <w:t xml:space="preserve"> fizeram se refugiar no Chile e na Itália, assim como pela interrupção de sua vida profissional</w:t>
      </w:r>
      <w:r w:rsidRPr="00C62DF2">
        <w:rPr>
          <w:rStyle w:val="FootnoteReference"/>
          <w:rFonts w:ascii="Cambria" w:hAnsi="Cambria"/>
          <w:sz w:val="20"/>
          <w:szCs w:val="20"/>
        </w:rPr>
        <w:footnoteReference w:id="102"/>
      </w:r>
      <w:r w:rsidRPr="00C62DF2">
        <w:rPr>
          <w:rFonts w:ascii="Cambria" w:hAnsi="Cambria"/>
          <w:sz w:val="20"/>
          <w:szCs w:val="20"/>
        </w:rPr>
        <w:t xml:space="preserve">. </w:t>
      </w:r>
      <w:r w:rsidR="00BA7F1C" w:rsidRPr="00C62DF2">
        <w:rPr>
          <w:rFonts w:ascii="Cambria" w:hAnsi="Cambria"/>
          <w:sz w:val="20"/>
          <w:szCs w:val="20"/>
        </w:rPr>
        <w:t xml:space="preserve">Tal </w:t>
      </w:r>
      <w:r w:rsidRPr="00C62DF2">
        <w:rPr>
          <w:rFonts w:ascii="Cambria" w:hAnsi="Cambria"/>
          <w:sz w:val="20"/>
          <w:szCs w:val="20"/>
        </w:rPr>
        <w:t xml:space="preserve">Comissão reconheceu </w:t>
      </w:r>
      <w:r w:rsidR="00BA7F1C" w:rsidRPr="00C62DF2">
        <w:rPr>
          <w:rFonts w:ascii="Cambria" w:hAnsi="Cambria"/>
          <w:sz w:val="20"/>
          <w:szCs w:val="20"/>
        </w:rPr>
        <w:t>à Eduarda o</w:t>
      </w:r>
      <w:r w:rsidRPr="00C62DF2">
        <w:rPr>
          <w:rFonts w:ascii="Cambria" w:hAnsi="Cambria"/>
          <w:sz w:val="20"/>
          <w:szCs w:val="20"/>
        </w:rPr>
        <w:t xml:space="preserve"> direito de incorporar o nome de Eduardo Leite </w:t>
      </w:r>
      <w:r w:rsidR="00BA7F1C" w:rsidRPr="00C62DF2">
        <w:rPr>
          <w:rFonts w:ascii="Cambria" w:hAnsi="Cambria"/>
          <w:sz w:val="20"/>
          <w:szCs w:val="20"/>
        </w:rPr>
        <w:t>em sua</w:t>
      </w:r>
      <w:r w:rsidRPr="00C62DF2">
        <w:rPr>
          <w:rFonts w:ascii="Cambria" w:hAnsi="Cambria"/>
          <w:sz w:val="20"/>
          <w:szCs w:val="20"/>
        </w:rPr>
        <w:t xml:space="preserve"> certidão de nascimento</w:t>
      </w:r>
      <w:r w:rsidRPr="00C62DF2">
        <w:rPr>
          <w:rStyle w:val="FootnoteReference"/>
          <w:rFonts w:ascii="Cambria" w:hAnsi="Cambria" w:cs="Arial"/>
          <w:sz w:val="20"/>
          <w:szCs w:val="20"/>
        </w:rPr>
        <w:footnoteReference w:id="103"/>
      </w:r>
      <w:r w:rsidRPr="00C62DF2">
        <w:rPr>
          <w:rFonts w:ascii="Cambria" w:hAnsi="Cambria"/>
          <w:sz w:val="20"/>
          <w:szCs w:val="20"/>
        </w:rPr>
        <w:t>.</w:t>
      </w:r>
    </w:p>
    <w:p w14:paraId="6B0AFAE5" w14:textId="77777777" w:rsidR="00E13122" w:rsidRPr="00C62DF2" w:rsidRDefault="00E13122" w:rsidP="00FC0CB6">
      <w:pPr>
        <w:ind w:left="720"/>
        <w:jc w:val="both"/>
        <w:rPr>
          <w:rFonts w:ascii="Cambria" w:hAnsi="Cambria"/>
          <w:sz w:val="20"/>
          <w:szCs w:val="20"/>
        </w:rPr>
      </w:pPr>
    </w:p>
    <w:p w14:paraId="1F4807BF" w14:textId="36D4121F" w:rsidR="00E13122" w:rsidRPr="00C62DF2" w:rsidRDefault="00E13122" w:rsidP="00FC0CB6">
      <w:pPr>
        <w:numPr>
          <w:ilvl w:val="0"/>
          <w:numId w:val="2"/>
        </w:numPr>
        <w:jc w:val="both"/>
        <w:rPr>
          <w:rFonts w:ascii="Cambria" w:hAnsi="Cambria"/>
          <w:sz w:val="20"/>
          <w:szCs w:val="20"/>
        </w:rPr>
      </w:pPr>
      <w:r w:rsidRPr="00C62DF2">
        <w:rPr>
          <w:rFonts w:ascii="Cambria" w:hAnsi="Cambria"/>
          <w:sz w:val="20"/>
          <w:szCs w:val="20"/>
        </w:rPr>
        <w:t>Finalmente, em 8 de setembro de 2010</w:t>
      </w:r>
      <w:r w:rsidR="00387A05" w:rsidRPr="00C62DF2">
        <w:rPr>
          <w:rFonts w:ascii="Cambria" w:hAnsi="Cambria"/>
          <w:sz w:val="20"/>
          <w:szCs w:val="20"/>
        </w:rPr>
        <w:t>,</w:t>
      </w:r>
      <w:r w:rsidRPr="00C62DF2">
        <w:rPr>
          <w:rFonts w:ascii="Cambria" w:hAnsi="Cambria"/>
          <w:sz w:val="20"/>
          <w:szCs w:val="20"/>
        </w:rPr>
        <w:t xml:space="preserve"> a Comissão de Anistia concedeu a Eduarda Crispim Leite a condição de anistiada política por haver nascido sob custódia militar, pelo exílio forçado que </w:t>
      </w:r>
      <w:r w:rsidR="0007789C" w:rsidRPr="00C62DF2">
        <w:rPr>
          <w:rFonts w:ascii="Cambria" w:hAnsi="Cambria"/>
          <w:sz w:val="20"/>
          <w:szCs w:val="20"/>
        </w:rPr>
        <w:t>a</w:t>
      </w:r>
      <w:r w:rsidRPr="00C62DF2">
        <w:rPr>
          <w:rFonts w:ascii="Cambria" w:hAnsi="Cambria"/>
          <w:sz w:val="20"/>
          <w:szCs w:val="20"/>
        </w:rPr>
        <w:t xml:space="preserve"> impedi</w:t>
      </w:r>
      <w:r w:rsidR="0007789C" w:rsidRPr="00C62DF2">
        <w:rPr>
          <w:rFonts w:ascii="Cambria" w:hAnsi="Cambria"/>
          <w:sz w:val="20"/>
          <w:szCs w:val="20"/>
        </w:rPr>
        <w:t>u</w:t>
      </w:r>
      <w:r w:rsidRPr="00C62DF2">
        <w:rPr>
          <w:rFonts w:ascii="Cambria" w:hAnsi="Cambria"/>
          <w:sz w:val="20"/>
          <w:szCs w:val="20"/>
        </w:rPr>
        <w:t xml:space="preserve"> de exercer seus direitos básicos em razão da perseguição política até a emissão de su</w:t>
      </w:r>
      <w:r w:rsidR="0007789C" w:rsidRPr="00C62DF2">
        <w:rPr>
          <w:rFonts w:ascii="Cambria" w:hAnsi="Cambria"/>
          <w:sz w:val="20"/>
          <w:szCs w:val="20"/>
        </w:rPr>
        <w:t>a</w:t>
      </w:r>
      <w:r w:rsidRPr="00C62DF2">
        <w:rPr>
          <w:rFonts w:ascii="Cambria" w:hAnsi="Cambria"/>
          <w:sz w:val="20"/>
          <w:szCs w:val="20"/>
        </w:rPr>
        <w:t xml:space="preserve"> </w:t>
      </w:r>
      <w:r w:rsidR="0007789C" w:rsidRPr="00C62DF2">
        <w:rPr>
          <w:rFonts w:ascii="Cambria" w:hAnsi="Cambria"/>
          <w:sz w:val="20"/>
          <w:szCs w:val="20"/>
        </w:rPr>
        <w:t xml:space="preserve">certidão </w:t>
      </w:r>
      <w:r w:rsidRPr="00C62DF2">
        <w:rPr>
          <w:rFonts w:ascii="Cambria" w:hAnsi="Cambria"/>
          <w:sz w:val="20"/>
          <w:szCs w:val="20"/>
        </w:rPr>
        <w:t>de nascimento em 11 de dezembro de 2009 com o nome de seu pai, Eduardo Leite, determinou o pagamento de R$ 100.000,00 (cem mil reais) a título de indenização e que se reconhecesse seu diploma de “Restauradora de pinturas e esculturas” do Instituto Central Del Restauro Rom</w:t>
      </w:r>
      <w:r w:rsidR="0007789C" w:rsidRPr="00C62DF2">
        <w:rPr>
          <w:rFonts w:ascii="Cambria" w:hAnsi="Cambria"/>
          <w:sz w:val="20"/>
          <w:szCs w:val="20"/>
        </w:rPr>
        <w:t>a</w:t>
      </w:r>
      <w:r w:rsidRPr="00C62DF2">
        <w:rPr>
          <w:rFonts w:ascii="Cambria" w:hAnsi="Cambria"/>
          <w:sz w:val="20"/>
          <w:szCs w:val="20"/>
        </w:rPr>
        <w:t xml:space="preserve"> como equivalente ao bacharelado em Artes Plásticas para fins de validação em território brasileiro</w:t>
      </w:r>
      <w:r w:rsidRPr="00C62DF2">
        <w:rPr>
          <w:rStyle w:val="FootnoteReference"/>
          <w:rFonts w:ascii="Cambria" w:hAnsi="Cambria" w:cs="Arial"/>
          <w:sz w:val="20"/>
          <w:szCs w:val="20"/>
        </w:rPr>
        <w:footnoteReference w:id="104"/>
      </w:r>
      <w:r w:rsidRPr="00C62DF2">
        <w:rPr>
          <w:rFonts w:ascii="Cambria" w:hAnsi="Cambria"/>
          <w:sz w:val="20"/>
          <w:szCs w:val="20"/>
        </w:rPr>
        <w:t xml:space="preserve">. Além disso, em março de 2009, a Comissão de Anistia reconheceu </w:t>
      </w:r>
      <w:r w:rsidR="0007789C" w:rsidRPr="00C62DF2">
        <w:rPr>
          <w:rFonts w:ascii="Cambria" w:hAnsi="Cambria"/>
          <w:sz w:val="20"/>
          <w:szCs w:val="20"/>
        </w:rPr>
        <w:t>à</w:t>
      </w:r>
      <w:r w:rsidRPr="00C62DF2">
        <w:rPr>
          <w:rFonts w:ascii="Cambria" w:hAnsi="Cambria"/>
          <w:sz w:val="20"/>
          <w:szCs w:val="20"/>
        </w:rPr>
        <w:t xml:space="preserve"> senhora </w:t>
      </w:r>
      <w:r w:rsidR="006E76DA" w:rsidRPr="00C62DF2">
        <w:rPr>
          <w:rFonts w:ascii="Cambria" w:hAnsi="Cambria"/>
          <w:sz w:val="20"/>
          <w:szCs w:val="20"/>
        </w:rPr>
        <w:t>Encarnación</w:t>
      </w:r>
      <w:r w:rsidRPr="00C62DF2">
        <w:rPr>
          <w:rFonts w:ascii="Cambria" w:hAnsi="Cambria"/>
          <w:sz w:val="20"/>
          <w:szCs w:val="20"/>
        </w:rPr>
        <w:t xml:space="preserve"> Lopes Peres, mãe de Denise, a condição de anistiada política </w:t>
      </w:r>
      <w:r w:rsidRPr="00C62DF2">
        <w:rPr>
          <w:rFonts w:ascii="Cambria" w:hAnsi="Cambria"/>
          <w:i/>
          <w:iCs/>
          <w:sz w:val="20"/>
          <w:szCs w:val="20"/>
        </w:rPr>
        <w:t>post mortem</w:t>
      </w:r>
      <w:r w:rsidRPr="00C62DF2">
        <w:rPr>
          <w:rStyle w:val="FootnoteReference"/>
          <w:rFonts w:ascii="Cambria" w:hAnsi="Cambria" w:cs="Arial"/>
          <w:sz w:val="20"/>
          <w:szCs w:val="20"/>
        </w:rPr>
        <w:footnoteReference w:id="105"/>
      </w:r>
    </w:p>
    <w:p w14:paraId="295DFB3C" w14:textId="77777777" w:rsidR="00E13122" w:rsidRPr="00C62DF2" w:rsidRDefault="00E13122" w:rsidP="00FC0CB6">
      <w:pPr>
        <w:pStyle w:val="Body"/>
        <w:ind w:firstLine="0"/>
        <w:rPr>
          <w:lang w:val="pt-BR"/>
        </w:rPr>
      </w:pPr>
    </w:p>
    <w:p w14:paraId="157C0644" w14:textId="7C13F9EF" w:rsidR="00E13122" w:rsidRPr="00C62DF2" w:rsidRDefault="00E13122" w:rsidP="00FC0CB6">
      <w:pPr>
        <w:pStyle w:val="Heading2"/>
        <w:ind w:firstLine="0"/>
        <w:rPr>
          <w:lang w:val="pt-BR"/>
        </w:rPr>
      </w:pPr>
      <w:bookmarkStart w:id="14" w:name="_Toc85895007"/>
      <w:r w:rsidRPr="00C62DF2">
        <w:rPr>
          <w:lang w:val="pt-BR"/>
        </w:rPr>
        <w:t xml:space="preserve">Quanto às ações administrativas </w:t>
      </w:r>
      <w:r w:rsidR="00DA6AA6" w:rsidRPr="00C62DF2">
        <w:rPr>
          <w:lang w:val="pt-BR"/>
        </w:rPr>
        <w:t>realiza</w:t>
      </w:r>
      <w:r w:rsidRPr="00C62DF2">
        <w:rPr>
          <w:lang w:val="pt-BR"/>
        </w:rPr>
        <w:t xml:space="preserve">das </w:t>
      </w:r>
      <w:r w:rsidR="00075CF1" w:rsidRPr="00C62DF2">
        <w:rPr>
          <w:lang w:val="pt-BR"/>
        </w:rPr>
        <w:t>n</w:t>
      </w:r>
      <w:r w:rsidRPr="00C62DF2">
        <w:rPr>
          <w:lang w:val="pt-BR"/>
        </w:rPr>
        <w:t>o presente caso</w:t>
      </w:r>
      <w:bookmarkEnd w:id="14"/>
    </w:p>
    <w:p w14:paraId="52090D88" w14:textId="77777777" w:rsidR="00E13122" w:rsidRPr="00C62DF2" w:rsidRDefault="00E13122" w:rsidP="00FC0CB6">
      <w:pPr>
        <w:rPr>
          <w:rFonts w:ascii="Cambria" w:hAnsi="Cambria"/>
          <w:sz w:val="20"/>
          <w:szCs w:val="20"/>
          <w:lang w:eastAsia="es-CL"/>
        </w:rPr>
      </w:pPr>
    </w:p>
    <w:p w14:paraId="40590867" w14:textId="6DE36579" w:rsidR="00E13122" w:rsidRPr="00C62DF2" w:rsidRDefault="00E13122" w:rsidP="00FC0CB6">
      <w:pPr>
        <w:numPr>
          <w:ilvl w:val="0"/>
          <w:numId w:val="2"/>
        </w:numPr>
        <w:jc w:val="both"/>
        <w:rPr>
          <w:rFonts w:ascii="Cambria" w:hAnsi="Cambria"/>
          <w:sz w:val="20"/>
          <w:szCs w:val="20"/>
        </w:rPr>
      </w:pPr>
      <w:r w:rsidRPr="00C62DF2">
        <w:rPr>
          <w:rFonts w:ascii="Cambria" w:hAnsi="Cambria"/>
          <w:sz w:val="20"/>
          <w:szCs w:val="20"/>
        </w:rPr>
        <w:t>O caso de Eduardo Collen Leite foi o primeiro avaliado pela Comissão Especial sobre Mortos e Desaparecidos Políticos” (CEMDP),</w:t>
      </w:r>
      <w:r w:rsidRPr="00C62DF2">
        <w:rPr>
          <w:rStyle w:val="FootnoteReference"/>
          <w:rFonts w:ascii="Cambria" w:hAnsi="Cambria"/>
          <w:sz w:val="20"/>
          <w:szCs w:val="20"/>
        </w:rPr>
        <w:footnoteReference w:id="106"/>
      </w:r>
      <w:r w:rsidRPr="00C62DF2">
        <w:rPr>
          <w:rFonts w:ascii="Cambria" w:hAnsi="Cambria"/>
          <w:sz w:val="20"/>
          <w:szCs w:val="20"/>
        </w:rPr>
        <w:t xml:space="preserve"> órgão criado pela Lei Nº 9.140 com a finalidade de “proceder ao reconhecimento das pessoas […] b) </w:t>
      </w:r>
      <w:r w:rsidRPr="00C62DF2">
        <w:rPr>
          <w:rStyle w:val="hps"/>
          <w:rFonts w:ascii="Cambria" w:hAnsi="Cambria" w:cs="Arial"/>
          <w:sz w:val="20"/>
          <w:szCs w:val="20"/>
        </w:rPr>
        <w:t>que</w:t>
      </w:r>
      <w:r w:rsidRPr="00C62DF2">
        <w:rPr>
          <w:rFonts w:ascii="Cambria" w:hAnsi="Cambria" w:cs="Arial"/>
          <w:sz w:val="20"/>
          <w:szCs w:val="20"/>
        </w:rPr>
        <w:t xml:space="preserve">, depois de haver </w:t>
      </w:r>
      <w:r w:rsidRPr="00C62DF2">
        <w:rPr>
          <w:rStyle w:val="hps"/>
          <w:rFonts w:ascii="Cambria" w:hAnsi="Cambria" w:cs="Arial"/>
          <w:sz w:val="20"/>
          <w:szCs w:val="20"/>
        </w:rPr>
        <w:t>participado</w:t>
      </w:r>
      <w:r w:rsidRPr="00C62DF2">
        <w:rPr>
          <w:rFonts w:ascii="Cambria" w:hAnsi="Cambria" w:cs="Arial"/>
          <w:sz w:val="20"/>
          <w:szCs w:val="20"/>
        </w:rPr>
        <w:t xml:space="preserve"> </w:t>
      </w:r>
      <w:r w:rsidRPr="00C62DF2">
        <w:rPr>
          <w:rStyle w:val="hps"/>
          <w:rFonts w:ascii="Cambria" w:hAnsi="Cambria" w:cs="Arial"/>
          <w:sz w:val="20"/>
          <w:szCs w:val="20"/>
        </w:rPr>
        <w:t>ou haver</w:t>
      </w:r>
      <w:r w:rsidRPr="00C62DF2">
        <w:rPr>
          <w:rFonts w:ascii="Cambria" w:hAnsi="Cambria" w:cs="Arial"/>
          <w:sz w:val="20"/>
          <w:szCs w:val="20"/>
        </w:rPr>
        <w:t xml:space="preserve"> </w:t>
      </w:r>
      <w:r w:rsidRPr="00C62DF2">
        <w:rPr>
          <w:rStyle w:val="hps"/>
          <w:rFonts w:ascii="Cambria" w:hAnsi="Cambria" w:cs="Arial"/>
          <w:sz w:val="20"/>
          <w:szCs w:val="20"/>
        </w:rPr>
        <w:t>sido</w:t>
      </w:r>
      <w:r w:rsidRPr="00C62DF2">
        <w:rPr>
          <w:rFonts w:ascii="Cambria" w:hAnsi="Cambria" w:cs="Arial"/>
          <w:sz w:val="20"/>
          <w:szCs w:val="20"/>
        </w:rPr>
        <w:t xml:space="preserve"> </w:t>
      </w:r>
      <w:r w:rsidRPr="00C62DF2">
        <w:rPr>
          <w:rStyle w:val="hps"/>
          <w:rFonts w:ascii="Cambria" w:hAnsi="Cambria" w:cs="Arial"/>
          <w:sz w:val="20"/>
          <w:szCs w:val="20"/>
        </w:rPr>
        <w:t>acusadas de participar de</w:t>
      </w:r>
      <w:r w:rsidRPr="00C62DF2">
        <w:rPr>
          <w:rFonts w:ascii="Cambria" w:hAnsi="Cambria" w:cs="Arial"/>
          <w:sz w:val="20"/>
          <w:szCs w:val="20"/>
        </w:rPr>
        <w:t xml:space="preserve"> </w:t>
      </w:r>
      <w:r w:rsidRPr="00C62DF2">
        <w:rPr>
          <w:rStyle w:val="hps"/>
          <w:rFonts w:ascii="Cambria" w:hAnsi="Cambria" w:cs="Arial"/>
          <w:sz w:val="20"/>
          <w:szCs w:val="20"/>
        </w:rPr>
        <w:t>atividades políticas</w:t>
      </w:r>
      <w:r w:rsidRPr="00C62DF2">
        <w:rPr>
          <w:rFonts w:ascii="Cambria" w:hAnsi="Cambria" w:cs="Arial"/>
          <w:sz w:val="20"/>
          <w:szCs w:val="20"/>
        </w:rPr>
        <w:t xml:space="preserve"> no </w:t>
      </w:r>
      <w:r w:rsidRPr="00C62DF2">
        <w:rPr>
          <w:rStyle w:val="hps"/>
          <w:rFonts w:ascii="Cambria" w:hAnsi="Cambria" w:cs="Arial"/>
          <w:sz w:val="20"/>
          <w:szCs w:val="20"/>
        </w:rPr>
        <w:t>período compreendido entre</w:t>
      </w:r>
      <w:r w:rsidRPr="00C62DF2">
        <w:rPr>
          <w:rFonts w:ascii="Cambria" w:hAnsi="Cambria" w:cs="Arial"/>
          <w:sz w:val="20"/>
          <w:szCs w:val="20"/>
        </w:rPr>
        <w:t xml:space="preserve"> </w:t>
      </w:r>
      <w:r w:rsidRPr="00C62DF2">
        <w:rPr>
          <w:rStyle w:val="hps"/>
          <w:rFonts w:ascii="Cambria" w:hAnsi="Cambria" w:cs="Arial"/>
          <w:sz w:val="20"/>
          <w:szCs w:val="20"/>
        </w:rPr>
        <w:t>2 setembro 1961 e 15 agosto 1979,</w:t>
      </w:r>
      <w:r w:rsidRPr="00C62DF2">
        <w:rPr>
          <w:rFonts w:ascii="Cambria" w:hAnsi="Cambria" w:cs="Arial"/>
          <w:sz w:val="20"/>
          <w:szCs w:val="20"/>
        </w:rPr>
        <w:t xml:space="preserve"> morrera</w:t>
      </w:r>
      <w:r w:rsidRPr="00C62DF2">
        <w:rPr>
          <w:rStyle w:val="hps"/>
          <w:rFonts w:ascii="Cambria" w:hAnsi="Cambria" w:cs="Arial"/>
          <w:sz w:val="20"/>
          <w:szCs w:val="20"/>
        </w:rPr>
        <w:t>m,</w:t>
      </w:r>
      <w:r w:rsidRPr="00C62DF2">
        <w:rPr>
          <w:rFonts w:ascii="Cambria" w:hAnsi="Cambria" w:cs="Arial"/>
          <w:sz w:val="20"/>
          <w:szCs w:val="20"/>
        </w:rPr>
        <w:t xml:space="preserve"> </w:t>
      </w:r>
      <w:r w:rsidRPr="00C62DF2">
        <w:rPr>
          <w:rStyle w:val="hps"/>
          <w:rFonts w:ascii="Cambria" w:hAnsi="Cambria" w:cs="Arial"/>
          <w:sz w:val="20"/>
          <w:szCs w:val="20"/>
        </w:rPr>
        <w:t>de</w:t>
      </w:r>
      <w:r w:rsidRPr="00C62DF2">
        <w:rPr>
          <w:rFonts w:ascii="Cambria" w:hAnsi="Cambria" w:cs="Arial"/>
          <w:sz w:val="20"/>
          <w:szCs w:val="20"/>
        </w:rPr>
        <w:t xml:space="preserve"> </w:t>
      </w:r>
      <w:r w:rsidRPr="00C62DF2">
        <w:rPr>
          <w:rStyle w:val="hps"/>
          <w:rFonts w:ascii="Cambria" w:hAnsi="Cambria" w:cs="Arial"/>
          <w:sz w:val="20"/>
          <w:szCs w:val="20"/>
        </w:rPr>
        <w:t>causas não naturais</w:t>
      </w:r>
      <w:r w:rsidRPr="00C62DF2">
        <w:rPr>
          <w:rFonts w:ascii="Cambria" w:hAnsi="Cambria" w:cs="Arial"/>
          <w:sz w:val="20"/>
          <w:szCs w:val="20"/>
        </w:rPr>
        <w:t xml:space="preserve">, em dependências da polícia ou </w:t>
      </w:r>
      <w:r w:rsidRPr="00C62DF2">
        <w:rPr>
          <w:rStyle w:val="hps"/>
          <w:rFonts w:ascii="Cambria" w:hAnsi="Cambria" w:cs="Arial"/>
          <w:sz w:val="20"/>
          <w:szCs w:val="20"/>
        </w:rPr>
        <w:t>similares”</w:t>
      </w:r>
      <w:r w:rsidRPr="00C62DF2">
        <w:rPr>
          <w:rStyle w:val="FootnoteReference"/>
          <w:rFonts w:ascii="Cambria" w:hAnsi="Cambria" w:cs="Arial"/>
          <w:sz w:val="20"/>
          <w:szCs w:val="20"/>
        </w:rPr>
        <w:footnoteReference w:id="107"/>
      </w:r>
      <w:r w:rsidRPr="00C62DF2">
        <w:rPr>
          <w:rStyle w:val="hps"/>
          <w:rFonts w:ascii="Cambria" w:hAnsi="Cambria" w:cs="Arial"/>
          <w:sz w:val="20"/>
          <w:szCs w:val="20"/>
        </w:rPr>
        <w:t>, segundo seu Relatório de 18 de janeiro de 1996.</w:t>
      </w:r>
      <w:r w:rsidRPr="00C62DF2">
        <w:rPr>
          <w:rStyle w:val="FootnoteReference"/>
          <w:rFonts w:ascii="Cambria" w:hAnsi="Cambria"/>
          <w:sz w:val="20"/>
          <w:szCs w:val="20"/>
        </w:rPr>
        <w:footnoteReference w:id="108"/>
      </w:r>
      <w:r w:rsidRPr="00C62DF2">
        <w:rPr>
          <w:rStyle w:val="hps"/>
          <w:rFonts w:ascii="Cambria" w:hAnsi="Cambria" w:cs="Arial"/>
          <w:sz w:val="20"/>
          <w:szCs w:val="20"/>
        </w:rPr>
        <w:t xml:space="preserve"> </w:t>
      </w:r>
      <w:r w:rsidR="005E3532" w:rsidRPr="00C62DF2">
        <w:rPr>
          <w:rStyle w:val="hps"/>
          <w:rFonts w:ascii="Cambria" w:hAnsi="Cambria" w:cs="Arial"/>
          <w:sz w:val="20"/>
          <w:szCs w:val="20"/>
        </w:rPr>
        <w:t>A</w:t>
      </w:r>
      <w:r w:rsidRPr="00C62DF2">
        <w:rPr>
          <w:rStyle w:val="hps"/>
          <w:rFonts w:ascii="Cambria" w:hAnsi="Cambria" w:cs="Arial"/>
          <w:sz w:val="20"/>
          <w:szCs w:val="20"/>
        </w:rPr>
        <w:t xml:space="preserve"> Comissão observa que o nome de Eduardo foi </w:t>
      </w:r>
      <w:r w:rsidRPr="00C62DF2">
        <w:rPr>
          <w:rFonts w:ascii="Cambria" w:hAnsi="Cambria"/>
          <w:sz w:val="20"/>
          <w:szCs w:val="20"/>
        </w:rPr>
        <w:t xml:space="preserve">incluído no </w:t>
      </w:r>
      <w:r w:rsidRPr="00AF31EC">
        <w:rPr>
          <w:rFonts w:ascii="Cambria" w:hAnsi="Cambria"/>
          <w:i/>
          <w:iCs/>
          <w:sz w:val="20"/>
          <w:szCs w:val="20"/>
        </w:rPr>
        <w:t>Dos</w:t>
      </w:r>
      <w:r w:rsidR="00672C46" w:rsidRPr="00AF31EC">
        <w:rPr>
          <w:rFonts w:ascii="Cambria" w:hAnsi="Cambria"/>
          <w:i/>
          <w:iCs/>
          <w:sz w:val="20"/>
          <w:szCs w:val="20"/>
        </w:rPr>
        <w:t>siê ditadura: mortos e desaparecidos políticos no Brasil</w:t>
      </w:r>
      <w:r w:rsidRPr="00C62DF2">
        <w:rPr>
          <w:rFonts w:ascii="Cambria" w:hAnsi="Cambria"/>
          <w:i/>
          <w:iCs/>
          <w:sz w:val="20"/>
          <w:szCs w:val="20"/>
        </w:rPr>
        <w:t xml:space="preserve"> (1964-1985) </w:t>
      </w:r>
      <w:r w:rsidRPr="00C62DF2">
        <w:rPr>
          <w:rFonts w:ascii="Cambria" w:hAnsi="Cambria"/>
          <w:sz w:val="20"/>
          <w:szCs w:val="20"/>
        </w:rPr>
        <w:t>organizado pela CEMDP e em sua homenagem batizaram duas ruas com seu nome em Belo Horizonte, Minas Gerais, assim como um Centro de Saúde em São Paulo. Além disso, em 1º de abril de 1990, Bacuri foi homenageado pelo Grupo Tortura Nunca Mais no Rio</w:t>
      </w:r>
      <w:r w:rsidR="00672C46" w:rsidRPr="00C62DF2">
        <w:rPr>
          <w:rFonts w:ascii="Cambria" w:hAnsi="Cambria"/>
          <w:sz w:val="20"/>
          <w:szCs w:val="20"/>
        </w:rPr>
        <w:t xml:space="preserve"> de Janeiro</w:t>
      </w:r>
      <w:r w:rsidR="005E3532" w:rsidRPr="00C62DF2">
        <w:rPr>
          <w:rFonts w:ascii="Cambria" w:hAnsi="Cambria"/>
          <w:sz w:val="20"/>
          <w:szCs w:val="20"/>
        </w:rPr>
        <w:t>,</w:t>
      </w:r>
      <w:r w:rsidRPr="00C62DF2">
        <w:rPr>
          <w:rFonts w:ascii="Cambria" w:hAnsi="Cambria"/>
          <w:sz w:val="20"/>
          <w:szCs w:val="20"/>
        </w:rPr>
        <w:t xml:space="preserve"> que lhe conferiu a medalha “Chico Mendes de Resistência.”</w:t>
      </w:r>
      <w:r w:rsidRPr="00C62DF2">
        <w:rPr>
          <w:rStyle w:val="FootnoteReference"/>
          <w:rFonts w:ascii="Cambria" w:hAnsi="Cambria"/>
          <w:sz w:val="20"/>
          <w:szCs w:val="20"/>
        </w:rPr>
        <w:footnoteReference w:id="109"/>
      </w:r>
    </w:p>
    <w:p w14:paraId="32A423C5" w14:textId="77777777" w:rsidR="00E13122" w:rsidRPr="00C62DF2" w:rsidRDefault="00E13122" w:rsidP="00FC0CB6">
      <w:pPr>
        <w:ind w:left="720"/>
        <w:jc w:val="both"/>
        <w:rPr>
          <w:rFonts w:ascii="Cambria" w:hAnsi="Cambria"/>
          <w:sz w:val="20"/>
          <w:szCs w:val="20"/>
        </w:rPr>
      </w:pPr>
    </w:p>
    <w:p w14:paraId="5DFD19ED" w14:textId="14FD4683" w:rsidR="00E13122" w:rsidRPr="00C62DF2" w:rsidRDefault="00E13122" w:rsidP="00FC0CB6">
      <w:pPr>
        <w:numPr>
          <w:ilvl w:val="0"/>
          <w:numId w:val="2"/>
        </w:numPr>
        <w:jc w:val="both"/>
        <w:rPr>
          <w:rStyle w:val="Emphasis"/>
          <w:rFonts w:ascii="Cambria" w:hAnsi="Cambria"/>
          <w:i w:val="0"/>
          <w:iCs w:val="0"/>
          <w:sz w:val="20"/>
          <w:szCs w:val="20"/>
        </w:rPr>
      </w:pPr>
      <w:r w:rsidRPr="00C62DF2">
        <w:rPr>
          <w:rFonts w:ascii="Cambria" w:hAnsi="Cambria"/>
          <w:sz w:val="20"/>
          <w:szCs w:val="20"/>
        </w:rPr>
        <w:t>Por outro lado, a Comissão destaca que</w:t>
      </w:r>
      <w:r w:rsidR="00672C46" w:rsidRPr="00C62DF2">
        <w:rPr>
          <w:rFonts w:ascii="Cambria" w:hAnsi="Cambria"/>
          <w:sz w:val="20"/>
          <w:szCs w:val="20"/>
        </w:rPr>
        <w:t>,</w:t>
      </w:r>
      <w:r w:rsidRPr="00C62DF2">
        <w:rPr>
          <w:rFonts w:ascii="Cambria" w:hAnsi="Cambria"/>
          <w:sz w:val="20"/>
          <w:szCs w:val="20"/>
        </w:rPr>
        <w:t xml:space="preserve"> em </w:t>
      </w:r>
      <w:r w:rsidRPr="00C62DF2">
        <w:rPr>
          <w:rFonts w:ascii="Cambria" w:hAnsi="Cambria"/>
          <w:sz w:val="20"/>
          <w:szCs w:val="20"/>
        </w:rPr>
        <w:footnoteReference w:customMarkFollows="1" w:id="110"/>
        <w:t>29 de setembro de 2008</w:t>
      </w:r>
      <w:r w:rsidR="00672C46" w:rsidRPr="00C62DF2">
        <w:rPr>
          <w:rFonts w:ascii="Cambria" w:hAnsi="Cambria"/>
          <w:sz w:val="20"/>
          <w:szCs w:val="20"/>
        </w:rPr>
        <w:t>,</w:t>
      </w:r>
      <w:r w:rsidRPr="00C62DF2">
        <w:rPr>
          <w:rFonts w:ascii="Cambria" w:hAnsi="Cambria"/>
          <w:sz w:val="20"/>
          <w:szCs w:val="20"/>
        </w:rPr>
        <w:t xml:space="preserve"> a Comissão Estadual de Ex-Presos Políticos da Procuradoria </w:t>
      </w:r>
      <w:r w:rsidR="005E3532" w:rsidRPr="00C62DF2">
        <w:rPr>
          <w:rFonts w:ascii="Cambria" w:hAnsi="Cambria"/>
          <w:sz w:val="20"/>
          <w:szCs w:val="20"/>
        </w:rPr>
        <w:t>Ger</w:t>
      </w:r>
      <w:r w:rsidRPr="00C62DF2">
        <w:rPr>
          <w:rFonts w:ascii="Cambria" w:hAnsi="Cambria"/>
          <w:sz w:val="20"/>
          <w:szCs w:val="20"/>
        </w:rPr>
        <w:t xml:space="preserve">al do Estado concedeu a Eduarda Crispim Leite uma indenização de R$ 22.000,00 </w:t>
      </w:r>
      <w:r w:rsidRPr="00C62DF2">
        <w:rPr>
          <w:rFonts w:ascii="Cambria" w:hAnsi="Cambria"/>
          <w:sz w:val="20"/>
          <w:szCs w:val="20"/>
        </w:rPr>
        <w:lastRenderedPageBreak/>
        <w:t>(vinte e dois mil reais) em nome próprio e de R$ 38.000,00 (trinta e oito mil reais) devido às violações sofridas por s</w:t>
      </w:r>
      <w:r w:rsidR="0032098B" w:rsidRPr="00C62DF2">
        <w:rPr>
          <w:rFonts w:ascii="Cambria" w:hAnsi="Cambria"/>
          <w:sz w:val="20"/>
          <w:szCs w:val="20"/>
        </w:rPr>
        <w:t>e</w:t>
      </w:r>
      <w:r w:rsidRPr="00C62DF2">
        <w:rPr>
          <w:rFonts w:ascii="Cambria" w:hAnsi="Cambria"/>
          <w:sz w:val="20"/>
          <w:szCs w:val="20"/>
        </w:rPr>
        <w:t>u pa</w:t>
      </w:r>
      <w:r w:rsidR="0032098B" w:rsidRPr="00C62DF2">
        <w:rPr>
          <w:rFonts w:ascii="Cambria" w:hAnsi="Cambria"/>
          <w:sz w:val="20"/>
          <w:szCs w:val="20"/>
        </w:rPr>
        <w:t>i</w:t>
      </w:r>
      <w:r w:rsidRPr="00C62DF2">
        <w:rPr>
          <w:rStyle w:val="Emphasis"/>
          <w:rFonts w:ascii="Cambria" w:hAnsi="Cambria"/>
          <w:i w:val="0"/>
          <w:iCs w:val="0"/>
          <w:sz w:val="20"/>
          <w:szCs w:val="20"/>
        </w:rPr>
        <w:t>.</w:t>
      </w:r>
    </w:p>
    <w:p w14:paraId="51D87F60" w14:textId="77777777" w:rsidR="00E13122" w:rsidRPr="00C62DF2" w:rsidRDefault="00E13122" w:rsidP="00FC0CB6">
      <w:pPr>
        <w:pStyle w:val="ListParagraph"/>
        <w:ind w:firstLine="0"/>
        <w:rPr>
          <w:rStyle w:val="Emphasis"/>
          <w:i w:val="0"/>
          <w:iCs w:val="0"/>
          <w:sz w:val="20"/>
          <w:szCs w:val="20"/>
          <w:lang w:val="pt-BR"/>
        </w:rPr>
      </w:pPr>
    </w:p>
    <w:p w14:paraId="799B5D63" w14:textId="6365CB3E" w:rsidR="00E13122" w:rsidRPr="00C62DF2" w:rsidRDefault="00E13122" w:rsidP="00FC0CB6">
      <w:pPr>
        <w:numPr>
          <w:ilvl w:val="0"/>
          <w:numId w:val="2"/>
        </w:numPr>
        <w:jc w:val="both"/>
        <w:rPr>
          <w:rFonts w:ascii="Cambria" w:hAnsi="Cambria"/>
          <w:sz w:val="20"/>
          <w:szCs w:val="20"/>
        </w:rPr>
      </w:pPr>
      <w:r w:rsidRPr="00C62DF2">
        <w:rPr>
          <w:rStyle w:val="Emphasis"/>
          <w:rFonts w:ascii="Cambria" w:hAnsi="Cambria"/>
          <w:i w:val="0"/>
          <w:iCs w:val="0"/>
          <w:sz w:val="20"/>
          <w:szCs w:val="20"/>
        </w:rPr>
        <w:t>Além disso, a Comissão nota que</w:t>
      </w:r>
      <w:r w:rsidR="0032098B"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em seu Relatório </w:t>
      </w:r>
      <w:r w:rsidR="0032098B" w:rsidRPr="00C62DF2">
        <w:rPr>
          <w:rStyle w:val="Emphasis"/>
          <w:rFonts w:ascii="Cambria" w:hAnsi="Cambria"/>
          <w:i w:val="0"/>
          <w:iCs w:val="0"/>
          <w:sz w:val="20"/>
          <w:szCs w:val="20"/>
        </w:rPr>
        <w:t>F</w:t>
      </w:r>
      <w:r w:rsidRPr="00C62DF2">
        <w:rPr>
          <w:rStyle w:val="Emphasis"/>
          <w:rFonts w:ascii="Cambria" w:hAnsi="Cambria"/>
          <w:i w:val="0"/>
          <w:iCs w:val="0"/>
          <w:sz w:val="20"/>
          <w:szCs w:val="20"/>
        </w:rPr>
        <w:t xml:space="preserve">inal publicado em 2014, a Comissão Nacional da Verdade </w:t>
      </w:r>
      <w:r w:rsidRPr="00C62DF2">
        <w:rPr>
          <w:rStyle w:val="hps"/>
          <w:rFonts w:ascii="Cambria" w:hAnsi="Cambria"/>
          <w:sz w:val="20"/>
          <w:szCs w:val="20"/>
        </w:rPr>
        <w:t>reconheceu as violações sofridas por Eduardo Collen Leite</w:t>
      </w:r>
      <w:r w:rsidRPr="00C62DF2">
        <w:rPr>
          <w:rStyle w:val="FootnoteReference"/>
          <w:rFonts w:ascii="Cambria" w:hAnsi="Cambria"/>
          <w:sz w:val="20"/>
          <w:szCs w:val="20"/>
        </w:rPr>
        <w:footnoteReference w:id="111"/>
      </w:r>
      <w:r w:rsidRPr="00C62DF2">
        <w:rPr>
          <w:rStyle w:val="hps"/>
          <w:rFonts w:ascii="Cambria" w:hAnsi="Cambria"/>
          <w:sz w:val="20"/>
          <w:szCs w:val="20"/>
        </w:rPr>
        <w:t xml:space="preserve">. Sobre este ponto, </w:t>
      </w:r>
      <w:r w:rsidRPr="00C62DF2">
        <w:rPr>
          <w:rStyle w:val="Emphasis"/>
          <w:rFonts w:ascii="Cambria" w:hAnsi="Cambria"/>
          <w:i w:val="0"/>
          <w:iCs w:val="0"/>
          <w:sz w:val="20"/>
          <w:szCs w:val="20"/>
        </w:rPr>
        <w:t>e</w:t>
      </w:r>
      <w:r w:rsidRPr="00C62DF2">
        <w:rPr>
          <w:rFonts w:ascii="Cambria" w:hAnsi="Cambria"/>
          <w:sz w:val="20"/>
          <w:szCs w:val="20"/>
        </w:rPr>
        <w:t>m 18 de novembro de 2011 foi promulgada a Lei Nº 12.528/2011, mediante a qual criou-se a Comissão Nacional da Verdade.</w:t>
      </w:r>
      <w:r w:rsidRPr="00C62DF2">
        <w:rPr>
          <w:rStyle w:val="FootnoteReference"/>
          <w:rFonts w:ascii="Cambria" w:hAnsi="Cambria"/>
          <w:sz w:val="20"/>
          <w:szCs w:val="20"/>
        </w:rPr>
        <w:footnoteReference w:id="112"/>
      </w:r>
      <w:r w:rsidRPr="00C62DF2">
        <w:rPr>
          <w:rFonts w:ascii="Cambria" w:hAnsi="Cambria"/>
          <w:sz w:val="20"/>
          <w:szCs w:val="20"/>
        </w:rPr>
        <w:t xml:space="preserve"> Segundo o artigo 1</w:t>
      </w:r>
      <w:r w:rsidRPr="00C62DF2">
        <w:rPr>
          <w:rFonts w:ascii="Cambria" w:hAnsi="Cambria" w:cs="Arial"/>
          <w:sz w:val="20"/>
          <w:szCs w:val="20"/>
        </w:rPr>
        <w:t>º dessa Lei</w:t>
      </w:r>
      <w:r w:rsidRPr="00C62DF2">
        <w:rPr>
          <w:rFonts w:ascii="Cambria" w:hAnsi="Cambria"/>
          <w:sz w:val="20"/>
          <w:szCs w:val="20"/>
        </w:rPr>
        <w:t>, a CNV teve como propósito “examinar e esclarecer as graves violações de direitos humanos”</w:t>
      </w:r>
      <w:r w:rsidRPr="00C62DF2">
        <w:rPr>
          <w:rStyle w:val="FootnoteReference"/>
          <w:rFonts w:ascii="Cambria" w:hAnsi="Cambria"/>
          <w:sz w:val="20"/>
          <w:szCs w:val="20"/>
        </w:rPr>
        <w:footnoteReference w:id="113"/>
      </w:r>
      <w:r w:rsidRPr="00C62DF2">
        <w:rPr>
          <w:rFonts w:ascii="Cambria" w:hAnsi="Cambria"/>
          <w:sz w:val="20"/>
          <w:szCs w:val="20"/>
        </w:rPr>
        <w:t xml:space="preserve"> praticadas durante a ditadura militar “</w:t>
      </w:r>
      <w:r w:rsidRPr="00C62DF2">
        <w:rPr>
          <w:rFonts w:ascii="Cambria" w:hAnsi="Cambria" w:cs="Arial"/>
          <w:sz w:val="20"/>
          <w:szCs w:val="20"/>
        </w:rPr>
        <w:t>a fim de tornar efetivo o direito à mem</w:t>
      </w:r>
      <w:r w:rsidR="000B76D2" w:rsidRPr="00C62DF2">
        <w:rPr>
          <w:rFonts w:ascii="Cambria" w:hAnsi="Cambria" w:cs="Arial"/>
          <w:sz w:val="20"/>
          <w:szCs w:val="20"/>
        </w:rPr>
        <w:t>ó</w:t>
      </w:r>
      <w:r w:rsidRPr="00C62DF2">
        <w:rPr>
          <w:rFonts w:ascii="Cambria" w:hAnsi="Cambria" w:cs="Arial"/>
          <w:sz w:val="20"/>
          <w:szCs w:val="20"/>
        </w:rPr>
        <w:t>ria e à verdade histórica e promover a reconciliação nacional.”</w:t>
      </w:r>
      <w:r w:rsidRPr="00C62DF2">
        <w:rPr>
          <w:rStyle w:val="FootnoteReference"/>
          <w:rFonts w:ascii="Cambria" w:hAnsi="Cambria" w:cs="Arial"/>
          <w:sz w:val="20"/>
          <w:szCs w:val="20"/>
        </w:rPr>
        <w:footnoteReference w:id="114"/>
      </w:r>
      <w:r w:rsidRPr="00C62DF2">
        <w:rPr>
          <w:rFonts w:ascii="Cambria" w:hAnsi="Cambria" w:cs="Arial"/>
          <w:sz w:val="20"/>
          <w:szCs w:val="20"/>
        </w:rPr>
        <w:t xml:space="preserve"> Suas atividades se desenvolveram de maio de 2012 até 10 de dezembro de 2014, quando foi publicado seu Relatório Final com conclusões e recomendações</w:t>
      </w:r>
      <w:r w:rsidRPr="00C62DF2">
        <w:rPr>
          <w:rStyle w:val="FootnoteReference"/>
          <w:rFonts w:ascii="Cambria" w:hAnsi="Cambria" w:cs="Arial"/>
          <w:sz w:val="20"/>
          <w:szCs w:val="20"/>
        </w:rPr>
        <w:footnoteReference w:id="115"/>
      </w:r>
      <w:r w:rsidRPr="00C62DF2">
        <w:rPr>
          <w:rFonts w:ascii="Cambria" w:hAnsi="Cambria" w:cs="Arial"/>
          <w:sz w:val="20"/>
          <w:szCs w:val="20"/>
        </w:rPr>
        <w:t xml:space="preserve">. </w:t>
      </w:r>
      <w:r w:rsidRPr="00C62DF2">
        <w:rPr>
          <w:rStyle w:val="hps"/>
          <w:rFonts w:ascii="Cambria" w:hAnsi="Cambria" w:cs="Arial"/>
          <w:sz w:val="20"/>
          <w:szCs w:val="20"/>
        </w:rPr>
        <w:t xml:space="preserve">Para a consecução de seus objetivos, a Lei Nº 12.528 atribuiu à CNV </w:t>
      </w:r>
      <w:r w:rsidR="00D328C5" w:rsidRPr="00C62DF2">
        <w:rPr>
          <w:rStyle w:val="hps"/>
          <w:rFonts w:ascii="Cambria" w:hAnsi="Cambria" w:cs="Arial"/>
          <w:sz w:val="20"/>
          <w:szCs w:val="20"/>
        </w:rPr>
        <w:t>poderes</w:t>
      </w:r>
      <w:r w:rsidRPr="00C62DF2">
        <w:rPr>
          <w:rStyle w:val="hps"/>
          <w:rFonts w:ascii="Cambria" w:hAnsi="Cambria" w:cs="Arial"/>
          <w:sz w:val="20"/>
          <w:szCs w:val="20"/>
        </w:rPr>
        <w:t xml:space="preserve"> para promover audiências públicas; solicitar informações, dados e documentos de órgãos e entidades do poder público, inclu</w:t>
      </w:r>
      <w:r w:rsidR="00D328C5" w:rsidRPr="00C62DF2">
        <w:rPr>
          <w:rStyle w:val="hps"/>
          <w:rFonts w:ascii="Cambria" w:hAnsi="Cambria" w:cs="Arial"/>
          <w:sz w:val="20"/>
          <w:szCs w:val="20"/>
        </w:rPr>
        <w:t>s</w:t>
      </w:r>
      <w:r w:rsidRPr="00C62DF2">
        <w:rPr>
          <w:rStyle w:val="hps"/>
          <w:rFonts w:ascii="Cambria" w:hAnsi="Cambria" w:cs="Arial"/>
          <w:sz w:val="20"/>
          <w:szCs w:val="20"/>
        </w:rPr>
        <w:t>i</w:t>
      </w:r>
      <w:r w:rsidR="00D328C5" w:rsidRPr="00C62DF2">
        <w:rPr>
          <w:rStyle w:val="hps"/>
          <w:rFonts w:ascii="Cambria" w:hAnsi="Cambria" w:cs="Arial"/>
          <w:sz w:val="20"/>
          <w:szCs w:val="20"/>
        </w:rPr>
        <w:t>ve</w:t>
      </w:r>
      <w:r w:rsidRPr="00C62DF2">
        <w:rPr>
          <w:rStyle w:val="hps"/>
          <w:rFonts w:ascii="Cambria" w:hAnsi="Cambria" w:cs="Arial"/>
          <w:sz w:val="20"/>
          <w:szCs w:val="20"/>
        </w:rPr>
        <w:t xml:space="preserve"> a informação classificada em qualquer grau de s</w:t>
      </w:r>
      <w:r w:rsidR="00B55AFE" w:rsidRPr="00C62DF2">
        <w:rPr>
          <w:rStyle w:val="hps"/>
          <w:rFonts w:ascii="Cambria" w:hAnsi="Cambria" w:cs="Arial"/>
          <w:sz w:val="20"/>
          <w:szCs w:val="20"/>
        </w:rPr>
        <w:t>igil</w:t>
      </w:r>
      <w:r w:rsidRPr="00C62DF2">
        <w:rPr>
          <w:rStyle w:val="hps"/>
          <w:rFonts w:ascii="Cambria" w:hAnsi="Cambria" w:cs="Arial"/>
          <w:sz w:val="20"/>
          <w:szCs w:val="20"/>
        </w:rPr>
        <w:t xml:space="preserve">o; determinar a realização de perícias e diligências para coleta ou recuperação de informação, documentos e dados; </w:t>
      </w:r>
      <w:r w:rsidR="00B55AFE" w:rsidRPr="00C62DF2">
        <w:rPr>
          <w:rStyle w:val="hps"/>
          <w:rFonts w:ascii="Cambria" w:hAnsi="Cambria" w:cs="Arial"/>
          <w:sz w:val="20"/>
          <w:szCs w:val="20"/>
        </w:rPr>
        <w:t>bem</w:t>
      </w:r>
      <w:r w:rsidRPr="00C62DF2">
        <w:rPr>
          <w:rStyle w:val="hps"/>
          <w:rFonts w:ascii="Cambria" w:hAnsi="Cambria" w:cs="Arial"/>
          <w:sz w:val="20"/>
          <w:szCs w:val="20"/>
        </w:rPr>
        <w:t xml:space="preserve"> como solicitar o auxílio de entidades e órgãos públicos para a consecução de seus fins, entre outros poderes</w:t>
      </w:r>
      <w:r w:rsidRPr="00C62DF2">
        <w:rPr>
          <w:rStyle w:val="FootnoteReference"/>
          <w:rFonts w:ascii="Cambria" w:hAnsi="Cambria" w:cs="Arial"/>
          <w:sz w:val="20"/>
          <w:szCs w:val="20"/>
        </w:rPr>
        <w:footnoteReference w:id="116"/>
      </w:r>
      <w:r w:rsidRPr="00C62DF2">
        <w:rPr>
          <w:rStyle w:val="hps"/>
          <w:rFonts w:ascii="Cambria" w:hAnsi="Cambria" w:cs="Arial"/>
          <w:sz w:val="20"/>
          <w:szCs w:val="20"/>
        </w:rPr>
        <w:t>.</w:t>
      </w:r>
    </w:p>
    <w:p w14:paraId="134A5342" w14:textId="77777777" w:rsidR="00D25674" w:rsidRPr="00C62DF2" w:rsidRDefault="00D25674" w:rsidP="00FC0CB6">
      <w:pPr>
        <w:pStyle w:val="Body"/>
        <w:ind w:firstLine="0"/>
        <w:rPr>
          <w:lang w:val="pt-BR"/>
        </w:rPr>
      </w:pPr>
    </w:p>
    <w:p w14:paraId="2568D0F6" w14:textId="77777777" w:rsidR="00D25674" w:rsidRPr="00C62DF2" w:rsidRDefault="00D25674" w:rsidP="00FC0CB6">
      <w:pPr>
        <w:pStyle w:val="Heading1"/>
        <w:ind w:firstLine="0"/>
        <w:rPr>
          <w:lang w:val="pt-BR"/>
        </w:rPr>
      </w:pPr>
      <w:bookmarkStart w:id="15" w:name="_Toc78883124"/>
      <w:bookmarkStart w:id="16" w:name="_Toc85895008"/>
      <w:r w:rsidRPr="00C62DF2">
        <w:rPr>
          <w:lang w:val="pt-BR"/>
        </w:rPr>
        <w:t>ANÁLISE DE DIREITO</w:t>
      </w:r>
      <w:bookmarkEnd w:id="15"/>
      <w:bookmarkEnd w:id="16"/>
    </w:p>
    <w:p w14:paraId="412539DF" w14:textId="77777777" w:rsidR="00D25674" w:rsidRPr="00C62DF2" w:rsidRDefault="00D25674" w:rsidP="00FC0CB6">
      <w:pPr>
        <w:rPr>
          <w:rFonts w:ascii="Cambria" w:hAnsi="Cambria"/>
          <w:sz w:val="20"/>
          <w:szCs w:val="20"/>
          <w:lang w:eastAsia="es-CL"/>
        </w:rPr>
      </w:pPr>
      <w:bookmarkStart w:id="17" w:name="_Toc49772425"/>
      <w:bookmarkStart w:id="18" w:name="_Toc55547097"/>
    </w:p>
    <w:p w14:paraId="4C29E4F2" w14:textId="70F82CBB" w:rsidR="00D25674" w:rsidRPr="00C62DF2" w:rsidRDefault="00D25674" w:rsidP="00FC0CB6">
      <w:pPr>
        <w:pStyle w:val="Heading2"/>
        <w:numPr>
          <w:ilvl w:val="0"/>
          <w:numId w:val="26"/>
        </w:numPr>
        <w:tabs>
          <w:tab w:val="clear" w:pos="86"/>
          <w:tab w:val="num" w:pos="851"/>
        </w:tabs>
        <w:ind w:left="709" w:firstLine="0"/>
        <w:rPr>
          <w:lang w:val="pt-BR"/>
        </w:rPr>
      </w:pPr>
      <w:bookmarkStart w:id="19" w:name="_Toc78883125"/>
      <w:bookmarkStart w:id="20" w:name="_Toc85895009"/>
      <w:r w:rsidRPr="00C62DF2">
        <w:rPr>
          <w:lang w:val="pt-BR"/>
        </w:rPr>
        <w:t>Direito à vida, à liberdade, à segurança e à integridade da pessoa (artigo I</w:t>
      </w:r>
      <w:r w:rsidRPr="00C62DF2">
        <w:rPr>
          <w:rStyle w:val="FootnoteReference"/>
          <w:lang w:val="pt-BR"/>
        </w:rPr>
        <w:footnoteReference w:id="117"/>
      </w:r>
      <w:r w:rsidRPr="00C62DF2">
        <w:rPr>
          <w:lang w:val="pt-BR"/>
        </w:rPr>
        <w:t xml:space="preserve"> da Declaração Americana), direito à </w:t>
      </w:r>
      <w:r w:rsidR="00037713" w:rsidRPr="00C62DF2">
        <w:rPr>
          <w:lang w:val="pt-BR"/>
        </w:rPr>
        <w:t xml:space="preserve">proteção da </w:t>
      </w:r>
      <w:r w:rsidRPr="00C62DF2">
        <w:rPr>
          <w:lang w:val="pt-BR"/>
        </w:rPr>
        <w:t>maternidade e infância (artigo VII</w:t>
      </w:r>
      <w:r w:rsidRPr="00C62DF2">
        <w:rPr>
          <w:rStyle w:val="FootnoteReference"/>
          <w:lang w:val="pt-BR"/>
        </w:rPr>
        <w:footnoteReference w:id="118"/>
      </w:r>
      <w:r w:rsidRPr="00C62DF2">
        <w:rPr>
          <w:lang w:val="pt-BR"/>
        </w:rPr>
        <w:t xml:space="preserve"> da Declaração Americana) e direito à proteção contra detenção arbitrária (artigo XXV</w:t>
      </w:r>
      <w:r w:rsidRPr="00C62DF2">
        <w:rPr>
          <w:rStyle w:val="FootnoteReference"/>
          <w:lang w:val="pt-BR"/>
        </w:rPr>
        <w:footnoteReference w:id="119"/>
      </w:r>
      <w:r w:rsidRPr="00C62DF2">
        <w:rPr>
          <w:lang w:val="pt-BR"/>
        </w:rPr>
        <w:t xml:space="preserve"> da Declaração Americana)</w:t>
      </w:r>
      <w:bookmarkEnd w:id="19"/>
      <w:bookmarkEnd w:id="20"/>
      <w:r w:rsidRPr="00C62DF2">
        <w:rPr>
          <w:lang w:val="pt-BR"/>
        </w:rPr>
        <w:t xml:space="preserve"> </w:t>
      </w:r>
    </w:p>
    <w:bookmarkEnd w:id="17"/>
    <w:bookmarkEnd w:id="18"/>
    <w:p w14:paraId="7E40F5F2" w14:textId="77777777" w:rsidR="00D25674" w:rsidRPr="00C62DF2" w:rsidRDefault="00D25674" w:rsidP="00FC0CB6">
      <w:pPr>
        <w:rPr>
          <w:rFonts w:ascii="Cambria" w:hAnsi="Cambria"/>
          <w:sz w:val="20"/>
          <w:szCs w:val="20"/>
        </w:rPr>
      </w:pPr>
    </w:p>
    <w:p w14:paraId="1D28438C" w14:textId="77777777" w:rsidR="00D25674" w:rsidRPr="00C62DF2" w:rsidRDefault="00D25674" w:rsidP="00FC0CB6">
      <w:pPr>
        <w:pStyle w:val="ListParagraph"/>
        <w:numPr>
          <w:ilvl w:val="3"/>
          <w:numId w:val="2"/>
        </w:numPr>
        <w:ind w:left="709" w:firstLine="0"/>
        <w:rPr>
          <w:b/>
          <w:bCs/>
          <w:sz w:val="20"/>
          <w:szCs w:val="20"/>
          <w:lang w:val="pt-BR"/>
        </w:rPr>
      </w:pPr>
      <w:r w:rsidRPr="00C62DF2">
        <w:rPr>
          <w:b/>
          <w:bCs/>
          <w:sz w:val="20"/>
          <w:szCs w:val="20"/>
          <w:lang w:val="pt-BR"/>
        </w:rPr>
        <w:t>Considerações Gerais</w:t>
      </w:r>
    </w:p>
    <w:p w14:paraId="2CB40470" w14:textId="77777777" w:rsidR="00D25674" w:rsidRPr="00C62DF2" w:rsidRDefault="00D25674" w:rsidP="00FC0CB6">
      <w:pPr>
        <w:ind w:left="709"/>
        <w:rPr>
          <w:rFonts w:ascii="Cambria" w:hAnsi="Cambria"/>
          <w:sz w:val="20"/>
          <w:szCs w:val="20"/>
        </w:rPr>
      </w:pPr>
    </w:p>
    <w:p w14:paraId="111B0778" w14:textId="5386C77C"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O sistema interamericano sustentou que a Declaração Americana é fonte de obrigações internacionais para todos os Estados membros da OEA, inclu</w:t>
      </w:r>
      <w:r w:rsidR="00E638BF" w:rsidRPr="00C62DF2">
        <w:rPr>
          <w:rFonts w:ascii="Cambria" w:hAnsi="Cambria"/>
          <w:sz w:val="20"/>
          <w:szCs w:val="20"/>
        </w:rPr>
        <w:t>s</w:t>
      </w:r>
      <w:r w:rsidRPr="00C62DF2">
        <w:rPr>
          <w:rFonts w:ascii="Cambria" w:hAnsi="Cambria"/>
          <w:sz w:val="20"/>
          <w:szCs w:val="20"/>
        </w:rPr>
        <w:t>i</w:t>
      </w:r>
      <w:r w:rsidR="00E638BF" w:rsidRPr="00C62DF2">
        <w:rPr>
          <w:rFonts w:ascii="Cambria" w:hAnsi="Cambria"/>
          <w:sz w:val="20"/>
          <w:szCs w:val="20"/>
        </w:rPr>
        <w:t>ve</w:t>
      </w:r>
      <w:r w:rsidRPr="00C62DF2">
        <w:rPr>
          <w:rFonts w:ascii="Cambria" w:hAnsi="Cambria"/>
          <w:sz w:val="20"/>
          <w:szCs w:val="20"/>
        </w:rPr>
        <w:t xml:space="preserve"> aqueles que não ratificaram a Convenção Americana.</w:t>
      </w:r>
      <w:r w:rsidRPr="00C62DF2">
        <w:rPr>
          <w:rStyle w:val="FootnoteReference"/>
          <w:rFonts w:ascii="Cambria" w:hAnsi="Cambria"/>
          <w:sz w:val="20"/>
          <w:szCs w:val="20"/>
        </w:rPr>
        <w:footnoteReference w:id="120"/>
      </w:r>
      <w:r w:rsidRPr="00C62DF2">
        <w:rPr>
          <w:rFonts w:ascii="Cambria" w:hAnsi="Cambria"/>
          <w:sz w:val="20"/>
          <w:szCs w:val="20"/>
        </w:rPr>
        <w:t xml:space="preserve"> A Declaração Americana faz parte do quadro de direitos humanos estabelecido pelos Estados membros da OEA, o qual se refere às obrigações e responsabilidades dos Estados, e lhes é exigido abster-se de respaldar, tolerar </w:t>
      </w:r>
      <w:r w:rsidRPr="00C62DF2">
        <w:rPr>
          <w:rFonts w:ascii="Cambria" w:hAnsi="Cambria"/>
          <w:sz w:val="20"/>
          <w:szCs w:val="20"/>
        </w:rPr>
        <w:lastRenderedPageBreak/>
        <w:t>ou participar de atos ou omissões que violem seus compromissos em matéria de direitos humanos. A Comissão interpretou o alcance das obrigações impostas pela Declaração Americana no contexto mais amplo dos sistemas internacional e interamericano de direitos humanos, levando em conta a evolução do campo do direito internacional de direitos humanos desde que se aprovou o instrumento, e com devido respeito pelas demais normas do direito internacional aplicáveis aos Estados membros.</w:t>
      </w:r>
      <w:r w:rsidRPr="00C62DF2">
        <w:rPr>
          <w:rStyle w:val="FootnoteReference"/>
          <w:rFonts w:ascii="Cambria" w:hAnsi="Cambria"/>
          <w:sz w:val="20"/>
          <w:szCs w:val="20"/>
        </w:rPr>
        <w:footnoteReference w:id="121"/>
      </w:r>
    </w:p>
    <w:p w14:paraId="54FA44B5" w14:textId="77777777" w:rsidR="00D25674" w:rsidRPr="00C62DF2" w:rsidRDefault="00D25674" w:rsidP="00FC0CB6">
      <w:pPr>
        <w:ind w:left="720"/>
        <w:jc w:val="both"/>
        <w:rPr>
          <w:rFonts w:ascii="Cambria" w:hAnsi="Cambria"/>
          <w:sz w:val="20"/>
          <w:szCs w:val="20"/>
        </w:rPr>
      </w:pPr>
    </w:p>
    <w:p w14:paraId="202AC3D9" w14:textId="24F22F00" w:rsidR="00D25674" w:rsidRPr="00C62DF2" w:rsidRDefault="00D25674" w:rsidP="00FC0CB6">
      <w:pPr>
        <w:numPr>
          <w:ilvl w:val="0"/>
          <w:numId w:val="2"/>
        </w:numPr>
        <w:jc w:val="both"/>
      </w:pPr>
      <w:r w:rsidRPr="00C62DF2">
        <w:rPr>
          <w:rFonts w:ascii="Cambria" w:hAnsi="Cambria"/>
          <w:sz w:val="20"/>
          <w:szCs w:val="20"/>
        </w:rPr>
        <w:t>O artigo I da Declaração Americana estabelece que todo ser humano tem direito à vida. Tal direito é essencial</w:t>
      </w:r>
      <w:r w:rsidR="00E638BF" w:rsidRPr="00C62DF2">
        <w:rPr>
          <w:rFonts w:ascii="Cambria" w:hAnsi="Cambria"/>
          <w:sz w:val="20"/>
          <w:szCs w:val="20"/>
        </w:rPr>
        <w:t>,</w:t>
      </w:r>
      <w:r w:rsidRPr="00C62DF2">
        <w:rPr>
          <w:rFonts w:ascii="Cambria" w:hAnsi="Cambria"/>
          <w:sz w:val="20"/>
          <w:szCs w:val="20"/>
        </w:rPr>
        <w:t xml:space="preserve"> já que de sua garantia depende a realização de todos os demais direitos da pessoa;</w:t>
      </w:r>
      <w:r w:rsidRPr="00C62DF2">
        <w:rPr>
          <w:rStyle w:val="FootnoteReference"/>
          <w:rFonts w:ascii="Cambria" w:hAnsi="Cambria"/>
          <w:bCs/>
          <w:sz w:val="20"/>
          <w:szCs w:val="20"/>
        </w:rPr>
        <w:footnoteReference w:id="122"/>
      </w:r>
      <w:r w:rsidRPr="00C62DF2">
        <w:rPr>
          <w:rFonts w:ascii="Cambria" w:hAnsi="Cambria"/>
          <w:sz w:val="20"/>
          <w:szCs w:val="20"/>
        </w:rPr>
        <w:t xml:space="preserve"> quando se viola o direito à vida desaparecem todos os demais direitos ao se extinguir o titular.</w:t>
      </w:r>
      <w:r w:rsidRPr="00C62DF2">
        <w:rPr>
          <w:rStyle w:val="FootnoteReference"/>
          <w:rFonts w:ascii="Cambria" w:hAnsi="Cambria"/>
          <w:bCs/>
          <w:sz w:val="20"/>
          <w:szCs w:val="20"/>
        </w:rPr>
        <w:footnoteReference w:id="123"/>
      </w:r>
      <w:r w:rsidRPr="00C62DF2">
        <w:rPr>
          <w:rFonts w:ascii="Cambria" w:hAnsi="Cambria"/>
          <w:sz w:val="20"/>
          <w:szCs w:val="20"/>
        </w:rPr>
        <w:t xml:space="preserve"> O direito à vida impõe aos Estados a obrigação de respeitá-lo, garanti-lo e assegurar a criação das condições requeridas para seu pleno gozo e exercício, o que implica</w:t>
      </w:r>
      <w:r w:rsidR="002150B7" w:rsidRPr="00C62DF2">
        <w:rPr>
          <w:rFonts w:ascii="Cambria" w:hAnsi="Cambria"/>
          <w:sz w:val="20"/>
          <w:szCs w:val="20"/>
        </w:rPr>
        <w:t>,</w:t>
      </w:r>
      <w:r w:rsidRPr="00C62DF2">
        <w:rPr>
          <w:rFonts w:ascii="Cambria" w:hAnsi="Cambria"/>
          <w:sz w:val="20"/>
          <w:szCs w:val="20"/>
        </w:rPr>
        <w:t xml:space="preserve"> entre outras</w:t>
      </w:r>
      <w:r w:rsidR="002150B7" w:rsidRPr="00C62DF2">
        <w:rPr>
          <w:rFonts w:ascii="Cambria" w:hAnsi="Cambria"/>
          <w:sz w:val="20"/>
          <w:szCs w:val="20"/>
        </w:rPr>
        <w:t>,</w:t>
      </w:r>
      <w:r w:rsidRPr="00C62DF2">
        <w:rPr>
          <w:rFonts w:ascii="Cambria" w:hAnsi="Cambria"/>
          <w:sz w:val="20"/>
          <w:szCs w:val="20"/>
        </w:rPr>
        <w:t xml:space="preserve"> sua obrigação de prevenir violações do direito à vida, investigar tais violações, julgar e </w:t>
      </w:r>
      <w:r w:rsidR="002150B7" w:rsidRPr="00C62DF2">
        <w:rPr>
          <w:rFonts w:ascii="Cambria" w:hAnsi="Cambria"/>
          <w:sz w:val="20"/>
          <w:szCs w:val="20"/>
        </w:rPr>
        <w:t>punir</w:t>
      </w:r>
      <w:r w:rsidRPr="00C62DF2">
        <w:rPr>
          <w:rFonts w:ascii="Cambria" w:hAnsi="Cambria"/>
          <w:sz w:val="20"/>
          <w:szCs w:val="20"/>
        </w:rPr>
        <w:t xml:space="preserve"> os responsáveis, e reparar integralmente os familiares da vítima quando for de responsabilidade do Estado.</w:t>
      </w:r>
      <w:r w:rsidRPr="00C62DF2">
        <w:rPr>
          <w:rStyle w:val="FootnoteReference"/>
          <w:rFonts w:ascii="Cambria" w:hAnsi="Cambria"/>
          <w:bCs/>
          <w:sz w:val="20"/>
          <w:szCs w:val="20"/>
        </w:rPr>
        <w:footnoteReference w:id="124"/>
      </w:r>
      <w:r w:rsidRPr="00C62DF2">
        <w:rPr>
          <w:rFonts w:ascii="Cambria" w:hAnsi="Cambria"/>
          <w:sz w:val="20"/>
          <w:szCs w:val="20"/>
        </w:rPr>
        <w:t xml:space="preserve"> </w:t>
      </w:r>
    </w:p>
    <w:p w14:paraId="23A82B7C" w14:textId="77777777" w:rsidR="00D25674" w:rsidRPr="00C62DF2" w:rsidRDefault="00D25674" w:rsidP="00FC0CB6">
      <w:pPr>
        <w:pStyle w:val="Body"/>
        <w:ind w:left="634" w:firstLine="0"/>
        <w:rPr>
          <w:color w:val="auto"/>
          <w:lang w:val="pt-BR"/>
        </w:rPr>
      </w:pPr>
    </w:p>
    <w:p w14:paraId="0598EAC0" w14:textId="27B3C030" w:rsidR="00D25674" w:rsidRPr="00C62DF2" w:rsidRDefault="00D25674" w:rsidP="00FC0CB6">
      <w:pPr>
        <w:pStyle w:val="Body"/>
        <w:numPr>
          <w:ilvl w:val="0"/>
          <w:numId w:val="2"/>
        </w:numPr>
        <w:ind w:firstLine="0"/>
        <w:rPr>
          <w:color w:val="auto"/>
          <w:lang w:val="pt-BR"/>
        </w:rPr>
      </w:pPr>
      <w:r w:rsidRPr="00C62DF2">
        <w:rPr>
          <w:lang w:val="pt-BR"/>
        </w:rPr>
        <w:t xml:space="preserve">A posição de especial </w:t>
      </w:r>
      <w:r w:rsidR="00672C46" w:rsidRPr="00C62DF2">
        <w:rPr>
          <w:lang w:val="pt-BR"/>
        </w:rPr>
        <w:t>garante</w:t>
      </w:r>
      <w:r w:rsidRPr="00C62DF2">
        <w:rPr>
          <w:lang w:val="pt-BR"/>
        </w:rPr>
        <w:t xml:space="preserve"> que o Estado </w:t>
      </w:r>
      <w:r w:rsidR="002150B7" w:rsidRPr="00C62DF2">
        <w:rPr>
          <w:lang w:val="pt-BR"/>
        </w:rPr>
        <w:t>adquire perante</w:t>
      </w:r>
      <w:r w:rsidRPr="00C62DF2">
        <w:rPr>
          <w:lang w:val="pt-BR"/>
        </w:rPr>
        <w:t xml:space="preserve"> </w:t>
      </w:r>
      <w:r w:rsidR="002150B7" w:rsidRPr="00C62DF2">
        <w:rPr>
          <w:lang w:val="pt-BR"/>
        </w:rPr>
        <w:t>a</w:t>
      </w:r>
      <w:r w:rsidRPr="00C62DF2">
        <w:rPr>
          <w:lang w:val="pt-BR"/>
        </w:rPr>
        <w:t xml:space="preserve">s pessoas privadas da liberdade lhe gera uma obrigação de </w:t>
      </w:r>
      <w:r w:rsidRPr="00C62DF2">
        <w:rPr>
          <w:iCs/>
          <w:lang w:val="pt-BR"/>
        </w:rPr>
        <w:t xml:space="preserve">“proteger a dignidade humana do recluso enquanto estiver sob sua custódia, o que inclui sua proteção </w:t>
      </w:r>
      <w:r w:rsidR="002150B7" w:rsidRPr="00C62DF2">
        <w:rPr>
          <w:iCs/>
          <w:lang w:val="pt-BR"/>
        </w:rPr>
        <w:t>ante as</w:t>
      </w:r>
      <w:r w:rsidRPr="00C62DF2">
        <w:rPr>
          <w:iCs/>
          <w:lang w:val="pt-BR"/>
        </w:rPr>
        <w:t xml:space="preserve"> possíveis circunstâncias que possam pôr sua vida em perigo.”</w:t>
      </w:r>
      <w:r w:rsidRPr="00C62DF2">
        <w:rPr>
          <w:rStyle w:val="FootnoteReference"/>
          <w:bCs/>
          <w:lang w:val="pt-BR"/>
        </w:rPr>
        <w:footnoteReference w:id="125"/>
      </w:r>
      <w:r w:rsidRPr="00C62DF2">
        <w:rPr>
          <w:lang w:val="pt-BR"/>
        </w:rPr>
        <w:t xml:space="preserve"> Isto quer dizer que o Estado “não só deve assegurar que seus próprios agentes exerçam um controle adequado da segurança e da ordem nas prisões, mas deve adotar as medidas necessárias para proteger as pessoas privadas de liberdade contra possíveis agressões de terceir</w:t>
      </w:r>
      <w:r w:rsidR="002150B7" w:rsidRPr="00C62DF2">
        <w:rPr>
          <w:lang w:val="pt-BR"/>
        </w:rPr>
        <w:t>o</w:t>
      </w:r>
      <w:r w:rsidRPr="00C62DF2">
        <w:rPr>
          <w:lang w:val="pt-BR"/>
        </w:rPr>
        <w:t>s, inclusive outros presidiários”</w:t>
      </w:r>
      <w:r w:rsidRPr="00C62DF2">
        <w:rPr>
          <w:rStyle w:val="FootnoteReference"/>
          <w:bCs/>
          <w:lang w:val="pt-BR"/>
        </w:rPr>
        <w:footnoteReference w:id="126"/>
      </w:r>
      <w:r w:rsidRPr="00C62DF2">
        <w:rPr>
          <w:lang w:val="pt-BR"/>
        </w:rPr>
        <w:t xml:space="preserve">. Portanto, o Estado tem a obrigação de criar as condições necessárias para que não </w:t>
      </w:r>
      <w:r w:rsidR="002150B7" w:rsidRPr="00C62DF2">
        <w:rPr>
          <w:lang w:val="pt-BR"/>
        </w:rPr>
        <w:t>ocorr</w:t>
      </w:r>
      <w:r w:rsidRPr="00C62DF2">
        <w:rPr>
          <w:lang w:val="pt-BR"/>
        </w:rPr>
        <w:t xml:space="preserve">am violações </w:t>
      </w:r>
      <w:r w:rsidR="002150B7" w:rsidRPr="00C62DF2">
        <w:rPr>
          <w:lang w:val="pt-BR"/>
        </w:rPr>
        <w:t>d</w:t>
      </w:r>
      <w:r w:rsidRPr="00C62DF2">
        <w:rPr>
          <w:lang w:val="pt-BR"/>
        </w:rPr>
        <w:t>o direito à vida e, em particular, criar condições para que seus agentes não intentem contra ele.</w:t>
      </w:r>
      <w:r w:rsidRPr="00C62DF2">
        <w:rPr>
          <w:rStyle w:val="FootnoteReference"/>
          <w:bCs/>
          <w:lang w:val="pt-BR"/>
        </w:rPr>
        <w:footnoteReference w:id="127"/>
      </w:r>
    </w:p>
    <w:p w14:paraId="56726BCA" w14:textId="77777777" w:rsidR="00D25674" w:rsidRPr="00C62DF2" w:rsidRDefault="00D25674" w:rsidP="00FC0CB6">
      <w:pPr>
        <w:pStyle w:val="ListParagraph"/>
        <w:ind w:firstLine="0"/>
        <w:rPr>
          <w:color w:val="auto"/>
          <w:lang w:val="pt-BR"/>
        </w:rPr>
      </w:pPr>
    </w:p>
    <w:p w14:paraId="7E9E0C61" w14:textId="36D32E1F"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 xml:space="preserve">Os artigos I e XXV da Declaração Americana garantem a </w:t>
      </w:r>
      <w:r w:rsidRPr="00C62DF2">
        <w:rPr>
          <w:rFonts w:ascii="Cambria" w:hAnsi="Cambria"/>
          <w:color w:val="000000"/>
          <w:sz w:val="20"/>
          <w:szCs w:val="20"/>
        </w:rPr>
        <w:t>proteção das pessoas contra a interferência ilegítima ou arbitrária de sua liberdade por parte do Estado, já que exige que “toda privação da liberdade se realize de acordo com uma lei pré-estabelecida, que o detido seja informado das razões de sua detenção e notificado sem demora das acusações que lhe são imputadas; que toda pessoa privada de sua liberdade tem direito a um recurso jurídico, a obter, sem demora, uma determinação da legalidade de sua detenção; e que a pessoa seja julgada dentro de um prazo razoável ou liberada enquanto continua o processo.”</w:t>
      </w:r>
      <w:r w:rsidRPr="00C62DF2">
        <w:rPr>
          <w:rStyle w:val="FootnoteReference"/>
          <w:rFonts w:ascii="Cambria" w:hAnsi="Cambria"/>
          <w:color w:val="000000"/>
          <w:sz w:val="20"/>
          <w:szCs w:val="20"/>
        </w:rPr>
        <w:footnoteReference w:id="128"/>
      </w:r>
      <w:r w:rsidRPr="00C62DF2">
        <w:rPr>
          <w:rFonts w:ascii="Cambria" w:hAnsi="Cambria"/>
          <w:color w:val="000000"/>
          <w:sz w:val="20"/>
          <w:szCs w:val="20"/>
        </w:rPr>
        <w:t xml:space="preserve"> Estas obrigações incluem, também, o direito a não ser </w:t>
      </w:r>
      <w:r w:rsidRPr="00C62DF2">
        <w:rPr>
          <w:rFonts w:ascii="Cambria" w:hAnsi="Cambria"/>
          <w:sz w:val="20"/>
          <w:szCs w:val="20"/>
        </w:rPr>
        <w:t>submetido a detenção ou encarceramento por causas e métodos que</w:t>
      </w:r>
      <w:r w:rsidR="00113752" w:rsidRPr="00C62DF2">
        <w:rPr>
          <w:rFonts w:ascii="Cambria" w:hAnsi="Cambria"/>
          <w:sz w:val="20"/>
          <w:szCs w:val="20"/>
        </w:rPr>
        <w:t>, mesmo</w:t>
      </w:r>
      <w:r w:rsidRPr="00C62DF2">
        <w:rPr>
          <w:rFonts w:ascii="Cambria" w:hAnsi="Cambria"/>
          <w:sz w:val="20"/>
          <w:szCs w:val="20"/>
        </w:rPr>
        <w:t xml:space="preserve"> qualificados como legais</w:t>
      </w:r>
      <w:r w:rsidR="00113752" w:rsidRPr="00C62DF2">
        <w:rPr>
          <w:rFonts w:ascii="Cambria" w:hAnsi="Cambria"/>
          <w:sz w:val="20"/>
          <w:szCs w:val="20"/>
        </w:rPr>
        <w:t>,</w:t>
      </w:r>
      <w:r w:rsidRPr="00C62DF2">
        <w:rPr>
          <w:rFonts w:ascii="Cambria" w:hAnsi="Cambria"/>
          <w:sz w:val="20"/>
          <w:szCs w:val="20"/>
        </w:rPr>
        <w:t xml:space="preserve"> possam ser considerados incompatíveis com o respeito aos direitos fundamentais do indivíduo por ser, entre outras coisas, irrazoáveis, imprevisíveis ou sem proporcionalidade.</w:t>
      </w:r>
      <w:r w:rsidRPr="00C62DF2">
        <w:rPr>
          <w:rStyle w:val="FootnoteReference"/>
          <w:rFonts w:ascii="Cambria" w:hAnsi="Cambria"/>
          <w:sz w:val="20"/>
          <w:szCs w:val="20"/>
        </w:rPr>
        <w:footnoteReference w:id="129"/>
      </w:r>
      <w:r w:rsidRPr="00C62DF2">
        <w:rPr>
          <w:rFonts w:ascii="Cambria" w:hAnsi="Cambria"/>
          <w:sz w:val="20"/>
          <w:szCs w:val="20"/>
        </w:rPr>
        <w:t xml:space="preserve"> Para que uma detenção não seja arbitrária, a finalidade das medidas que privem ou restrinjam a liberdade deve ser compatível com o direito internacional dos direitos humanos e idônea para cumprir o fim </w:t>
      </w:r>
      <w:r w:rsidR="00113752" w:rsidRPr="00C62DF2">
        <w:rPr>
          <w:rFonts w:ascii="Cambria" w:hAnsi="Cambria"/>
          <w:sz w:val="20"/>
          <w:szCs w:val="20"/>
        </w:rPr>
        <w:t>visa</w:t>
      </w:r>
      <w:r w:rsidRPr="00C62DF2">
        <w:rPr>
          <w:rFonts w:ascii="Cambria" w:hAnsi="Cambria"/>
          <w:sz w:val="20"/>
          <w:szCs w:val="20"/>
        </w:rPr>
        <w:t>do.</w:t>
      </w:r>
      <w:r w:rsidRPr="00C62DF2">
        <w:rPr>
          <w:rStyle w:val="FootnoteReference"/>
          <w:rFonts w:ascii="Cambria" w:hAnsi="Cambria"/>
          <w:sz w:val="20"/>
          <w:szCs w:val="20"/>
        </w:rPr>
        <w:footnoteReference w:id="130"/>
      </w:r>
      <w:r w:rsidRPr="00C62DF2">
        <w:rPr>
          <w:rFonts w:ascii="Cambria" w:hAnsi="Cambria" w:cs="Arial"/>
          <w:sz w:val="20"/>
          <w:szCs w:val="20"/>
        </w:rPr>
        <w:t xml:space="preserve"> </w:t>
      </w:r>
    </w:p>
    <w:p w14:paraId="104DE9F1" w14:textId="77777777" w:rsidR="00D25674" w:rsidRPr="00C62DF2" w:rsidRDefault="00D25674" w:rsidP="00FC0CB6">
      <w:pPr>
        <w:tabs>
          <w:tab w:val="left" w:pos="2197"/>
        </w:tabs>
        <w:rPr>
          <w:b/>
          <w:bCs/>
          <w:sz w:val="20"/>
          <w:szCs w:val="20"/>
        </w:rPr>
      </w:pPr>
    </w:p>
    <w:p w14:paraId="18146A0A" w14:textId="256B2A8D"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O direito das pessoas privadas de liberdade a um trat</w:t>
      </w:r>
      <w:r w:rsidR="00113752" w:rsidRPr="00C62DF2">
        <w:rPr>
          <w:rFonts w:ascii="Cambria" w:hAnsi="Cambria"/>
          <w:sz w:val="20"/>
          <w:szCs w:val="20"/>
        </w:rPr>
        <w:t>ament</w:t>
      </w:r>
      <w:r w:rsidRPr="00C62DF2">
        <w:rPr>
          <w:rFonts w:ascii="Cambria" w:hAnsi="Cambria"/>
          <w:sz w:val="20"/>
          <w:szCs w:val="20"/>
        </w:rPr>
        <w:t>o humano sob a custódia do Estado é uma norma universalmente aceita no direito internacional. A Declaração Americana contém várias disposições a este respeito. A Comissão interpretou que o artigo I da Declaração (</w:t>
      </w:r>
      <w:r w:rsidR="00113752" w:rsidRPr="00C62DF2">
        <w:rPr>
          <w:rFonts w:ascii="Cambria" w:hAnsi="Cambria"/>
          <w:sz w:val="20"/>
          <w:szCs w:val="20"/>
        </w:rPr>
        <w:t>d</w:t>
      </w:r>
      <w:r w:rsidRPr="00C62DF2">
        <w:rPr>
          <w:rFonts w:ascii="Cambria" w:hAnsi="Cambria"/>
          <w:sz w:val="20"/>
          <w:szCs w:val="20"/>
        </w:rPr>
        <w:t>ireito à vida, à liberdade, à segurança e à integridade da pessoa) contém uma proibição do uso da tortura ou outros trat</w:t>
      </w:r>
      <w:r w:rsidR="00113752" w:rsidRPr="00C62DF2">
        <w:rPr>
          <w:rFonts w:ascii="Cambria" w:hAnsi="Cambria"/>
          <w:sz w:val="20"/>
          <w:szCs w:val="20"/>
        </w:rPr>
        <w:t>ament</w:t>
      </w:r>
      <w:r w:rsidRPr="00C62DF2">
        <w:rPr>
          <w:rFonts w:ascii="Cambria" w:hAnsi="Cambria"/>
          <w:sz w:val="20"/>
          <w:szCs w:val="20"/>
        </w:rPr>
        <w:t xml:space="preserve">os ou penas cruéis, </w:t>
      </w:r>
      <w:r w:rsidRPr="00C62DF2">
        <w:rPr>
          <w:rFonts w:ascii="Cambria" w:hAnsi="Cambria"/>
          <w:sz w:val="20"/>
          <w:szCs w:val="20"/>
        </w:rPr>
        <w:lastRenderedPageBreak/>
        <w:t>desumanos ou degradantes contra as pessoas em qualquer circunstância, similar àquela do artigo 5 da Convenção Americana.</w:t>
      </w:r>
      <w:r w:rsidRPr="00C62DF2">
        <w:rPr>
          <w:rStyle w:val="FootnoteReference"/>
          <w:rFonts w:ascii="Cambria" w:hAnsi="Cambria"/>
          <w:sz w:val="20"/>
          <w:szCs w:val="20"/>
        </w:rPr>
        <w:footnoteReference w:id="131"/>
      </w:r>
      <w:r w:rsidRPr="00C62DF2">
        <w:rPr>
          <w:rFonts w:ascii="Cambria" w:hAnsi="Cambria"/>
          <w:sz w:val="20"/>
          <w:szCs w:val="20"/>
        </w:rPr>
        <w:t xml:space="preserve"> </w:t>
      </w:r>
    </w:p>
    <w:p w14:paraId="6234D0E8" w14:textId="77777777" w:rsidR="00D25674" w:rsidRPr="00C62DF2" w:rsidRDefault="00D25674" w:rsidP="00FC0CB6">
      <w:pPr>
        <w:pStyle w:val="ListParagraph"/>
        <w:ind w:firstLine="0"/>
        <w:rPr>
          <w:rFonts w:cs="Arial"/>
          <w:sz w:val="20"/>
          <w:szCs w:val="20"/>
          <w:lang w:val="pt-BR"/>
        </w:rPr>
      </w:pPr>
    </w:p>
    <w:p w14:paraId="1F3F34DE" w14:textId="68065D4B" w:rsidR="00D25674" w:rsidRPr="00C62DF2" w:rsidRDefault="00D25674" w:rsidP="00FC0CB6">
      <w:pPr>
        <w:numPr>
          <w:ilvl w:val="0"/>
          <w:numId w:val="2"/>
        </w:numPr>
        <w:jc w:val="both"/>
        <w:rPr>
          <w:rFonts w:ascii="Cambria" w:hAnsi="Cambria"/>
          <w:sz w:val="20"/>
          <w:szCs w:val="20"/>
        </w:rPr>
      </w:pPr>
      <w:r w:rsidRPr="00C62DF2">
        <w:rPr>
          <w:rFonts w:ascii="Cambria" w:hAnsi="Cambria" w:cs="Arial"/>
          <w:sz w:val="20"/>
          <w:szCs w:val="20"/>
        </w:rPr>
        <w:t>Tanto a Corte</w:t>
      </w:r>
      <w:r w:rsidRPr="00C62DF2">
        <w:rPr>
          <w:rStyle w:val="FootnoteReference"/>
          <w:rFonts w:ascii="Cambria" w:hAnsi="Cambria"/>
          <w:sz w:val="20"/>
          <w:szCs w:val="20"/>
        </w:rPr>
        <w:footnoteReference w:id="132"/>
      </w:r>
      <w:r w:rsidR="00672C46" w:rsidRPr="00C62DF2">
        <w:rPr>
          <w:rFonts w:ascii="Cambria" w:hAnsi="Cambria" w:cs="Arial"/>
          <w:sz w:val="20"/>
          <w:szCs w:val="20"/>
        </w:rPr>
        <w:t xml:space="preserve">, quanto </w:t>
      </w:r>
      <w:r w:rsidRPr="00C62DF2">
        <w:rPr>
          <w:rFonts w:ascii="Cambria" w:hAnsi="Cambria" w:cs="Arial"/>
          <w:sz w:val="20"/>
          <w:szCs w:val="20"/>
        </w:rPr>
        <w:t xml:space="preserve">a Comissão manifestaram consistentemente que se formou um regime jurídico internacional de proibição absoluta de todas as formas de tortura, proibição que pertence hoje em dia ao domínio do </w:t>
      </w:r>
      <w:r w:rsidRPr="00C62DF2">
        <w:rPr>
          <w:rFonts w:ascii="Cambria" w:hAnsi="Cambria" w:cs="Arial"/>
          <w:i/>
          <w:sz w:val="20"/>
          <w:szCs w:val="20"/>
        </w:rPr>
        <w:t>ius cogens</w:t>
      </w:r>
      <w:r w:rsidRPr="00C62DF2">
        <w:rPr>
          <w:rFonts w:ascii="Cambria" w:hAnsi="Cambria" w:cs="Arial"/>
          <w:sz w:val="20"/>
          <w:szCs w:val="20"/>
        </w:rPr>
        <w:t xml:space="preserve"> i</w:t>
      </w:r>
      <w:r w:rsidRPr="00C62DF2">
        <w:rPr>
          <w:rFonts w:ascii="Cambria" w:hAnsi="Cambria"/>
          <w:sz w:val="20"/>
          <w:szCs w:val="20"/>
        </w:rPr>
        <w:t>nternacional</w:t>
      </w:r>
      <w:r w:rsidRPr="00C62DF2">
        <w:rPr>
          <w:rStyle w:val="FootnoteReference"/>
          <w:rFonts w:ascii="Cambria" w:hAnsi="Cambria" w:cs="Arial"/>
          <w:sz w:val="20"/>
          <w:szCs w:val="20"/>
        </w:rPr>
        <w:footnoteReference w:id="133"/>
      </w:r>
      <w:r w:rsidRPr="00C62DF2">
        <w:rPr>
          <w:rFonts w:ascii="Cambria" w:hAnsi="Cambria" w:cs="Arial"/>
          <w:sz w:val="20"/>
          <w:szCs w:val="20"/>
        </w:rPr>
        <w:t xml:space="preserve">. Além disso, a </w:t>
      </w:r>
      <w:r w:rsidRPr="00C62DF2">
        <w:rPr>
          <w:rFonts w:ascii="Cambria" w:hAnsi="Cambria"/>
          <w:sz w:val="20"/>
          <w:szCs w:val="20"/>
        </w:rPr>
        <w:t xml:space="preserve">Corte Interamericana entendeu que se está </w:t>
      </w:r>
      <w:r w:rsidR="00113752" w:rsidRPr="00C62DF2">
        <w:rPr>
          <w:rFonts w:ascii="Cambria" w:hAnsi="Cambria"/>
          <w:sz w:val="20"/>
          <w:szCs w:val="20"/>
        </w:rPr>
        <w:t>diante de</w:t>
      </w:r>
      <w:r w:rsidRPr="00C62DF2">
        <w:rPr>
          <w:rFonts w:ascii="Cambria" w:hAnsi="Cambria"/>
          <w:sz w:val="20"/>
          <w:szCs w:val="20"/>
        </w:rPr>
        <w:t xml:space="preserve"> um ato constitutivo de tortura quando o</w:t>
      </w:r>
      <w:r w:rsidR="00113752" w:rsidRPr="00C62DF2">
        <w:rPr>
          <w:rFonts w:ascii="Cambria" w:hAnsi="Cambria"/>
          <w:sz w:val="20"/>
          <w:szCs w:val="20"/>
        </w:rPr>
        <w:t>s</w:t>
      </w:r>
      <w:r w:rsidRPr="00C62DF2">
        <w:rPr>
          <w:rFonts w:ascii="Cambria" w:hAnsi="Cambria"/>
          <w:sz w:val="20"/>
          <w:szCs w:val="20"/>
        </w:rPr>
        <w:t xml:space="preserve"> mau</w:t>
      </w:r>
      <w:r w:rsidR="00113752" w:rsidRPr="00C62DF2">
        <w:rPr>
          <w:rFonts w:ascii="Cambria" w:hAnsi="Cambria"/>
          <w:sz w:val="20"/>
          <w:szCs w:val="20"/>
        </w:rPr>
        <w:t>s-</w:t>
      </w:r>
      <w:r w:rsidRPr="00C62DF2">
        <w:rPr>
          <w:rFonts w:ascii="Cambria" w:hAnsi="Cambria"/>
          <w:sz w:val="20"/>
          <w:szCs w:val="20"/>
        </w:rPr>
        <w:t>trato</w:t>
      </w:r>
      <w:r w:rsidR="00113752" w:rsidRPr="00C62DF2">
        <w:rPr>
          <w:rFonts w:ascii="Cambria" w:hAnsi="Cambria"/>
          <w:sz w:val="20"/>
          <w:szCs w:val="20"/>
        </w:rPr>
        <w:t>s</w:t>
      </w:r>
      <w:r w:rsidRPr="00C62DF2">
        <w:rPr>
          <w:rFonts w:ascii="Cambria" w:hAnsi="Cambria"/>
          <w:sz w:val="20"/>
          <w:szCs w:val="20"/>
        </w:rPr>
        <w:t xml:space="preserve">: a) </w:t>
      </w:r>
      <w:r w:rsidR="00113752" w:rsidRPr="00C62DF2">
        <w:rPr>
          <w:rFonts w:ascii="Cambria" w:hAnsi="Cambria"/>
          <w:sz w:val="20"/>
          <w:szCs w:val="20"/>
        </w:rPr>
        <w:t>são</w:t>
      </w:r>
      <w:r w:rsidRPr="00C62DF2">
        <w:rPr>
          <w:rFonts w:ascii="Cambria" w:hAnsi="Cambria"/>
          <w:sz w:val="20"/>
          <w:szCs w:val="20"/>
        </w:rPr>
        <w:t xml:space="preserve"> intenciona</w:t>
      </w:r>
      <w:r w:rsidR="00113752" w:rsidRPr="00C62DF2">
        <w:rPr>
          <w:rFonts w:ascii="Cambria" w:hAnsi="Cambria"/>
          <w:sz w:val="20"/>
          <w:szCs w:val="20"/>
        </w:rPr>
        <w:t>is</w:t>
      </w:r>
      <w:r w:rsidRPr="00C62DF2">
        <w:rPr>
          <w:rFonts w:ascii="Cambria" w:hAnsi="Cambria"/>
          <w:sz w:val="20"/>
          <w:szCs w:val="20"/>
        </w:rPr>
        <w:t>; b) causa</w:t>
      </w:r>
      <w:r w:rsidR="00113752" w:rsidRPr="00C62DF2">
        <w:rPr>
          <w:rFonts w:ascii="Cambria" w:hAnsi="Cambria"/>
          <w:sz w:val="20"/>
          <w:szCs w:val="20"/>
        </w:rPr>
        <w:t>m</w:t>
      </w:r>
      <w:r w:rsidRPr="00C62DF2">
        <w:rPr>
          <w:rFonts w:ascii="Cambria" w:hAnsi="Cambria"/>
          <w:sz w:val="20"/>
          <w:szCs w:val="20"/>
        </w:rPr>
        <w:t xml:space="preserve"> severos sofrimentos físicos ou mentais</w:t>
      </w:r>
      <w:r w:rsidR="004E34BD" w:rsidRPr="00C62DF2">
        <w:rPr>
          <w:rFonts w:ascii="Cambria" w:hAnsi="Cambria"/>
          <w:sz w:val="20"/>
          <w:szCs w:val="20"/>
        </w:rPr>
        <w:t>;</w:t>
      </w:r>
      <w:r w:rsidRPr="00C62DF2">
        <w:rPr>
          <w:rFonts w:ascii="Cambria" w:hAnsi="Cambria"/>
          <w:sz w:val="20"/>
          <w:szCs w:val="20"/>
        </w:rPr>
        <w:t xml:space="preserve"> e c) s</w:t>
      </w:r>
      <w:r w:rsidR="00113752" w:rsidRPr="00C62DF2">
        <w:rPr>
          <w:rFonts w:ascii="Cambria" w:hAnsi="Cambria"/>
          <w:sz w:val="20"/>
          <w:szCs w:val="20"/>
        </w:rPr>
        <w:t>ão</w:t>
      </w:r>
      <w:r w:rsidRPr="00C62DF2">
        <w:rPr>
          <w:rFonts w:ascii="Cambria" w:hAnsi="Cambria"/>
          <w:sz w:val="20"/>
          <w:szCs w:val="20"/>
        </w:rPr>
        <w:t xml:space="preserve"> comet</w:t>
      </w:r>
      <w:r w:rsidR="00113752" w:rsidRPr="00C62DF2">
        <w:rPr>
          <w:rFonts w:ascii="Cambria" w:hAnsi="Cambria"/>
          <w:sz w:val="20"/>
          <w:szCs w:val="20"/>
        </w:rPr>
        <w:t>idos</w:t>
      </w:r>
      <w:r w:rsidRPr="00C62DF2">
        <w:rPr>
          <w:rFonts w:ascii="Cambria" w:hAnsi="Cambria"/>
          <w:sz w:val="20"/>
          <w:szCs w:val="20"/>
        </w:rPr>
        <w:t xml:space="preserve"> com qualquer fim ou propósito,</w:t>
      </w:r>
      <w:r w:rsidRPr="00C62DF2">
        <w:rPr>
          <w:rStyle w:val="FootnoteReference"/>
          <w:rFonts w:ascii="Cambria" w:hAnsi="Cambria"/>
          <w:sz w:val="20"/>
          <w:szCs w:val="20"/>
        </w:rPr>
        <w:footnoteReference w:id="134"/>
      </w:r>
      <w:r w:rsidRPr="00C62DF2">
        <w:rPr>
          <w:rFonts w:ascii="Cambria" w:hAnsi="Cambria"/>
          <w:sz w:val="20"/>
          <w:szCs w:val="20"/>
        </w:rPr>
        <w:t xml:space="preserve"> entre eles, a investigação de </w:t>
      </w:r>
      <w:r w:rsidR="00113752" w:rsidRPr="00C62DF2">
        <w:rPr>
          <w:rFonts w:ascii="Cambria" w:hAnsi="Cambria"/>
          <w:sz w:val="20"/>
          <w:szCs w:val="20"/>
        </w:rPr>
        <w:t>crimes</w:t>
      </w:r>
      <w:r w:rsidRPr="00C62DF2">
        <w:rPr>
          <w:rFonts w:ascii="Cambria" w:hAnsi="Cambria"/>
          <w:sz w:val="20"/>
          <w:szCs w:val="20"/>
        </w:rPr>
        <w:t xml:space="preserve">. </w:t>
      </w:r>
    </w:p>
    <w:p w14:paraId="56DBE14B" w14:textId="77777777" w:rsidR="00D25674" w:rsidRPr="00C62DF2" w:rsidRDefault="00D25674" w:rsidP="00FC0CB6">
      <w:pPr>
        <w:pStyle w:val="ListParagraph"/>
        <w:ind w:firstLine="0"/>
        <w:rPr>
          <w:rFonts w:eastAsia="Times New Roman" w:cs="Times New Roman"/>
          <w:color w:val="auto"/>
          <w:sz w:val="20"/>
          <w:szCs w:val="20"/>
          <w:bdr w:val="none" w:sz="0" w:space="0" w:color="auto"/>
          <w:lang w:val="pt-BR" w:eastAsia="pt-BR"/>
        </w:rPr>
      </w:pPr>
    </w:p>
    <w:p w14:paraId="4C5EE05F" w14:textId="77777777" w:rsidR="00D25674" w:rsidRPr="00C62DF2" w:rsidRDefault="00D25674" w:rsidP="00FC0CB6">
      <w:pPr>
        <w:ind w:left="720"/>
        <w:rPr>
          <w:rFonts w:ascii="Cambria" w:hAnsi="Cambria"/>
          <w:b/>
          <w:bCs/>
          <w:sz w:val="20"/>
          <w:szCs w:val="20"/>
        </w:rPr>
      </w:pPr>
      <w:r w:rsidRPr="00C62DF2">
        <w:rPr>
          <w:rFonts w:ascii="Cambria" w:hAnsi="Cambria"/>
          <w:b/>
          <w:bCs/>
          <w:sz w:val="20"/>
          <w:szCs w:val="20"/>
        </w:rPr>
        <w:t>2. Quanto ao ocorrido a Eduardo Collen Leite</w:t>
      </w:r>
    </w:p>
    <w:p w14:paraId="6ED28C74" w14:textId="77777777" w:rsidR="00D25674" w:rsidRPr="00C62DF2" w:rsidRDefault="00D25674" w:rsidP="00FC0CB6">
      <w:pPr>
        <w:rPr>
          <w:sz w:val="20"/>
          <w:szCs w:val="20"/>
        </w:rPr>
      </w:pPr>
    </w:p>
    <w:p w14:paraId="1E632638" w14:textId="42831BD3"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Em primeiro lugar, a Comissão observa que</w:t>
      </w:r>
      <w:r w:rsidR="009F6550" w:rsidRPr="00C62DF2">
        <w:rPr>
          <w:rFonts w:ascii="Cambria" w:hAnsi="Cambria"/>
          <w:sz w:val="20"/>
          <w:szCs w:val="20"/>
        </w:rPr>
        <w:t>,</w:t>
      </w:r>
      <w:r w:rsidRPr="00C62DF2">
        <w:rPr>
          <w:rFonts w:ascii="Cambria" w:hAnsi="Cambria"/>
          <w:sz w:val="20"/>
          <w:szCs w:val="20"/>
        </w:rPr>
        <w:t xml:space="preserve"> </w:t>
      </w:r>
      <w:r w:rsidR="009F6550" w:rsidRPr="00C62DF2">
        <w:rPr>
          <w:rFonts w:ascii="Cambria" w:hAnsi="Cambria"/>
          <w:sz w:val="20"/>
          <w:szCs w:val="20"/>
        </w:rPr>
        <w:t>conforme</w:t>
      </w:r>
      <w:r w:rsidRPr="00C62DF2">
        <w:rPr>
          <w:rFonts w:ascii="Cambria" w:hAnsi="Cambria"/>
          <w:sz w:val="20"/>
          <w:szCs w:val="20"/>
        </w:rPr>
        <w:t xml:space="preserve"> </w:t>
      </w:r>
      <w:r w:rsidR="009F6550" w:rsidRPr="00C62DF2">
        <w:rPr>
          <w:rFonts w:ascii="Cambria" w:hAnsi="Cambria"/>
          <w:sz w:val="20"/>
          <w:szCs w:val="20"/>
        </w:rPr>
        <w:t>estabeleci</w:t>
      </w:r>
      <w:r w:rsidRPr="00C62DF2">
        <w:rPr>
          <w:rFonts w:ascii="Cambria" w:hAnsi="Cambria"/>
          <w:sz w:val="20"/>
          <w:szCs w:val="20"/>
        </w:rPr>
        <w:t>do nos fatos provados, a detenção de Eduardo Collen Leite ocorreu devido aos supostos atos crimin</w:t>
      </w:r>
      <w:r w:rsidR="009F6550" w:rsidRPr="00C62DF2">
        <w:rPr>
          <w:rFonts w:ascii="Cambria" w:hAnsi="Cambria"/>
          <w:sz w:val="20"/>
          <w:szCs w:val="20"/>
        </w:rPr>
        <w:t>oso</w:t>
      </w:r>
      <w:r w:rsidRPr="00C62DF2">
        <w:rPr>
          <w:rFonts w:ascii="Cambria" w:hAnsi="Cambria"/>
          <w:sz w:val="20"/>
          <w:szCs w:val="20"/>
        </w:rPr>
        <w:t>s de subversão e terrorismo aos quais foi vinculado relacionado</w:t>
      </w:r>
      <w:r w:rsidR="009F6550" w:rsidRPr="00C62DF2">
        <w:rPr>
          <w:rFonts w:ascii="Cambria" w:hAnsi="Cambria"/>
          <w:sz w:val="20"/>
          <w:szCs w:val="20"/>
        </w:rPr>
        <w:t>s</w:t>
      </w:r>
      <w:r w:rsidRPr="00C62DF2">
        <w:rPr>
          <w:rFonts w:ascii="Cambria" w:hAnsi="Cambria"/>
          <w:sz w:val="20"/>
          <w:szCs w:val="20"/>
        </w:rPr>
        <w:t xml:space="preserve"> com suas ações contra a ditadura civil</w:t>
      </w:r>
      <w:r w:rsidR="009F6550" w:rsidRPr="00C62DF2">
        <w:rPr>
          <w:rFonts w:ascii="Cambria" w:hAnsi="Cambria"/>
          <w:sz w:val="20"/>
          <w:szCs w:val="20"/>
        </w:rPr>
        <w:t>-</w:t>
      </w:r>
      <w:r w:rsidRPr="00C62DF2">
        <w:rPr>
          <w:rFonts w:ascii="Cambria" w:hAnsi="Cambria"/>
          <w:sz w:val="20"/>
          <w:szCs w:val="20"/>
        </w:rPr>
        <w:t>militar brasileira. Não obstante, não existem indícios de uma ordem de detenção, flagra</w:t>
      </w:r>
      <w:r w:rsidR="009F6550" w:rsidRPr="00C62DF2">
        <w:rPr>
          <w:rFonts w:ascii="Cambria" w:hAnsi="Cambria"/>
          <w:sz w:val="20"/>
          <w:szCs w:val="20"/>
        </w:rPr>
        <w:t>nte</w:t>
      </w:r>
      <w:r w:rsidRPr="00C62DF2">
        <w:rPr>
          <w:rFonts w:ascii="Cambria" w:hAnsi="Cambria"/>
          <w:sz w:val="20"/>
          <w:szCs w:val="20"/>
        </w:rPr>
        <w:t xml:space="preserve"> ou</w:t>
      </w:r>
      <w:r w:rsidR="009F6550" w:rsidRPr="00C62DF2">
        <w:rPr>
          <w:rFonts w:ascii="Cambria" w:hAnsi="Cambria"/>
          <w:sz w:val="20"/>
          <w:szCs w:val="20"/>
        </w:rPr>
        <w:t xml:space="preserve"> </w:t>
      </w:r>
      <w:r w:rsidRPr="00C62DF2">
        <w:rPr>
          <w:rFonts w:ascii="Cambria" w:hAnsi="Cambria"/>
          <w:sz w:val="20"/>
          <w:szCs w:val="20"/>
        </w:rPr>
        <w:t>que conhec</w:t>
      </w:r>
      <w:r w:rsidR="009F6550" w:rsidRPr="00C62DF2">
        <w:rPr>
          <w:rFonts w:ascii="Cambria" w:hAnsi="Cambria"/>
          <w:sz w:val="20"/>
          <w:szCs w:val="20"/>
        </w:rPr>
        <w:t>ia</w:t>
      </w:r>
      <w:r w:rsidRPr="00C62DF2">
        <w:rPr>
          <w:rFonts w:ascii="Cambria" w:hAnsi="Cambria"/>
          <w:sz w:val="20"/>
          <w:szCs w:val="20"/>
        </w:rPr>
        <w:t xml:space="preserve"> os motivos e razões da detenção </w:t>
      </w:r>
      <w:r w:rsidR="00174328" w:rsidRPr="00C62DF2">
        <w:rPr>
          <w:rFonts w:ascii="Cambria" w:hAnsi="Cambria"/>
          <w:sz w:val="20"/>
          <w:szCs w:val="20"/>
        </w:rPr>
        <w:t>quando</w:t>
      </w:r>
      <w:r w:rsidRPr="00C62DF2">
        <w:rPr>
          <w:rFonts w:ascii="Cambria" w:hAnsi="Cambria"/>
          <w:sz w:val="20"/>
          <w:szCs w:val="20"/>
        </w:rPr>
        <w:t xml:space="preserve"> esta aconteceu, já que Eduardo Collen Leite foi </w:t>
      </w:r>
      <w:r w:rsidR="00174328" w:rsidRPr="00C62DF2">
        <w:rPr>
          <w:rFonts w:ascii="Cambria" w:hAnsi="Cambria"/>
          <w:sz w:val="20"/>
          <w:szCs w:val="20"/>
        </w:rPr>
        <w:t>agredido</w:t>
      </w:r>
      <w:r w:rsidRPr="00C62DF2">
        <w:rPr>
          <w:rFonts w:ascii="Cambria" w:hAnsi="Cambria"/>
          <w:sz w:val="20"/>
          <w:szCs w:val="20"/>
        </w:rPr>
        <w:t xml:space="preserve"> e</w:t>
      </w:r>
      <w:r w:rsidR="009F6550" w:rsidRPr="00C62DF2">
        <w:rPr>
          <w:rFonts w:ascii="Cambria" w:hAnsi="Cambria"/>
          <w:sz w:val="20"/>
          <w:szCs w:val="20"/>
        </w:rPr>
        <w:t>,</w:t>
      </w:r>
      <w:r w:rsidRPr="00C62DF2">
        <w:rPr>
          <w:rFonts w:ascii="Cambria" w:hAnsi="Cambria"/>
          <w:sz w:val="20"/>
          <w:szCs w:val="20"/>
        </w:rPr>
        <w:t xml:space="preserve"> após sofrer um desmaio, detido. Não consta que foi post</w:t>
      </w:r>
      <w:r w:rsidR="00174328" w:rsidRPr="00C62DF2">
        <w:rPr>
          <w:rFonts w:ascii="Cambria" w:hAnsi="Cambria"/>
          <w:sz w:val="20"/>
          <w:szCs w:val="20"/>
        </w:rPr>
        <w:t>o</w:t>
      </w:r>
      <w:r w:rsidRPr="00C62DF2">
        <w:rPr>
          <w:rFonts w:ascii="Cambria" w:hAnsi="Cambria"/>
          <w:sz w:val="20"/>
          <w:szCs w:val="20"/>
        </w:rPr>
        <w:t xml:space="preserve"> </w:t>
      </w:r>
      <w:r w:rsidR="009F6550" w:rsidRPr="00C62DF2">
        <w:rPr>
          <w:rFonts w:ascii="Cambria" w:hAnsi="Cambria"/>
          <w:sz w:val="20"/>
          <w:szCs w:val="20"/>
        </w:rPr>
        <w:t>à</w:t>
      </w:r>
      <w:r w:rsidRPr="00C62DF2">
        <w:rPr>
          <w:rFonts w:ascii="Cambria" w:hAnsi="Cambria"/>
          <w:sz w:val="20"/>
          <w:szCs w:val="20"/>
        </w:rPr>
        <w:t xml:space="preserve"> disposição do juiz competente sem demora, a fim de que se praticassem as diligências necessárias para o controle judicial da detenção.</w:t>
      </w:r>
    </w:p>
    <w:p w14:paraId="5CBDF15B" w14:textId="77777777" w:rsidR="00D25674" w:rsidRPr="00C62DF2" w:rsidRDefault="00D25674" w:rsidP="00FC0CB6">
      <w:pPr>
        <w:ind w:left="720"/>
        <w:jc w:val="both"/>
        <w:rPr>
          <w:rFonts w:ascii="Cambria" w:hAnsi="Cambria"/>
          <w:sz w:val="20"/>
          <w:szCs w:val="20"/>
        </w:rPr>
      </w:pPr>
    </w:p>
    <w:p w14:paraId="7DE1270B" w14:textId="1937E8C7"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 xml:space="preserve">A Comissão observa que Eduardo Collen Leite esteve privado de liberdade entre 21 de agosto e 8 de dezembro de 1970. A Comissão não conta com informação que indique que durante esse lapso de tempo sua privação de liberdade tivesse sido objeto de um controle judicial, que avaliasse a necessidade de prisão preventiva, </w:t>
      </w:r>
      <w:r w:rsidR="009F6550" w:rsidRPr="00C62DF2">
        <w:rPr>
          <w:rFonts w:ascii="Cambria" w:hAnsi="Cambria"/>
          <w:sz w:val="20"/>
          <w:szCs w:val="20"/>
        </w:rPr>
        <w:t>leva</w:t>
      </w:r>
      <w:r w:rsidRPr="00C62DF2">
        <w:rPr>
          <w:rFonts w:ascii="Cambria" w:hAnsi="Cambria"/>
          <w:sz w:val="20"/>
          <w:szCs w:val="20"/>
        </w:rPr>
        <w:t xml:space="preserve">ndo em conta os fins processuais que deve perseguir, de acordo com os padrões interamericanos. </w:t>
      </w:r>
    </w:p>
    <w:p w14:paraId="41A3BBEB" w14:textId="77777777" w:rsidR="00D25674" w:rsidRPr="00C62DF2" w:rsidRDefault="00D25674" w:rsidP="00FC0CB6">
      <w:pPr>
        <w:pStyle w:val="ListParagraph"/>
        <w:ind w:firstLine="0"/>
        <w:rPr>
          <w:sz w:val="20"/>
          <w:szCs w:val="20"/>
          <w:lang w:val="pt-BR"/>
        </w:rPr>
      </w:pPr>
    </w:p>
    <w:p w14:paraId="416D0801" w14:textId="6F0987AC" w:rsidR="00D25674" w:rsidRPr="00C62DF2" w:rsidRDefault="009F6550" w:rsidP="00FC0CB6">
      <w:pPr>
        <w:numPr>
          <w:ilvl w:val="0"/>
          <w:numId w:val="2"/>
        </w:numPr>
        <w:jc w:val="both"/>
        <w:rPr>
          <w:rFonts w:ascii="Cambria" w:hAnsi="Cambria"/>
          <w:sz w:val="20"/>
          <w:szCs w:val="20"/>
        </w:rPr>
      </w:pPr>
      <w:r w:rsidRPr="00C62DF2">
        <w:rPr>
          <w:rFonts w:ascii="Cambria" w:hAnsi="Cambria"/>
          <w:sz w:val="20"/>
          <w:szCs w:val="20"/>
        </w:rPr>
        <w:t>Tendo e</w:t>
      </w:r>
      <w:r w:rsidR="00D25674" w:rsidRPr="00C62DF2">
        <w:rPr>
          <w:rFonts w:ascii="Cambria" w:hAnsi="Cambria"/>
          <w:sz w:val="20"/>
          <w:szCs w:val="20"/>
        </w:rPr>
        <w:t>m vista</w:t>
      </w:r>
      <w:r w:rsidRPr="00C62DF2">
        <w:rPr>
          <w:rFonts w:ascii="Cambria" w:hAnsi="Cambria"/>
          <w:sz w:val="20"/>
          <w:szCs w:val="20"/>
        </w:rPr>
        <w:t xml:space="preserve"> o indicado anteriormente</w:t>
      </w:r>
      <w:r w:rsidR="00D25674" w:rsidRPr="00C62DF2">
        <w:rPr>
          <w:rFonts w:ascii="Cambria" w:hAnsi="Cambria"/>
          <w:sz w:val="20"/>
          <w:szCs w:val="20"/>
        </w:rPr>
        <w:t xml:space="preserve">, e </w:t>
      </w:r>
      <w:r w:rsidRPr="00C62DF2">
        <w:rPr>
          <w:rFonts w:ascii="Cambria" w:hAnsi="Cambria"/>
          <w:sz w:val="20"/>
          <w:szCs w:val="20"/>
        </w:rPr>
        <w:t xml:space="preserve">o fato de </w:t>
      </w:r>
      <w:r w:rsidR="00D25674" w:rsidRPr="00C62DF2">
        <w:rPr>
          <w:rFonts w:ascii="Cambria" w:hAnsi="Cambria"/>
          <w:sz w:val="20"/>
          <w:szCs w:val="20"/>
        </w:rPr>
        <w:t>que o Estado não controverteu os fatos relacionados com as circunstâncias em que teria acontecido a privação da liberdade, a Comissão nota que o Estado não cumpriu as obrigações estabelecidas nos artigos I e XXV da Declaração Americana, no que se refere à restrição de sua liberdade pessoal.</w:t>
      </w:r>
    </w:p>
    <w:p w14:paraId="0ED8DBD8" w14:textId="77777777" w:rsidR="00D25674" w:rsidRPr="00C62DF2" w:rsidRDefault="00D25674" w:rsidP="00FC0CB6">
      <w:pPr>
        <w:pStyle w:val="ListParagraph"/>
        <w:ind w:firstLine="0"/>
        <w:rPr>
          <w:rStyle w:val="hps"/>
          <w:sz w:val="20"/>
          <w:szCs w:val="20"/>
          <w:lang w:val="pt-BR"/>
        </w:rPr>
      </w:pPr>
    </w:p>
    <w:p w14:paraId="307699E7" w14:textId="3139ADCF"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 xml:space="preserve">Em segundo lugar, a respeito da suposta tortura, a Comissão observa que a Comissão Nacional da Verdade reconheceu que foi torturado por agentes do Estado </w:t>
      </w:r>
      <w:r w:rsidR="009F6550" w:rsidRPr="00C62DF2">
        <w:rPr>
          <w:rFonts w:ascii="Cambria" w:hAnsi="Cambria"/>
          <w:sz w:val="20"/>
          <w:szCs w:val="20"/>
        </w:rPr>
        <w:t xml:space="preserve">durante </w:t>
      </w:r>
      <w:r w:rsidRPr="00C62DF2">
        <w:rPr>
          <w:rFonts w:ascii="Cambria" w:hAnsi="Cambria"/>
          <w:sz w:val="20"/>
          <w:szCs w:val="20"/>
        </w:rPr>
        <w:t xml:space="preserve">os 109 dias em que esteve sob custódia estatal. Tanto essa Comissão como a Comissão Especial de Mortos e Desaparecidos Políticos reconheceram que se aplicou tortura de forma reiterada contra Eduardo Collen Leite no centro de detenção e tortura clandestino do CENIMAR, no </w:t>
      </w:r>
      <w:r w:rsidRPr="00C62DF2">
        <w:rPr>
          <w:rStyle w:val="hps"/>
          <w:rFonts w:ascii="Cambria" w:hAnsi="Cambria"/>
          <w:sz w:val="20"/>
          <w:szCs w:val="20"/>
        </w:rPr>
        <w:t>DOI-CODI do 1</w:t>
      </w:r>
      <w:r w:rsidR="009F6550" w:rsidRPr="00C62DF2">
        <w:rPr>
          <w:rStyle w:val="hps"/>
          <w:rFonts w:ascii="Cambria" w:hAnsi="Cambria"/>
          <w:sz w:val="20"/>
          <w:szCs w:val="20"/>
        </w:rPr>
        <w:t>º</w:t>
      </w:r>
      <w:r w:rsidRPr="00C62DF2">
        <w:rPr>
          <w:rStyle w:val="hps"/>
          <w:rFonts w:ascii="Cambria" w:hAnsi="Cambria"/>
          <w:sz w:val="20"/>
          <w:szCs w:val="20"/>
        </w:rPr>
        <w:t xml:space="preserve"> Exército no Rio de Janeiro, no </w:t>
      </w:r>
      <w:r w:rsidRPr="00C62DF2">
        <w:rPr>
          <w:rStyle w:val="Emphasis"/>
          <w:rFonts w:ascii="Cambria" w:hAnsi="Cambria" w:cs="Arial"/>
          <w:i w:val="0"/>
          <w:sz w:val="20"/>
          <w:szCs w:val="20"/>
        </w:rPr>
        <w:t xml:space="preserve">41º Distrito Policial de São Paulo, no </w:t>
      </w:r>
      <w:r w:rsidRPr="00C62DF2">
        <w:rPr>
          <w:rStyle w:val="Emphasis"/>
          <w:rFonts w:ascii="Cambria" w:hAnsi="Cambria"/>
          <w:i w:val="0"/>
          <w:iCs w:val="0"/>
          <w:sz w:val="20"/>
          <w:szCs w:val="20"/>
        </w:rPr>
        <w:t>DOI-CODI do II Exército e no DEOPS/SP</w:t>
      </w:r>
      <w:r w:rsidRPr="00C62DF2">
        <w:rPr>
          <w:rFonts w:ascii="Cambria" w:hAnsi="Cambria"/>
          <w:sz w:val="20"/>
          <w:szCs w:val="20"/>
        </w:rPr>
        <w:t xml:space="preserve">. </w:t>
      </w:r>
      <w:r w:rsidR="009F6550" w:rsidRPr="00C62DF2">
        <w:rPr>
          <w:rFonts w:ascii="Cambria" w:hAnsi="Cambria"/>
          <w:sz w:val="20"/>
          <w:szCs w:val="20"/>
        </w:rPr>
        <w:t>Segundo a</w:t>
      </w:r>
      <w:r w:rsidRPr="00C62DF2">
        <w:rPr>
          <w:rFonts w:ascii="Cambria" w:hAnsi="Cambria"/>
          <w:sz w:val="20"/>
          <w:szCs w:val="20"/>
        </w:rPr>
        <w:t xml:space="preserve">s declarações de testemunhas </w:t>
      </w:r>
      <w:r w:rsidR="009F6550" w:rsidRPr="00C62DF2">
        <w:rPr>
          <w:rFonts w:ascii="Cambria" w:hAnsi="Cambria"/>
          <w:sz w:val="20"/>
          <w:szCs w:val="20"/>
        </w:rPr>
        <w:t>obtidas</w:t>
      </w:r>
      <w:r w:rsidRPr="00C62DF2">
        <w:rPr>
          <w:rFonts w:ascii="Cambria" w:hAnsi="Cambria"/>
          <w:sz w:val="20"/>
          <w:szCs w:val="20"/>
        </w:rPr>
        <w:t xml:space="preserve"> pela Comissão Especial de Mortos e Desaparecidos Políticos</w:t>
      </w:r>
      <w:r w:rsidR="009F6550" w:rsidRPr="00C62DF2">
        <w:rPr>
          <w:rFonts w:ascii="Cambria" w:hAnsi="Cambria"/>
          <w:sz w:val="20"/>
          <w:szCs w:val="20"/>
        </w:rPr>
        <w:t>,</w:t>
      </w:r>
      <w:r w:rsidRPr="00C62DF2">
        <w:rPr>
          <w:rFonts w:ascii="Cambria" w:hAnsi="Cambria" w:cs="Arial"/>
          <w:sz w:val="20"/>
          <w:szCs w:val="20"/>
        </w:rPr>
        <w:t xml:space="preserve"> Eduardo perdeu os movimentos das pernas em razão das torturas a que foi submetido no CENIMAR. Além disso, indicaram que</w:t>
      </w:r>
      <w:r w:rsidR="009F6550" w:rsidRPr="00C62DF2">
        <w:rPr>
          <w:rFonts w:ascii="Cambria" w:hAnsi="Cambria" w:cs="Arial"/>
          <w:sz w:val="20"/>
          <w:szCs w:val="20"/>
        </w:rPr>
        <w:t xml:space="preserve">, após </w:t>
      </w:r>
      <w:r w:rsidRPr="00C62DF2">
        <w:rPr>
          <w:rFonts w:ascii="Cambria" w:hAnsi="Cambria" w:cs="Arial"/>
          <w:sz w:val="20"/>
          <w:szCs w:val="20"/>
        </w:rPr>
        <w:t>cheg</w:t>
      </w:r>
      <w:r w:rsidR="009F6550" w:rsidRPr="00C62DF2">
        <w:rPr>
          <w:rFonts w:ascii="Cambria" w:hAnsi="Cambria" w:cs="Arial"/>
          <w:sz w:val="20"/>
          <w:szCs w:val="20"/>
        </w:rPr>
        <w:t>ar</w:t>
      </w:r>
      <w:r w:rsidRPr="00C62DF2">
        <w:rPr>
          <w:rFonts w:ascii="Cambria" w:hAnsi="Cambria" w:cs="Arial"/>
          <w:sz w:val="20"/>
          <w:szCs w:val="20"/>
        </w:rPr>
        <w:t xml:space="preserve"> ao referido centro clandestino, os militares lhe disseram que iam matá-lo. </w:t>
      </w:r>
      <w:r w:rsidR="009F6550" w:rsidRPr="00C62DF2">
        <w:rPr>
          <w:rFonts w:ascii="Cambria" w:hAnsi="Cambria" w:cs="Arial"/>
          <w:sz w:val="20"/>
          <w:szCs w:val="20"/>
        </w:rPr>
        <w:t>Além d</w:t>
      </w:r>
      <w:r w:rsidRPr="00C62DF2">
        <w:rPr>
          <w:rFonts w:ascii="Cambria" w:hAnsi="Cambria" w:cs="Arial"/>
          <w:sz w:val="20"/>
          <w:szCs w:val="20"/>
        </w:rPr>
        <w:t xml:space="preserve">isso, testemunhas afirmaram que era possível ver as marcas de tortura em seu corpo quando chegou ao DOI-CODI (ver supra par. </w:t>
      </w:r>
      <w:r w:rsidR="008417AF" w:rsidRPr="00C62DF2">
        <w:rPr>
          <w:rFonts w:ascii="Cambria" w:hAnsi="Cambria" w:cs="Arial"/>
          <w:sz w:val="20"/>
          <w:szCs w:val="20"/>
        </w:rPr>
        <w:t>55</w:t>
      </w:r>
      <w:r w:rsidRPr="00C62DF2">
        <w:rPr>
          <w:rFonts w:ascii="Cambria" w:hAnsi="Cambria" w:cs="Arial"/>
          <w:sz w:val="20"/>
          <w:szCs w:val="20"/>
        </w:rPr>
        <w:t>).</w:t>
      </w:r>
      <w:r w:rsidRPr="00C62DF2">
        <w:rPr>
          <w:rStyle w:val="Emphasis"/>
          <w:rFonts w:ascii="Cambria" w:hAnsi="Cambria"/>
          <w:i w:val="0"/>
          <w:iCs w:val="0"/>
          <w:sz w:val="20"/>
          <w:szCs w:val="20"/>
        </w:rPr>
        <w:t xml:space="preserve"> Finalmente, a CIDH toma nota </w:t>
      </w:r>
      <w:r w:rsidR="009F6550" w:rsidRPr="00C62DF2">
        <w:rPr>
          <w:rStyle w:val="Emphasis"/>
          <w:rFonts w:ascii="Cambria" w:hAnsi="Cambria"/>
          <w:i w:val="0"/>
          <w:iCs w:val="0"/>
          <w:sz w:val="20"/>
          <w:szCs w:val="20"/>
        </w:rPr>
        <w:t xml:space="preserve">de </w:t>
      </w:r>
      <w:r w:rsidRPr="00C62DF2">
        <w:rPr>
          <w:rStyle w:val="Emphasis"/>
          <w:rFonts w:ascii="Cambria" w:hAnsi="Cambria"/>
          <w:i w:val="0"/>
          <w:iCs w:val="0"/>
          <w:sz w:val="20"/>
          <w:szCs w:val="20"/>
        </w:rPr>
        <w:t>que a Comissão de Anistia reconheceu que a morte de “Bacuri” é a mais terrível de toda a ditadura brasileira.</w:t>
      </w:r>
    </w:p>
    <w:p w14:paraId="50FB01BE" w14:textId="77777777" w:rsidR="00D25674" w:rsidRPr="00C62DF2" w:rsidRDefault="00D25674" w:rsidP="00FC0CB6">
      <w:pPr>
        <w:pStyle w:val="ListParagraph"/>
        <w:ind w:firstLine="0"/>
        <w:rPr>
          <w:sz w:val="20"/>
          <w:szCs w:val="20"/>
          <w:lang w:val="pt-BR"/>
        </w:rPr>
      </w:pPr>
    </w:p>
    <w:p w14:paraId="487EB329" w14:textId="4F3149A3"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Uma vez analisados os aspectos anteriores, a Comissão conclui que Eduardo Collen sofreu em várias ocasiões múltiplas agressões que tiveram a mais severa gravidade</w:t>
      </w:r>
      <w:r w:rsidR="009F6550" w:rsidRPr="00C62DF2">
        <w:rPr>
          <w:rFonts w:ascii="Cambria" w:hAnsi="Cambria"/>
          <w:sz w:val="20"/>
          <w:szCs w:val="20"/>
        </w:rPr>
        <w:t>,</w:t>
      </w:r>
      <w:r w:rsidRPr="00C62DF2">
        <w:rPr>
          <w:rFonts w:ascii="Cambria" w:hAnsi="Cambria"/>
          <w:sz w:val="20"/>
          <w:szCs w:val="20"/>
        </w:rPr>
        <w:t xml:space="preserve"> </w:t>
      </w:r>
      <w:r w:rsidR="009F6550" w:rsidRPr="00C62DF2">
        <w:rPr>
          <w:rFonts w:ascii="Cambria" w:hAnsi="Cambria"/>
          <w:sz w:val="20"/>
          <w:szCs w:val="20"/>
        </w:rPr>
        <w:t>prov</w:t>
      </w:r>
      <w:r w:rsidRPr="00C62DF2">
        <w:rPr>
          <w:rFonts w:ascii="Cambria" w:hAnsi="Cambria"/>
          <w:sz w:val="20"/>
          <w:szCs w:val="20"/>
        </w:rPr>
        <w:t xml:space="preserve">ocando grande dor e sofrimento. De acordo com o contexto antes assinalado e a prova disponível </w:t>
      </w:r>
      <w:r w:rsidRPr="00C62DF2">
        <w:rPr>
          <w:rFonts w:ascii="Cambria" w:hAnsi="Cambria"/>
          <w:i/>
          <w:iCs/>
          <w:sz w:val="20"/>
          <w:szCs w:val="20"/>
        </w:rPr>
        <w:t xml:space="preserve">supra </w:t>
      </w:r>
      <w:r w:rsidR="008417AF" w:rsidRPr="00C62DF2">
        <w:rPr>
          <w:rFonts w:ascii="Cambria" w:hAnsi="Cambria"/>
          <w:i/>
          <w:iCs/>
          <w:sz w:val="20"/>
          <w:szCs w:val="20"/>
        </w:rPr>
        <w:t>28, 36-38, 40, 52-58</w:t>
      </w:r>
      <w:r w:rsidRPr="00C62DF2">
        <w:rPr>
          <w:rFonts w:ascii="Cambria" w:hAnsi="Cambria"/>
          <w:i/>
          <w:iCs/>
          <w:sz w:val="20"/>
          <w:szCs w:val="20"/>
        </w:rPr>
        <w:t>,</w:t>
      </w:r>
      <w:r w:rsidRPr="00C62DF2">
        <w:rPr>
          <w:rFonts w:ascii="Cambria" w:hAnsi="Cambria"/>
          <w:sz w:val="20"/>
          <w:szCs w:val="20"/>
        </w:rPr>
        <w:t xml:space="preserve"> tais </w:t>
      </w:r>
      <w:r w:rsidR="009F6550" w:rsidRPr="00C62DF2">
        <w:rPr>
          <w:rFonts w:ascii="Cambria" w:hAnsi="Cambria"/>
          <w:sz w:val="20"/>
          <w:szCs w:val="20"/>
        </w:rPr>
        <w:t>viol</w:t>
      </w:r>
      <w:r w:rsidRPr="00C62DF2">
        <w:rPr>
          <w:rFonts w:ascii="Cambria" w:hAnsi="Cambria"/>
          <w:sz w:val="20"/>
          <w:szCs w:val="20"/>
        </w:rPr>
        <w:t xml:space="preserve">ações eram realizadas como um padrão utilizado por agentes estatais com o propósito de castigar as pessoas que realizavam atividades de resistência e enviar uma mensagem sobre o que “a ditadura poderia fazer” (ver supra </w:t>
      </w:r>
      <w:r w:rsidRPr="00C62DF2">
        <w:rPr>
          <w:rFonts w:ascii="Cambria" w:hAnsi="Cambria"/>
          <w:sz w:val="20"/>
          <w:szCs w:val="20"/>
        </w:rPr>
        <w:lastRenderedPageBreak/>
        <w:t xml:space="preserve">par. </w:t>
      </w:r>
      <w:r w:rsidR="008417AF" w:rsidRPr="00C62DF2">
        <w:rPr>
          <w:rFonts w:ascii="Cambria" w:hAnsi="Cambria"/>
          <w:sz w:val="20"/>
          <w:szCs w:val="20"/>
        </w:rPr>
        <w:t>57</w:t>
      </w:r>
      <w:r w:rsidRPr="00C62DF2">
        <w:rPr>
          <w:rFonts w:ascii="Cambria" w:hAnsi="Cambria"/>
          <w:sz w:val="20"/>
          <w:szCs w:val="20"/>
        </w:rPr>
        <w:t xml:space="preserve">). Nestas circunstâncias, a Comissão observa que se tratou de uma atuação estatal </w:t>
      </w:r>
      <w:r w:rsidR="00940607" w:rsidRPr="00C62DF2">
        <w:rPr>
          <w:rFonts w:ascii="Cambria" w:hAnsi="Cambria"/>
          <w:sz w:val="20"/>
          <w:szCs w:val="20"/>
        </w:rPr>
        <w:t>de</w:t>
      </w:r>
      <w:r w:rsidRPr="00C62DF2">
        <w:rPr>
          <w:rFonts w:ascii="Cambria" w:hAnsi="Cambria"/>
          <w:sz w:val="20"/>
          <w:szCs w:val="20"/>
        </w:rPr>
        <w:t xml:space="preserve"> caráter deliberado com um fim ou propósito, estando presentes os elementos para considerar que o ocorrido à vítima deve ser qualificado como tortura.</w:t>
      </w:r>
    </w:p>
    <w:p w14:paraId="3FABFD44" w14:textId="77777777" w:rsidR="00D25674" w:rsidRPr="00C62DF2" w:rsidRDefault="00D25674" w:rsidP="00FC0CB6">
      <w:pPr>
        <w:pStyle w:val="ListParagraph"/>
        <w:ind w:firstLine="0"/>
        <w:rPr>
          <w:sz w:val="20"/>
          <w:szCs w:val="20"/>
          <w:lang w:val="pt-BR"/>
        </w:rPr>
      </w:pPr>
    </w:p>
    <w:p w14:paraId="441FFD95" w14:textId="392A67E1" w:rsidR="00D25674" w:rsidRPr="00C62DF2" w:rsidRDefault="00D25674" w:rsidP="00FC0CB6">
      <w:pPr>
        <w:numPr>
          <w:ilvl w:val="0"/>
          <w:numId w:val="2"/>
        </w:numPr>
        <w:jc w:val="both"/>
        <w:rPr>
          <w:rStyle w:val="Emphasis"/>
          <w:rFonts w:ascii="Cambria" w:hAnsi="Cambria"/>
          <w:i w:val="0"/>
          <w:iCs w:val="0"/>
          <w:sz w:val="20"/>
          <w:szCs w:val="20"/>
        </w:rPr>
      </w:pPr>
      <w:r w:rsidRPr="00C62DF2">
        <w:rPr>
          <w:rFonts w:ascii="Cambria" w:hAnsi="Cambria"/>
          <w:sz w:val="20"/>
          <w:szCs w:val="20"/>
        </w:rPr>
        <w:t xml:space="preserve">Finalmente, quanto à morte da suposta vítima, a Comissão ressalta que </w:t>
      </w:r>
      <w:r w:rsidR="00940607" w:rsidRPr="00C62DF2">
        <w:rPr>
          <w:rFonts w:ascii="Cambria" w:hAnsi="Cambria"/>
          <w:sz w:val="20"/>
          <w:szCs w:val="20"/>
        </w:rPr>
        <w:t>ocorreu</w:t>
      </w:r>
      <w:r w:rsidRPr="00C62DF2">
        <w:rPr>
          <w:rStyle w:val="Emphasis"/>
          <w:rFonts w:ascii="Cambria" w:hAnsi="Cambria"/>
          <w:i w:val="0"/>
          <w:iCs w:val="0"/>
          <w:sz w:val="20"/>
          <w:szCs w:val="20"/>
        </w:rPr>
        <w:t xml:space="preserve"> enquanto estava sob a custódia do Estado, que tinha uma posição de especial </w:t>
      </w:r>
      <w:r w:rsidR="00940607" w:rsidRPr="00C62DF2">
        <w:rPr>
          <w:rStyle w:val="Emphasis"/>
          <w:rFonts w:ascii="Cambria" w:hAnsi="Cambria"/>
          <w:i w:val="0"/>
          <w:iCs w:val="0"/>
          <w:sz w:val="20"/>
          <w:szCs w:val="20"/>
        </w:rPr>
        <w:t>fiador</w:t>
      </w:r>
      <w:r w:rsidRPr="00C62DF2">
        <w:rPr>
          <w:rStyle w:val="Emphasis"/>
          <w:rFonts w:ascii="Cambria" w:hAnsi="Cambria"/>
          <w:i w:val="0"/>
          <w:iCs w:val="0"/>
          <w:sz w:val="20"/>
          <w:szCs w:val="20"/>
        </w:rPr>
        <w:t xml:space="preserve"> de seus direitos e devia oferecer uma explicação sobre o ocorrido, existindo, portanto, uma presunção da atribuição de sua morte ao Estado. A </w:t>
      </w:r>
      <w:r w:rsidRPr="00C62DF2">
        <w:rPr>
          <w:rFonts w:ascii="Cambria" w:hAnsi="Cambria"/>
          <w:sz w:val="20"/>
          <w:szCs w:val="20"/>
        </w:rPr>
        <w:t>Comissão nota que, de acordo com a versão sustentada inicialmente pelos militares, sua morte teria ocorrido</w:t>
      </w:r>
      <w:r w:rsidRPr="00C62DF2">
        <w:rPr>
          <w:rStyle w:val="Emphasis"/>
          <w:rFonts w:ascii="Cambria" w:hAnsi="Cambria"/>
          <w:i w:val="0"/>
          <w:iCs w:val="0"/>
          <w:sz w:val="20"/>
          <w:szCs w:val="20"/>
        </w:rPr>
        <w:t xml:space="preserve"> </w:t>
      </w:r>
      <w:r w:rsidR="00940607" w:rsidRPr="00C62DF2">
        <w:rPr>
          <w:rStyle w:val="Emphasis"/>
          <w:rFonts w:ascii="Cambria" w:hAnsi="Cambria"/>
          <w:i w:val="0"/>
          <w:iCs w:val="0"/>
          <w:sz w:val="20"/>
          <w:szCs w:val="20"/>
        </w:rPr>
        <w:t xml:space="preserve">durante </w:t>
      </w:r>
      <w:r w:rsidRPr="00C62DF2">
        <w:rPr>
          <w:rFonts w:ascii="Cambria" w:hAnsi="Cambria"/>
          <w:sz w:val="20"/>
          <w:szCs w:val="20"/>
        </w:rPr>
        <w:t>um tiroteio</w:t>
      </w:r>
      <w:r w:rsidRPr="00C62DF2">
        <w:rPr>
          <w:rStyle w:val="Emphasis"/>
          <w:rFonts w:ascii="Cambria" w:hAnsi="Cambria"/>
          <w:i w:val="0"/>
          <w:iCs w:val="0"/>
          <w:sz w:val="20"/>
          <w:szCs w:val="20"/>
        </w:rPr>
        <w:t xml:space="preserve"> na cidade de São Sebastião, em São Paulo. Não obstante isso, a CNV determinou que sua morte foi resultado de uma ordem </w:t>
      </w:r>
      <w:r w:rsidR="00940607" w:rsidRPr="00C62DF2">
        <w:rPr>
          <w:rStyle w:val="Emphasis"/>
          <w:rFonts w:ascii="Cambria" w:hAnsi="Cambria"/>
          <w:i w:val="0"/>
          <w:iCs w:val="0"/>
          <w:sz w:val="20"/>
          <w:szCs w:val="20"/>
        </w:rPr>
        <w:t>expe</w:t>
      </w:r>
      <w:r w:rsidRPr="00C62DF2">
        <w:rPr>
          <w:rStyle w:val="Emphasis"/>
          <w:rFonts w:ascii="Cambria" w:hAnsi="Cambria"/>
          <w:i w:val="0"/>
          <w:iCs w:val="0"/>
          <w:sz w:val="20"/>
          <w:szCs w:val="20"/>
        </w:rPr>
        <w:t xml:space="preserve">dida por um coronel, com a finalidade de que não fosse solicitada sua </w:t>
      </w:r>
      <w:r w:rsidR="00940607" w:rsidRPr="00C62DF2">
        <w:rPr>
          <w:rStyle w:val="Emphasis"/>
          <w:rFonts w:ascii="Cambria" w:hAnsi="Cambria"/>
          <w:i w:val="0"/>
          <w:iCs w:val="0"/>
          <w:sz w:val="20"/>
          <w:szCs w:val="20"/>
        </w:rPr>
        <w:t>liberdade</w:t>
      </w:r>
      <w:r w:rsidRPr="00C62DF2">
        <w:rPr>
          <w:rStyle w:val="Emphasis"/>
          <w:rFonts w:ascii="Cambria" w:hAnsi="Cambria"/>
          <w:i w:val="0"/>
          <w:iCs w:val="0"/>
          <w:sz w:val="20"/>
          <w:szCs w:val="20"/>
        </w:rPr>
        <w:t xml:space="preserve"> para a liberação de um embaixador que </w:t>
      </w:r>
      <w:r w:rsidR="00940607" w:rsidRPr="00C62DF2">
        <w:rPr>
          <w:rStyle w:val="Emphasis"/>
          <w:rFonts w:ascii="Cambria" w:hAnsi="Cambria"/>
          <w:i w:val="0"/>
          <w:iCs w:val="0"/>
          <w:sz w:val="20"/>
          <w:szCs w:val="20"/>
        </w:rPr>
        <w:t>havia sido</w:t>
      </w:r>
      <w:r w:rsidRPr="00C62DF2">
        <w:rPr>
          <w:rStyle w:val="Emphasis"/>
          <w:rFonts w:ascii="Cambria" w:hAnsi="Cambria"/>
          <w:i w:val="0"/>
          <w:iCs w:val="0"/>
          <w:sz w:val="20"/>
          <w:szCs w:val="20"/>
        </w:rPr>
        <w:t xml:space="preserve"> sequestrado. A Comissão nota que o Estado no processo </w:t>
      </w:r>
      <w:r w:rsidR="00940607" w:rsidRPr="00C62DF2">
        <w:rPr>
          <w:rStyle w:val="Emphasis"/>
          <w:rFonts w:ascii="Cambria" w:hAnsi="Cambria"/>
          <w:i w:val="0"/>
          <w:iCs w:val="0"/>
          <w:sz w:val="20"/>
          <w:szCs w:val="20"/>
        </w:rPr>
        <w:t>per</w:t>
      </w:r>
      <w:r w:rsidRPr="00C62DF2">
        <w:rPr>
          <w:rStyle w:val="Emphasis"/>
          <w:rFonts w:ascii="Cambria" w:hAnsi="Cambria"/>
          <w:i w:val="0"/>
          <w:iCs w:val="0"/>
          <w:sz w:val="20"/>
          <w:szCs w:val="20"/>
        </w:rPr>
        <w:t xml:space="preserve">ante a Comissão não contradisse essa determinação da CNV. Além disso, a investigação interna foi concluída pela aplicação da figura da prescrição, de forma que não se determinou nenhuma hipótese alternativa, nem do </w:t>
      </w:r>
      <w:r w:rsidR="00940607" w:rsidRPr="00C62DF2">
        <w:rPr>
          <w:rStyle w:val="Emphasis"/>
          <w:rFonts w:ascii="Cambria" w:hAnsi="Cambria"/>
          <w:i w:val="0"/>
          <w:iCs w:val="0"/>
          <w:sz w:val="20"/>
          <w:szCs w:val="20"/>
        </w:rPr>
        <w:t>processo</w:t>
      </w:r>
      <w:r w:rsidRPr="00C62DF2">
        <w:rPr>
          <w:rStyle w:val="Emphasis"/>
          <w:rFonts w:ascii="Cambria" w:hAnsi="Cambria"/>
          <w:i w:val="0"/>
          <w:iCs w:val="0"/>
          <w:sz w:val="20"/>
          <w:szCs w:val="20"/>
        </w:rPr>
        <w:t xml:space="preserve"> disponível se depr</w:t>
      </w:r>
      <w:r w:rsidR="00940607" w:rsidRPr="00C62DF2">
        <w:rPr>
          <w:rStyle w:val="Emphasis"/>
          <w:rFonts w:ascii="Cambria" w:hAnsi="Cambria"/>
          <w:i w:val="0"/>
          <w:iCs w:val="0"/>
          <w:sz w:val="20"/>
          <w:szCs w:val="20"/>
        </w:rPr>
        <w:t>e</w:t>
      </w:r>
      <w:r w:rsidRPr="00C62DF2">
        <w:rPr>
          <w:rStyle w:val="Emphasis"/>
          <w:rFonts w:ascii="Cambria" w:hAnsi="Cambria"/>
          <w:i w:val="0"/>
          <w:iCs w:val="0"/>
          <w:sz w:val="20"/>
          <w:szCs w:val="20"/>
        </w:rPr>
        <w:t>endem elementos em outro sentido. Finalmente, a Comissão nota que o acobertamento</w:t>
      </w:r>
      <w:r w:rsidR="00940607" w:rsidRPr="00C62DF2">
        <w:rPr>
          <w:rStyle w:val="Emphasis"/>
          <w:rFonts w:ascii="Cambria" w:hAnsi="Cambria"/>
          <w:i w:val="0"/>
          <w:iCs w:val="0"/>
          <w:sz w:val="20"/>
          <w:szCs w:val="20"/>
        </w:rPr>
        <w:t>, por parte de membros do Exército,</w:t>
      </w:r>
      <w:r w:rsidRPr="00C62DF2">
        <w:rPr>
          <w:rStyle w:val="Emphasis"/>
          <w:rFonts w:ascii="Cambria" w:hAnsi="Cambria"/>
          <w:i w:val="0"/>
          <w:iCs w:val="0"/>
          <w:sz w:val="20"/>
          <w:szCs w:val="20"/>
        </w:rPr>
        <w:t xml:space="preserve"> de assassinatos de pessoas opositoras mediante a hipótese de sua morte em tiroteios ou contextos de fuga foi também ressaltado pela CNV (ver supra par. </w:t>
      </w:r>
      <w:r w:rsidR="008417AF" w:rsidRPr="00C62DF2">
        <w:rPr>
          <w:rStyle w:val="Emphasis"/>
          <w:rFonts w:ascii="Cambria" w:hAnsi="Cambria"/>
          <w:i w:val="0"/>
          <w:iCs w:val="0"/>
          <w:sz w:val="20"/>
          <w:szCs w:val="20"/>
        </w:rPr>
        <w:t>57-67</w:t>
      </w:r>
      <w:r w:rsidRPr="00C62DF2">
        <w:rPr>
          <w:rStyle w:val="Emphasis"/>
          <w:rFonts w:ascii="Cambria" w:hAnsi="Cambria"/>
          <w:i w:val="0"/>
          <w:iCs w:val="0"/>
          <w:sz w:val="20"/>
          <w:szCs w:val="20"/>
        </w:rPr>
        <w:t xml:space="preserve">). </w:t>
      </w:r>
      <w:r w:rsidR="008417AF" w:rsidRPr="00C62DF2">
        <w:rPr>
          <w:rStyle w:val="Emphasis"/>
          <w:rFonts w:ascii="Cambria" w:hAnsi="Cambria"/>
          <w:i w:val="0"/>
          <w:iCs w:val="0"/>
          <w:sz w:val="20"/>
          <w:szCs w:val="20"/>
        </w:rPr>
        <w:t>Consequentemente</w:t>
      </w:r>
      <w:r w:rsidRPr="00C62DF2">
        <w:rPr>
          <w:rStyle w:val="Emphasis"/>
          <w:rFonts w:ascii="Cambria" w:hAnsi="Cambria"/>
          <w:i w:val="0"/>
          <w:iCs w:val="0"/>
          <w:sz w:val="20"/>
          <w:szCs w:val="20"/>
        </w:rPr>
        <w:t xml:space="preserve">, uma vez analisados os anteriores indícios e ante a falta de controvérsia ou de uma explicação por parte do Estado, a Comissão conclui que o ocorrido à vítima se tratou de uma execução extrajudicial. </w:t>
      </w:r>
      <w:r w:rsidRPr="00C62DF2">
        <w:rPr>
          <w:rStyle w:val="Emphasis"/>
          <w:rFonts w:ascii="Cambria" w:hAnsi="Cambria"/>
          <w:i w:val="0"/>
          <w:iCs w:val="0"/>
        </w:rPr>
        <w:t xml:space="preserve"> </w:t>
      </w:r>
    </w:p>
    <w:p w14:paraId="1A501BD7" w14:textId="77777777" w:rsidR="00D25674" w:rsidRPr="00C62DF2" w:rsidRDefault="00D25674" w:rsidP="00FC0CB6">
      <w:pPr>
        <w:pStyle w:val="ListParagraph"/>
        <w:ind w:firstLine="0"/>
        <w:rPr>
          <w:rStyle w:val="Emphasis"/>
          <w:i w:val="0"/>
          <w:iCs w:val="0"/>
          <w:sz w:val="20"/>
          <w:szCs w:val="20"/>
          <w:lang w:val="pt-BR"/>
        </w:rPr>
      </w:pPr>
    </w:p>
    <w:p w14:paraId="0E48D15D" w14:textId="77777777" w:rsidR="00D25674" w:rsidRPr="00C62DF2" w:rsidRDefault="00D25674"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Em consequência, a Comissão conclui que o Estado do Brasil é responsável pela violação dos artigos I e XXV da Declaração Americana em detrimento de Eduardo Collen Leite.</w:t>
      </w:r>
    </w:p>
    <w:p w14:paraId="5077CB9F" w14:textId="77777777" w:rsidR="00D25674" w:rsidRPr="00C62DF2" w:rsidRDefault="00D25674" w:rsidP="00FC0CB6">
      <w:pPr>
        <w:pStyle w:val="Body"/>
        <w:ind w:firstLine="0"/>
        <w:rPr>
          <w:lang w:val="pt-BR" w:eastAsia="es-ES"/>
        </w:rPr>
      </w:pPr>
    </w:p>
    <w:p w14:paraId="1ECB8627" w14:textId="77777777" w:rsidR="00D25674" w:rsidRPr="00C62DF2" w:rsidRDefault="00D25674" w:rsidP="00FC0CB6">
      <w:pPr>
        <w:ind w:left="720"/>
        <w:rPr>
          <w:b/>
          <w:bCs/>
        </w:rPr>
      </w:pPr>
      <w:r w:rsidRPr="00C62DF2">
        <w:rPr>
          <w:rFonts w:ascii="Cambria" w:hAnsi="Cambria"/>
          <w:b/>
          <w:bCs/>
          <w:sz w:val="20"/>
          <w:szCs w:val="20"/>
        </w:rPr>
        <w:t>2. Quanto ao ocorrido a Denise Peres Crispim</w:t>
      </w:r>
    </w:p>
    <w:p w14:paraId="00E65585" w14:textId="77777777" w:rsidR="00D25674" w:rsidRPr="00C62DF2" w:rsidRDefault="00D25674" w:rsidP="00FC0CB6">
      <w:pPr>
        <w:pStyle w:val="Body"/>
        <w:ind w:firstLine="0"/>
        <w:rPr>
          <w:lang w:val="pt-BR" w:eastAsia="es-ES"/>
        </w:rPr>
      </w:pPr>
    </w:p>
    <w:p w14:paraId="1F6B9082" w14:textId="7520A23B"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Levando em conta que a privação da liberdade</w:t>
      </w:r>
      <w:r w:rsidR="00940607" w:rsidRPr="00C62DF2">
        <w:rPr>
          <w:rFonts w:ascii="Cambria" w:hAnsi="Cambria"/>
          <w:sz w:val="20"/>
          <w:szCs w:val="20"/>
        </w:rPr>
        <w:t xml:space="preserve"> e</w:t>
      </w:r>
      <w:r w:rsidRPr="00C62DF2">
        <w:rPr>
          <w:rFonts w:ascii="Cambria" w:hAnsi="Cambria"/>
          <w:sz w:val="20"/>
          <w:szCs w:val="20"/>
        </w:rPr>
        <w:t xml:space="preserve"> as supostas torturas de Denise Peres ocorreram enquanto se encontrava em estado de gravidez, a Comissão considera pertinente realizar algumas considerações a respeito das obrigações estatais relacionadas com a privação da liberdade de mulheres grávidas.</w:t>
      </w:r>
    </w:p>
    <w:p w14:paraId="7C937FC0" w14:textId="77777777" w:rsidR="00D25674" w:rsidRPr="00C62DF2" w:rsidRDefault="00D25674" w:rsidP="00FC0CB6">
      <w:pPr>
        <w:ind w:left="720"/>
        <w:jc w:val="both"/>
        <w:rPr>
          <w:rFonts w:ascii="Cambria" w:hAnsi="Cambria"/>
          <w:sz w:val="20"/>
          <w:szCs w:val="20"/>
        </w:rPr>
      </w:pPr>
    </w:p>
    <w:p w14:paraId="4198DAC1" w14:textId="77777777" w:rsidR="00D25674" w:rsidRPr="00C62DF2" w:rsidRDefault="00D25674" w:rsidP="00FC0CB6">
      <w:pPr>
        <w:pStyle w:val="ListParagraph"/>
        <w:ind w:left="1354" w:firstLine="0"/>
        <w:rPr>
          <w:b/>
          <w:bCs/>
          <w:sz w:val="20"/>
          <w:szCs w:val="20"/>
          <w:lang w:val="pt-BR"/>
        </w:rPr>
      </w:pPr>
      <w:r w:rsidRPr="00C62DF2">
        <w:rPr>
          <w:b/>
          <w:bCs/>
          <w:sz w:val="20"/>
          <w:szCs w:val="20"/>
          <w:lang w:val="pt-BR"/>
        </w:rPr>
        <w:t>2.1 Obrigações estatais relacionadas com a privação da liberdade de mulheres grávidas</w:t>
      </w:r>
    </w:p>
    <w:p w14:paraId="200CF2DC" w14:textId="77777777" w:rsidR="00D25674" w:rsidRPr="00C62DF2" w:rsidRDefault="00D25674" w:rsidP="00FC0CB6">
      <w:pPr>
        <w:jc w:val="both"/>
        <w:rPr>
          <w:rFonts w:ascii="Cambria" w:hAnsi="Cambria"/>
          <w:sz w:val="20"/>
          <w:szCs w:val="20"/>
        </w:rPr>
      </w:pPr>
    </w:p>
    <w:p w14:paraId="2BCDA61C" w14:textId="2BE9087C"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 xml:space="preserve">A Comissão ressalta que a Declaração Americana em seu artigo I estabelece o direito que toda pessoa tem de que sua integridade e segurança sejam respeitadas. </w:t>
      </w:r>
      <w:r w:rsidR="00940607" w:rsidRPr="00C62DF2">
        <w:rPr>
          <w:rFonts w:ascii="Cambria" w:hAnsi="Cambria"/>
          <w:sz w:val="20"/>
          <w:szCs w:val="20"/>
        </w:rPr>
        <w:t>O</w:t>
      </w:r>
      <w:r w:rsidRPr="00C62DF2">
        <w:rPr>
          <w:rFonts w:ascii="Cambria" w:hAnsi="Cambria"/>
          <w:sz w:val="20"/>
          <w:szCs w:val="20"/>
        </w:rPr>
        <w:t xml:space="preserve"> artigo XI reconhece o direito a que a saúde seja preservada por medidas sanitárias que incluem</w:t>
      </w:r>
      <w:r w:rsidR="00940607" w:rsidRPr="00C62DF2">
        <w:rPr>
          <w:rFonts w:ascii="Cambria" w:hAnsi="Cambria"/>
          <w:sz w:val="20"/>
          <w:szCs w:val="20"/>
        </w:rPr>
        <w:t>,</w:t>
      </w:r>
      <w:r w:rsidRPr="00C62DF2">
        <w:rPr>
          <w:rFonts w:ascii="Cambria" w:hAnsi="Cambria"/>
          <w:sz w:val="20"/>
          <w:szCs w:val="20"/>
        </w:rPr>
        <w:t xml:space="preserve"> entre outros aspectos, a alimentação e a assistência médica. </w:t>
      </w:r>
      <w:r w:rsidR="00940607" w:rsidRPr="00C62DF2">
        <w:rPr>
          <w:rFonts w:ascii="Cambria" w:hAnsi="Cambria"/>
          <w:sz w:val="20"/>
          <w:szCs w:val="20"/>
        </w:rPr>
        <w:t>A</w:t>
      </w:r>
      <w:r w:rsidRPr="00C62DF2">
        <w:rPr>
          <w:rFonts w:ascii="Cambria" w:hAnsi="Cambria"/>
          <w:sz w:val="20"/>
          <w:szCs w:val="20"/>
        </w:rPr>
        <w:t xml:space="preserve"> Declaração contém uma disposição específica relacionada com a proteção da mulher em estado de gravidez. Com efeito, o Artigo VII da Declaração Americana dispõe que “</w:t>
      </w:r>
      <w:r w:rsidR="00447CE9" w:rsidRPr="00C62DF2">
        <w:rPr>
          <w:rFonts w:ascii="Cambria" w:hAnsi="Cambria"/>
          <w:spacing w:val="-3"/>
          <w:sz w:val="20"/>
          <w:szCs w:val="20"/>
        </w:rPr>
        <w:t>Toda mulher em estado de gravidez ou em época de lactação, assim como toda criança, têm direito à proteção, cuidados e auxílios especiais</w:t>
      </w:r>
      <w:r w:rsidRPr="00C62DF2">
        <w:rPr>
          <w:rFonts w:ascii="Cambria" w:hAnsi="Cambria"/>
          <w:sz w:val="20"/>
          <w:szCs w:val="20"/>
        </w:rPr>
        <w:t>”. A Comissão estabeleceu que esse direito guarda estreita relação com o direito à integridade física, psíquica e moral e com o direito à saúde, “dado que a prestação de serviços adequados e oportunos de saúde materna é uma das medidas principais para garantir o direito à integridade pessoal das mulheres.”</w:t>
      </w:r>
      <w:r w:rsidRPr="00C62DF2">
        <w:rPr>
          <w:rStyle w:val="FootnoteReference"/>
          <w:rFonts w:ascii="Cambria" w:hAnsi="Cambria"/>
          <w:sz w:val="20"/>
          <w:szCs w:val="20"/>
        </w:rPr>
        <w:footnoteReference w:id="135"/>
      </w:r>
      <w:r w:rsidRPr="00C62DF2">
        <w:rPr>
          <w:rFonts w:ascii="Cambria" w:hAnsi="Cambria"/>
          <w:sz w:val="20"/>
          <w:szCs w:val="20"/>
        </w:rPr>
        <w:t xml:space="preserve"> </w:t>
      </w:r>
    </w:p>
    <w:p w14:paraId="0B6A3EE4" w14:textId="77777777" w:rsidR="00D25674" w:rsidRPr="00C62DF2" w:rsidRDefault="00D25674" w:rsidP="00FC0CB6">
      <w:pPr>
        <w:ind w:left="720"/>
        <w:jc w:val="both"/>
        <w:rPr>
          <w:rFonts w:ascii="Cambria" w:hAnsi="Cambria"/>
          <w:sz w:val="20"/>
          <w:szCs w:val="20"/>
        </w:rPr>
      </w:pPr>
    </w:p>
    <w:p w14:paraId="05FB6595" w14:textId="7A711F85"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Os órgãos do sistema interamericano ressaltaram que, no contexto de privação de liberdade, a fim de garantir</w:t>
      </w:r>
      <w:r w:rsidRPr="00C62DF2">
        <w:rPr>
          <w:rFonts w:ascii="Cambria" w:hAnsi="Cambria"/>
          <w:bCs/>
          <w:sz w:val="20"/>
          <w:szCs w:val="20"/>
        </w:rPr>
        <w:t xml:space="preserve"> que as mulheres grávidas, lactantes e em período de pós-parto não enfrentem discriminação e violência, os Estados devem adotar medidas específicas que respondam a suas condições especiais. Em sua sentença no caso do </w:t>
      </w:r>
      <w:r w:rsidRPr="00C62DF2">
        <w:rPr>
          <w:rFonts w:ascii="Cambria" w:hAnsi="Cambria"/>
          <w:bCs/>
          <w:i/>
          <w:sz w:val="20"/>
          <w:szCs w:val="20"/>
        </w:rPr>
        <w:t>P</w:t>
      </w:r>
      <w:r w:rsidR="001606D1" w:rsidRPr="00C62DF2">
        <w:rPr>
          <w:rFonts w:ascii="Cambria" w:hAnsi="Cambria"/>
          <w:bCs/>
          <w:i/>
          <w:sz w:val="20"/>
          <w:szCs w:val="20"/>
        </w:rPr>
        <w:t>r</w:t>
      </w:r>
      <w:r w:rsidRPr="00C62DF2">
        <w:rPr>
          <w:rFonts w:ascii="Cambria" w:hAnsi="Cambria"/>
          <w:bCs/>
          <w:i/>
          <w:sz w:val="20"/>
          <w:szCs w:val="20"/>
        </w:rPr>
        <w:t>e</w:t>
      </w:r>
      <w:r w:rsidR="001606D1" w:rsidRPr="00C62DF2">
        <w:rPr>
          <w:rFonts w:ascii="Cambria" w:hAnsi="Cambria"/>
          <w:bCs/>
          <w:i/>
          <w:sz w:val="20"/>
          <w:szCs w:val="20"/>
        </w:rPr>
        <w:t>sídio</w:t>
      </w:r>
      <w:r w:rsidRPr="00C62DF2">
        <w:rPr>
          <w:rFonts w:ascii="Cambria" w:hAnsi="Cambria"/>
          <w:bCs/>
          <w:i/>
          <w:sz w:val="20"/>
          <w:szCs w:val="20"/>
        </w:rPr>
        <w:t xml:space="preserve"> Miguel Castro Castro Vs. Peru</w:t>
      </w:r>
      <w:r w:rsidRPr="00C62DF2">
        <w:rPr>
          <w:rFonts w:ascii="Cambria" w:hAnsi="Cambria"/>
          <w:bCs/>
          <w:sz w:val="20"/>
          <w:szCs w:val="20"/>
        </w:rPr>
        <w:t>, a Corte Interamericana se referiu ao assinalado pelo Alto Comiss</w:t>
      </w:r>
      <w:r w:rsidR="001606D1" w:rsidRPr="00C62DF2">
        <w:rPr>
          <w:rFonts w:ascii="Cambria" w:hAnsi="Cambria"/>
          <w:bCs/>
          <w:sz w:val="20"/>
          <w:szCs w:val="20"/>
        </w:rPr>
        <w:t>ar</w:t>
      </w:r>
      <w:r w:rsidRPr="00C62DF2">
        <w:rPr>
          <w:rFonts w:ascii="Cambria" w:hAnsi="Cambria"/>
          <w:bCs/>
          <w:sz w:val="20"/>
          <w:szCs w:val="20"/>
        </w:rPr>
        <w:t xml:space="preserve">iado das Nações Unidas para os Direitos Humanos, no sentido de que as mulheres grávidas e lactantes privadas de sua liberdade devem </w:t>
      </w:r>
      <w:r w:rsidR="001606D1" w:rsidRPr="00C62DF2">
        <w:rPr>
          <w:rFonts w:ascii="Cambria" w:hAnsi="Cambria"/>
          <w:bCs/>
          <w:sz w:val="20"/>
          <w:szCs w:val="20"/>
        </w:rPr>
        <w:t>receb</w:t>
      </w:r>
      <w:r w:rsidRPr="00C62DF2">
        <w:rPr>
          <w:rFonts w:ascii="Cambria" w:hAnsi="Cambria"/>
          <w:bCs/>
          <w:sz w:val="20"/>
          <w:szCs w:val="20"/>
        </w:rPr>
        <w:t>er condições especiais durante sua detenção</w:t>
      </w:r>
      <w:r w:rsidRPr="00C62DF2">
        <w:rPr>
          <w:rFonts w:ascii="Cambria" w:hAnsi="Cambria"/>
          <w:sz w:val="20"/>
          <w:szCs w:val="20"/>
          <w:vertAlign w:val="superscript"/>
        </w:rPr>
        <w:footnoteReference w:id="136"/>
      </w:r>
      <w:r w:rsidRPr="00C62DF2">
        <w:rPr>
          <w:rFonts w:ascii="Cambria" w:hAnsi="Cambria"/>
          <w:bCs/>
          <w:sz w:val="20"/>
          <w:szCs w:val="20"/>
        </w:rPr>
        <w:t xml:space="preserve">. Além disso, nas medidas provisórias do </w:t>
      </w:r>
      <w:r w:rsidRPr="00C62DF2">
        <w:rPr>
          <w:rFonts w:ascii="Cambria" w:hAnsi="Cambria"/>
          <w:bCs/>
          <w:i/>
          <w:sz w:val="20"/>
          <w:szCs w:val="20"/>
        </w:rPr>
        <w:t>Centro Penitenciário da Região Andina a respeito da Venezuela</w:t>
      </w:r>
      <w:r w:rsidRPr="00C62DF2">
        <w:rPr>
          <w:rFonts w:ascii="Cambria" w:hAnsi="Cambria"/>
          <w:bCs/>
          <w:sz w:val="20"/>
          <w:szCs w:val="20"/>
        </w:rPr>
        <w:t xml:space="preserve">, a Corte enfatizou “a obrigação dos Estados de levar em consideração a atenção especial que devem receber as mulheres privadas </w:t>
      </w:r>
      <w:r w:rsidRPr="00C62DF2">
        <w:rPr>
          <w:rFonts w:ascii="Cambria" w:hAnsi="Cambria"/>
          <w:bCs/>
          <w:sz w:val="20"/>
          <w:szCs w:val="20"/>
        </w:rPr>
        <w:lastRenderedPageBreak/>
        <w:t>de liberdade grávidas e em lactação durante sua detenção.</w:t>
      </w:r>
      <w:r w:rsidRPr="00C62DF2">
        <w:rPr>
          <w:rFonts w:ascii="Cambria" w:hAnsi="Cambria"/>
          <w:sz w:val="20"/>
          <w:szCs w:val="20"/>
          <w:vertAlign w:val="superscript"/>
        </w:rPr>
        <w:footnoteReference w:id="137"/>
      </w:r>
      <w:r w:rsidRPr="00C62DF2">
        <w:rPr>
          <w:rFonts w:ascii="Cambria" w:hAnsi="Cambria"/>
          <w:bCs/>
          <w:sz w:val="20"/>
          <w:szCs w:val="20"/>
        </w:rPr>
        <w:t xml:space="preserve">” Finalmente, no caso </w:t>
      </w:r>
      <w:r w:rsidRPr="00C62DF2">
        <w:rPr>
          <w:rFonts w:ascii="Cambria" w:hAnsi="Cambria"/>
          <w:bCs/>
          <w:i/>
          <w:iCs/>
          <w:sz w:val="20"/>
          <w:szCs w:val="20"/>
        </w:rPr>
        <w:t xml:space="preserve">Gelman vs. Uruguai, </w:t>
      </w:r>
      <w:r w:rsidRPr="00C62DF2">
        <w:rPr>
          <w:rFonts w:ascii="Cambria" w:hAnsi="Cambria"/>
          <w:bCs/>
          <w:sz w:val="20"/>
          <w:szCs w:val="20"/>
        </w:rPr>
        <w:t xml:space="preserve">a Corte ressaltou </w:t>
      </w:r>
      <w:r w:rsidRPr="00C62DF2">
        <w:rPr>
          <w:rFonts w:ascii="Cambria" w:hAnsi="Cambria"/>
          <w:sz w:val="20"/>
          <w:szCs w:val="20"/>
        </w:rPr>
        <w:t xml:space="preserve">a especial condição de particular vulnerabilidade na qual se encontrava a vítima e a </w:t>
      </w:r>
      <w:r w:rsidR="001606D1" w:rsidRPr="00C62DF2">
        <w:rPr>
          <w:rFonts w:ascii="Cambria" w:hAnsi="Cambria"/>
          <w:sz w:val="20"/>
          <w:szCs w:val="20"/>
        </w:rPr>
        <w:t>viol</w:t>
      </w:r>
      <w:r w:rsidRPr="00C62DF2">
        <w:rPr>
          <w:rFonts w:ascii="Cambria" w:hAnsi="Cambria"/>
          <w:sz w:val="20"/>
          <w:szCs w:val="20"/>
        </w:rPr>
        <w:t xml:space="preserve">ação diferenciada em seu caso, </w:t>
      </w:r>
      <w:r w:rsidR="001606D1" w:rsidRPr="00C62DF2">
        <w:rPr>
          <w:rFonts w:ascii="Cambria" w:hAnsi="Cambria"/>
          <w:sz w:val="20"/>
          <w:szCs w:val="20"/>
        </w:rPr>
        <w:t xml:space="preserve">tendo </w:t>
      </w:r>
      <w:r w:rsidRPr="00C62DF2">
        <w:rPr>
          <w:rFonts w:ascii="Cambria" w:hAnsi="Cambria"/>
          <w:sz w:val="20"/>
          <w:szCs w:val="20"/>
        </w:rPr>
        <w:t>em vista sua gravidez.</w:t>
      </w:r>
      <w:r w:rsidRPr="00C62DF2">
        <w:rPr>
          <w:rStyle w:val="FootnoteReference"/>
          <w:rFonts w:ascii="Cambria" w:hAnsi="Cambria"/>
          <w:i/>
          <w:iCs/>
          <w:sz w:val="20"/>
          <w:szCs w:val="20"/>
        </w:rPr>
        <w:footnoteReference w:id="138"/>
      </w:r>
      <w:r w:rsidRPr="00C62DF2">
        <w:rPr>
          <w:rFonts w:ascii="Cambria" w:hAnsi="Cambria"/>
          <w:i/>
          <w:iCs/>
          <w:sz w:val="20"/>
          <w:szCs w:val="20"/>
        </w:rPr>
        <w:t xml:space="preserve"> </w:t>
      </w:r>
      <w:r w:rsidRPr="00C62DF2">
        <w:rPr>
          <w:rFonts w:ascii="Cambria" w:hAnsi="Cambria"/>
          <w:sz w:val="20"/>
          <w:szCs w:val="20"/>
        </w:rPr>
        <w:t xml:space="preserve"> Nesse caso, a Corte ressaltou que o desaparecimento da vítima, María Claudia García, revela “</w:t>
      </w:r>
      <w:r w:rsidRPr="00C62DF2">
        <w:rPr>
          <w:rFonts w:ascii="Cambria" w:hAnsi="Cambria" w:cs="Arial"/>
          <w:sz w:val="20"/>
          <w:szCs w:val="20"/>
        </w:rPr>
        <w:t>uma particular concepção do corpo da mulher que atenta contra sua livre maternidade, o que faz parte essencial do livre desenvolvimento da personalidade das mulheres”</w:t>
      </w:r>
      <w:r w:rsidRPr="00C62DF2">
        <w:rPr>
          <w:rStyle w:val="FootnoteReference"/>
          <w:rFonts w:ascii="Cambria" w:hAnsi="Cambria"/>
          <w:i/>
          <w:iCs/>
          <w:sz w:val="20"/>
          <w:szCs w:val="20"/>
        </w:rPr>
        <w:t xml:space="preserve"> </w:t>
      </w:r>
      <w:r w:rsidRPr="00C62DF2">
        <w:rPr>
          <w:rStyle w:val="FootnoteReference"/>
          <w:rFonts w:ascii="Cambria" w:hAnsi="Cambria"/>
          <w:sz w:val="20"/>
          <w:szCs w:val="20"/>
        </w:rPr>
        <w:footnoteReference w:id="139"/>
      </w:r>
      <w:r w:rsidRPr="00C62DF2">
        <w:rPr>
          <w:rFonts w:ascii="Cambria" w:hAnsi="Cambria" w:cs="Arial"/>
          <w:sz w:val="20"/>
          <w:szCs w:val="20"/>
        </w:rPr>
        <w:t xml:space="preserve">. </w:t>
      </w:r>
    </w:p>
    <w:p w14:paraId="1874B3D0" w14:textId="77777777" w:rsidR="00D25674" w:rsidRPr="00C62DF2" w:rsidRDefault="00D25674" w:rsidP="00FC0CB6">
      <w:pPr>
        <w:jc w:val="both"/>
        <w:rPr>
          <w:rFonts w:ascii="Cambria" w:hAnsi="Cambria"/>
          <w:sz w:val="20"/>
          <w:szCs w:val="20"/>
        </w:rPr>
      </w:pPr>
    </w:p>
    <w:p w14:paraId="5022EC42" w14:textId="2C5B047C"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Quanto às medidas especiais que devem ser adotadas pelo Estado, a Comissão nota que as Regras das Nações Unidas para o tratamento das detentas e medidas não privativas da liberdade para as mulheres delinquentes (Regras de Bangkok) indicam que o regime penitenciário deverá reagir com flexibilidade ante as necessidades das mulheres grávidas</w:t>
      </w:r>
      <w:r w:rsidRPr="00C62DF2">
        <w:rPr>
          <w:rFonts w:ascii="Cambria" w:hAnsi="Cambria"/>
          <w:sz w:val="20"/>
          <w:szCs w:val="20"/>
          <w:shd w:val="clear" w:color="auto" w:fill="FFFFFF"/>
        </w:rPr>
        <w:t>, as mães lactantes e as mulheres com filhos.</w:t>
      </w:r>
      <w:r w:rsidRPr="00C62DF2">
        <w:rPr>
          <w:rStyle w:val="FootnoteReference"/>
          <w:rFonts w:ascii="Cambria" w:hAnsi="Cambria"/>
          <w:sz w:val="20"/>
          <w:szCs w:val="20"/>
        </w:rPr>
        <w:footnoteReference w:id="140"/>
      </w:r>
      <w:r w:rsidRPr="00C62DF2">
        <w:rPr>
          <w:rFonts w:ascii="Cambria" w:hAnsi="Cambria"/>
          <w:sz w:val="20"/>
          <w:szCs w:val="20"/>
          <w:shd w:val="clear" w:color="auto" w:fill="FFFFFF"/>
        </w:rPr>
        <w:t xml:space="preserve"> A esse respeito, o Parlamento Europeu assinala que as mulheres grávidas deverão poder receber as condições básicas necessárias para o bom desenvolvimento de sua gravidez e maternidade.</w:t>
      </w:r>
      <w:r w:rsidRPr="00C62DF2">
        <w:rPr>
          <w:rStyle w:val="FootnoteReference"/>
          <w:rFonts w:ascii="Cambria" w:hAnsi="Cambria"/>
          <w:sz w:val="20"/>
          <w:szCs w:val="20"/>
          <w:shd w:val="clear" w:color="auto" w:fill="FFFFFF"/>
        </w:rPr>
        <w:footnoteReference w:id="141"/>
      </w:r>
      <w:r w:rsidRPr="00C62DF2">
        <w:rPr>
          <w:rFonts w:ascii="Cambria" w:hAnsi="Cambria"/>
          <w:sz w:val="20"/>
          <w:szCs w:val="20"/>
          <w:shd w:val="clear" w:color="auto" w:fill="FFFFFF"/>
        </w:rPr>
        <w:t xml:space="preserve"> Neste contexto, os Estados devem procurar estabelecer programas apropriados para estas mulheres</w:t>
      </w:r>
      <w:r w:rsidRPr="00C62DF2">
        <w:rPr>
          <w:rStyle w:val="FootnoteReference"/>
          <w:rFonts w:ascii="Cambria" w:hAnsi="Cambria"/>
          <w:sz w:val="20"/>
          <w:szCs w:val="20"/>
        </w:rPr>
        <w:footnoteReference w:id="142"/>
      </w:r>
      <w:r w:rsidRPr="00C62DF2">
        <w:rPr>
          <w:rFonts w:ascii="Cambria" w:hAnsi="Cambria"/>
          <w:sz w:val="20"/>
          <w:szCs w:val="20"/>
          <w:shd w:val="clear" w:color="auto" w:fill="FFFFFF"/>
        </w:rPr>
        <w:t>, dentr</w:t>
      </w:r>
      <w:r w:rsidR="00A539E9" w:rsidRPr="00C62DF2">
        <w:rPr>
          <w:rFonts w:ascii="Cambria" w:hAnsi="Cambria"/>
          <w:sz w:val="20"/>
          <w:szCs w:val="20"/>
          <w:shd w:val="clear" w:color="auto" w:fill="FFFFFF"/>
        </w:rPr>
        <w:t xml:space="preserve">e </w:t>
      </w:r>
      <w:r w:rsidRPr="00C62DF2">
        <w:rPr>
          <w:rFonts w:ascii="Cambria" w:hAnsi="Cambria"/>
          <w:sz w:val="20"/>
          <w:szCs w:val="20"/>
          <w:shd w:val="clear" w:color="auto" w:fill="FFFFFF"/>
        </w:rPr>
        <w:t>os quais, segundo o Escritório</w:t>
      </w:r>
      <w:hyperlink r:id="rId13" w:history="1">
        <w:r w:rsidRPr="00C62DF2">
          <w:rPr>
            <w:rFonts w:ascii="Cambria" w:hAnsi="Cambria"/>
            <w:sz w:val="20"/>
            <w:szCs w:val="20"/>
          </w:rPr>
          <w:t xml:space="preserve"> das Nações Unidas </w:t>
        </w:r>
        <w:r w:rsidR="008D3006" w:rsidRPr="00C62DF2">
          <w:rPr>
            <w:rFonts w:ascii="Cambria" w:hAnsi="Cambria"/>
            <w:sz w:val="20"/>
            <w:szCs w:val="20"/>
          </w:rPr>
          <w:t xml:space="preserve">sobre </w:t>
        </w:r>
        <w:r w:rsidRPr="00C62DF2">
          <w:rPr>
            <w:rFonts w:ascii="Cambria" w:hAnsi="Cambria"/>
            <w:sz w:val="20"/>
            <w:szCs w:val="20"/>
          </w:rPr>
          <w:t>Droga</w:t>
        </w:r>
        <w:r w:rsidR="008D3006" w:rsidRPr="00C62DF2">
          <w:rPr>
            <w:rFonts w:ascii="Cambria" w:hAnsi="Cambria"/>
            <w:sz w:val="20"/>
            <w:szCs w:val="20"/>
          </w:rPr>
          <w:t>s</w:t>
        </w:r>
        <w:r w:rsidRPr="00C62DF2">
          <w:rPr>
            <w:rFonts w:ascii="Cambria" w:hAnsi="Cambria"/>
            <w:sz w:val="20"/>
            <w:szCs w:val="20"/>
          </w:rPr>
          <w:t xml:space="preserve"> e </w:t>
        </w:r>
        <w:r w:rsidR="00EE590B" w:rsidRPr="00C62DF2">
          <w:rPr>
            <w:rFonts w:ascii="Cambria" w:hAnsi="Cambria"/>
            <w:sz w:val="20"/>
            <w:szCs w:val="20"/>
          </w:rPr>
          <w:t>Crime</w:t>
        </w:r>
        <w:r w:rsidRPr="00C62DF2">
          <w:rPr>
            <w:rFonts w:ascii="Cambria" w:hAnsi="Cambria"/>
            <w:sz w:val="20"/>
            <w:szCs w:val="20"/>
          </w:rPr>
          <w:t xml:space="preserve"> (UNODC)</w:t>
        </w:r>
      </w:hyperlink>
      <w:r w:rsidRPr="00C62DF2">
        <w:rPr>
          <w:rFonts w:ascii="Cambria" w:hAnsi="Cambria" w:cs="TimesNewRoman,Bold"/>
          <w:bCs/>
          <w:sz w:val="20"/>
          <w:szCs w:val="20"/>
        </w:rPr>
        <w:t>, se encontrariam</w:t>
      </w:r>
      <w:r w:rsidR="00A539E9" w:rsidRPr="00C62DF2">
        <w:rPr>
          <w:rFonts w:ascii="Cambria" w:hAnsi="Cambria" w:cs="TimesNewRoman,Bold"/>
          <w:bCs/>
          <w:sz w:val="20"/>
          <w:szCs w:val="20"/>
        </w:rPr>
        <w:t xml:space="preserve"> </w:t>
      </w:r>
      <w:r w:rsidRPr="00C62DF2">
        <w:rPr>
          <w:rFonts w:ascii="Cambria" w:hAnsi="Cambria" w:cs="TimesNewRoman,Bold"/>
          <w:bCs/>
          <w:sz w:val="20"/>
          <w:szCs w:val="20"/>
        </w:rPr>
        <w:t>o de nutrição, atenção médica e aptidões parentais.</w:t>
      </w:r>
      <w:r w:rsidRPr="00C62DF2">
        <w:rPr>
          <w:rStyle w:val="FootnoteReference"/>
          <w:rFonts w:ascii="Cambria" w:hAnsi="Cambria" w:cs="TimesNewRoman,Bold"/>
          <w:bCs/>
          <w:sz w:val="20"/>
          <w:szCs w:val="20"/>
        </w:rPr>
        <w:footnoteReference w:id="143"/>
      </w:r>
      <w:r w:rsidRPr="00C62DF2">
        <w:rPr>
          <w:rFonts w:ascii="Cambria" w:hAnsi="Cambria"/>
          <w:sz w:val="20"/>
          <w:szCs w:val="20"/>
          <w:shd w:val="clear" w:color="auto" w:fill="FFFFFF"/>
        </w:rPr>
        <w:t xml:space="preserve"> </w:t>
      </w:r>
    </w:p>
    <w:p w14:paraId="66CE7492" w14:textId="77777777" w:rsidR="00D25674" w:rsidRPr="00C62DF2" w:rsidRDefault="00D25674" w:rsidP="00FC0CB6">
      <w:pPr>
        <w:pStyle w:val="ListParagraph"/>
        <w:ind w:firstLine="0"/>
        <w:rPr>
          <w:sz w:val="20"/>
          <w:szCs w:val="20"/>
          <w:lang w:val="pt-BR"/>
        </w:rPr>
      </w:pPr>
    </w:p>
    <w:p w14:paraId="195AE1A7" w14:textId="2CD89F9C"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shd w:val="clear" w:color="auto" w:fill="FFFFFF"/>
        </w:rPr>
        <w:t xml:space="preserve">Com relação à alimentação de mulheres grávidas, lactantes e em pós-parto, as obrigações dos Estados se </w:t>
      </w:r>
      <w:r w:rsidR="008D3006" w:rsidRPr="00C62DF2">
        <w:rPr>
          <w:rFonts w:ascii="Cambria" w:hAnsi="Cambria"/>
          <w:sz w:val="20"/>
          <w:szCs w:val="20"/>
          <w:shd w:val="clear" w:color="auto" w:fill="FFFFFF"/>
        </w:rPr>
        <w:t>concentr</w:t>
      </w:r>
      <w:r w:rsidRPr="00C62DF2">
        <w:rPr>
          <w:rFonts w:ascii="Cambria" w:hAnsi="Cambria"/>
          <w:sz w:val="20"/>
          <w:szCs w:val="20"/>
          <w:shd w:val="clear" w:color="auto" w:fill="FFFFFF"/>
        </w:rPr>
        <w:t>am em elaboração e supervisão da dieta alimentar, assessoramento sobre alimentação e armazenagem de alimentos. Além disso, e</w:t>
      </w:r>
      <w:r w:rsidR="008D3006" w:rsidRPr="00C62DF2">
        <w:rPr>
          <w:rFonts w:ascii="Cambria" w:hAnsi="Cambria"/>
          <w:sz w:val="20"/>
          <w:szCs w:val="20"/>
          <w:shd w:val="clear" w:color="auto" w:fill="FFFFFF"/>
        </w:rPr>
        <w:t>m</w:t>
      </w:r>
      <w:r w:rsidRPr="00C62DF2">
        <w:rPr>
          <w:rFonts w:ascii="Cambria" w:hAnsi="Cambria"/>
          <w:sz w:val="20"/>
          <w:szCs w:val="20"/>
          <w:shd w:val="clear" w:color="auto" w:fill="FFFFFF"/>
        </w:rPr>
        <w:t xml:space="preserve"> conformidade com precedentes internacionais em matéria de privação de liberdade, existem deveres relacionados com a forma, quantidade e tipo de alimentação. Caso essas obrigações não </w:t>
      </w:r>
      <w:r w:rsidR="008D3006" w:rsidRPr="00C62DF2">
        <w:rPr>
          <w:rFonts w:ascii="Cambria" w:hAnsi="Cambria"/>
          <w:sz w:val="20"/>
          <w:szCs w:val="20"/>
          <w:shd w:val="clear" w:color="auto" w:fill="FFFFFF"/>
        </w:rPr>
        <w:t>sejam cumpridas</w:t>
      </w:r>
      <w:r w:rsidRPr="00C62DF2">
        <w:rPr>
          <w:rFonts w:ascii="Cambria" w:hAnsi="Cambria"/>
          <w:sz w:val="20"/>
          <w:szCs w:val="20"/>
          <w:shd w:val="clear" w:color="auto" w:fill="FFFFFF"/>
        </w:rPr>
        <w:t xml:space="preserve">, estas mulheres sofreriam um impacto diferenciado por causa de sua condição particular, o que poderia violar sua vida, integridade pessoal e saúde. </w:t>
      </w:r>
    </w:p>
    <w:p w14:paraId="4E8F8AA0" w14:textId="77777777" w:rsidR="00D25674" w:rsidRPr="00C62DF2" w:rsidRDefault="00D25674" w:rsidP="00FC0CB6">
      <w:pPr>
        <w:pStyle w:val="ListParagraph"/>
        <w:ind w:firstLine="0"/>
        <w:rPr>
          <w:sz w:val="20"/>
          <w:szCs w:val="20"/>
          <w:lang w:val="pt-BR"/>
        </w:rPr>
      </w:pPr>
    </w:p>
    <w:p w14:paraId="73C5F67C" w14:textId="3A08A92B" w:rsidR="00D25674" w:rsidRPr="00C62DF2" w:rsidRDefault="00D25674" w:rsidP="00FC0CB6">
      <w:pPr>
        <w:numPr>
          <w:ilvl w:val="0"/>
          <w:numId w:val="2"/>
        </w:numPr>
        <w:jc w:val="both"/>
        <w:rPr>
          <w:rFonts w:ascii="Cambria" w:hAnsi="Cambria"/>
          <w:sz w:val="20"/>
          <w:szCs w:val="20"/>
          <w:shd w:val="clear" w:color="auto" w:fill="FFFFFF"/>
        </w:rPr>
      </w:pPr>
      <w:r w:rsidRPr="00C62DF2">
        <w:rPr>
          <w:rFonts w:ascii="Cambria" w:hAnsi="Cambria"/>
          <w:sz w:val="20"/>
          <w:szCs w:val="20"/>
        </w:rPr>
        <w:t>Assim,</w:t>
      </w:r>
      <w:r w:rsidRPr="00C62DF2">
        <w:rPr>
          <w:rFonts w:ascii="Cambria" w:hAnsi="Cambria" w:cs="TimesNewRomanPSMT"/>
          <w:sz w:val="20"/>
          <w:szCs w:val="20"/>
        </w:rPr>
        <w:t xml:space="preserve"> a Resolução </w:t>
      </w:r>
      <w:r w:rsidRPr="00C62DF2">
        <w:rPr>
          <w:rFonts w:ascii="Cambria" w:hAnsi="Cambria"/>
          <w:bCs/>
          <w:sz w:val="20"/>
          <w:szCs w:val="20"/>
        </w:rPr>
        <w:t xml:space="preserve">2007/2116(INI) </w:t>
      </w:r>
      <w:r w:rsidRPr="00C62DF2">
        <w:rPr>
          <w:rFonts w:ascii="Cambria" w:hAnsi="Cambria" w:cs="TimesNewRomanPSMT"/>
          <w:sz w:val="20"/>
          <w:szCs w:val="20"/>
        </w:rPr>
        <w:t>do Parlamento Europeu indica que, a respeito das mulheres grávidas, os Estados têm a obrigação de prover atenção especial em matéria de alimentação.</w:t>
      </w:r>
      <w:r w:rsidRPr="00C62DF2">
        <w:rPr>
          <w:rStyle w:val="FootnoteReference"/>
          <w:rFonts w:ascii="Cambria" w:hAnsi="Cambria" w:cs="TimesNewRomanPSMT"/>
          <w:sz w:val="20"/>
          <w:szCs w:val="20"/>
        </w:rPr>
        <w:footnoteReference w:id="144"/>
      </w:r>
      <w:r w:rsidRPr="00C62DF2">
        <w:rPr>
          <w:rFonts w:ascii="Cambria" w:hAnsi="Cambria" w:cs="TimesNewRomanPSMT"/>
          <w:sz w:val="20"/>
          <w:szCs w:val="20"/>
        </w:rPr>
        <w:t xml:space="preserve"> </w:t>
      </w:r>
      <w:r w:rsidR="008D3006" w:rsidRPr="00C62DF2">
        <w:rPr>
          <w:rFonts w:ascii="Cambria" w:hAnsi="Cambria" w:cs="TimesNewRomanPSMT"/>
          <w:sz w:val="20"/>
          <w:szCs w:val="20"/>
        </w:rPr>
        <w:t>A</w:t>
      </w:r>
      <w:r w:rsidRPr="00C62DF2">
        <w:rPr>
          <w:rFonts w:ascii="Cambria" w:hAnsi="Cambria" w:cs="TimesNewRomanPSMT"/>
          <w:sz w:val="20"/>
          <w:szCs w:val="20"/>
        </w:rPr>
        <w:t xml:space="preserve">s </w:t>
      </w:r>
      <w:r w:rsidRPr="00C62DF2">
        <w:rPr>
          <w:rFonts w:ascii="Cambria" w:hAnsi="Cambria" w:cs="TimesNewRomanPSMT"/>
          <w:i/>
          <w:iCs/>
          <w:sz w:val="20"/>
          <w:szCs w:val="20"/>
        </w:rPr>
        <w:t>Regras de Bangkok</w:t>
      </w:r>
      <w:r w:rsidRPr="00C62DF2">
        <w:rPr>
          <w:rFonts w:ascii="Cambria" w:hAnsi="Cambria" w:cs="TimesNewRomanPSMT"/>
          <w:sz w:val="20"/>
          <w:szCs w:val="20"/>
        </w:rPr>
        <w:t xml:space="preserve"> indicam que a dieta das mulheres grávidas e lactantes será elaborada e supervisionada no âmbito de um programa a cargo do pessoal de saúde.</w:t>
      </w:r>
      <w:r w:rsidRPr="00C62DF2">
        <w:rPr>
          <w:rStyle w:val="FootnoteReference"/>
          <w:rFonts w:ascii="Cambria" w:hAnsi="Cambria" w:cs="TimesNewRomanPSMT"/>
          <w:sz w:val="20"/>
          <w:szCs w:val="20"/>
        </w:rPr>
        <w:footnoteReference w:id="145"/>
      </w:r>
      <w:r w:rsidRPr="00C62DF2">
        <w:rPr>
          <w:rFonts w:ascii="Cambria" w:hAnsi="Cambria" w:cs="TimesNewRomanPSMT"/>
          <w:sz w:val="20"/>
          <w:szCs w:val="20"/>
        </w:rPr>
        <w:t xml:space="preserve"> Além disso, essas Regras e </w:t>
      </w:r>
      <w:r w:rsidR="008D3006" w:rsidRPr="00C62DF2">
        <w:rPr>
          <w:rFonts w:ascii="Cambria" w:hAnsi="Cambria" w:cs="TimesNewRomanPSMT"/>
          <w:sz w:val="20"/>
          <w:szCs w:val="20"/>
        </w:rPr>
        <w:t xml:space="preserve">o </w:t>
      </w:r>
      <w:r w:rsidRPr="00C62DF2">
        <w:rPr>
          <w:rFonts w:ascii="Cambria" w:hAnsi="Cambria" w:cs="TimesNewRomanPSMT"/>
          <w:sz w:val="20"/>
          <w:szCs w:val="20"/>
        </w:rPr>
        <w:t>UNODH estipulam que estas mulheres deverão receber assessoramento sobre sua alimentação por um médico da prisão devidamente qualificado.</w:t>
      </w:r>
      <w:r w:rsidRPr="00C62DF2">
        <w:rPr>
          <w:rStyle w:val="FootnoteReference"/>
          <w:rFonts w:ascii="Cambria" w:hAnsi="Cambria" w:cs="TimesNewRomanPSMT"/>
          <w:sz w:val="20"/>
          <w:szCs w:val="20"/>
        </w:rPr>
        <w:footnoteReference w:id="146"/>
      </w:r>
      <w:r w:rsidRPr="00C62DF2">
        <w:rPr>
          <w:rFonts w:ascii="Cambria" w:hAnsi="Cambria" w:cs="TimesNewRomanPSMT"/>
          <w:sz w:val="20"/>
          <w:szCs w:val="20"/>
        </w:rPr>
        <w:t xml:space="preserve"> Os alimentos </w:t>
      </w:r>
      <w:r w:rsidR="00232F8C" w:rsidRPr="00C62DF2">
        <w:rPr>
          <w:rFonts w:ascii="Cambria" w:hAnsi="Cambria" w:cs="TimesNewRomanPSMT"/>
          <w:sz w:val="20"/>
          <w:szCs w:val="20"/>
        </w:rPr>
        <w:t>para as</w:t>
      </w:r>
      <w:r w:rsidRPr="00C62DF2">
        <w:rPr>
          <w:rFonts w:ascii="Cambria" w:hAnsi="Cambria" w:cs="TimesNewRomanPSMT"/>
          <w:sz w:val="20"/>
          <w:szCs w:val="20"/>
        </w:rPr>
        <w:t xml:space="preserve"> mulheres grávidas e lactantes deverão ser </w:t>
      </w:r>
      <w:r w:rsidR="00232F8C" w:rsidRPr="00C62DF2">
        <w:rPr>
          <w:rFonts w:ascii="Cambria" w:hAnsi="Cambria" w:cs="TimesNewRomanPSMT"/>
          <w:sz w:val="20"/>
          <w:szCs w:val="20"/>
        </w:rPr>
        <w:t>fornecidos</w:t>
      </w:r>
      <w:r w:rsidRPr="00C62DF2">
        <w:rPr>
          <w:rFonts w:ascii="Cambria" w:hAnsi="Cambria" w:cs="TimesNewRomanPSMT"/>
          <w:sz w:val="20"/>
          <w:szCs w:val="20"/>
        </w:rPr>
        <w:t xml:space="preserve"> de maneira gratuita,</w:t>
      </w:r>
      <w:r w:rsidRPr="00C62DF2">
        <w:rPr>
          <w:rStyle w:val="FootnoteReference"/>
          <w:rFonts w:ascii="Cambria" w:hAnsi="Cambria" w:cs="TimesNewRomanPSMT"/>
          <w:sz w:val="20"/>
          <w:szCs w:val="20"/>
        </w:rPr>
        <w:footnoteReference w:id="147"/>
      </w:r>
      <w:r w:rsidRPr="00C62DF2">
        <w:rPr>
          <w:rFonts w:ascii="Cambria" w:hAnsi="Cambria" w:cs="TimesNewRomanPSMT"/>
          <w:sz w:val="20"/>
          <w:szCs w:val="20"/>
        </w:rPr>
        <w:t xml:space="preserve"> suficiente e pontual, e </w:t>
      </w:r>
      <w:r w:rsidRPr="00C62DF2">
        <w:rPr>
          <w:rFonts w:ascii="Cambria" w:hAnsi="Cambria"/>
          <w:sz w:val="20"/>
          <w:szCs w:val="20"/>
          <w:shd w:val="clear" w:color="auto" w:fill="FFFFFF"/>
        </w:rPr>
        <w:t>em um espaço saudável onde se tenha a possibilidade de realizar exercícios físicos de maneira habitual.</w:t>
      </w:r>
      <w:r w:rsidRPr="00C62DF2">
        <w:rPr>
          <w:rStyle w:val="FootnoteReference"/>
          <w:rFonts w:ascii="Cambria" w:hAnsi="Cambria"/>
          <w:sz w:val="20"/>
          <w:szCs w:val="20"/>
          <w:shd w:val="clear" w:color="auto" w:fill="FFFFFF"/>
        </w:rPr>
        <w:footnoteReference w:id="148"/>
      </w:r>
      <w:r w:rsidRPr="00C62DF2">
        <w:rPr>
          <w:rFonts w:ascii="Cambria" w:hAnsi="Cambria"/>
          <w:sz w:val="20"/>
          <w:szCs w:val="20"/>
          <w:shd w:val="clear" w:color="auto" w:fill="FFFFFF"/>
        </w:rPr>
        <w:t xml:space="preserve"> Com relação ao tipo de alimentos a </w:t>
      </w:r>
      <w:r w:rsidR="00232F8C" w:rsidRPr="00C62DF2">
        <w:rPr>
          <w:rFonts w:ascii="Cambria" w:hAnsi="Cambria"/>
          <w:sz w:val="20"/>
          <w:szCs w:val="20"/>
          <w:shd w:val="clear" w:color="auto" w:fill="FFFFFF"/>
        </w:rPr>
        <w:t xml:space="preserve">serem </w:t>
      </w:r>
      <w:r w:rsidRPr="00C62DF2">
        <w:rPr>
          <w:rFonts w:ascii="Cambria" w:hAnsi="Cambria"/>
          <w:sz w:val="20"/>
          <w:szCs w:val="20"/>
          <w:shd w:val="clear" w:color="auto" w:fill="FFFFFF"/>
        </w:rPr>
        <w:t>fornec</w:t>
      </w:r>
      <w:r w:rsidR="00232F8C" w:rsidRPr="00C62DF2">
        <w:rPr>
          <w:rFonts w:ascii="Cambria" w:hAnsi="Cambria"/>
          <w:sz w:val="20"/>
          <w:szCs w:val="20"/>
          <w:shd w:val="clear" w:color="auto" w:fill="FFFFFF"/>
        </w:rPr>
        <w:t>idos</w:t>
      </w:r>
      <w:r w:rsidRPr="00C62DF2">
        <w:rPr>
          <w:rFonts w:ascii="Cambria" w:hAnsi="Cambria"/>
          <w:sz w:val="20"/>
          <w:szCs w:val="20"/>
          <w:shd w:val="clear" w:color="auto" w:fill="FFFFFF"/>
        </w:rPr>
        <w:t>, a resolução do Parlamento Europeu indica que a alimentação deve ser equilibrada;</w:t>
      </w:r>
      <w:r w:rsidRPr="00C62DF2">
        <w:rPr>
          <w:rStyle w:val="FootnoteReference"/>
          <w:rFonts w:ascii="Cambria" w:hAnsi="Cambria"/>
          <w:sz w:val="20"/>
          <w:szCs w:val="20"/>
          <w:shd w:val="clear" w:color="auto" w:fill="FFFFFF"/>
        </w:rPr>
        <w:footnoteReference w:id="149"/>
      </w:r>
      <w:r w:rsidRPr="00C62DF2">
        <w:rPr>
          <w:rFonts w:ascii="Cambria" w:hAnsi="Cambria"/>
          <w:sz w:val="20"/>
          <w:szCs w:val="20"/>
          <w:shd w:val="clear" w:color="auto" w:fill="FFFFFF"/>
        </w:rPr>
        <w:t xml:space="preserve"> neste sentido, </w:t>
      </w:r>
      <w:r w:rsidR="00232F8C" w:rsidRPr="00C62DF2">
        <w:rPr>
          <w:rFonts w:ascii="Cambria" w:hAnsi="Cambria"/>
          <w:sz w:val="20"/>
          <w:szCs w:val="20"/>
          <w:shd w:val="clear" w:color="auto" w:fill="FFFFFF"/>
        </w:rPr>
        <w:t>o</w:t>
      </w:r>
      <w:r w:rsidRPr="00C62DF2">
        <w:rPr>
          <w:rFonts w:ascii="Cambria" w:hAnsi="Cambria"/>
          <w:sz w:val="20"/>
          <w:szCs w:val="20"/>
          <w:shd w:val="clear" w:color="auto" w:fill="FFFFFF"/>
        </w:rPr>
        <w:t xml:space="preserve"> UNODC </w:t>
      </w:r>
      <w:r w:rsidR="00232F8C" w:rsidRPr="00C62DF2">
        <w:rPr>
          <w:rFonts w:ascii="Cambria" w:hAnsi="Cambria"/>
          <w:sz w:val="20"/>
          <w:szCs w:val="20"/>
          <w:shd w:val="clear" w:color="auto" w:fill="FFFFFF"/>
        </w:rPr>
        <w:t>indic</w:t>
      </w:r>
      <w:r w:rsidRPr="00C62DF2">
        <w:rPr>
          <w:rFonts w:ascii="Cambria" w:hAnsi="Cambria"/>
          <w:sz w:val="20"/>
          <w:szCs w:val="20"/>
          <w:shd w:val="clear" w:color="auto" w:fill="FFFFFF"/>
        </w:rPr>
        <w:t xml:space="preserve">a que esses alimentos devem incluir </w:t>
      </w:r>
      <w:r w:rsidRPr="00C62DF2">
        <w:rPr>
          <w:rFonts w:ascii="Cambria" w:hAnsi="Cambria" w:cs="TimesNewRomanPSMT"/>
          <w:sz w:val="20"/>
          <w:szCs w:val="20"/>
        </w:rPr>
        <w:lastRenderedPageBreak/>
        <w:t xml:space="preserve">leite, produtos </w:t>
      </w:r>
      <w:r w:rsidR="00612B96" w:rsidRPr="00C62DF2">
        <w:rPr>
          <w:rFonts w:ascii="Cambria" w:hAnsi="Cambria" w:cs="TimesNewRomanPSMT"/>
          <w:sz w:val="20"/>
          <w:szCs w:val="20"/>
        </w:rPr>
        <w:t>ric</w:t>
      </w:r>
      <w:r w:rsidRPr="00C62DF2">
        <w:rPr>
          <w:rFonts w:ascii="Cambria" w:hAnsi="Cambria" w:cs="TimesNewRomanPSMT"/>
          <w:sz w:val="20"/>
          <w:szCs w:val="20"/>
        </w:rPr>
        <w:t>os em proteína e quantidades adequadas de fruta</w:t>
      </w:r>
      <w:r w:rsidR="00232F8C" w:rsidRPr="00C62DF2">
        <w:rPr>
          <w:rFonts w:ascii="Cambria" w:hAnsi="Cambria" w:cs="TimesNewRomanPSMT"/>
          <w:sz w:val="20"/>
          <w:szCs w:val="20"/>
        </w:rPr>
        <w:t>s</w:t>
      </w:r>
      <w:r w:rsidRPr="00C62DF2">
        <w:rPr>
          <w:rFonts w:ascii="Cambria" w:hAnsi="Cambria" w:cs="TimesNewRomanPSMT"/>
          <w:sz w:val="20"/>
          <w:szCs w:val="20"/>
        </w:rPr>
        <w:t xml:space="preserve"> e vegetais frescos</w:t>
      </w:r>
      <w:r w:rsidRPr="00C62DF2">
        <w:rPr>
          <w:rStyle w:val="FootnoteReference"/>
          <w:rFonts w:ascii="Cambria" w:hAnsi="Cambria"/>
          <w:sz w:val="20"/>
          <w:szCs w:val="20"/>
          <w:shd w:val="clear" w:color="auto" w:fill="FFFFFF"/>
        </w:rPr>
        <w:footnoteReference w:id="150"/>
      </w:r>
      <w:r w:rsidRPr="00C62DF2">
        <w:rPr>
          <w:rFonts w:ascii="Cambria" w:hAnsi="Cambria" w:cs="TimesNewRomanPSMT"/>
          <w:sz w:val="20"/>
          <w:szCs w:val="20"/>
        </w:rPr>
        <w:t>. Considerando este tipo de produtos, os recintos penitenciários devem</w:t>
      </w:r>
      <w:r w:rsidR="00232F8C" w:rsidRPr="00C62DF2">
        <w:rPr>
          <w:rFonts w:ascii="Cambria" w:hAnsi="Cambria" w:cs="TimesNewRomanPSMT"/>
          <w:sz w:val="20"/>
          <w:szCs w:val="20"/>
        </w:rPr>
        <w:t xml:space="preserve"> </w:t>
      </w:r>
      <w:r w:rsidRPr="00C62DF2">
        <w:rPr>
          <w:rFonts w:ascii="Cambria" w:hAnsi="Cambria" w:cs="TimesNewRomanPSMT"/>
          <w:sz w:val="20"/>
          <w:szCs w:val="20"/>
        </w:rPr>
        <w:t>armazenar esses produtos adequadamente.</w:t>
      </w:r>
      <w:r w:rsidRPr="00C62DF2">
        <w:rPr>
          <w:rStyle w:val="FootnoteReference"/>
          <w:rFonts w:ascii="Cambria" w:hAnsi="Cambria" w:cs="TimesNewRomanPSMT"/>
          <w:sz w:val="20"/>
          <w:szCs w:val="20"/>
        </w:rPr>
        <w:footnoteReference w:id="151"/>
      </w:r>
    </w:p>
    <w:p w14:paraId="0C8DF580" w14:textId="77777777" w:rsidR="00D25674" w:rsidRPr="00C62DF2" w:rsidRDefault="00D25674" w:rsidP="00FC0CB6">
      <w:pPr>
        <w:ind w:left="720"/>
        <w:jc w:val="both"/>
        <w:rPr>
          <w:rFonts w:ascii="Cambria" w:hAnsi="Cambria"/>
          <w:sz w:val="20"/>
          <w:szCs w:val="20"/>
          <w:shd w:val="clear" w:color="auto" w:fill="FFFFFF"/>
        </w:rPr>
      </w:pPr>
    </w:p>
    <w:p w14:paraId="3D0FEC1E" w14:textId="69B1107F" w:rsidR="00D25674" w:rsidRPr="00C62DF2" w:rsidRDefault="00D25674" w:rsidP="00FC0CB6">
      <w:pPr>
        <w:numPr>
          <w:ilvl w:val="0"/>
          <w:numId w:val="2"/>
        </w:numPr>
        <w:jc w:val="both"/>
        <w:rPr>
          <w:rFonts w:ascii="Cambria" w:hAnsi="Cambria"/>
          <w:sz w:val="20"/>
          <w:szCs w:val="20"/>
        </w:rPr>
      </w:pPr>
      <w:r w:rsidRPr="00C62DF2">
        <w:rPr>
          <w:rFonts w:ascii="Cambria" w:hAnsi="Cambria" w:cs="MinionPro-Regular"/>
          <w:sz w:val="20"/>
          <w:szCs w:val="20"/>
        </w:rPr>
        <w:t xml:space="preserve">Quanto à saúde, as mulheres privadas de liberdade – </w:t>
      </w:r>
      <w:r w:rsidRPr="00C62DF2">
        <w:rPr>
          <w:rFonts w:ascii="Cambria" w:hAnsi="Cambria" w:cs="TimesNewRomanPSMT"/>
          <w:sz w:val="20"/>
          <w:szCs w:val="20"/>
        </w:rPr>
        <w:t xml:space="preserve">neste caso, grávidas, lactantes ou em pós-parto </w:t>
      </w:r>
      <w:r w:rsidRPr="00C62DF2">
        <w:rPr>
          <w:rFonts w:ascii="Cambria" w:hAnsi="Cambria" w:cs="MinionPro-Regular"/>
          <w:sz w:val="20"/>
          <w:szCs w:val="20"/>
        </w:rPr>
        <w:t xml:space="preserve">– têm necessidades específicas e, portanto, </w:t>
      </w:r>
      <w:r w:rsidR="00612B96" w:rsidRPr="00C62DF2">
        <w:rPr>
          <w:rFonts w:ascii="Cambria" w:hAnsi="Cambria" w:cs="MinionPro-Regular"/>
          <w:sz w:val="20"/>
          <w:szCs w:val="20"/>
        </w:rPr>
        <w:t xml:space="preserve">o </w:t>
      </w:r>
      <w:r w:rsidRPr="00C62DF2">
        <w:rPr>
          <w:rFonts w:ascii="Cambria" w:hAnsi="Cambria" w:cs="MinionPro-Regular"/>
          <w:sz w:val="20"/>
          <w:szCs w:val="20"/>
        </w:rPr>
        <w:t>direito de receber a atenção pré</w:t>
      </w:r>
      <w:r w:rsidR="00612B96" w:rsidRPr="00C62DF2">
        <w:rPr>
          <w:rFonts w:ascii="Cambria" w:hAnsi="Cambria" w:cs="MinionPro-Regular"/>
          <w:sz w:val="20"/>
          <w:szCs w:val="20"/>
        </w:rPr>
        <w:t>-natal</w:t>
      </w:r>
      <w:r w:rsidRPr="00C62DF2">
        <w:rPr>
          <w:rFonts w:ascii="Cambria" w:hAnsi="Cambria" w:cs="MinionPro-Regular"/>
          <w:sz w:val="20"/>
          <w:szCs w:val="20"/>
        </w:rPr>
        <w:t xml:space="preserve"> e pós-natal adequada. </w:t>
      </w:r>
      <w:r w:rsidRPr="00C62DF2">
        <w:rPr>
          <w:rFonts w:ascii="Cambria" w:hAnsi="Cambria"/>
          <w:sz w:val="20"/>
          <w:szCs w:val="20"/>
        </w:rPr>
        <w:t xml:space="preserve">Caso contrário, tal como manifestado anteriormente pela CIDH, a falta de uma oportuna e adequada atenção especializada para prevenir e tratar as complicações derivadas da gravidez pode ter graves consequências que põem em risco a vida, saúde e integridade da mãe e o bem-estar </w:t>
      </w:r>
      <w:r w:rsidR="00612B96" w:rsidRPr="00C62DF2">
        <w:rPr>
          <w:rFonts w:ascii="Cambria" w:hAnsi="Cambria"/>
          <w:sz w:val="20"/>
          <w:szCs w:val="20"/>
        </w:rPr>
        <w:t xml:space="preserve">do </w:t>
      </w:r>
      <w:r w:rsidRPr="00C62DF2">
        <w:rPr>
          <w:rFonts w:ascii="Cambria" w:hAnsi="Cambria"/>
          <w:sz w:val="20"/>
          <w:szCs w:val="20"/>
        </w:rPr>
        <w:t>fet</w:t>
      </w:r>
      <w:r w:rsidR="00612B96" w:rsidRPr="00C62DF2">
        <w:rPr>
          <w:rFonts w:ascii="Cambria" w:hAnsi="Cambria"/>
          <w:sz w:val="20"/>
          <w:szCs w:val="20"/>
        </w:rPr>
        <w:t>o</w:t>
      </w:r>
      <w:r w:rsidRPr="00C62DF2">
        <w:rPr>
          <w:rFonts w:ascii="Cambria" w:hAnsi="Cambria"/>
          <w:sz w:val="20"/>
          <w:szCs w:val="20"/>
        </w:rPr>
        <w:t>. Entre essas consequências, destacam</w:t>
      </w:r>
      <w:r w:rsidR="00612B96" w:rsidRPr="00C62DF2">
        <w:rPr>
          <w:rFonts w:ascii="Cambria" w:hAnsi="Cambria"/>
          <w:sz w:val="20"/>
          <w:szCs w:val="20"/>
        </w:rPr>
        <w:t>-se</w:t>
      </w:r>
      <w:r w:rsidRPr="00C62DF2">
        <w:rPr>
          <w:rFonts w:ascii="Cambria" w:hAnsi="Cambria"/>
          <w:sz w:val="20"/>
          <w:szCs w:val="20"/>
        </w:rPr>
        <w:t xml:space="preserve"> o risco de abortos espontâneos, morte </w:t>
      </w:r>
      <w:r w:rsidR="00612B96" w:rsidRPr="00C62DF2">
        <w:rPr>
          <w:rFonts w:ascii="Cambria" w:hAnsi="Cambria"/>
          <w:sz w:val="20"/>
          <w:szCs w:val="20"/>
        </w:rPr>
        <w:t xml:space="preserve">do </w:t>
      </w:r>
      <w:r w:rsidRPr="00C62DF2">
        <w:rPr>
          <w:rFonts w:ascii="Cambria" w:hAnsi="Cambria"/>
          <w:sz w:val="20"/>
          <w:szCs w:val="20"/>
        </w:rPr>
        <w:t>fet</w:t>
      </w:r>
      <w:r w:rsidR="00612B96" w:rsidRPr="00C62DF2">
        <w:rPr>
          <w:rFonts w:ascii="Cambria" w:hAnsi="Cambria"/>
          <w:sz w:val="20"/>
          <w:szCs w:val="20"/>
        </w:rPr>
        <w:t>o</w:t>
      </w:r>
      <w:r w:rsidRPr="00C62DF2">
        <w:rPr>
          <w:rFonts w:ascii="Cambria" w:hAnsi="Cambria"/>
          <w:sz w:val="20"/>
          <w:szCs w:val="20"/>
        </w:rPr>
        <w:t xml:space="preserve"> e gravidez ectópica. </w:t>
      </w:r>
    </w:p>
    <w:p w14:paraId="26E212B7" w14:textId="77777777" w:rsidR="00D25674" w:rsidRPr="00C62DF2" w:rsidRDefault="00D25674" w:rsidP="00FC0CB6">
      <w:pPr>
        <w:pStyle w:val="ListParagraph"/>
        <w:ind w:firstLine="0"/>
        <w:rPr>
          <w:sz w:val="20"/>
          <w:szCs w:val="20"/>
          <w:lang w:val="pt-BR"/>
        </w:rPr>
      </w:pPr>
    </w:p>
    <w:p w14:paraId="49F4CBD3" w14:textId="20B515A4" w:rsidR="00D25674" w:rsidRPr="00C62DF2" w:rsidRDefault="00D25674" w:rsidP="00FC0CB6">
      <w:pPr>
        <w:numPr>
          <w:ilvl w:val="0"/>
          <w:numId w:val="2"/>
        </w:numPr>
        <w:jc w:val="both"/>
        <w:rPr>
          <w:rFonts w:ascii="Cambria" w:hAnsi="Cambria"/>
          <w:sz w:val="20"/>
          <w:szCs w:val="20"/>
          <w:shd w:val="clear" w:color="auto" w:fill="FFFFFF"/>
        </w:rPr>
      </w:pPr>
      <w:r w:rsidRPr="00C62DF2">
        <w:rPr>
          <w:rFonts w:ascii="Cambria" w:hAnsi="Cambria" w:cs="TimesNewRoman,Bold"/>
          <w:bCs/>
          <w:sz w:val="20"/>
          <w:szCs w:val="20"/>
        </w:rPr>
        <w:t xml:space="preserve">Neste contexto, </w:t>
      </w:r>
      <w:r w:rsidR="00B521A9" w:rsidRPr="00C62DF2">
        <w:rPr>
          <w:rFonts w:ascii="Cambria" w:hAnsi="Cambria" w:cs="TimesNewRoman,Bold"/>
          <w:bCs/>
          <w:sz w:val="20"/>
          <w:szCs w:val="20"/>
        </w:rPr>
        <w:t xml:space="preserve">entre </w:t>
      </w:r>
      <w:r w:rsidRPr="00C62DF2">
        <w:rPr>
          <w:rFonts w:ascii="Cambria" w:hAnsi="Cambria" w:cs="TimesNewRoman,Bold"/>
          <w:bCs/>
          <w:sz w:val="20"/>
          <w:szCs w:val="20"/>
        </w:rPr>
        <w:t xml:space="preserve">as obrigações específicas dos Estados </w:t>
      </w:r>
      <w:r w:rsidR="00B521A9" w:rsidRPr="00C62DF2">
        <w:rPr>
          <w:rFonts w:ascii="Cambria" w:hAnsi="Cambria" w:cs="TimesNewRoman,Bold"/>
          <w:bCs/>
          <w:sz w:val="20"/>
          <w:szCs w:val="20"/>
        </w:rPr>
        <w:t>encontram-se a d</w:t>
      </w:r>
      <w:r w:rsidRPr="00C62DF2">
        <w:rPr>
          <w:rFonts w:ascii="Cambria" w:hAnsi="Cambria" w:cs="TimesNewRoman,Bold"/>
          <w:bCs/>
          <w:sz w:val="20"/>
          <w:szCs w:val="20"/>
        </w:rPr>
        <w:t xml:space="preserve">e oferecer atenção médica que responda adequadamente às necessidades destas mulheres, derivadas de seu estado de gestação, lactação ou pós-parto, e que seja equiparável ao cuidado que receberiam na comunidade. </w:t>
      </w:r>
      <w:r w:rsidRPr="00C62DF2">
        <w:rPr>
          <w:rFonts w:ascii="Cambria" w:hAnsi="Cambria" w:cs="TimesNewRomanPSMT"/>
          <w:bCs/>
          <w:sz w:val="20"/>
          <w:szCs w:val="20"/>
        </w:rPr>
        <w:t xml:space="preserve">Em termos gerais, a respeito da atenção médica em centros penitenciários, no </w:t>
      </w:r>
      <w:r w:rsidRPr="00C62DF2">
        <w:rPr>
          <w:rFonts w:ascii="Cambria" w:hAnsi="Cambria"/>
          <w:sz w:val="20"/>
          <w:szCs w:val="20"/>
        </w:rPr>
        <w:t>c</w:t>
      </w:r>
      <w:r w:rsidRPr="00C62DF2">
        <w:rPr>
          <w:rFonts w:ascii="Cambria" w:hAnsi="Cambria"/>
          <w:sz w:val="20"/>
          <w:szCs w:val="20"/>
          <w:shd w:val="clear" w:color="auto" w:fill="FFFFFF"/>
        </w:rPr>
        <w:t xml:space="preserve">aso </w:t>
      </w:r>
      <w:r w:rsidRPr="00C62DF2">
        <w:rPr>
          <w:rFonts w:ascii="Cambria" w:hAnsi="Cambria"/>
          <w:i/>
          <w:iCs/>
          <w:sz w:val="20"/>
          <w:szCs w:val="20"/>
          <w:shd w:val="clear" w:color="auto" w:fill="FFFFFF"/>
        </w:rPr>
        <w:t>Chinchilla Sandoval e outros Vs. Guatemala</w:t>
      </w:r>
      <w:r w:rsidRPr="00C62DF2">
        <w:rPr>
          <w:rFonts w:ascii="Cambria" w:hAnsi="Cambria"/>
          <w:iCs/>
          <w:sz w:val="20"/>
          <w:szCs w:val="20"/>
        </w:rPr>
        <w:t xml:space="preserve">, a Corte se pronunciou a respeito do chamado princípio de equivalência. Nessa oportunidade, a Corte assinalou que </w:t>
      </w:r>
      <w:r w:rsidRPr="00C62DF2">
        <w:rPr>
          <w:rFonts w:ascii="Cambria" w:hAnsi="Cambria"/>
          <w:sz w:val="20"/>
          <w:szCs w:val="20"/>
        </w:rPr>
        <w:t>os serviços de saúde devem manter um nível de qualidade equivalente com relação àquelas pessoas que não estão privadas de liberdade.</w:t>
      </w:r>
      <w:r w:rsidRPr="00C62DF2">
        <w:rPr>
          <w:rStyle w:val="FootnoteReference"/>
          <w:rFonts w:ascii="Cambria" w:hAnsi="Cambria"/>
          <w:sz w:val="20"/>
          <w:szCs w:val="20"/>
        </w:rPr>
        <w:footnoteReference w:id="152"/>
      </w:r>
      <w:r w:rsidRPr="00C62DF2">
        <w:rPr>
          <w:rFonts w:ascii="Cambria" w:hAnsi="Cambria"/>
          <w:sz w:val="20"/>
          <w:szCs w:val="20"/>
        </w:rPr>
        <w:t xml:space="preserve"> Neste sentido, à </w:t>
      </w:r>
      <w:r w:rsidRPr="00C62DF2">
        <w:rPr>
          <w:rFonts w:ascii="Cambria" w:hAnsi="Cambria"/>
          <w:iCs/>
          <w:sz w:val="20"/>
          <w:szCs w:val="20"/>
        </w:rPr>
        <w:t>luz do princípio de equivalência, e e</w:t>
      </w:r>
      <w:r w:rsidR="00B521A9" w:rsidRPr="00C62DF2">
        <w:rPr>
          <w:rFonts w:ascii="Cambria" w:hAnsi="Cambria"/>
          <w:iCs/>
          <w:sz w:val="20"/>
          <w:szCs w:val="20"/>
        </w:rPr>
        <w:t>m</w:t>
      </w:r>
      <w:r w:rsidRPr="00C62DF2">
        <w:rPr>
          <w:rFonts w:ascii="Cambria" w:hAnsi="Cambria"/>
          <w:iCs/>
          <w:sz w:val="20"/>
          <w:szCs w:val="20"/>
        </w:rPr>
        <w:t xml:space="preserve"> conformidade com a Corte Europeia de Direitos Humanos, o serviço de saúde nos recintos de privação de liberdade deve poder fornecer, entre outros, tratamento médico e </w:t>
      </w:r>
      <w:r w:rsidR="009612D9" w:rsidRPr="00C62DF2">
        <w:rPr>
          <w:rFonts w:ascii="Cambria" w:hAnsi="Cambria"/>
          <w:iCs/>
          <w:sz w:val="20"/>
          <w:szCs w:val="20"/>
        </w:rPr>
        <w:t xml:space="preserve">serviço </w:t>
      </w:r>
      <w:r w:rsidRPr="00C62DF2">
        <w:rPr>
          <w:rFonts w:ascii="Cambria" w:hAnsi="Cambria"/>
          <w:iCs/>
          <w:sz w:val="20"/>
          <w:szCs w:val="20"/>
        </w:rPr>
        <w:t>de enferma</w:t>
      </w:r>
      <w:r w:rsidR="00B521A9" w:rsidRPr="00C62DF2">
        <w:rPr>
          <w:rFonts w:ascii="Cambria" w:hAnsi="Cambria"/>
          <w:iCs/>
          <w:sz w:val="20"/>
          <w:szCs w:val="20"/>
        </w:rPr>
        <w:t>gem</w:t>
      </w:r>
      <w:r w:rsidRPr="00C62DF2">
        <w:rPr>
          <w:rFonts w:ascii="Cambria" w:hAnsi="Cambria"/>
          <w:iCs/>
          <w:sz w:val="20"/>
          <w:szCs w:val="20"/>
        </w:rPr>
        <w:t xml:space="preserve"> em condições comparáveis com as d</w:t>
      </w:r>
      <w:r w:rsidR="009612D9" w:rsidRPr="00C62DF2">
        <w:rPr>
          <w:rFonts w:ascii="Cambria" w:hAnsi="Cambria"/>
          <w:iCs/>
          <w:sz w:val="20"/>
          <w:szCs w:val="20"/>
        </w:rPr>
        <w:t>e</w:t>
      </w:r>
      <w:r w:rsidRPr="00C62DF2">
        <w:rPr>
          <w:rFonts w:ascii="Cambria" w:hAnsi="Cambria"/>
          <w:iCs/>
          <w:sz w:val="20"/>
          <w:szCs w:val="20"/>
        </w:rPr>
        <w:t>sfrutadas por pacientes na comunidade exterior.</w:t>
      </w:r>
      <w:r w:rsidRPr="00C62DF2">
        <w:rPr>
          <w:rStyle w:val="FootnoteReference"/>
          <w:rFonts w:ascii="Cambria" w:hAnsi="Cambria"/>
          <w:sz w:val="20"/>
          <w:szCs w:val="20"/>
        </w:rPr>
        <w:footnoteReference w:id="153"/>
      </w:r>
    </w:p>
    <w:p w14:paraId="4F3C3338" w14:textId="77777777" w:rsidR="00D25674" w:rsidRPr="00C62DF2" w:rsidRDefault="00D25674" w:rsidP="00FC0CB6">
      <w:pPr>
        <w:pStyle w:val="ListParagraph"/>
        <w:ind w:firstLine="0"/>
        <w:rPr>
          <w:sz w:val="20"/>
          <w:szCs w:val="20"/>
          <w:shd w:val="clear" w:color="auto" w:fill="FFFFFF"/>
          <w:lang w:val="pt-BR"/>
        </w:rPr>
      </w:pPr>
    </w:p>
    <w:p w14:paraId="5385D5D1" w14:textId="16F03227" w:rsidR="00D25674" w:rsidRPr="00C62DF2" w:rsidRDefault="00D25674" w:rsidP="00FC0CB6">
      <w:pPr>
        <w:numPr>
          <w:ilvl w:val="0"/>
          <w:numId w:val="2"/>
        </w:numPr>
        <w:jc w:val="both"/>
        <w:rPr>
          <w:rFonts w:ascii="Cambria" w:hAnsi="Cambria"/>
          <w:sz w:val="20"/>
          <w:szCs w:val="20"/>
          <w:shd w:val="clear" w:color="auto" w:fill="FFFFFF"/>
        </w:rPr>
      </w:pPr>
      <w:r w:rsidRPr="00C62DF2">
        <w:rPr>
          <w:rFonts w:ascii="Cambria" w:hAnsi="Cambria" w:cs="TimesNewRoman,Bold"/>
          <w:bCs/>
          <w:sz w:val="20"/>
          <w:szCs w:val="20"/>
        </w:rPr>
        <w:t>Além disso, com relação às obrigações que respondam adequadamente às necessidades das mulheres grávidas, lactantes e em período de pós-parto, os Estados devem garantir programas e instalações especiais que atendam a sua condição. A esse respeito, os Princípios e Boas Práticas, as Regras Mínimas das Nações Unidas para o Tratamento d</w:t>
      </w:r>
      <w:r w:rsidR="00B521A9" w:rsidRPr="00C62DF2">
        <w:rPr>
          <w:rFonts w:ascii="Cambria" w:hAnsi="Cambria" w:cs="TimesNewRoman,Bold"/>
          <w:bCs/>
          <w:sz w:val="20"/>
          <w:szCs w:val="20"/>
        </w:rPr>
        <w:t>e</w:t>
      </w:r>
      <w:r w:rsidRPr="00C62DF2">
        <w:rPr>
          <w:rFonts w:ascii="Cambria" w:hAnsi="Cambria" w:cs="TimesNewRoman,Bold"/>
          <w:bCs/>
          <w:sz w:val="20"/>
          <w:szCs w:val="20"/>
        </w:rPr>
        <w:t xml:space="preserve"> Reclusos (</w:t>
      </w:r>
      <w:r w:rsidRPr="00C62DF2">
        <w:rPr>
          <w:rFonts w:ascii="Cambria" w:hAnsi="Cambria" w:cs="TimesNewRomanPSMT"/>
          <w:bCs/>
          <w:sz w:val="20"/>
          <w:szCs w:val="20"/>
        </w:rPr>
        <w:t xml:space="preserve">Regras </w:t>
      </w:r>
      <w:r w:rsidR="00B521A9" w:rsidRPr="00C62DF2">
        <w:rPr>
          <w:rFonts w:ascii="Cambria" w:hAnsi="Cambria" w:cs="TimesNewRomanPSMT"/>
          <w:bCs/>
          <w:sz w:val="20"/>
          <w:szCs w:val="20"/>
        </w:rPr>
        <w:t xml:space="preserve">de Nelson </w:t>
      </w:r>
      <w:r w:rsidRPr="00C62DF2">
        <w:rPr>
          <w:rFonts w:ascii="Cambria" w:hAnsi="Cambria" w:cs="TimesNewRomanPSMT"/>
          <w:bCs/>
          <w:sz w:val="20"/>
          <w:szCs w:val="20"/>
        </w:rPr>
        <w:t xml:space="preserve">Mandela) e a resolução na matéria do Parlamento Europeu indicam que as </w:t>
      </w:r>
      <w:r w:rsidRPr="00C62DF2">
        <w:rPr>
          <w:rFonts w:ascii="Cambria" w:hAnsi="Cambria" w:cs="TimesNewRoman,Bold"/>
          <w:bCs/>
          <w:sz w:val="20"/>
          <w:szCs w:val="20"/>
        </w:rPr>
        <w:t xml:space="preserve">mulheres deverão contar com atenção médica ginecológica e pediátrica, </w:t>
      </w:r>
      <w:r w:rsidR="009612D9" w:rsidRPr="00C62DF2">
        <w:rPr>
          <w:rFonts w:ascii="Cambria" w:hAnsi="Cambria" w:cs="TimesNewRoman,Bold"/>
          <w:bCs/>
          <w:sz w:val="20"/>
          <w:szCs w:val="20"/>
        </w:rPr>
        <w:t>bem</w:t>
      </w:r>
      <w:r w:rsidRPr="00C62DF2">
        <w:rPr>
          <w:rFonts w:ascii="Cambria" w:hAnsi="Cambria" w:cs="TimesNewRoman,Bold"/>
          <w:bCs/>
          <w:sz w:val="20"/>
          <w:szCs w:val="20"/>
        </w:rPr>
        <w:t xml:space="preserve"> como com recursos apropriados e instalações especiais, antes, durante e depois do parto.</w:t>
      </w:r>
      <w:r w:rsidRPr="00C62DF2">
        <w:rPr>
          <w:rStyle w:val="FootnoteReference"/>
          <w:rFonts w:ascii="Cambria" w:hAnsi="Cambria"/>
          <w:sz w:val="20"/>
          <w:szCs w:val="20"/>
        </w:rPr>
        <w:footnoteReference w:id="154"/>
      </w:r>
      <w:r w:rsidRPr="00C62DF2">
        <w:rPr>
          <w:rFonts w:ascii="Cambria" w:hAnsi="Cambria" w:cs="TimesNewRoman,Bold"/>
          <w:bCs/>
          <w:sz w:val="20"/>
          <w:szCs w:val="20"/>
        </w:rPr>
        <w:t xml:space="preserve"> </w:t>
      </w:r>
      <w:r w:rsidR="009612D9" w:rsidRPr="00C62DF2">
        <w:rPr>
          <w:rFonts w:ascii="Cambria" w:hAnsi="Cambria" w:cs="TimesNewRoman,Bold"/>
          <w:bCs/>
          <w:sz w:val="20"/>
          <w:szCs w:val="20"/>
        </w:rPr>
        <w:t>Isso</w:t>
      </w:r>
      <w:r w:rsidRPr="00C62DF2">
        <w:rPr>
          <w:rFonts w:ascii="Cambria" w:hAnsi="Cambria" w:cs="TimesNewRoman,Bold"/>
          <w:bCs/>
          <w:sz w:val="20"/>
          <w:szCs w:val="20"/>
        </w:rPr>
        <w:t>, segundo o Comitê de Ministros do Conselho da Europa, permitirá também garantir o direito das crianças ao d</w:t>
      </w:r>
      <w:r w:rsidR="009612D9" w:rsidRPr="00C62DF2">
        <w:rPr>
          <w:rFonts w:ascii="Cambria" w:hAnsi="Cambria" w:cs="TimesNewRoman,Bold"/>
          <w:bCs/>
          <w:sz w:val="20"/>
          <w:szCs w:val="20"/>
        </w:rPr>
        <w:t>e</w:t>
      </w:r>
      <w:r w:rsidRPr="00C62DF2">
        <w:rPr>
          <w:rFonts w:ascii="Cambria" w:hAnsi="Cambria" w:cs="TimesNewRoman,Bold"/>
          <w:bCs/>
          <w:sz w:val="20"/>
          <w:szCs w:val="20"/>
        </w:rPr>
        <w:t>sfrute do mais alto nível possível de saúde.</w:t>
      </w:r>
      <w:r w:rsidRPr="00C62DF2">
        <w:rPr>
          <w:rStyle w:val="FootnoteReference"/>
          <w:rFonts w:ascii="Cambria" w:hAnsi="Cambria" w:cs="TimesNewRoman,Bold"/>
          <w:bCs/>
          <w:sz w:val="20"/>
          <w:szCs w:val="20"/>
        </w:rPr>
        <w:footnoteReference w:id="155"/>
      </w:r>
      <w:r w:rsidRPr="00C62DF2">
        <w:rPr>
          <w:rFonts w:ascii="Cambria" w:hAnsi="Cambria" w:cs="TimesNewRoman,Bold"/>
          <w:bCs/>
          <w:sz w:val="20"/>
          <w:szCs w:val="20"/>
        </w:rPr>
        <w:t xml:space="preserve"> </w:t>
      </w:r>
      <w:r w:rsidR="009612D9" w:rsidRPr="00C62DF2">
        <w:rPr>
          <w:rFonts w:ascii="Cambria" w:hAnsi="Cambria" w:cs="TimesNewRoman,Bold"/>
          <w:bCs/>
          <w:sz w:val="20"/>
          <w:szCs w:val="20"/>
        </w:rPr>
        <w:t xml:space="preserve">Por </w:t>
      </w:r>
      <w:r w:rsidRPr="00C62DF2">
        <w:rPr>
          <w:rFonts w:ascii="Cambria" w:hAnsi="Cambria" w:cs="TimesNewRoman,Bold"/>
          <w:bCs/>
          <w:sz w:val="20"/>
          <w:szCs w:val="20"/>
        </w:rPr>
        <w:t xml:space="preserve">sua </w:t>
      </w:r>
      <w:r w:rsidR="009612D9" w:rsidRPr="00C62DF2">
        <w:rPr>
          <w:rFonts w:ascii="Cambria" w:hAnsi="Cambria" w:cs="TimesNewRoman,Bold"/>
          <w:bCs/>
          <w:sz w:val="20"/>
          <w:szCs w:val="20"/>
        </w:rPr>
        <w:t>vez</w:t>
      </w:r>
      <w:r w:rsidRPr="00C62DF2">
        <w:rPr>
          <w:rFonts w:ascii="Cambria" w:hAnsi="Cambria" w:cs="TimesNewRoman,Bold"/>
          <w:bCs/>
          <w:sz w:val="20"/>
          <w:szCs w:val="20"/>
        </w:rPr>
        <w:t xml:space="preserve">, as Regras de Bangkok dispõem que o regime penitenciário </w:t>
      </w:r>
      <w:r w:rsidR="009612D9" w:rsidRPr="00C62DF2">
        <w:rPr>
          <w:rFonts w:ascii="Cambria" w:hAnsi="Cambria" w:cs="TimesNewRoman,Bold"/>
          <w:bCs/>
          <w:sz w:val="20"/>
          <w:szCs w:val="20"/>
        </w:rPr>
        <w:t xml:space="preserve">deve, </w:t>
      </w:r>
      <w:r w:rsidRPr="00C62DF2">
        <w:rPr>
          <w:rFonts w:ascii="Cambria" w:hAnsi="Cambria" w:cs="TimesNewRoman,Bold"/>
          <w:bCs/>
          <w:sz w:val="20"/>
          <w:szCs w:val="20"/>
        </w:rPr>
        <w:t>de maneira particular, estabelecer programas apropriados para as mulheres grávidas e lactantes.</w:t>
      </w:r>
      <w:r w:rsidRPr="00C62DF2">
        <w:rPr>
          <w:rStyle w:val="FootnoteReference"/>
          <w:rFonts w:ascii="Cambria" w:hAnsi="Cambria" w:cs="TimesNewRoman,Bold"/>
          <w:bCs/>
          <w:sz w:val="20"/>
          <w:szCs w:val="20"/>
        </w:rPr>
        <w:footnoteReference w:id="156"/>
      </w:r>
    </w:p>
    <w:p w14:paraId="50689109" w14:textId="77777777" w:rsidR="00D25674" w:rsidRPr="00C62DF2" w:rsidRDefault="00D25674" w:rsidP="00FC0CB6">
      <w:pPr>
        <w:pStyle w:val="ListParagraph"/>
        <w:ind w:firstLine="0"/>
        <w:rPr>
          <w:sz w:val="20"/>
          <w:szCs w:val="20"/>
          <w:shd w:val="clear" w:color="auto" w:fill="FFFFFF"/>
          <w:lang w:val="pt-BR"/>
        </w:rPr>
      </w:pPr>
    </w:p>
    <w:p w14:paraId="5690E581" w14:textId="77777777" w:rsidR="00D25674" w:rsidRPr="00C62DF2" w:rsidRDefault="00D25674" w:rsidP="00FC0CB6">
      <w:pPr>
        <w:numPr>
          <w:ilvl w:val="0"/>
          <w:numId w:val="2"/>
        </w:numPr>
        <w:jc w:val="both"/>
        <w:rPr>
          <w:shd w:val="clear" w:color="auto" w:fill="FFFFFF"/>
        </w:rPr>
      </w:pPr>
      <w:r w:rsidRPr="00C62DF2">
        <w:rPr>
          <w:rFonts w:ascii="Cambria" w:hAnsi="Cambria"/>
          <w:sz w:val="20"/>
          <w:szCs w:val="20"/>
        </w:rPr>
        <w:t>Por último, a CIDH considera que a falta de vestimenta adequada para as mulheres grávidas que se encontram privadas de liberdade, pode constituir uma possível violação de seus direitos. Isso, levando em conta que não ter acesso a essa vestimenta, colocaria as mulheres grávidas em maior risco de quedas e tropeções que pudessem machucá-las ou ao feto.</w:t>
      </w:r>
      <w:r w:rsidRPr="00C62DF2">
        <w:rPr>
          <w:rStyle w:val="FootnoteReference"/>
          <w:rFonts w:ascii="Cambria" w:hAnsi="Cambria"/>
          <w:sz w:val="20"/>
          <w:szCs w:val="20"/>
        </w:rPr>
        <w:footnoteReference w:id="157"/>
      </w:r>
      <w:r w:rsidRPr="00C62DF2">
        <w:rPr>
          <w:rFonts w:ascii="Cambria" w:hAnsi="Cambria"/>
          <w:sz w:val="20"/>
          <w:szCs w:val="20"/>
        </w:rPr>
        <w:t xml:space="preserve"> Neste contexto, o Estado tem a obrigação reforçada de fornecer a estas mulheres a vestimenta adequada a sua condição de gestantes. </w:t>
      </w:r>
    </w:p>
    <w:p w14:paraId="0FC15A89" w14:textId="77777777" w:rsidR="00D25674" w:rsidRPr="00C62DF2" w:rsidRDefault="00D25674" w:rsidP="00FC0CB6">
      <w:pPr>
        <w:pStyle w:val="ListParagraph"/>
        <w:ind w:left="1354" w:firstLine="0"/>
        <w:rPr>
          <w:rFonts w:cs="TimesNewRomanPSMT"/>
          <w:sz w:val="20"/>
          <w:szCs w:val="20"/>
          <w:lang w:val="pt-BR"/>
        </w:rPr>
      </w:pPr>
    </w:p>
    <w:p w14:paraId="07BAF6FD" w14:textId="76654C55" w:rsidR="00D25674" w:rsidRPr="00C62DF2" w:rsidRDefault="00D25674" w:rsidP="00FC0CB6">
      <w:pPr>
        <w:numPr>
          <w:ilvl w:val="0"/>
          <w:numId w:val="2"/>
        </w:numPr>
        <w:jc w:val="both"/>
        <w:rPr>
          <w:rFonts w:ascii="Cambria" w:hAnsi="Cambria"/>
          <w:sz w:val="20"/>
          <w:szCs w:val="20"/>
          <w:shd w:val="clear" w:color="auto" w:fill="FFFFFF"/>
        </w:rPr>
      </w:pPr>
      <w:r w:rsidRPr="00C62DF2">
        <w:rPr>
          <w:rFonts w:ascii="Cambria" w:hAnsi="Cambria"/>
          <w:sz w:val="20"/>
          <w:szCs w:val="20"/>
        </w:rPr>
        <w:lastRenderedPageBreak/>
        <w:t xml:space="preserve">Em atenção às diversas dificuldades enfrentadas pelas mulheres que entram em trabalho de parto e que representam um risco para sua vida e integridade, </w:t>
      </w:r>
      <w:r w:rsidR="009612D9" w:rsidRPr="00C62DF2">
        <w:rPr>
          <w:rFonts w:ascii="Cambria" w:hAnsi="Cambria"/>
          <w:sz w:val="20"/>
          <w:szCs w:val="20"/>
        </w:rPr>
        <w:t>bem</w:t>
      </w:r>
      <w:r w:rsidRPr="00C62DF2">
        <w:rPr>
          <w:rFonts w:ascii="Cambria" w:hAnsi="Cambria"/>
          <w:sz w:val="20"/>
          <w:szCs w:val="20"/>
        </w:rPr>
        <w:t xml:space="preserve"> como para suas filhas e filhos recém-nascidos</w:t>
      </w:r>
      <w:r w:rsidRPr="00C62DF2">
        <w:rPr>
          <w:rStyle w:val="FootnoteReference"/>
          <w:rFonts w:ascii="Cambria" w:hAnsi="Cambria" w:cs="TimesNewRomanPSMT"/>
          <w:sz w:val="20"/>
          <w:szCs w:val="20"/>
        </w:rPr>
        <w:footnoteReference w:id="158"/>
      </w:r>
      <w:r w:rsidRPr="00C62DF2">
        <w:rPr>
          <w:rFonts w:ascii="Cambria" w:hAnsi="Cambria"/>
          <w:sz w:val="20"/>
          <w:szCs w:val="20"/>
        </w:rPr>
        <w:t>, as condições mínimas que – e</w:t>
      </w:r>
      <w:r w:rsidR="009612D9" w:rsidRPr="00C62DF2">
        <w:rPr>
          <w:rFonts w:ascii="Cambria" w:hAnsi="Cambria"/>
          <w:sz w:val="20"/>
          <w:szCs w:val="20"/>
        </w:rPr>
        <w:t>m</w:t>
      </w:r>
      <w:r w:rsidRPr="00C62DF2">
        <w:rPr>
          <w:rFonts w:ascii="Cambria" w:hAnsi="Cambria"/>
          <w:sz w:val="20"/>
          <w:szCs w:val="20"/>
        </w:rPr>
        <w:t xml:space="preserve"> conformidade com padrões em matéria de privação de liberdade –o Estado </w:t>
      </w:r>
      <w:r w:rsidR="009612D9" w:rsidRPr="00C62DF2">
        <w:rPr>
          <w:rFonts w:ascii="Cambria" w:hAnsi="Cambria"/>
          <w:sz w:val="20"/>
          <w:szCs w:val="20"/>
        </w:rPr>
        <w:t xml:space="preserve">deve garantir </w:t>
      </w:r>
      <w:r w:rsidRPr="00C62DF2">
        <w:rPr>
          <w:rFonts w:ascii="Cambria" w:hAnsi="Cambria"/>
          <w:sz w:val="20"/>
          <w:szCs w:val="20"/>
        </w:rPr>
        <w:t xml:space="preserve">durante o trabalho de parto e o parto se relacionam com os seguintes aspectos: atenção médica, lugar do parto e registro dos recém-nascidos. </w:t>
      </w:r>
    </w:p>
    <w:p w14:paraId="2AA20ABF" w14:textId="77777777" w:rsidR="00D25674" w:rsidRPr="00C62DF2" w:rsidRDefault="00D25674" w:rsidP="00FC0CB6">
      <w:pPr>
        <w:pStyle w:val="ListParagraph"/>
        <w:ind w:firstLine="0"/>
        <w:rPr>
          <w:sz w:val="20"/>
          <w:szCs w:val="20"/>
          <w:shd w:val="clear" w:color="auto" w:fill="FFFFFF"/>
          <w:lang w:val="pt-BR"/>
        </w:rPr>
      </w:pPr>
    </w:p>
    <w:p w14:paraId="25831C20" w14:textId="4F1C023D" w:rsidR="00D25674" w:rsidRPr="00C62DF2" w:rsidRDefault="00D25674" w:rsidP="00FC0CB6">
      <w:pPr>
        <w:numPr>
          <w:ilvl w:val="0"/>
          <w:numId w:val="2"/>
        </w:numPr>
        <w:jc w:val="both"/>
      </w:pPr>
      <w:r w:rsidRPr="00C62DF2">
        <w:rPr>
          <w:rFonts w:ascii="Cambria" w:hAnsi="Cambria" w:cs="TimesNewRoman,Bold"/>
          <w:bCs/>
          <w:sz w:val="20"/>
          <w:szCs w:val="20"/>
        </w:rPr>
        <w:t xml:space="preserve">A respeito do tratamento durante o </w:t>
      </w:r>
      <w:r w:rsidR="00BA6393" w:rsidRPr="00C62DF2">
        <w:rPr>
          <w:rFonts w:ascii="Cambria" w:hAnsi="Cambria" w:cs="TimesNewRoman,Bold"/>
          <w:bCs/>
          <w:sz w:val="20"/>
          <w:szCs w:val="20"/>
        </w:rPr>
        <w:t>parto</w:t>
      </w:r>
      <w:r w:rsidRPr="00C62DF2">
        <w:rPr>
          <w:rFonts w:ascii="Cambria" w:hAnsi="Cambria" w:cs="TimesNewRoman,Bold"/>
          <w:bCs/>
          <w:sz w:val="20"/>
          <w:szCs w:val="20"/>
        </w:rPr>
        <w:t>, o Comitê dos Direitos Humanos da ONU assinalou que existe um dever estatal reforçado a fim de que as mulheres grávidas que estejam privadas de liberdade sejam objeto de trat</w:t>
      </w:r>
      <w:r w:rsidR="00BA6393" w:rsidRPr="00C62DF2">
        <w:rPr>
          <w:rFonts w:ascii="Cambria" w:hAnsi="Cambria" w:cs="TimesNewRoman,Bold"/>
          <w:bCs/>
          <w:sz w:val="20"/>
          <w:szCs w:val="20"/>
        </w:rPr>
        <w:t>ament</w:t>
      </w:r>
      <w:r w:rsidRPr="00C62DF2">
        <w:rPr>
          <w:rFonts w:ascii="Cambria" w:hAnsi="Cambria" w:cs="TimesNewRoman,Bold"/>
          <w:bCs/>
          <w:sz w:val="20"/>
          <w:szCs w:val="20"/>
        </w:rPr>
        <w:t>o humano e que sua dignidade inerente seja respeitada.</w:t>
      </w:r>
      <w:r w:rsidRPr="00C62DF2">
        <w:rPr>
          <w:rStyle w:val="FootnoteReference"/>
          <w:rFonts w:ascii="Cambria" w:hAnsi="Cambria" w:cs="TimesNewRoman,Bold"/>
          <w:bCs/>
          <w:sz w:val="20"/>
          <w:szCs w:val="20"/>
        </w:rPr>
        <w:footnoteReference w:id="159"/>
      </w:r>
      <w:r w:rsidRPr="00C62DF2">
        <w:rPr>
          <w:rFonts w:ascii="Cambria" w:hAnsi="Cambria" w:cs="TimesNewRoman,Bold"/>
          <w:bCs/>
          <w:sz w:val="20"/>
          <w:szCs w:val="20"/>
        </w:rPr>
        <w:t xml:space="preserve"> Em particular, a respeito da atenção médica, a CIDH e </w:t>
      </w:r>
      <w:r w:rsidR="00BA6393" w:rsidRPr="00C62DF2">
        <w:rPr>
          <w:rFonts w:ascii="Cambria" w:hAnsi="Cambria" w:cs="TimesNewRoman,Bold"/>
          <w:bCs/>
          <w:sz w:val="20"/>
          <w:szCs w:val="20"/>
        </w:rPr>
        <w:t>o</w:t>
      </w:r>
      <w:r w:rsidRPr="00C62DF2">
        <w:rPr>
          <w:rFonts w:ascii="Cambria" w:hAnsi="Cambria" w:cs="TimesNewRoman,Bold"/>
          <w:bCs/>
          <w:sz w:val="20"/>
          <w:szCs w:val="20"/>
        </w:rPr>
        <w:t xml:space="preserve"> UNODC assinalaram que as mulheres deverão </w:t>
      </w:r>
      <w:r w:rsidRPr="00C62DF2">
        <w:rPr>
          <w:rFonts w:ascii="Cambria" w:hAnsi="Cambria" w:cs="Tahoma"/>
          <w:sz w:val="20"/>
          <w:szCs w:val="20"/>
        </w:rPr>
        <w:t>contar com tratamento ginecológico e pediátrico, antes, durante e depois do parto.</w:t>
      </w:r>
      <w:r w:rsidRPr="00C62DF2">
        <w:rPr>
          <w:rStyle w:val="FootnoteReference"/>
          <w:rFonts w:ascii="Cambria" w:hAnsi="Cambria"/>
          <w:sz w:val="20"/>
          <w:szCs w:val="20"/>
        </w:rPr>
        <w:footnoteReference w:id="160"/>
      </w:r>
      <w:r w:rsidRPr="00C62DF2">
        <w:rPr>
          <w:rFonts w:ascii="Cambria" w:hAnsi="Cambria" w:cs="Tahoma"/>
          <w:sz w:val="20"/>
          <w:szCs w:val="20"/>
        </w:rPr>
        <w:t xml:space="preserve"> Com relação ao lugar em que se deve realizar o parto, diversos instrumentos internacionais </w:t>
      </w:r>
      <w:r w:rsidR="00BA6393" w:rsidRPr="00C62DF2">
        <w:rPr>
          <w:rFonts w:ascii="Cambria" w:hAnsi="Cambria" w:cs="Tahoma"/>
          <w:sz w:val="20"/>
          <w:szCs w:val="20"/>
        </w:rPr>
        <w:t>indic</w:t>
      </w:r>
      <w:r w:rsidRPr="00C62DF2">
        <w:rPr>
          <w:rFonts w:ascii="Cambria" w:hAnsi="Cambria" w:cs="Tahoma"/>
          <w:sz w:val="20"/>
          <w:szCs w:val="20"/>
        </w:rPr>
        <w:t>am que não deverá acontecer dentro dos lugares de privação de liberdade, mas em hospitais ou estabelecimentos civis destinados para isso.</w:t>
      </w:r>
      <w:r w:rsidRPr="00C62DF2">
        <w:rPr>
          <w:rStyle w:val="FootnoteReference"/>
          <w:rFonts w:ascii="Cambria" w:hAnsi="Cambria"/>
          <w:sz w:val="20"/>
          <w:szCs w:val="20"/>
        </w:rPr>
        <w:footnoteReference w:id="161"/>
      </w:r>
      <w:r w:rsidRPr="00C62DF2">
        <w:rPr>
          <w:rFonts w:ascii="Cambria" w:hAnsi="Cambria" w:cs="Tahoma"/>
          <w:sz w:val="20"/>
          <w:szCs w:val="20"/>
        </w:rPr>
        <w:t xml:space="preserve"> No entanto, caso isso não seja possível, </w:t>
      </w:r>
      <w:r w:rsidR="00BA6393" w:rsidRPr="00C62DF2">
        <w:rPr>
          <w:rFonts w:ascii="Cambria" w:hAnsi="Cambria" w:cs="Tahoma"/>
          <w:sz w:val="20"/>
          <w:szCs w:val="20"/>
        </w:rPr>
        <w:t>o</w:t>
      </w:r>
      <w:r w:rsidRPr="00C62DF2">
        <w:rPr>
          <w:rFonts w:ascii="Cambria" w:hAnsi="Cambria" w:cs="Tahoma"/>
          <w:sz w:val="20"/>
          <w:szCs w:val="20"/>
        </w:rPr>
        <w:t xml:space="preserve"> UNODC indica que o parto deve ser </w:t>
      </w:r>
      <w:r w:rsidR="00BA6393" w:rsidRPr="00C62DF2">
        <w:rPr>
          <w:rFonts w:ascii="Cambria" w:hAnsi="Cambria" w:cs="Tahoma"/>
          <w:sz w:val="20"/>
          <w:szCs w:val="20"/>
        </w:rPr>
        <w:t>feito</w:t>
      </w:r>
      <w:r w:rsidRPr="00C62DF2">
        <w:rPr>
          <w:rFonts w:ascii="Cambria" w:hAnsi="Cambria" w:cs="Tahoma"/>
          <w:sz w:val="20"/>
          <w:szCs w:val="20"/>
        </w:rPr>
        <w:t xml:space="preserve"> </w:t>
      </w:r>
      <w:r w:rsidRPr="00C62DF2">
        <w:rPr>
          <w:rFonts w:ascii="Cambria" w:hAnsi="Cambria" w:cs="TimesNewRomanPSMT"/>
          <w:sz w:val="20"/>
          <w:szCs w:val="20"/>
        </w:rPr>
        <w:t>por um especialista médico em instalações adequadas.</w:t>
      </w:r>
      <w:r w:rsidRPr="00C62DF2">
        <w:rPr>
          <w:rStyle w:val="FootnoteReference"/>
          <w:rFonts w:ascii="Cambria" w:hAnsi="Cambria" w:cs="TimesNewRomanPSMT"/>
          <w:sz w:val="20"/>
          <w:szCs w:val="20"/>
        </w:rPr>
        <w:footnoteReference w:id="162"/>
      </w:r>
      <w:r w:rsidRPr="00C62DF2">
        <w:rPr>
          <w:rFonts w:ascii="Cambria" w:hAnsi="Cambria" w:cs="TimesNewRomanPSMT"/>
          <w:sz w:val="20"/>
          <w:szCs w:val="20"/>
        </w:rPr>
        <w:t xml:space="preserve"> Além disso, os </w:t>
      </w:r>
      <w:r w:rsidRPr="00C62DF2">
        <w:rPr>
          <w:rFonts w:ascii="Cambria" w:hAnsi="Cambria" w:cs="Tahoma"/>
          <w:sz w:val="20"/>
          <w:szCs w:val="20"/>
        </w:rPr>
        <w:t xml:space="preserve">Estados não deverão registrar na respectiva </w:t>
      </w:r>
      <w:r w:rsidR="00BA6393" w:rsidRPr="00C62DF2">
        <w:rPr>
          <w:rFonts w:ascii="Cambria" w:hAnsi="Cambria" w:cs="Tahoma"/>
          <w:sz w:val="20"/>
          <w:szCs w:val="20"/>
        </w:rPr>
        <w:t>certidão</w:t>
      </w:r>
      <w:r w:rsidRPr="00C62DF2">
        <w:rPr>
          <w:rFonts w:ascii="Cambria" w:hAnsi="Cambria" w:cs="Tahoma"/>
          <w:sz w:val="20"/>
          <w:szCs w:val="20"/>
        </w:rPr>
        <w:t xml:space="preserve"> de nascimento que o nascimento ocorreu no centro de detenção.</w:t>
      </w:r>
      <w:r w:rsidRPr="00C62DF2">
        <w:rPr>
          <w:rStyle w:val="FootnoteReference"/>
          <w:rFonts w:ascii="Cambria" w:hAnsi="Cambria"/>
          <w:sz w:val="20"/>
          <w:szCs w:val="20"/>
        </w:rPr>
        <w:footnoteReference w:id="163"/>
      </w:r>
    </w:p>
    <w:p w14:paraId="31DAD031" w14:textId="77777777" w:rsidR="00D25674" w:rsidRPr="00C62DF2" w:rsidRDefault="00D25674" w:rsidP="00FC0CB6">
      <w:pPr>
        <w:jc w:val="both"/>
        <w:rPr>
          <w:rFonts w:ascii="Cambria" w:hAnsi="Cambria"/>
          <w:sz w:val="20"/>
          <w:szCs w:val="20"/>
        </w:rPr>
      </w:pPr>
    </w:p>
    <w:p w14:paraId="3271B61A" w14:textId="534ED11B" w:rsidR="00D25674" w:rsidRPr="00C62DF2" w:rsidRDefault="00D25674" w:rsidP="00FC0CB6">
      <w:pPr>
        <w:pStyle w:val="ListParagraph"/>
        <w:ind w:left="1354" w:firstLine="0"/>
        <w:rPr>
          <w:b/>
          <w:bCs/>
          <w:sz w:val="20"/>
          <w:szCs w:val="20"/>
          <w:lang w:val="pt-BR"/>
        </w:rPr>
      </w:pPr>
      <w:r w:rsidRPr="00C62DF2">
        <w:rPr>
          <w:b/>
          <w:bCs/>
          <w:sz w:val="20"/>
          <w:szCs w:val="20"/>
          <w:lang w:val="pt-BR"/>
        </w:rPr>
        <w:t xml:space="preserve">2.2 Análise </w:t>
      </w:r>
      <w:r w:rsidR="004908D8" w:rsidRPr="00C62DF2">
        <w:rPr>
          <w:b/>
          <w:bCs/>
          <w:sz w:val="20"/>
          <w:szCs w:val="20"/>
          <w:lang w:val="pt-BR"/>
        </w:rPr>
        <w:t>d</w:t>
      </w:r>
      <w:r w:rsidRPr="00C62DF2">
        <w:rPr>
          <w:b/>
          <w:bCs/>
          <w:sz w:val="20"/>
          <w:szCs w:val="20"/>
          <w:lang w:val="pt-BR"/>
        </w:rPr>
        <w:t>o presente caso</w:t>
      </w:r>
    </w:p>
    <w:p w14:paraId="4F63D62A" w14:textId="77777777" w:rsidR="00D25674" w:rsidRPr="00C62DF2" w:rsidRDefault="00D25674" w:rsidP="00FC0CB6">
      <w:pPr>
        <w:jc w:val="both"/>
        <w:rPr>
          <w:rFonts w:ascii="Cambria" w:hAnsi="Cambria"/>
          <w:sz w:val="20"/>
          <w:szCs w:val="20"/>
        </w:rPr>
      </w:pPr>
    </w:p>
    <w:p w14:paraId="441BF77A" w14:textId="08C66633"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Em primeiro lugar, a Comissão observa que</w:t>
      </w:r>
      <w:r w:rsidR="004908D8" w:rsidRPr="00C62DF2">
        <w:rPr>
          <w:rFonts w:ascii="Cambria" w:hAnsi="Cambria"/>
          <w:sz w:val="20"/>
          <w:szCs w:val="20"/>
        </w:rPr>
        <w:t>,</w:t>
      </w:r>
      <w:r w:rsidRPr="00C62DF2">
        <w:rPr>
          <w:rFonts w:ascii="Cambria" w:hAnsi="Cambria"/>
          <w:sz w:val="20"/>
          <w:szCs w:val="20"/>
        </w:rPr>
        <w:t xml:space="preserve"> </w:t>
      </w:r>
      <w:r w:rsidR="004908D8" w:rsidRPr="00C62DF2">
        <w:rPr>
          <w:rFonts w:ascii="Cambria" w:hAnsi="Cambria"/>
          <w:sz w:val="20"/>
          <w:szCs w:val="20"/>
        </w:rPr>
        <w:t>conforme estabelecido</w:t>
      </w:r>
      <w:r w:rsidRPr="00C62DF2">
        <w:rPr>
          <w:rFonts w:ascii="Cambria" w:hAnsi="Cambria"/>
          <w:sz w:val="20"/>
          <w:szCs w:val="20"/>
        </w:rPr>
        <w:t xml:space="preserve"> nos fatos comprovados, a detenção de Denise Peres Crispim ocorreu devido aos supostos atos crimin</w:t>
      </w:r>
      <w:r w:rsidR="004908D8" w:rsidRPr="00C62DF2">
        <w:rPr>
          <w:rFonts w:ascii="Cambria" w:hAnsi="Cambria"/>
          <w:sz w:val="20"/>
          <w:szCs w:val="20"/>
        </w:rPr>
        <w:t>oso</w:t>
      </w:r>
      <w:r w:rsidRPr="00C62DF2">
        <w:rPr>
          <w:rFonts w:ascii="Cambria" w:hAnsi="Cambria"/>
          <w:sz w:val="20"/>
          <w:szCs w:val="20"/>
        </w:rPr>
        <w:t>s de subversão e terrorismo aos quais foi vinculada por suas ações contra a ditadura civil</w:t>
      </w:r>
      <w:r w:rsidR="004908D8" w:rsidRPr="00C62DF2">
        <w:rPr>
          <w:rFonts w:ascii="Cambria" w:hAnsi="Cambria"/>
          <w:sz w:val="20"/>
          <w:szCs w:val="20"/>
        </w:rPr>
        <w:t>-</w:t>
      </w:r>
      <w:r w:rsidRPr="00C62DF2">
        <w:rPr>
          <w:rFonts w:ascii="Cambria" w:hAnsi="Cambria"/>
          <w:sz w:val="20"/>
          <w:szCs w:val="20"/>
        </w:rPr>
        <w:t xml:space="preserve">militar brasileira. </w:t>
      </w:r>
      <w:r w:rsidR="00843A91" w:rsidRPr="00C62DF2">
        <w:rPr>
          <w:rFonts w:ascii="Cambria" w:hAnsi="Cambria"/>
          <w:sz w:val="20"/>
          <w:szCs w:val="20"/>
        </w:rPr>
        <w:t>Contudo</w:t>
      </w:r>
      <w:r w:rsidRPr="00C62DF2">
        <w:rPr>
          <w:rFonts w:ascii="Cambria" w:hAnsi="Cambria"/>
          <w:sz w:val="20"/>
          <w:szCs w:val="20"/>
        </w:rPr>
        <w:t>, não existem indícios de que existisse uma ordem de detenção</w:t>
      </w:r>
      <w:r w:rsidR="00843A91" w:rsidRPr="00C62DF2">
        <w:rPr>
          <w:rFonts w:ascii="Cambria" w:hAnsi="Cambria"/>
          <w:sz w:val="20"/>
          <w:szCs w:val="20"/>
        </w:rPr>
        <w:t xml:space="preserve"> ou</w:t>
      </w:r>
      <w:r w:rsidRPr="00C62DF2">
        <w:rPr>
          <w:rFonts w:ascii="Cambria" w:hAnsi="Cambria"/>
          <w:sz w:val="20"/>
          <w:szCs w:val="20"/>
        </w:rPr>
        <w:t xml:space="preserve"> flagra</w:t>
      </w:r>
      <w:r w:rsidR="00843A91" w:rsidRPr="00C62DF2">
        <w:rPr>
          <w:rFonts w:ascii="Cambria" w:hAnsi="Cambria"/>
          <w:sz w:val="20"/>
          <w:szCs w:val="20"/>
        </w:rPr>
        <w:t>nte</w:t>
      </w:r>
      <w:r w:rsidRPr="00C62DF2">
        <w:rPr>
          <w:rFonts w:ascii="Cambria" w:hAnsi="Cambria"/>
          <w:sz w:val="20"/>
          <w:szCs w:val="20"/>
        </w:rPr>
        <w:t xml:space="preserve"> ou que conhec</w:t>
      </w:r>
      <w:r w:rsidR="00843A91" w:rsidRPr="00C62DF2">
        <w:rPr>
          <w:rFonts w:ascii="Cambria" w:hAnsi="Cambria"/>
          <w:sz w:val="20"/>
          <w:szCs w:val="20"/>
        </w:rPr>
        <w:t>ia</w:t>
      </w:r>
      <w:r w:rsidRPr="00C62DF2">
        <w:rPr>
          <w:rFonts w:ascii="Cambria" w:hAnsi="Cambria"/>
          <w:sz w:val="20"/>
          <w:szCs w:val="20"/>
        </w:rPr>
        <w:t xml:space="preserve"> os motivos e razões da detenção </w:t>
      </w:r>
      <w:r w:rsidR="008417AF" w:rsidRPr="00C62DF2">
        <w:rPr>
          <w:rFonts w:ascii="Cambria" w:hAnsi="Cambria"/>
          <w:sz w:val="20"/>
          <w:szCs w:val="20"/>
        </w:rPr>
        <w:t>quando</w:t>
      </w:r>
      <w:r w:rsidRPr="00C62DF2">
        <w:rPr>
          <w:rFonts w:ascii="Cambria" w:hAnsi="Cambria"/>
          <w:sz w:val="20"/>
          <w:szCs w:val="20"/>
        </w:rPr>
        <w:t xml:space="preserve"> esta aconteceu. A Comissão tampouco conta com informação indica</w:t>
      </w:r>
      <w:r w:rsidR="00843A91" w:rsidRPr="00C62DF2">
        <w:rPr>
          <w:rFonts w:ascii="Cambria" w:hAnsi="Cambria"/>
          <w:sz w:val="20"/>
          <w:szCs w:val="20"/>
        </w:rPr>
        <w:t>ndo</w:t>
      </w:r>
      <w:r w:rsidRPr="00C62DF2">
        <w:rPr>
          <w:rFonts w:ascii="Cambria" w:hAnsi="Cambria"/>
          <w:sz w:val="20"/>
          <w:szCs w:val="20"/>
        </w:rPr>
        <w:t xml:space="preserve"> que foi posta </w:t>
      </w:r>
      <w:r w:rsidR="00843A91" w:rsidRPr="00C62DF2">
        <w:rPr>
          <w:rFonts w:ascii="Cambria" w:hAnsi="Cambria"/>
          <w:sz w:val="20"/>
          <w:szCs w:val="20"/>
        </w:rPr>
        <w:t>à</w:t>
      </w:r>
      <w:r w:rsidRPr="00C62DF2">
        <w:rPr>
          <w:rFonts w:ascii="Cambria" w:hAnsi="Cambria"/>
          <w:sz w:val="20"/>
          <w:szCs w:val="20"/>
        </w:rPr>
        <w:t xml:space="preserve"> disposição do juiz competente sem demora, a fim de que se praticassem as diligências necessárias para o controle judicial da detenção.</w:t>
      </w:r>
    </w:p>
    <w:p w14:paraId="7FF1E493" w14:textId="77777777" w:rsidR="00D25674" w:rsidRPr="00C62DF2" w:rsidRDefault="00D25674" w:rsidP="00FC0CB6">
      <w:pPr>
        <w:ind w:left="720"/>
        <w:jc w:val="both"/>
        <w:rPr>
          <w:rFonts w:ascii="Cambria" w:hAnsi="Cambria"/>
          <w:sz w:val="20"/>
          <w:szCs w:val="20"/>
        </w:rPr>
      </w:pPr>
    </w:p>
    <w:p w14:paraId="7DDAD2C2" w14:textId="0683626F" w:rsidR="00D25674" w:rsidRPr="00C62DF2" w:rsidRDefault="00D25674" w:rsidP="00FC0CB6">
      <w:pPr>
        <w:numPr>
          <w:ilvl w:val="0"/>
          <w:numId w:val="2"/>
        </w:numPr>
        <w:jc w:val="both"/>
        <w:rPr>
          <w:rFonts w:ascii="Cambria" w:hAnsi="Cambria"/>
          <w:sz w:val="20"/>
          <w:szCs w:val="20"/>
        </w:rPr>
      </w:pPr>
      <w:r w:rsidRPr="00C62DF2">
        <w:rPr>
          <w:rFonts w:ascii="Cambria" w:hAnsi="Cambria"/>
          <w:sz w:val="20"/>
          <w:szCs w:val="20"/>
        </w:rPr>
        <w:t>A Comissão observa que Denise Peres foi privada da liberdade entre 23 de julho e 11 de agosto de 1970, quando foi levada a um hospital militar, sendo dada uma autorização para viver no domicílio de seu sogro em 26 de outubro de 1970.  A Comissão não conta com informação que indique que durante esse lapso de tempo sua privação de liberdade tivesse sido objeto de controle judicial, que avaliasse a necessidade de prisão preventiva, levando em conta os fins processuais que deve perseguir, de acordo com os padrões interamericanos. Com relação a este ponto, a Comissão recorda que</w:t>
      </w:r>
      <w:r w:rsidR="002F71E6" w:rsidRPr="00C62DF2">
        <w:rPr>
          <w:rFonts w:ascii="Cambria" w:hAnsi="Cambria"/>
          <w:sz w:val="20"/>
          <w:szCs w:val="20"/>
        </w:rPr>
        <w:t>,</w:t>
      </w:r>
      <w:r w:rsidRPr="00C62DF2">
        <w:rPr>
          <w:rFonts w:ascii="Cambria" w:hAnsi="Cambria"/>
          <w:sz w:val="20"/>
          <w:szCs w:val="20"/>
        </w:rPr>
        <w:t xml:space="preserve"> inclusive se tratando de pessoas que têm condenação, a Corte Interamericana indicou que  “[…]se existe um </w:t>
      </w:r>
      <w:r w:rsidR="002F71E6" w:rsidRPr="00C62DF2">
        <w:rPr>
          <w:rFonts w:ascii="Cambria" w:hAnsi="Cambria"/>
          <w:sz w:val="20"/>
          <w:szCs w:val="20"/>
        </w:rPr>
        <w:t>risco</w:t>
      </w:r>
      <w:r w:rsidRPr="00C62DF2">
        <w:rPr>
          <w:rFonts w:ascii="Cambria" w:hAnsi="Cambria"/>
          <w:sz w:val="20"/>
          <w:szCs w:val="20"/>
        </w:rPr>
        <w:t xml:space="preserve"> de dano à vida ou à integridade pessoal e </w:t>
      </w:r>
      <w:r w:rsidR="002F71E6" w:rsidRPr="00C62DF2">
        <w:rPr>
          <w:rFonts w:ascii="Cambria" w:hAnsi="Cambria"/>
          <w:sz w:val="20"/>
          <w:szCs w:val="20"/>
        </w:rPr>
        <w:t>o encarceramento</w:t>
      </w:r>
      <w:r w:rsidRPr="00C62DF2">
        <w:rPr>
          <w:rFonts w:ascii="Cambria" w:hAnsi="Cambria"/>
          <w:sz w:val="20"/>
          <w:szCs w:val="20"/>
        </w:rPr>
        <w:t xml:space="preserve"> não permite </w:t>
      </w:r>
      <w:r w:rsidR="002F71E6" w:rsidRPr="00C62DF2">
        <w:rPr>
          <w:rFonts w:ascii="Cambria" w:hAnsi="Cambria"/>
          <w:sz w:val="20"/>
          <w:szCs w:val="20"/>
        </w:rPr>
        <w:t>o</w:t>
      </w:r>
      <w:r w:rsidRPr="00C62DF2">
        <w:rPr>
          <w:rFonts w:ascii="Cambria" w:hAnsi="Cambria"/>
          <w:sz w:val="20"/>
          <w:szCs w:val="20"/>
        </w:rPr>
        <w:t xml:space="preserve"> exercício mínimo de direitos básicos, segundo as circunstâncias do caso, os juízes devem </w:t>
      </w:r>
      <w:r w:rsidR="002F71E6" w:rsidRPr="00C62DF2">
        <w:rPr>
          <w:rFonts w:ascii="Cambria" w:hAnsi="Cambria"/>
          <w:sz w:val="20"/>
          <w:szCs w:val="20"/>
        </w:rPr>
        <w:t xml:space="preserve">verificar a existência de </w:t>
      </w:r>
      <w:r w:rsidRPr="00C62DF2">
        <w:rPr>
          <w:rFonts w:ascii="Cambria" w:hAnsi="Cambria"/>
          <w:sz w:val="20"/>
          <w:szCs w:val="20"/>
        </w:rPr>
        <w:t>outras medidas alternativas ou substitutivas à prisão regular</w:t>
      </w:r>
      <w:r w:rsidRPr="00C62DF2">
        <w:rPr>
          <w:sz w:val="20"/>
          <w:szCs w:val="20"/>
        </w:rPr>
        <w:t>.”</w:t>
      </w:r>
      <w:r w:rsidRPr="00C62DF2">
        <w:rPr>
          <w:rStyle w:val="FootnoteReference"/>
          <w:rFonts w:ascii="Cambria" w:hAnsi="Cambria"/>
          <w:sz w:val="20"/>
          <w:szCs w:val="20"/>
        </w:rPr>
        <w:t xml:space="preserve"> </w:t>
      </w:r>
      <w:r w:rsidRPr="00C62DF2">
        <w:rPr>
          <w:rStyle w:val="FootnoteReference"/>
          <w:rFonts w:ascii="Cambria" w:hAnsi="Cambria"/>
          <w:sz w:val="20"/>
          <w:szCs w:val="20"/>
        </w:rPr>
        <w:footnoteReference w:id="164"/>
      </w:r>
      <w:r w:rsidRPr="00C62DF2">
        <w:rPr>
          <w:rFonts w:ascii="Cambria" w:hAnsi="Cambria"/>
          <w:sz w:val="20"/>
          <w:szCs w:val="20"/>
        </w:rPr>
        <w:t xml:space="preserve"> A Comissão não conta neste sentido com informação que indique que seu estado de gravidez de seis meses foi avaliado no momento em que se adotou a decisão de privá-la de liberdade.</w:t>
      </w:r>
    </w:p>
    <w:p w14:paraId="4ED46A51" w14:textId="77777777" w:rsidR="00D25674" w:rsidRPr="00C62DF2" w:rsidRDefault="00D25674" w:rsidP="00FC0CB6">
      <w:pPr>
        <w:jc w:val="both"/>
        <w:rPr>
          <w:rFonts w:ascii="Cambria" w:hAnsi="Cambria"/>
          <w:sz w:val="20"/>
          <w:szCs w:val="20"/>
        </w:rPr>
      </w:pPr>
    </w:p>
    <w:p w14:paraId="45FF796C" w14:textId="0EC7BF38" w:rsidR="00D25674" w:rsidRPr="00C62DF2" w:rsidRDefault="00D25674" w:rsidP="00FC0CB6">
      <w:pPr>
        <w:numPr>
          <w:ilvl w:val="0"/>
          <w:numId w:val="2"/>
        </w:numPr>
        <w:jc w:val="both"/>
        <w:rPr>
          <w:rStyle w:val="Emphasis"/>
          <w:rFonts w:ascii="Cambria" w:hAnsi="Cambria"/>
          <w:i w:val="0"/>
          <w:iCs w:val="0"/>
          <w:sz w:val="20"/>
          <w:szCs w:val="20"/>
        </w:rPr>
      </w:pPr>
      <w:r w:rsidRPr="00C62DF2">
        <w:rPr>
          <w:rFonts w:ascii="Cambria" w:hAnsi="Cambria"/>
          <w:sz w:val="20"/>
          <w:szCs w:val="20"/>
        </w:rPr>
        <w:t>Em segundo lugar, quanto à suposta tortura contra Denise Peres Crispim, a Comissão ressalta que a Comissão de Anistia e a Comissão</w:t>
      </w:r>
      <w:r w:rsidRPr="00C62DF2">
        <w:rPr>
          <w:rStyle w:val="Emphasis"/>
          <w:rFonts w:ascii="Cambria" w:hAnsi="Cambria"/>
          <w:i w:val="0"/>
          <w:iCs w:val="0"/>
          <w:sz w:val="20"/>
          <w:szCs w:val="20"/>
        </w:rPr>
        <w:t xml:space="preserve"> Estadual de Ex-Presos Políticos da Procuradoria Geral do Estado</w:t>
      </w:r>
      <w:r w:rsidRPr="00C62DF2">
        <w:rPr>
          <w:rFonts w:ascii="Cambria" w:hAnsi="Cambria"/>
          <w:sz w:val="20"/>
          <w:szCs w:val="20"/>
        </w:rPr>
        <w:t xml:space="preserve"> reconheceram que Denise estava em avançado estado de gravidez, foi detida e torturada enquanto </w:t>
      </w:r>
      <w:r w:rsidR="00A74C86" w:rsidRPr="00C62DF2">
        <w:rPr>
          <w:rFonts w:ascii="Cambria" w:hAnsi="Cambria"/>
          <w:sz w:val="20"/>
          <w:szCs w:val="20"/>
        </w:rPr>
        <w:t xml:space="preserve">estava </w:t>
      </w:r>
      <w:r w:rsidRPr="00C62DF2">
        <w:rPr>
          <w:rFonts w:ascii="Cambria" w:hAnsi="Cambria"/>
          <w:sz w:val="20"/>
          <w:szCs w:val="20"/>
        </w:rPr>
        <w:t xml:space="preserve">sob custódia do Estado, particularmente no DOPS/SP. </w:t>
      </w:r>
      <w:r w:rsidR="00A74C86" w:rsidRPr="00C62DF2">
        <w:rPr>
          <w:rFonts w:ascii="Cambria" w:hAnsi="Cambria"/>
          <w:sz w:val="20"/>
          <w:szCs w:val="20"/>
        </w:rPr>
        <w:t xml:space="preserve">À </w:t>
      </w:r>
      <w:r w:rsidRPr="00C62DF2">
        <w:rPr>
          <w:rFonts w:ascii="Cambria" w:hAnsi="Cambria"/>
          <w:sz w:val="20"/>
          <w:szCs w:val="20"/>
        </w:rPr>
        <w:t xml:space="preserve">Comissão de Anistia e </w:t>
      </w:r>
      <w:r w:rsidR="00A74C86" w:rsidRPr="00C62DF2">
        <w:rPr>
          <w:rFonts w:ascii="Cambria" w:hAnsi="Cambria"/>
          <w:sz w:val="20"/>
          <w:szCs w:val="20"/>
        </w:rPr>
        <w:t>à</w:t>
      </w:r>
      <w:r w:rsidRPr="00C62DF2">
        <w:rPr>
          <w:rFonts w:ascii="Cambria" w:hAnsi="Cambria"/>
          <w:sz w:val="20"/>
          <w:szCs w:val="20"/>
        </w:rPr>
        <w:t xml:space="preserve"> Comissão da Verdade, </w:t>
      </w:r>
      <w:r w:rsidR="00A74C86" w:rsidRPr="00C62DF2">
        <w:rPr>
          <w:rFonts w:ascii="Cambria" w:hAnsi="Cambria"/>
          <w:sz w:val="20"/>
          <w:szCs w:val="20"/>
        </w:rPr>
        <w:t xml:space="preserve">Denise </w:t>
      </w:r>
      <w:r w:rsidRPr="00C62DF2">
        <w:rPr>
          <w:rFonts w:ascii="Cambria" w:hAnsi="Cambria"/>
          <w:sz w:val="20"/>
          <w:szCs w:val="20"/>
        </w:rPr>
        <w:t xml:space="preserve">indicou que foi submetida a </w:t>
      </w:r>
      <w:r w:rsidRPr="00C62DF2">
        <w:rPr>
          <w:rStyle w:val="Emphasis"/>
          <w:rFonts w:ascii="Cambria" w:hAnsi="Cambria"/>
          <w:i w:val="0"/>
          <w:iCs w:val="0"/>
          <w:sz w:val="20"/>
          <w:szCs w:val="20"/>
        </w:rPr>
        <w:t xml:space="preserve">incessantes interrogatórios que ocorriam nas manhãs, tardes e noites, de 23 de julho de 1970, até 30 de julho de 1970, os quais eram precedidos de torturas físicas e morais (ver supra par. </w:t>
      </w:r>
      <w:r w:rsidR="00C62DF2" w:rsidRPr="00C62DF2">
        <w:rPr>
          <w:rStyle w:val="Emphasis"/>
          <w:rFonts w:ascii="Cambria" w:hAnsi="Cambria"/>
          <w:i w:val="0"/>
          <w:iCs w:val="0"/>
          <w:sz w:val="20"/>
          <w:szCs w:val="20"/>
        </w:rPr>
        <w:t>47-48</w:t>
      </w:r>
      <w:r w:rsidRPr="00C62DF2">
        <w:rPr>
          <w:rStyle w:val="Emphasis"/>
          <w:rFonts w:ascii="Cambria" w:hAnsi="Cambria"/>
          <w:i w:val="0"/>
          <w:iCs w:val="0"/>
          <w:sz w:val="20"/>
          <w:szCs w:val="20"/>
        </w:rPr>
        <w:t>). Sobre este ponto, a Comissão de Anistia concluiu que Denise era obrigada a ficar em pé por quase dez horas, não podia comer ou beber água, além de ser obrigada a ficar nua com os braços e pernas amarrados, sendo ameaçada</w:t>
      </w:r>
      <w:r w:rsidR="00A74C86"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em algumas sessões que ocorreram no zoológico da cidade de São Paulo</w:t>
      </w:r>
      <w:r w:rsidR="00A74C86"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w:t>
      </w:r>
      <w:r w:rsidR="00A74C86" w:rsidRPr="00C62DF2">
        <w:rPr>
          <w:rStyle w:val="Emphasis"/>
          <w:rFonts w:ascii="Cambria" w:hAnsi="Cambria"/>
          <w:i w:val="0"/>
          <w:iCs w:val="0"/>
          <w:sz w:val="20"/>
          <w:szCs w:val="20"/>
        </w:rPr>
        <w:t>de</w:t>
      </w:r>
      <w:r w:rsidRPr="00C62DF2">
        <w:rPr>
          <w:rStyle w:val="Emphasis"/>
          <w:rFonts w:ascii="Cambria" w:hAnsi="Cambria"/>
          <w:i w:val="0"/>
          <w:iCs w:val="0"/>
          <w:sz w:val="20"/>
          <w:szCs w:val="20"/>
        </w:rPr>
        <w:t xml:space="preserve"> ser lançada aos tigres. De acordo com a Comissão de Anistia, Denise somente foi levada ao hospital quando teve crise de vômito com sangue, </w:t>
      </w:r>
      <w:r w:rsidR="00A74C86" w:rsidRPr="00C62DF2">
        <w:rPr>
          <w:rStyle w:val="Emphasis"/>
          <w:rFonts w:ascii="Cambria" w:hAnsi="Cambria"/>
          <w:i w:val="0"/>
          <w:iCs w:val="0"/>
          <w:sz w:val="20"/>
          <w:szCs w:val="20"/>
        </w:rPr>
        <w:t>quando</w:t>
      </w:r>
      <w:r w:rsidRPr="00C62DF2">
        <w:rPr>
          <w:rStyle w:val="Emphasis"/>
          <w:rFonts w:ascii="Cambria" w:hAnsi="Cambria"/>
          <w:i w:val="0"/>
          <w:iCs w:val="0"/>
          <w:sz w:val="20"/>
          <w:szCs w:val="20"/>
        </w:rPr>
        <w:t xml:space="preserve"> se constatou que se encontrava com risco de ter um aborto. </w:t>
      </w:r>
    </w:p>
    <w:p w14:paraId="74E1EF76" w14:textId="77777777" w:rsidR="00D25674" w:rsidRPr="00C62DF2" w:rsidRDefault="00D25674" w:rsidP="00FC0CB6">
      <w:pPr>
        <w:pStyle w:val="ListParagraph"/>
        <w:ind w:firstLine="0"/>
        <w:rPr>
          <w:rStyle w:val="Emphasis"/>
          <w:i w:val="0"/>
          <w:iCs w:val="0"/>
          <w:sz w:val="20"/>
          <w:szCs w:val="20"/>
          <w:lang w:val="pt-BR"/>
        </w:rPr>
      </w:pPr>
    </w:p>
    <w:p w14:paraId="1AAC69CC" w14:textId="11CAA5AD" w:rsidR="00D25674" w:rsidRPr="00C62DF2" w:rsidRDefault="0051580F"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Além d</w:t>
      </w:r>
      <w:r w:rsidR="00D25674" w:rsidRPr="00C62DF2">
        <w:rPr>
          <w:rStyle w:val="Emphasis"/>
          <w:rFonts w:ascii="Cambria" w:hAnsi="Cambria"/>
          <w:i w:val="0"/>
          <w:iCs w:val="0"/>
          <w:sz w:val="20"/>
          <w:szCs w:val="20"/>
        </w:rPr>
        <w:t>isso, segundo a Comissão de Anistia, Denise foi levada grávida e com os olhos vendados até o edifício do DOI-CODI</w:t>
      </w:r>
      <w:r w:rsidRPr="00C62DF2">
        <w:rPr>
          <w:rStyle w:val="Emphasis"/>
          <w:rFonts w:ascii="Cambria" w:hAnsi="Cambria"/>
          <w:i w:val="0"/>
          <w:iCs w:val="0"/>
          <w:sz w:val="20"/>
          <w:szCs w:val="20"/>
        </w:rPr>
        <w:t>,</w:t>
      </w:r>
      <w:r w:rsidR="00D25674" w:rsidRPr="00C62DF2">
        <w:rPr>
          <w:rStyle w:val="Emphasis"/>
          <w:rFonts w:ascii="Cambria" w:hAnsi="Cambria"/>
          <w:i w:val="0"/>
          <w:iCs w:val="0"/>
          <w:sz w:val="20"/>
          <w:szCs w:val="20"/>
        </w:rPr>
        <w:t xml:space="preserve"> onde Eduardo Collen Leite estava detido. Ali, foi orientada pelo delegado Fleury </w:t>
      </w:r>
      <w:r w:rsidRPr="00C62DF2">
        <w:rPr>
          <w:rStyle w:val="Emphasis"/>
          <w:rFonts w:ascii="Cambria" w:hAnsi="Cambria"/>
          <w:i w:val="0"/>
          <w:iCs w:val="0"/>
          <w:sz w:val="20"/>
          <w:szCs w:val="20"/>
        </w:rPr>
        <w:t xml:space="preserve">a </w:t>
      </w:r>
      <w:r w:rsidR="00D25674" w:rsidRPr="00C62DF2">
        <w:rPr>
          <w:rStyle w:val="Emphasis"/>
          <w:rFonts w:ascii="Cambria" w:hAnsi="Cambria"/>
          <w:i w:val="0"/>
          <w:iCs w:val="0"/>
          <w:sz w:val="20"/>
          <w:szCs w:val="20"/>
        </w:rPr>
        <w:t>falar com seu companheiro, pois ele estava em greve de fome. Essa foi a última vez que Denise teve contato com Eduardo Collen, podendo observar as marcas de tortura que ele tinha.</w:t>
      </w:r>
    </w:p>
    <w:p w14:paraId="63636830" w14:textId="77777777" w:rsidR="00D25674" w:rsidRPr="00C62DF2" w:rsidRDefault="00D25674" w:rsidP="00FC0CB6">
      <w:pPr>
        <w:pStyle w:val="ListParagraph"/>
        <w:ind w:firstLine="0"/>
        <w:rPr>
          <w:rStyle w:val="Emphasis"/>
          <w:i w:val="0"/>
          <w:iCs w:val="0"/>
          <w:sz w:val="20"/>
          <w:szCs w:val="20"/>
          <w:lang w:val="pt-BR"/>
        </w:rPr>
      </w:pPr>
    </w:p>
    <w:p w14:paraId="77A0D24D" w14:textId="60E24FEC" w:rsidR="00D25674" w:rsidRPr="00C62DF2" w:rsidRDefault="00D25674"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 xml:space="preserve">Com base no exposto, a Comissão observa que Denise Peres foi objeto de graves sofrimentos </w:t>
      </w:r>
      <w:r w:rsidR="0051580F" w:rsidRPr="00C62DF2">
        <w:rPr>
          <w:rStyle w:val="Emphasis"/>
          <w:rFonts w:ascii="Cambria" w:hAnsi="Cambria"/>
          <w:i w:val="0"/>
          <w:iCs w:val="0"/>
          <w:sz w:val="20"/>
          <w:szCs w:val="20"/>
        </w:rPr>
        <w:t>em</w:t>
      </w:r>
      <w:r w:rsidRPr="00C62DF2">
        <w:rPr>
          <w:rStyle w:val="Emphasis"/>
          <w:rFonts w:ascii="Cambria" w:hAnsi="Cambria"/>
          <w:i w:val="0"/>
          <w:iCs w:val="0"/>
          <w:sz w:val="20"/>
          <w:szCs w:val="20"/>
        </w:rPr>
        <w:t xml:space="preserve"> resultado da atuação deliberada de agentes estatais. Essas ações estatais, de acordo com seu testemunho e </w:t>
      </w:r>
      <w:r w:rsidR="0051580F" w:rsidRPr="00C62DF2">
        <w:rPr>
          <w:rStyle w:val="Emphasis"/>
          <w:rFonts w:ascii="Cambria" w:hAnsi="Cambria"/>
          <w:i w:val="0"/>
          <w:iCs w:val="0"/>
          <w:sz w:val="20"/>
          <w:szCs w:val="20"/>
        </w:rPr>
        <w:t>conforme</w:t>
      </w:r>
      <w:r w:rsidRPr="00C62DF2">
        <w:rPr>
          <w:rStyle w:val="Emphasis"/>
          <w:rFonts w:ascii="Cambria" w:hAnsi="Cambria"/>
          <w:i w:val="0"/>
          <w:iCs w:val="0"/>
          <w:sz w:val="20"/>
          <w:szCs w:val="20"/>
        </w:rPr>
        <w:t xml:space="preserve"> indicado pela Comissão de Anistia (ver supra par. </w:t>
      </w:r>
      <w:r w:rsidR="008417AF" w:rsidRPr="00C62DF2">
        <w:rPr>
          <w:rStyle w:val="Emphasis"/>
          <w:rFonts w:ascii="Cambria" w:hAnsi="Cambria"/>
          <w:i w:val="0"/>
          <w:iCs w:val="0"/>
          <w:sz w:val="20"/>
          <w:szCs w:val="20"/>
        </w:rPr>
        <w:t>48</w:t>
      </w:r>
      <w:r w:rsidRPr="00C62DF2">
        <w:rPr>
          <w:rStyle w:val="Emphasis"/>
          <w:rFonts w:ascii="Cambria" w:hAnsi="Cambria"/>
          <w:i w:val="0"/>
          <w:iCs w:val="0"/>
          <w:sz w:val="20"/>
          <w:szCs w:val="20"/>
        </w:rPr>
        <w:t>)</w:t>
      </w:r>
      <w:r w:rsidR="0051580F"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tinham o propósito de que confessasse sua participação na ALN e castigá-la por suas opiniões políticas. A gravidade das lesões constatadas neste caso </w:t>
      </w:r>
      <w:r w:rsidR="0051580F" w:rsidRPr="00C62DF2">
        <w:rPr>
          <w:rStyle w:val="Emphasis"/>
          <w:rFonts w:ascii="Cambria" w:hAnsi="Cambria"/>
          <w:i w:val="0"/>
          <w:iCs w:val="0"/>
          <w:sz w:val="20"/>
          <w:szCs w:val="20"/>
        </w:rPr>
        <w:t>é</w:t>
      </w:r>
      <w:r w:rsidRPr="00C62DF2">
        <w:rPr>
          <w:rStyle w:val="Emphasis"/>
          <w:rFonts w:ascii="Cambria" w:hAnsi="Cambria"/>
          <w:i w:val="0"/>
          <w:iCs w:val="0"/>
          <w:sz w:val="20"/>
          <w:szCs w:val="20"/>
        </w:rPr>
        <w:t xml:space="preserve"> evidente. Em consequência, a Comissão considera que o ocorrido deve ser qualificado como tortura ao se encontrarem reunidos seus elementos.</w:t>
      </w:r>
    </w:p>
    <w:p w14:paraId="6FB0BE25" w14:textId="77777777" w:rsidR="00D25674" w:rsidRPr="00C62DF2" w:rsidRDefault="00D25674" w:rsidP="00FC0CB6">
      <w:pPr>
        <w:pStyle w:val="ListParagraph"/>
        <w:ind w:firstLine="0"/>
        <w:rPr>
          <w:rStyle w:val="Emphasis"/>
          <w:i w:val="0"/>
          <w:iCs w:val="0"/>
          <w:sz w:val="20"/>
          <w:szCs w:val="20"/>
          <w:lang w:val="pt-BR"/>
        </w:rPr>
      </w:pPr>
    </w:p>
    <w:p w14:paraId="6A7B7A1D" w14:textId="2251B894" w:rsidR="00D25674" w:rsidRPr="00C62DF2" w:rsidRDefault="00D25674" w:rsidP="00FC0CB6">
      <w:pPr>
        <w:numPr>
          <w:ilvl w:val="0"/>
          <w:numId w:val="2"/>
        </w:numPr>
        <w:jc w:val="both"/>
        <w:rPr>
          <w:rStyle w:val="Emphasis"/>
          <w:rFonts w:ascii="Cambria" w:hAnsi="Cambria"/>
          <w:i w:val="0"/>
          <w:iCs w:val="0"/>
          <w:sz w:val="20"/>
          <w:szCs w:val="20"/>
        </w:rPr>
      </w:pPr>
      <w:r w:rsidRPr="00C62DF2">
        <w:rPr>
          <w:rStyle w:val="Emphasis"/>
          <w:rFonts w:ascii="Cambria" w:hAnsi="Cambria"/>
          <w:i w:val="0"/>
          <w:iCs w:val="0"/>
          <w:sz w:val="20"/>
          <w:szCs w:val="20"/>
        </w:rPr>
        <w:t xml:space="preserve">A Comissão chama atenção para a especial gravidade </w:t>
      </w:r>
      <w:r w:rsidR="0051580F" w:rsidRPr="00C62DF2">
        <w:rPr>
          <w:rStyle w:val="Emphasis"/>
          <w:rFonts w:ascii="Cambria" w:hAnsi="Cambria"/>
          <w:i w:val="0"/>
          <w:iCs w:val="0"/>
          <w:sz w:val="20"/>
          <w:szCs w:val="20"/>
        </w:rPr>
        <w:t>d</w:t>
      </w:r>
      <w:r w:rsidRPr="00C62DF2">
        <w:rPr>
          <w:rStyle w:val="Emphasis"/>
          <w:rFonts w:ascii="Cambria" w:hAnsi="Cambria"/>
          <w:i w:val="0"/>
          <w:iCs w:val="0"/>
          <w:sz w:val="20"/>
          <w:szCs w:val="20"/>
        </w:rPr>
        <w:t xml:space="preserve">a privação arbitrária da liberdade e </w:t>
      </w:r>
      <w:r w:rsidR="0051580F" w:rsidRPr="00C62DF2">
        <w:rPr>
          <w:rStyle w:val="Emphasis"/>
          <w:rFonts w:ascii="Cambria" w:hAnsi="Cambria"/>
          <w:i w:val="0"/>
          <w:iCs w:val="0"/>
          <w:sz w:val="20"/>
          <w:szCs w:val="20"/>
        </w:rPr>
        <w:t>d</w:t>
      </w:r>
      <w:r w:rsidRPr="00C62DF2">
        <w:rPr>
          <w:rStyle w:val="Emphasis"/>
          <w:rFonts w:ascii="Cambria" w:hAnsi="Cambria"/>
          <w:i w:val="0"/>
          <w:iCs w:val="0"/>
          <w:sz w:val="20"/>
          <w:szCs w:val="20"/>
        </w:rPr>
        <w:t>as torturas das quais foi objeto Denise Perez</w:t>
      </w:r>
      <w:r w:rsidR="0051580F"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w:t>
      </w:r>
      <w:r w:rsidR="0051580F" w:rsidRPr="00C62DF2">
        <w:rPr>
          <w:rStyle w:val="Emphasis"/>
          <w:rFonts w:ascii="Cambria" w:hAnsi="Cambria"/>
          <w:i w:val="0"/>
          <w:iCs w:val="0"/>
          <w:sz w:val="20"/>
          <w:szCs w:val="20"/>
        </w:rPr>
        <w:t xml:space="preserve">tendo </w:t>
      </w:r>
      <w:r w:rsidRPr="00C62DF2">
        <w:rPr>
          <w:rStyle w:val="Emphasis"/>
          <w:rFonts w:ascii="Cambria" w:hAnsi="Cambria"/>
          <w:i w:val="0"/>
          <w:iCs w:val="0"/>
          <w:sz w:val="20"/>
          <w:szCs w:val="20"/>
        </w:rPr>
        <w:t>em vista o estado de gravidez que constituía uma condição de particular vulnerabilidade</w:t>
      </w:r>
      <w:r w:rsidR="0051580F"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w:t>
      </w:r>
      <w:r w:rsidR="0051580F" w:rsidRPr="00C62DF2">
        <w:rPr>
          <w:rStyle w:val="Emphasis"/>
          <w:rFonts w:ascii="Cambria" w:hAnsi="Cambria"/>
          <w:i w:val="0"/>
          <w:iCs w:val="0"/>
          <w:sz w:val="20"/>
          <w:szCs w:val="20"/>
        </w:rPr>
        <w:t xml:space="preserve">o </w:t>
      </w:r>
      <w:r w:rsidRPr="00C62DF2">
        <w:rPr>
          <w:rStyle w:val="Emphasis"/>
          <w:rFonts w:ascii="Cambria" w:hAnsi="Cambria"/>
          <w:i w:val="0"/>
          <w:iCs w:val="0"/>
          <w:sz w:val="20"/>
          <w:szCs w:val="20"/>
        </w:rPr>
        <w:t xml:space="preserve">que gerou uma </w:t>
      </w:r>
      <w:r w:rsidR="0051580F" w:rsidRPr="00C62DF2">
        <w:rPr>
          <w:rStyle w:val="Emphasis"/>
          <w:rFonts w:ascii="Cambria" w:hAnsi="Cambria"/>
          <w:i w:val="0"/>
          <w:iCs w:val="0"/>
          <w:sz w:val="20"/>
          <w:szCs w:val="20"/>
        </w:rPr>
        <w:t>viol</w:t>
      </w:r>
      <w:r w:rsidRPr="00C62DF2">
        <w:rPr>
          <w:rStyle w:val="Emphasis"/>
          <w:rFonts w:ascii="Cambria" w:hAnsi="Cambria"/>
          <w:i w:val="0"/>
          <w:iCs w:val="0"/>
          <w:sz w:val="20"/>
          <w:szCs w:val="20"/>
        </w:rPr>
        <w:t>ação ainda mais desproporcional em seu caso e</w:t>
      </w:r>
      <w:r w:rsidR="0051580F"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por sua vez</w:t>
      </w:r>
      <w:r w:rsidR="0051580F"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w:t>
      </w:r>
      <w:r w:rsidR="0051580F" w:rsidRPr="00C62DF2">
        <w:rPr>
          <w:rStyle w:val="Emphasis"/>
          <w:rFonts w:ascii="Cambria" w:hAnsi="Cambria"/>
          <w:i w:val="0"/>
          <w:iCs w:val="0"/>
          <w:sz w:val="20"/>
          <w:szCs w:val="20"/>
        </w:rPr>
        <w:t>viol</w:t>
      </w:r>
      <w:r w:rsidRPr="00C62DF2">
        <w:rPr>
          <w:rStyle w:val="Emphasis"/>
          <w:rFonts w:ascii="Cambria" w:hAnsi="Cambria"/>
          <w:i w:val="0"/>
          <w:iCs w:val="0"/>
          <w:sz w:val="20"/>
          <w:szCs w:val="20"/>
        </w:rPr>
        <w:t xml:space="preserve">ações </w:t>
      </w:r>
      <w:r w:rsidR="0051580F" w:rsidRPr="00C62DF2">
        <w:rPr>
          <w:rStyle w:val="Emphasis"/>
          <w:rFonts w:ascii="Cambria" w:hAnsi="Cambria"/>
          <w:i w:val="0"/>
          <w:iCs w:val="0"/>
          <w:sz w:val="20"/>
          <w:szCs w:val="20"/>
        </w:rPr>
        <w:t>de</w:t>
      </w:r>
      <w:r w:rsidRPr="00C62DF2">
        <w:rPr>
          <w:rStyle w:val="Emphasis"/>
          <w:rFonts w:ascii="Cambria" w:hAnsi="Cambria"/>
          <w:i w:val="0"/>
          <w:iCs w:val="0"/>
          <w:sz w:val="20"/>
          <w:szCs w:val="20"/>
        </w:rPr>
        <w:t xml:space="preserve"> outros direitos. </w:t>
      </w:r>
    </w:p>
    <w:p w14:paraId="1E08A14D" w14:textId="77777777" w:rsidR="00D25674" w:rsidRPr="00C62DF2" w:rsidRDefault="00D25674" w:rsidP="00FC0CB6">
      <w:pPr>
        <w:pStyle w:val="ListParagraph"/>
        <w:ind w:firstLine="0"/>
        <w:rPr>
          <w:rStyle w:val="Emphasis"/>
          <w:i w:val="0"/>
          <w:iCs w:val="0"/>
          <w:sz w:val="20"/>
          <w:szCs w:val="20"/>
          <w:lang w:val="pt-BR"/>
        </w:rPr>
      </w:pPr>
    </w:p>
    <w:p w14:paraId="4C20B6A0" w14:textId="222B2BFB" w:rsidR="00D25674" w:rsidRPr="00C62DF2" w:rsidRDefault="00D25674" w:rsidP="00FC0CB6">
      <w:pPr>
        <w:numPr>
          <w:ilvl w:val="0"/>
          <w:numId w:val="2"/>
        </w:numPr>
        <w:jc w:val="both"/>
        <w:rPr>
          <w:rFonts w:ascii="Cambria" w:hAnsi="Cambria"/>
          <w:sz w:val="20"/>
          <w:szCs w:val="20"/>
        </w:rPr>
      </w:pPr>
      <w:r w:rsidRPr="00C62DF2">
        <w:rPr>
          <w:rStyle w:val="Emphasis"/>
          <w:rFonts w:ascii="Cambria" w:hAnsi="Cambria"/>
          <w:i w:val="0"/>
          <w:iCs w:val="0"/>
          <w:sz w:val="20"/>
          <w:szCs w:val="20"/>
        </w:rPr>
        <w:t xml:space="preserve">A esse respeito, a Comissão observa que </w:t>
      </w:r>
      <w:r w:rsidRPr="00C62DF2">
        <w:rPr>
          <w:rFonts w:ascii="Cambria" w:hAnsi="Cambria"/>
          <w:sz w:val="20"/>
          <w:szCs w:val="20"/>
        </w:rPr>
        <w:t xml:space="preserve">Denise foi detida em um centro de detenção e torturas, a saber, o DOPS, onde se desconheceram </w:t>
      </w:r>
      <w:r w:rsidR="00775908" w:rsidRPr="00C62DF2">
        <w:rPr>
          <w:rFonts w:ascii="Cambria" w:hAnsi="Cambria"/>
          <w:sz w:val="20"/>
          <w:szCs w:val="20"/>
        </w:rPr>
        <w:t>a</w:t>
      </w:r>
      <w:r w:rsidRPr="00C62DF2">
        <w:rPr>
          <w:rFonts w:ascii="Cambria" w:hAnsi="Cambria"/>
          <w:sz w:val="20"/>
          <w:szCs w:val="20"/>
        </w:rPr>
        <w:t xml:space="preserve"> todo momento as obrigações especiais que derivavam de sua gravidez, sendo privada da liberdade não para cumprir uma obrigação especial de proteção, mas para torturá-la. Não consta que o Estado tivesse fornecido instalações, assistência médica, vestimenta, alimentação ou serviços médicos adequados para sua situação. O avançado estado de gravidez de Denise não impediu que fosse agredida em múltiplas ocasiões, sendo </w:t>
      </w:r>
      <w:r w:rsidRPr="00C62DF2">
        <w:rPr>
          <w:rStyle w:val="Emphasis"/>
          <w:rFonts w:ascii="Cambria" w:hAnsi="Cambria"/>
          <w:i w:val="0"/>
          <w:iCs w:val="0"/>
          <w:sz w:val="20"/>
          <w:szCs w:val="20"/>
        </w:rPr>
        <w:t>que na última sessão teve crise de vômito com sangue, sendo s</w:t>
      </w:r>
      <w:r w:rsidR="00775908" w:rsidRPr="00C62DF2">
        <w:rPr>
          <w:rStyle w:val="Emphasis"/>
          <w:rFonts w:ascii="Cambria" w:hAnsi="Cambria"/>
          <w:i w:val="0"/>
          <w:iCs w:val="0"/>
          <w:sz w:val="20"/>
          <w:szCs w:val="20"/>
        </w:rPr>
        <w:t>omente</w:t>
      </w:r>
      <w:r w:rsidRPr="00C62DF2">
        <w:rPr>
          <w:rStyle w:val="Emphasis"/>
          <w:rFonts w:ascii="Cambria" w:hAnsi="Cambria"/>
          <w:i w:val="0"/>
          <w:iCs w:val="0"/>
          <w:sz w:val="20"/>
          <w:szCs w:val="20"/>
        </w:rPr>
        <w:t xml:space="preserve"> </w:t>
      </w:r>
      <w:r w:rsidR="00775908" w:rsidRPr="00C62DF2">
        <w:rPr>
          <w:rStyle w:val="Emphasis"/>
          <w:rFonts w:ascii="Cambria" w:hAnsi="Cambria"/>
          <w:i w:val="0"/>
          <w:iCs w:val="0"/>
          <w:sz w:val="20"/>
          <w:szCs w:val="20"/>
        </w:rPr>
        <w:t>n</w:t>
      </w:r>
      <w:r w:rsidRPr="00C62DF2">
        <w:rPr>
          <w:rStyle w:val="Emphasis"/>
          <w:rFonts w:ascii="Cambria" w:hAnsi="Cambria"/>
          <w:i w:val="0"/>
          <w:iCs w:val="0"/>
          <w:sz w:val="20"/>
          <w:szCs w:val="20"/>
        </w:rPr>
        <w:t>esse momento que foi levada a um hospital militar, onde se constatou que tinha risco de ter um aborto</w:t>
      </w:r>
      <w:r w:rsidRPr="00C62DF2">
        <w:rPr>
          <w:rFonts w:ascii="Cambria" w:hAnsi="Cambria"/>
          <w:sz w:val="20"/>
          <w:szCs w:val="20"/>
        </w:rPr>
        <w:t xml:space="preserve">.  A Comissão nota também que, conforme indicado por ela, o parto aconteceu na companhia de militares, que a vigiavam de maneira permanente, inclusive quando ia ao banheiro. Finalmente, a Comissão não conta com informação que indique que após o nascimento de Eduarda lhe ofereceram os tratamentos médicos especializados correspondentes. </w:t>
      </w:r>
      <w:r w:rsidR="00775908" w:rsidRPr="00C62DF2">
        <w:rPr>
          <w:rFonts w:ascii="Cambria" w:hAnsi="Cambria"/>
          <w:sz w:val="20"/>
          <w:szCs w:val="20"/>
        </w:rPr>
        <w:t xml:space="preserve">Embora </w:t>
      </w:r>
      <w:r w:rsidRPr="00C62DF2">
        <w:rPr>
          <w:rFonts w:ascii="Cambria" w:hAnsi="Cambria"/>
          <w:sz w:val="20"/>
          <w:szCs w:val="20"/>
        </w:rPr>
        <w:t xml:space="preserve">Denise </w:t>
      </w:r>
      <w:r w:rsidR="00775908" w:rsidRPr="00C62DF2">
        <w:rPr>
          <w:rFonts w:ascii="Cambria" w:hAnsi="Cambria"/>
          <w:sz w:val="20"/>
          <w:szCs w:val="20"/>
        </w:rPr>
        <w:t xml:space="preserve">tenha sido </w:t>
      </w:r>
      <w:r w:rsidRPr="00C62DF2">
        <w:rPr>
          <w:rFonts w:ascii="Cambria" w:hAnsi="Cambria"/>
          <w:sz w:val="20"/>
          <w:szCs w:val="20"/>
        </w:rPr>
        <w:t xml:space="preserve">posta </w:t>
      </w:r>
      <w:r w:rsidR="00775908" w:rsidRPr="00C62DF2">
        <w:rPr>
          <w:rFonts w:ascii="Cambria" w:hAnsi="Cambria"/>
          <w:sz w:val="20"/>
          <w:szCs w:val="20"/>
        </w:rPr>
        <w:t>sob</w:t>
      </w:r>
      <w:r w:rsidRPr="00C62DF2">
        <w:rPr>
          <w:rFonts w:ascii="Cambria" w:hAnsi="Cambria"/>
          <w:sz w:val="20"/>
          <w:szCs w:val="20"/>
        </w:rPr>
        <w:t xml:space="preserve"> vigilância na casa de seu sogro, a informação disponível indica que foi obrigada a </w:t>
      </w:r>
      <w:r w:rsidR="00775908" w:rsidRPr="00C62DF2">
        <w:rPr>
          <w:rFonts w:ascii="Cambria" w:hAnsi="Cambria"/>
          <w:sz w:val="20"/>
          <w:szCs w:val="20"/>
        </w:rPr>
        <w:t>ir</w:t>
      </w:r>
      <w:r w:rsidRPr="00C62DF2">
        <w:rPr>
          <w:rFonts w:ascii="Cambria" w:hAnsi="Cambria"/>
          <w:sz w:val="20"/>
          <w:szCs w:val="20"/>
        </w:rPr>
        <w:t xml:space="preserve"> duas vezes por semana a interrogatórios</w:t>
      </w:r>
      <w:r w:rsidR="00775908" w:rsidRPr="00C62DF2">
        <w:rPr>
          <w:rFonts w:ascii="Cambria" w:hAnsi="Cambria"/>
          <w:sz w:val="20"/>
          <w:szCs w:val="20"/>
        </w:rPr>
        <w:t xml:space="preserve"> e </w:t>
      </w:r>
      <w:r w:rsidRPr="00C62DF2">
        <w:rPr>
          <w:rFonts w:ascii="Cambria" w:hAnsi="Cambria"/>
          <w:sz w:val="20"/>
          <w:szCs w:val="20"/>
        </w:rPr>
        <w:t xml:space="preserve">que continuava sendo ameaçada. </w:t>
      </w:r>
    </w:p>
    <w:p w14:paraId="1E0B060C" w14:textId="77777777" w:rsidR="00D25674" w:rsidRPr="00C62DF2" w:rsidRDefault="00D25674" w:rsidP="00FC0CB6">
      <w:pPr>
        <w:jc w:val="both"/>
        <w:rPr>
          <w:rFonts w:ascii="Cambria" w:hAnsi="Cambria"/>
          <w:sz w:val="20"/>
          <w:szCs w:val="20"/>
        </w:rPr>
      </w:pPr>
    </w:p>
    <w:p w14:paraId="27F3BFBF" w14:textId="3A0AD5FD" w:rsidR="00D25674" w:rsidRPr="00C62DF2" w:rsidRDefault="00D25674" w:rsidP="00FC0CB6">
      <w:pPr>
        <w:numPr>
          <w:ilvl w:val="0"/>
          <w:numId w:val="2"/>
        </w:numPr>
        <w:jc w:val="both"/>
        <w:rPr>
          <w:rFonts w:ascii="Cambria" w:hAnsi="Cambria"/>
          <w:sz w:val="20"/>
          <w:szCs w:val="20"/>
        </w:rPr>
      </w:pPr>
      <w:r w:rsidRPr="00C62DF2">
        <w:rPr>
          <w:rStyle w:val="Emphasis"/>
          <w:rFonts w:ascii="Cambria" w:hAnsi="Cambria"/>
          <w:i w:val="0"/>
          <w:iCs w:val="0"/>
          <w:sz w:val="20"/>
          <w:szCs w:val="20"/>
        </w:rPr>
        <w:t xml:space="preserve">A Comissão ressalta que a situação de Denise não foi um fato isolado. Segundo a Comissão da Verdade “Rubens Paiva” do </w:t>
      </w:r>
      <w:r w:rsidR="00775908" w:rsidRPr="00C62DF2">
        <w:rPr>
          <w:rStyle w:val="Emphasis"/>
          <w:rFonts w:ascii="Cambria" w:hAnsi="Cambria"/>
          <w:i w:val="0"/>
          <w:iCs w:val="0"/>
          <w:sz w:val="20"/>
          <w:szCs w:val="20"/>
        </w:rPr>
        <w:t>E</w:t>
      </w:r>
      <w:r w:rsidRPr="00C62DF2">
        <w:rPr>
          <w:rStyle w:val="Emphasis"/>
          <w:rFonts w:ascii="Cambria" w:hAnsi="Cambria"/>
          <w:i w:val="0"/>
          <w:iCs w:val="0"/>
          <w:sz w:val="20"/>
          <w:szCs w:val="20"/>
        </w:rPr>
        <w:t xml:space="preserve">stado de São Paulo, não é possível estabelecer quantas mulheres grávidas foram sequestradas e torturadas pelos agentes estatais na ditadura brasileira, e tampouco é possível estabelecer quantas crianças sofreram </w:t>
      </w:r>
      <w:r w:rsidR="00775908" w:rsidRPr="00C62DF2">
        <w:rPr>
          <w:rStyle w:val="Emphasis"/>
          <w:rFonts w:ascii="Cambria" w:hAnsi="Cambria"/>
          <w:i w:val="0"/>
          <w:iCs w:val="0"/>
          <w:sz w:val="20"/>
          <w:szCs w:val="20"/>
        </w:rPr>
        <w:t>seus</w:t>
      </w:r>
      <w:r w:rsidRPr="00C62DF2">
        <w:rPr>
          <w:rStyle w:val="Emphasis"/>
          <w:rFonts w:ascii="Cambria" w:hAnsi="Cambria"/>
          <w:i w:val="0"/>
          <w:iCs w:val="0"/>
          <w:sz w:val="20"/>
          <w:szCs w:val="20"/>
        </w:rPr>
        <w:t xml:space="preserve"> efeitos.</w:t>
      </w:r>
      <w:r w:rsidRPr="00C62DF2">
        <w:rPr>
          <w:rStyle w:val="Emphasis"/>
          <w:rFonts w:ascii="Cambria" w:hAnsi="Cambria"/>
          <w:i w:val="0"/>
          <w:iCs w:val="0"/>
          <w:sz w:val="20"/>
          <w:szCs w:val="20"/>
          <w:vertAlign w:val="superscript"/>
        </w:rPr>
        <w:footnoteReference w:id="165"/>
      </w:r>
      <w:r w:rsidRPr="00C62DF2">
        <w:rPr>
          <w:rStyle w:val="Emphasis"/>
          <w:rFonts w:ascii="Cambria" w:hAnsi="Cambria"/>
          <w:i w:val="0"/>
          <w:iCs w:val="0"/>
          <w:sz w:val="20"/>
          <w:szCs w:val="20"/>
        </w:rPr>
        <w:t xml:space="preserve"> A CNV reconheceu em seu relatório final que as mulheres grávidas eram torturadas e que se aplicavam técnicas distintas e cuidados específicos nas sessões de tortura, quando se pretendia evitar o aborto ou quando se pretendia, efetivamente, realizá-lo. Segundo a CNV, para os agentes da </w:t>
      </w:r>
      <w:r w:rsidRPr="00C62DF2">
        <w:rPr>
          <w:rStyle w:val="Emphasis"/>
          <w:rFonts w:ascii="Cambria" w:hAnsi="Cambria"/>
          <w:i w:val="0"/>
          <w:iCs w:val="0"/>
          <w:sz w:val="20"/>
          <w:szCs w:val="20"/>
        </w:rPr>
        <w:lastRenderedPageBreak/>
        <w:t>ditadura “não importava que uma vida estivesse sendo gerada,</w:t>
      </w:r>
      <w:r w:rsidRPr="00C62DF2">
        <w:rPr>
          <w:rFonts w:ascii="Cambria" w:hAnsi="Cambria"/>
          <w:sz w:val="20"/>
          <w:szCs w:val="20"/>
        </w:rPr>
        <w:t xml:space="preserve"> tampouco o impacto que tal violência causaria à vida futura dos bebês que eventualmente conseguissem sobreviver.”</w:t>
      </w:r>
      <w:r w:rsidRPr="00C62DF2">
        <w:rPr>
          <w:rStyle w:val="FootnoteReference"/>
          <w:rFonts w:ascii="Cambria" w:hAnsi="Cambria"/>
          <w:sz w:val="20"/>
          <w:szCs w:val="20"/>
        </w:rPr>
        <w:footnoteReference w:id="166"/>
      </w:r>
      <w:r w:rsidRPr="00C62DF2">
        <w:rPr>
          <w:rFonts w:ascii="Cambria" w:hAnsi="Cambria"/>
          <w:sz w:val="20"/>
          <w:szCs w:val="20"/>
        </w:rPr>
        <w:t xml:space="preserve"> </w:t>
      </w:r>
    </w:p>
    <w:p w14:paraId="4D0FBD81" w14:textId="77777777" w:rsidR="00D25674" w:rsidRPr="00C62DF2" w:rsidRDefault="00D25674" w:rsidP="00FC0CB6">
      <w:pPr>
        <w:rPr>
          <w:rStyle w:val="Emphasis"/>
          <w:rFonts w:ascii="Cambria" w:hAnsi="Cambria"/>
          <w:i w:val="0"/>
          <w:iCs w:val="0"/>
          <w:sz w:val="20"/>
          <w:szCs w:val="20"/>
        </w:rPr>
      </w:pPr>
    </w:p>
    <w:p w14:paraId="6FE5E3C3" w14:textId="2A85BA9E" w:rsidR="00D25674" w:rsidRPr="00C62DF2" w:rsidRDefault="00D25674" w:rsidP="00FC0CB6">
      <w:pPr>
        <w:numPr>
          <w:ilvl w:val="0"/>
          <w:numId w:val="2"/>
        </w:numPr>
        <w:jc w:val="both"/>
        <w:rPr>
          <w:rStyle w:val="hps"/>
          <w:rFonts w:ascii="Cambria" w:hAnsi="Cambria"/>
          <w:sz w:val="20"/>
          <w:szCs w:val="20"/>
        </w:rPr>
      </w:pPr>
      <w:r w:rsidRPr="00C62DF2">
        <w:rPr>
          <w:rStyle w:val="Emphasis"/>
          <w:rFonts w:ascii="Cambria" w:hAnsi="Cambria"/>
          <w:i w:val="0"/>
          <w:iCs w:val="0"/>
          <w:sz w:val="20"/>
          <w:szCs w:val="20"/>
        </w:rPr>
        <w:t xml:space="preserve">Com base no </w:t>
      </w:r>
      <w:r w:rsidR="00FB5D44" w:rsidRPr="00C62DF2">
        <w:rPr>
          <w:rStyle w:val="Emphasis"/>
          <w:rFonts w:ascii="Cambria" w:hAnsi="Cambria"/>
          <w:i w:val="0"/>
          <w:iCs w:val="0"/>
          <w:sz w:val="20"/>
          <w:szCs w:val="20"/>
        </w:rPr>
        <w:t xml:space="preserve">exposto </w:t>
      </w:r>
      <w:r w:rsidRPr="00C62DF2">
        <w:rPr>
          <w:rStyle w:val="Emphasis"/>
          <w:rFonts w:ascii="Cambria" w:hAnsi="Cambria"/>
          <w:i w:val="0"/>
          <w:iCs w:val="0"/>
          <w:sz w:val="20"/>
          <w:szCs w:val="20"/>
        </w:rPr>
        <w:t>anterior</w:t>
      </w:r>
      <w:r w:rsidR="00FB5D44" w:rsidRPr="00C62DF2">
        <w:rPr>
          <w:rStyle w:val="Emphasis"/>
          <w:rFonts w:ascii="Cambria" w:hAnsi="Cambria"/>
          <w:i w:val="0"/>
          <w:iCs w:val="0"/>
          <w:sz w:val="20"/>
          <w:szCs w:val="20"/>
        </w:rPr>
        <w:t>mente</w:t>
      </w:r>
      <w:r w:rsidRPr="00C62DF2">
        <w:rPr>
          <w:rStyle w:val="Emphasis"/>
          <w:rFonts w:ascii="Cambria" w:hAnsi="Cambria"/>
          <w:i w:val="0"/>
          <w:iCs w:val="0"/>
          <w:sz w:val="20"/>
          <w:szCs w:val="20"/>
        </w:rPr>
        <w:t>, a Comissão considera que</w:t>
      </w:r>
      <w:r w:rsidR="00775908"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w:t>
      </w:r>
      <w:r w:rsidR="00775908" w:rsidRPr="00C62DF2">
        <w:rPr>
          <w:rStyle w:val="Emphasis"/>
          <w:rFonts w:ascii="Cambria" w:hAnsi="Cambria"/>
          <w:i w:val="0"/>
          <w:iCs w:val="0"/>
          <w:sz w:val="20"/>
          <w:szCs w:val="20"/>
        </w:rPr>
        <w:t>em</w:t>
      </w:r>
      <w:r w:rsidRPr="00C62DF2">
        <w:rPr>
          <w:rStyle w:val="Emphasis"/>
          <w:rFonts w:ascii="Cambria" w:hAnsi="Cambria"/>
          <w:i w:val="0"/>
          <w:iCs w:val="0"/>
          <w:sz w:val="20"/>
          <w:szCs w:val="20"/>
        </w:rPr>
        <w:t xml:space="preserve"> resultado da detenção arbitrária e tortura de Denise Peres Crispim, o Estado do Brasil violou os artigos I, VI, XI, e XXV da Declaração Americana. </w:t>
      </w:r>
    </w:p>
    <w:p w14:paraId="371053C2" w14:textId="77777777" w:rsidR="008C3011" w:rsidRPr="00C62DF2" w:rsidRDefault="008C3011" w:rsidP="00FC0CB6">
      <w:pPr>
        <w:pStyle w:val="Body"/>
        <w:ind w:firstLine="0"/>
        <w:rPr>
          <w:lang w:val="pt-BR" w:eastAsia="es-ES"/>
        </w:rPr>
      </w:pPr>
    </w:p>
    <w:p w14:paraId="0869FC8B" w14:textId="77777777" w:rsidR="008C3011" w:rsidRPr="00C62DF2" w:rsidRDefault="008C3011" w:rsidP="00FC0CB6">
      <w:pPr>
        <w:pStyle w:val="Heading2"/>
        <w:numPr>
          <w:ilvl w:val="0"/>
          <w:numId w:val="26"/>
        </w:numPr>
        <w:tabs>
          <w:tab w:val="clear" w:pos="86"/>
          <w:tab w:val="num" w:pos="851"/>
        </w:tabs>
        <w:ind w:left="709" w:firstLine="0"/>
        <w:rPr>
          <w:lang w:val="pt-BR"/>
        </w:rPr>
      </w:pPr>
      <w:bookmarkStart w:id="21" w:name="_Toc78883127"/>
      <w:bookmarkStart w:id="22" w:name="_Toc85895010"/>
      <w:r w:rsidRPr="00C62DF2">
        <w:rPr>
          <w:lang w:val="pt-BR"/>
        </w:rPr>
        <w:t>Direito ao nome e à identidade (artigo 18 da Convenção Americana</w:t>
      </w:r>
      <w:r w:rsidRPr="00C62DF2">
        <w:rPr>
          <w:rStyle w:val="FootnoteReference"/>
          <w:lang w:val="pt-BR"/>
        </w:rPr>
        <w:footnoteReference w:id="167"/>
      </w:r>
      <w:r w:rsidRPr="00C62DF2">
        <w:rPr>
          <w:lang w:val="pt-BR"/>
        </w:rPr>
        <w:t>)</w:t>
      </w:r>
      <w:bookmarkEnd w:id="21"/>
      <w:bookmarkEnd w:id="22"/>
      <w:r w:rsidRPr="00C62DF2">
        <w:rPr>
          <w:lang w:val="pt-BR"/>
        </w:rPr>
        <w:t xml:space="preserve"> </w:t>
      </w:r>
    </w:p>
    <w:p w14:paraId="650A0369" w14:textId="77777777" w:rsidR="008C3011" w:rsidRPr="00C62DF2" w:rsidRDefault="008C3011" w:rsidP="00FC0CB6">
      <w:pPr>
        <w:rPr>
          <w:rFonts w:ascii="Cambria" w:hAnsi="Cambria"/>
          <w:lang w:eastAsia="es-CL"/>
        </w:rPr>
      </w:pPr>
    </w:p>
    <w:p w14:paraId="4C31C5B6" w14:textId="476C29CE" w:rsidR="008C3011" w:rsidRPr="00C62DF2" w:rsidRDefault="008C3011" w:rsidP="00FC0CB6">
      <w:pPr>
        <w:numPr>
          <w:ilvl w:val="0"/>
          <w:numId w:val="2"/>
        </w:numPr>
        <w:jc w:val="both"/>
        <w:rPr>
          <w:rFonts w:ascii="Cambria" w:hAnsi="Cambria"/>
          <w:sz w:val="20"/>
          <w:szCs w:val="20"/>
        </w:rPr>
      </w:pPr>
      <w:r w:rsidRPr="00C62DF2">
        <w:rPr>
          <w:rStyle w:val="hps"/>
          <w:rFonts w:ascii="Cambria" w:hAnsi="Cambria"/>
          <w:sz w:val="20"/>
          <w:szCs w:val="20"/>
        </w:rPr>
        <w:t xml:space="preserve">O artigo 18 da Convenção Americana assinala: </w:t>
      </w:r>
      <w:r w:rsidRPr="00C62DF2">
        <w:rPr>
          <w:rFonts w:ascii="Cambria" w:hAnsi="Cambria"/>
          <w:sz w:val="20"/>
          <w:szCs w:val="20"/>
        </w:rPr>
        <w:t>“</w:t>
      </w:r>
      <w:r w:rsidR="00D042DF" w:rsidRPr="00C62DF2">
        <w:rPr>
          <w:rFonts w:ascii="Cambria" w:hAnsi="Cambria"/>
          <w:color w:val="000000"/>
          <w:spacing w:val="-3"/>
          <w:sz w:val="20"/>
          <w:szCs w:val="20"/>
        </w:rPr>
        <w:t>Toda pessoa tem direito a um prenome e aos nomes de seus pais ou ao de um destes.  A lei deve regular a forma de assegurar a todos esse direito, mediante nomes fictícios, se for necessário</w:t>
      </w:r>
      <w:r w:rsidRPr="00C62DF2">
        <w:rPr>
          <w:rFonts w:ascii="Cambria" w:hAnsi="Cambria"/>
          <w:sz w:val="20"/>
          <w:szCs w:val="20"/>
        </w:rPr>
        <w:t xml:space="preserve">.” A Corte estabeleceu que esse direito constitui um elemento </w:t>
      </w:r>
      <w:r w:rsidRPr="00C62DF2">
        <w:rPr>
          <w:rFonts w:ascii="Cambria" w:hAnsi="Cambria" w:cs="Arial"/>
          <w:sz w:val="20"/>
          <w:szCs w:val="20"/>
        </w:rPr>
        <w:t xml:space="preserve">básico e indispensável da identidade de cada pessoa, sem o qual não pode ser reconhecida pela sociedade nem registrada </w:t>
      </w:r>
      <w:r w:rsidR="00D042DF" w:rsidRPr="00C62DF2">
        <w:rPr>
          <w:rFonts w:ascii="Cambria" w:hAnsi="Cambria" w:cs="Arial"/>
          <w:sz w:val="20"/>
          <w:szCs w:val="20"/>
        </w:rPr>
        <w:t>pel</w:t>
      </w:r>
      <w:r w:rsidRPr="00C62DF2">
        <w:rPr>
          <w:rFonts w:ascii="Cambria" w:hAnsi="Cambria" w:cs="Arial"/>
          <w:sz w:val="20"/>
          <w:szCs w:val="20"/>
        </w:rPr>
        <w:t>o Estado</w:t>
      </w:r>
      <w:bookmarkStart w:id="23" w:name="_ftnref144"/>
      <w:r w:rsidRPr="00C62DF2">
        <w:rPr>
          <w:rFonts w:ascii="Cambria" w:hAnsi="Cambria" w:cs="Arial"/>
          <w:sz w:val="20"/>
          <w:szCs w:val="20"/>
        </w:rPr>
        <w:t>.</w:t>
      </w:r>
      <w:r w:rsidRPr="00C62DF2">
        <w:rPr>
          <w:rStyle w:val="FootnoteReference"/>
          <w:rFonts w:ascii="Cambria" w:hAnsi="Cambria" w:cs="Arial"/>
          <w:sz w:val="20"/>
          <w:szCs w:val="20"/>
        </w:rPr>
        <w:footnoteReference w:id="168"/>
      </w:r>
      <w:r w:rsidRPr="00C62DF2">
        <w:rPr>
          <w:rFonts w:ascii="Cambria" w:hAnsi="Cambria" w:cs="Arial"/>
          <w:sz w:val="20"/>
          <w:szCs w:val="20"/>
        </w:rPr>
        <w:t xml:space="preserve"> Nesse sentido, o direito ao nome garante tanto o reconhecimento do “nome” como do “sobrenome”, pois eles são </w:t>
      </w:r>
      <w:bookmarkEnd w:id="23"/>
      <w:r w:rsidRPr="00C62DF2">
        <w:rPr>
          <w:rFonts w:ascii="Cambria" w:hAnsi="Cambria" w:cs="Arial"/>
          <w:sz w:val="20"/>
          <w:szCs w:val="20"/>
        </w:rPr>
        <w:t>"essenciais para estabelecer formalmente o vínculo existente entre os diferentes membros da família”</w:t>
      </w:r>
      <w:r w:rsidRPr="00C62DF2">
        <w:rPr>
          <w:rStyle w:val="FootnoteReference"/>
          <w:rFonts w:ascii="Cambria" w:hAnsi="Cambria" w:cs="Arial"/>
          <w:sz w:val="20"/>
          <w:szCs w:val="20"/>
        </w:rPr>
        <w:footnoteReference w:id="169"/>
      </w:r>
      <w:r w:rsidRPr="00C62DF2">
        <w:rPr>
          <w:rFonts w:ascii="Cambria" w:hAnsi="Cambria" w:cs="Arial"/>
          <w:sz w:val="20"/>
          <w:szCs w:val="20"/>
        </w:rPr>
        <w:t xml:space="preserve">. </w:t>
      </w:r>
      <w:r w:rsidRPr="00C62DF2">
        <w:rPr>
          <w:rFonts w:ascii="Cambria" w:hAnsi="Cambria"/>
          <w:sz w:val="20"/>
          <w:szCs w:val="20"/>
        </w:rPr>
        <w:t xml:space="preserve">Dessa maneira, os Estados têm a obrigação </w:t>
      </w:r>
      <w:r w:rsidR="00D042DF" w:rsidRPr="00C62DF2">
        <w:rPr>
          <w:rFonts w:ascii="Cambria" w:hAnsi="Cambria"/>
          <w:sz w:val="20"/>
          <w:szCs w:val="20"/>
        </w:rPr>
        <w:t xml:space="preserve">não só </w:t>
      </w:r>
      <w:r w:rsidRPr="00C62DF2">
        <w:rPr>
          <w:rFonts w:ascii="Cambria" w:hAnsi="Cambria"/>
          <w:sz w:val="20"/>
          <w:szCs w:val="20"/>
        </w:rPr>
        <w:t>de proteger o direito ao nome, mas também de oferecer as medidas necessárias para facilitar o registro</w:t>
      </w:r>
      <w:r w:rsidR="00D042DF" w:rsidRPr="00C62DF2">
        <w:rPr>
          <w:rFonts w:ascii="Cambria" w:hAnsi="Cambria"/>
          <w:sz w:val="20"/>
          <w:szCs w:val="20"/>
        </w:rPr>
        <w:t xml:space="preserve"> </w:t>
      </w:r>
      <w:r w:rsidRPr="00C62DF2">
        <w:rPr>
          <w:rFonts w:ascii="Cambria" w:hAnsi="Cambria"/>
          <w:sz w:val="20"/>
          <w:szCs w:val="20"/>
        </w:rPr>
        <w:t>da pessoa imediatamente após seu nascimento.</w:t>
      </w:r>
      <w:r w:rsidRPr="00C62DF2">
        <w:rPr>
          <w:rStyle w:val="FootnoteReference"/>
          <w:rFonts w:ascii="Cambria" w:hAnsi="Cambria"/>
          <w:sz w:val="20"/>
          <w:szCs w:val="20"/>
        </w:rPr>
        <w:footnoteReference w:id="170"/>
      </w:r>
    </w:p>
    <w:p w14:paraId="2C7AA68B" w14:textId="77777777" w:rsidR="008C3011" w:rsidRPr="00C62DF2" w:rsidRDefault="008C3011" w:rsidP="00FC0CB6">
      <w:pPr>
        <w:ind w:left="720"/>
        <w:jc w:val="both"/>
        <w:rPr>
          <w:rFonts w:ascii="Cambria" w:hAnsi="Cambria"/>
          <w:sz w:val="20"/>
          <w:szCs w:val="20"/>
        </w:rPr>
      </w:pPr>
    </w:p>
    <w:p w14:paraId="7853EAA6" w14:textId="17F021BE" w:rsidR="008C3011" w:rsidRPr="00C62DF2" w:rsidRDefault="008C3011" w:rsidP="00FC0CB6">
      <w:pPr>
        <w:numPr>
          <w:ilvl w:val="0"/>
          <w:numId w:val="2"/>
        </w:numPr>
        <w:jc w:val="both"/>
        <w:rPr>
          <w:rFonts w:ascii="Cambria" w:hAnsi="Cambria"/>
          <w:sz w:val="20"/>
          <w:szCs w:val="20"/>
        </w:rPr>
      </w:pPr>
      <w:r w:rsidRPr="00C62DF2">
        <w:rPr>
          <w:rFonts w:ascii="Cambria" w:hAnsi="Cambria"/>
          <w:sz w:val="20"/>
          <w:szCs w:val="20"/>
        </w:rPr>
        <w:t>A CIDH considerou que o direito internacional dos direitos humanos reconhece a existência de um direito à identidade que está associado a outros direitos</w:t>
      </w:r>
      <w:r w:rsidR="00D042DF" w:rsidRPr="00C62DF2">
        <w:rPr>
          <w:rFonts w:ascii="Cambria" w:hAnsi="Cambria"/>
          <w:sz w:val="20"/>
          <w:szCs w:val="20"/>
        </w:rPr>
        <w:t>,</w:t>
      </w:r>
      <w:r w:rsidRPr="00C62DF2">
        <w:rPr>
          <w:rFonts w:ascii="Cambria" w:hAnsi="Cambria"/>
          <w:sz w:val="20"/>
          <w:szCs w:val="20"/>
        </w:rPr>
        <w:t xml:space="preserve"> como o direito a ter um nome, uma nacionalidade</w:t>
      </w:r>
      <w:r w:rsidR="00D042DF" w:rsidRPr="00C62DF2">
        <w:rPr>
          <w:rFonts w:ascii="Cambria" w:hAnsi="Cambria"/>
          <w:sz w:val="20"/>
          <w:szCs w:val="20"/>
        </w:rPr>
        <w:t xml:space="preserve"> e</w:t>
      </w:r>
      <w:r w:rsidRPr="00C62DF2">
        <w:rPr>
          <w:rFonts w:ascii="Cambria" w:hAnsi="Cambria"/>
          <w:sz w:val="20"/>
          <w:szCs w:val="20"/>
        </w:rPr>
        <w:t xml:space="preserve"> uma família e a manter relações familiares, todos incluídos na Convenção Americana.</w:t>
      </w:r>
      <w:r w:rsidRPr="00C62DF2">
        <w:rPr>
          <w:rStyle w:val="FootnoteReference"/>
          <w:rFonts w:ascii="Cambria" w:hAnsi="Cambria"/>
          <w:sz w:val="20"/>
          <w:szCs w:val="20"/>
        </w:rPr>
        <w:footnoteReference w:id="171"/>
      </w:r>
      <w:r w:rsidRPr="00C62DF2">
        <w:rPr>
          <w:rFonts w:ascii="Cambria" w:hAnsi="Cambria"/>
          <w:sz w:val="20"/>
          <w:szCs w:val="20"/>
        </w:rPr>
        <w:t xml:space="preserve"> Já a Corte Interamericana, referindo-se ao conteúdo do artigo 18 da Convenção, estabeleceu que o direito ao nome constitui um elemento básico e indispensável da identidade de cada pessoa, sem o qual não pode ser reconhecida pela sociedade nem registrada </w:t>
      </w:r>
      <w:r w:rsidR="00FE2531" w:rsidRPr="00C62DF2">
        <w:rPr>
          <w:rFonts w:ascii="Cambria" w:hAnsi="Cambria"/>
          <w:sz w:val="20"/>
          <w:szCs w:val="20"/>
        </w:rPr>
        <w:t>pel</w:t>
      </w:r>
      <w:r w:rsidRPr="00C62DF2">
        <w:rPr>
          <w:rFonts w:ascii="Cambria" w:hAnsi="Cambria"/>
          <w:sz w:val="20"/>
          <w:szCs w:val="20"/>
        </w:rPr>
        <w:t>o Estado</w:t>
      </w:r>
      <w:r w:rsidRPr="00C62DF2">
        <w:rPr>
          <w:rStyle w:val="FootnoteReference"/>
          <w:rFonts w:ascii="Cambria" w:hAnsi="Cambria"/>
          <w:sz w:val="20"/>
          <w:szCs w:val="20"/>
        </w:rPr>
        <w:footnoteReference w:id="172"/>
      </w:r>
      <w:r w:rsidRPr="00C62DF2">
        <w:rPr>
          <w:rFonts w:ascii="Cambria" w:hAnsi="Cambria"/>
          <w:sz w:val="20"/>
          <w:szCs w:val="20"/>
        </w:rPr>
        <w:t>.</w:t>
      </w:r>
    </w:p>
    <w:p w14:paraId="465DDF6F" w14:textId="77777777" w:rsidR="008C3011" w:rsidRPr="00C62DF2" w:rsidRDefault="008C3011" w:rsidP="00FC0CB6">
      <w:pPr>
        <w:pStyle w:val="ListParagraph"/>
        <w:ind w:firstLine="0"/>
        <w:rPr>
          <w:sz w:val="20"/>
          <w:szCs w:val="20"/>
          <w:lang w:val="pt-BR"/>
        </w:rPr>
      </w:pPr>
    </w:p>
    <w:p w14:paraId="1A518C5A" w14:textId="75C95BDA" w:rsidR="008C3011" w:rsidRPr="00C62DF2" w:rsidRDefault="008C3011" w:rsidP="00FC0CB6">
      <w:pPr>
        <w:numPr>
          <w:ilvl w:val="0"/>
          <w:numId w:val="2"/>
        </w:numPr>
        <w:jc w:val="both"/>
        <w:rPr>
          <w:rFonts w:ascii="Cambria" w:hAnsi="Cambria"/>
          <w:sz w:val="20"/>
          <w:szCs w:val="20"/>
        </w:rPr>
      </w:pPr>
      <w:r w:rsidRPr="00C62DF2">
        <w:rPr>
          <w:rFonts w:ascii="Cambria" w:hAnsi="Cambria"/>
          <w:sz w:val="20"/>
          <w:szCs w:val="20"/>
        </w:rPr>
        <w:t>No presente caso, a Comissão observa que Eduarda Crispim Leite nasceu em 11 de outubro de 1970</w:t>
      </w:r>
      <w:r w:rsidR="00FE2531" w:rsidRPr="00C62DF2">
        <w:rPr>
          <w:rFonts w:ascii="Cambria" w:hAnsi="Cambria"/>
          <w:sz w:val="20"/>
          <w:szCs w:val="20"/>
        </w:rPr>
        <w:t>. N</w:t>
      </w:r>
      <w:r w:rsidRPr="00C62DF2">
        <w:rPr>
          <w:rFonts w:ascii="Cambria" w:hAnsi="Cambria"/>
          <w:sz w:val="20"/>
          <w:szCs w:val="20"/>
        </w:rPr>
        <w:t xml:space="preserve">o entanto, seu registro de nascimento consta como emitido em 6 de dezembro de 1995, quando tinha 25 anos, de maneira que, ainda que tivesse documentos de identificação, como passaporte, a informação disponível indica que seu registro de nascimento foi </w:t>
      </w:r>
      <w:r w:rsidR="00FE2531" w:rsidRPr="00C62DF2">
        <w:rPr>
          <w:rFonts w:ascii="Cambria" w:hAnsi="Cambria"/>
          <w:sz w:val="20"/>
          <w:szCs w:val="20"/>
        </w:rPr>
        <w:t>feito</w:t>
      </w:r>
      <w:r w:rsidRPr="00C62DF2">
        <w:rPr>
          <w:rFonts w:ascii="Cambria" w:hAnsi="Cambria"/>
          <w:sz w:val="20"/>
          <w:szCs w:val="20"/>
        </w:rPr>
        <w:t xml:space="preserve"> nessa data. A Comissão observa que no registro de nascimento não consta o nome do pai. Foi em 2009 que </w:t>
      </w:r>
      <w:r w:rsidRPr="00C62DF2">
        <w:rPr>
          <w:rFonts w:ascii="Cambria" w:hAnsi="Cambria" w:cs="Arial"/>
          <w:sz w:val="20"/>
          <w:szCs w:val="20"/>
        </w:rPr>
        <w:t xml:space="preserve">a Comissão de Anistia determinou que se incluísse o nome de Eduardo Collen Leite. </w:t>
      </w:r>
    </w:p>
    <w:p w14:paraId="4582292B" w14:textId="77777777" w:rsidR="008C3011" w:rsidRPr="00C62DF2" w:rsidRDefault="008C3011" w:rsidP="00FC0CB6">
      <w:pPr>
        <w:pStyle w:val="ListParagraph"/>
        <w:ind w:firstLine="0"/>
        <w:rPr>
          <w:sz w:val="20"/>
          <w:szCs w:val="20"/>
          <w:lang w:val="pt-BR"/>
        </w:rPr>
      </w:pPr>
    </w:p>
    <w:p w14:paraId="2D72339C" w14:textId="0EBCDE68" w:rsidR="008C3011" w:rsidRPr="00C62DF2" w:rsidRDefault="00FE2531" w:rsidP="00FC0CB6">
      <w:pPr>
        <w:numPr>
          <w:ilvl w:val="0"/>
          <w:numId w:val="2"/>
        </w:numPr>
        <w:jc w:val="both"/>
        <w:rPr>
          <w:rFonts w:ascii="Cambria" w:hAnsi="Cambria"/>
          <w:sz w:val="20"/>
          <w:szCs w:val="20"/>
        </w:rPr>
      </w:pPr>
      <w:r w:rsidRPr="00C62DF2">
        <w:rPr>
          <w:rFonts w:ascii="Cambria" w:hAnsi="Cambria"/>
          <w:sz w:val="20"/>
          <w:szCs w:val="20"/>
        </w:rPr>
        <w:t>Embora</w:t>
      </w:r>
      <w:r w:rsidR="008C3011" w:rsidRPr="00C62DF2">
        <w:rPr>
          <w:rFonts w:ascii="Cambria" w:hAnsi="Cambria"/>
          <w:sz w:val="20"/>
          <w:szCs w:val="20"/>
        </w:rPr>
        <w:t xml:space="preserve"> reconhe</w:t>
      </w:r>
      <w:r w:rsidRPr="00C62DF2">
        <w:rPr>
          <w:rFonts w:ascii="Cambria" w:hAnsi="Cambria"/>
          <w:sz w:val="20"/>
          <w:szCs w:val="20"/>
        </w:rPr>
        <w:t>ça</w:t>
      </w:r>
      <w:r w:rsidR="008C3011" w:rsidRPr="00C62DF2">
        <w:rPr>
          <w:rFonts w:ascii="Cambria" w:hAnsi="Cambria"/>
          <w:sz w:val="20"/>
          <w:szCs w:val="20"/>
        </w:rPr>
        <w:t xml:space="preserve"> que a parte peticionária indica que</w:t>
      </w:r>
      <w:r w:rsidRPr="00C62DF2">
        <w:rPr>
          <w:rFonts w:ascii="Cambria" w:hAnsi="Cambria"/>
          <w:sz w:val="20"/>
          <w:szCs w:val="20"/>
        </w:rPr>
        <w:t>,</w:t>
      </w:r>
      <w:r w:rsidR="008C3011" w:rsidRPr="00C62DF2">
        <w:rPr>
          <w:rFonts w:ascii="Cambria" w:hAnsi="Cambria"/>
          <w:sz w:val="20"/>
          <w:szCs w:val="20"/>
        </w:rPr>
        <w:t xml:space="preserve"> </w:t>
      </w:r>
      <w:r w:rsidRPr="00C62DF2">
        <w:rPr>
          <w:rFonts w:ascii="Cambria" w:hAnsi="Cambria"/>
          <w:sz w:val="20"/>
          <w:szCs w:val="20"/>
        </w:rPr>
        <w:t>em</w:t>
      </w:r>
      <w:r w:rsidR="008C3011" w:rsidRPr="00C62DF2">
        <w:rPr>
          <w:rFonts w:ascii="Cambria" w:hAnsi="Cambria"/>
          <w:sz w:val="20"/>
          <w:szCs w:val="20"/>
        </w:rPr>
        <w:t xml:space="preserve"> resultado do temor a possíveis represálias ou à identificação dos familiares do senhor Collen Leite, a senhora Denise Crispim não </w:t>
      </w:r>
      <w:r w:rsidRPr="00C62DF2">
        <w:rPr>
          <w:rFonts w:ascii="Cambria" w:hAnsi="Cambria"/>
          <w:sz w:val="20"/>
          <w:szCs w:val="20"/>
        </w:rPr>
        <w:t xml:space="preserve">tenha </w:t>
      </w:r>
      <w:r w:rsidR="008C3011" w:rsidRPr="00C62DF2">
        <w:rPr>
          <w:rFonts w:ascii="Cambria" w:hAnsi="Cambria"/>
          <w:sz w:val="20"/>
          <w:szCs w:val="20"/>
        </w:rPr>
        <w:t>registr</w:t>
      </w:r>
      <w:r w:rsidRPr="00C62DF2">
        <w:rPr>
          <w:rFonts w:ascii="Cambria" w:hAnsi="Cambria"/>
          <w:sz w:val="20"/>
          <w:szCs w:val="20"/>
        </w:rPr>
        <w:t>ad</w:t>
      </w:r>
      <w:r w:rsidR="008C3011" w:rsidRPr="00C62DF2">
        <w:rPr>
          <w:rFonts w:ascii="Cambria" w:hAnsi="Cambria"/>
          <w:sz w:val="20"/>
          <w:szCs w:val="20"/>
        </w:rPr>
        <w:t>o a declaração de nascimento de Eduarda nem indic</w:t>
      </w:r>
      <w:r w:rsidRPr="00C62DF2">
        <w:rPr>
          <w:rFonts w:ascii="Cambria" w:hAnsi="Cambria"/>
          <w:sz w:val="20"/>
          <w:szCs w:val="20"/>
        </w:rPr>
        <w:t>ad</w:t>
      </w:r>
      <w:r w:rsidR="008C3011" w:rsidRPr="00C62DF2">
        <w:rPr>
          <w:rFonts w:ascii="Cambria" w:hAnsi="Cambria"/>
          <w:sz w:val="20"/>
          <w:szCs w:val="20"/>
        </w:rPr>
        <w:t>o o nome de seu pa</w:t>
      </w:r>
      <w:r w:rsidRPr="00C62DF2">
        <w:rPr>
          <w:rFonts w:ascii="Cambria" w:hAnsi="Cambria"/>
          <w:sz w:val="20"/>
          <w:szCs w:val="20"/>
        </w:rPr>
        <w:t>i</w:t>
      </w:r>
      <w:r w:rsidR="008C3011" w:rsidRPr="00C62DF2">
        <w:rPr>
          <w:rFonts w:ascii="Cambria" w:hAnsi="Cambria"/>
          <w:sz w:val="20"/>
          <w:szCs w:val="20"/>
        </w:rPr>
        <w:t xml:space="preserve">, a Comissão considera que o referido temor se encontra </w:t>
      </w:r>
      <w:r w:rsidRPr="00C62DF2">
        <w:rPr>
          <w:rFonts w:ascii="Cambria" w:hAnsi="Cambria"/>
          <w:sz w:val="20"/>
          <w:szCs w:val="20"/>
        </w:rPr>
        <w:t>incluído</w:t>
      </w:r>
      <w:r w:rsidR="008C3011" w:rsidRPr="00C62DF2">
        <w:rPr>
          <w:rFonts w:ascii="Cambria" w:hAnsi="Cambria"/>
          <w:sz w:val="20"/>
          <w:szCs w:val="20"/>
        </w:rPr>
        <w:t xml:space="preserve"> </w:t>
      </w:r>
      <w:r w:rsidRPr="00C62DF2">
        <w:rPr>
          <w:rFonts w:ascii="Cambria" w:hAnsi="Cambria"/>
          <w:sz w:val="20"/>
          <w:szCs w:val="20"/>
        </w:rPr>
        <w:t>n</w:t>
      </w:r>
      <w:r w:rsidR="008C3011" w:rsidRPr="00C62DF2">
        <w:rPr>
          <w:rFonts w:ascii="Cambria" w:hAnsi="Cambria"/>
          <w:sz w:val="20"/>
          <w:szCs w:val="20"/>
        </w:rPr>
        <w:t xml:space="preserve">as </w:t>
      </w:r>
      <w:r w:rsidRPr="00C62DF2">
        <w:rPr>
          <w:rFonts w:ascii="Cambria" w:hAnsi="Cambria"/>
          <w:sz w:val="20"/>
          <w:szCs w:val="20"/>
        </w:rPr>
        <w:t>viol</w:t>
      </w:r>
      <w:r w:rsidR="008C3011" w:rsidRPr="00C62DF2">
        <w:rPr>
          <w:rFonts w:ascii="Cambria" w:hAnsi="Cambria"/>
          <w:sz w:val="20"/>
          <w:szCs w:val="20"/>
        </w:rPr>
        <w:t xml:space="preserve">ações que sofreu em sua integridade pessoal, não contando com suficientes elementos para considerar uma violação autônoma </w:t>
      </w:r>
      <w:r w:rsidRPr="00C62DF2">
        <w:rPr>
          <w:rFonts w:ascii="Cambria" w:hAnsi="Cambria"/>
          <w:sz w:val="20"/>
          <w:szCs w:val="20"/>
        </w:rPr>
        <w:t>d</w:t>
      </w:r>
      <w:r w:rsidR="008C3011" w:rsidRPr="00C62DF2">
        <w:rPr>
          <w:rFonts w:ascii="Cambria" w:hAnsi="Cambria"/>
          <w:sz w:val="20"/>
          <w:szCs w:val="20"/>
        </w:rPr>
        <w:t>o artigo 18 da Convenção Americana.</w:t>
      </w:r>
    </w:p>
    <w:p w14:paraId="1132AB1C" w14:textId="77777777" w:rsidR="008C3011" w:rsidRPr="00C62DF2" w:rsidRDefault="008C3011" w:rsidP="00FC0CB6">
      <w:pPr>
        <w:jc w:val="both"/>
        <w:rPr>
          <w:rFonts w:ascii="Cambria" w:hAnsi="Cambria"/>
          <w:sz w:val="20"/>
          <w:szCs w:val="20"/>
        </w:rPr>
      </w:pPr>
    </w:p>
    <w:p w14:paraId="5FDB16EE" w14:textId="0D48E8B7" w:rsidR="008C3011" w:rsidRPr="00C62DF2" w:rsidRDefault="008C3011" w:rsidP="00FC0CB6">
      <w:pPr>
        <w:pStyle w:val="Heading2"/>
        <w:numPr>
          <w:ilvl w:val="0"/>
          <w:numId w:val="26"/>
        </w:numPr>
        <w:tabs>
          <w:tab w:val="clear" w:pos="86"/>
          <w:tab w:val="num" w:pos="851"/>
        </w:tabs>
        <w:ind w:left="709" w:firstLine="0"/>
        <w:rPr>
          <w:lang w:val="pt-BR"/>
        </w:rPr>
      </w:pPr>
      <w:bookmarkStart w:id="24" w:name="_Toc78883128"/>
      <w:bookmarkStart w:id="25" w:name="_Toc85895011"/>
      <w:r w:rsidRPr="00C62DF2">
        <w:rPr>
          <w:lang w:val="pt-BR"/>
        </w:rPr>
        <w:lastRenderedPageBreak/>
        <w:t xml:space="preserve">Direito </w:t>
      </w:r>
      <w:r w:rsidR="00FE2531" w:rsidRPr="00C62DF2">
        <w:rPr>
          <w:lang w:val="pt-BR"/>
        </w:rPr>
        <w:t>à</w:t>
      </w:r>
      <w:r w:rsidRPr="00C62DF2">
        <w:rPr>
          <w:lang w:val="pt-BR"/>
        </w:rPr>
        <w:t xml:space="preserve"> justiça (artigo XVIII</w:t>
      </w:r>
      <w:r w:rsidRPr="00C62DF2">
        <w:rPr>
          <w:rStyle w:val="FootnoteReference"/>
          <w:lang w:val="pt-BR"/>
        </w:rPr>
        <w:footnoteReference w:id="173"/>
      </w:r>
      <w:r w:rsidRPr="00C62DF2">
        <w:rPr>
          <w:lang w:val="pt-BR"/>
        </w:rPr>
        <w:t xml:space="preserve"> da Declaração Americana) e direitos às garantias judiciais e à proteção (artigos 8</w:t>
      </w:r>
      <w:r w:rsidRPr="00C62DF2">
        <w:rPr>
          <w:bCs w:val="0"/>
          <w:vertAlign w:val="superscript"/>
          <w:lang w:val="pt-BR"/>
        </w:rPr>
        <w:footnoteReference w:id="174"/>
      </w:r>
      <w:r w:rsidRPr="00C62DF2">
        <w:rPr>
          <w:lang w:val="pt-BR"/>
        </w:rPr>
        <w:t xml:space="preserve"> e 25</w:t>
      </w:r>
      <w:r w:rsidRPr="00C62DF2">
        <w:rPr>
          <w:bCs w:val="0"/>
          <w:vertAlign w:val="superscript"/>
          <w:lang w:val="pt-BR"/>
        </w:rPr>
        <w:footnoteReference w:id="175"/>
      </w:r>
      <w:r w:rsidRPr="00C62DF2">
        <w:rPr>
          <w:lang w:val="pt-BR"/>
        </w:rPr>
        <w:t xml:space="preserve"> da Convenção Americana com relação aos artigos 1.1</w:t>
      </w:r>
      <w:r w:rsidRPr="00C62DF2">
        <w:rPr>
          <w:rStyle w:val="FootnoteReference"/>
          <w:rFonts w:eastAsia="Times New Roman" w:cs="Times New Roman"/>
          <w:lang w:val="pt-BR"/>
        </w:rPr>
        <w:footnoteReference w:id="176"/>
      </w:r>
      <w:r w:rsidRPr="00C62DF2">
        <w:rPr>
          <w:lang w:val="pt-BR"/>
        </w:rPr>
        <w:t xml:space="preserve"> e 2 do mesmo instrumento); obrigação de investigar e </w:t>
      </w:r>
      <w:r w:rsidR="00FE2531" w:rsidRPr="00C62DF2">
        <w:rPr>
          <w:lang w:val="pt-BR"/>
        </w:rPr>
        <w:t>punir</w:t>
      </w:r>
      <w:r w:rsidRPr="00C62DF2">
        <w:rPr>
          <w:lang w:val="pt-BR"/>
        </w:rPr>
        <w:t xml:space="preserve"> a tortura (artigos 6</w:t>
      </w:r>
      <w:r w:rsidRPr="00C62DF2">
        <w:rPr>
          <w:rStyle w:val="FootnoteReference"/>
          <w:lang w:val="pt-BR"/>
        </w:rPr>
        <w:footnoteReference w:id="177"/>
      </w:r>
      <w:r w:rsidRPr="00C62DF2">
        <w:rPr>
          <w:lang w:val="pt-BR"/>
        </w:rPr>
        <w:t xml:space="preserve"> e 8</w:t>
      </w:r>
      <w:r w:rsidRPr="00C62DF2">
        <w:rPr>
          <w:rStyle w:val="FootnoteReference"/>
          <w:lang w:val="pt-BR"/>
        </w:rPr>
        <w:footnoteReference w:id="178"/>
      </w:r>
      <w:r w:rsidRPr="00C62DF2">
        <w:rPr>
          <w:lang w:val="pt-BR"/>
        </w:rPr>
        <w:t xml:space="preserve"> da Convenção Interamericana para Prevenir e </w:t>
      </w:r>
      <w:r w:rsidR="00FE2531" w:rsidRPr="00C62DF2">
        <w:rPr>
          <w:lang w:val="pt-BR"/>
        </w:rPr>
        <w:t>Punir</w:t>
      </w:r>
      <w:r w:rsidRPr="00C62DF2">
        <w:rPr>
          <w:lang w:val="pt-BR"/>
        </w:rPr>
        <w:t xml:space="preserve"> a Tortura), e </w:t>
      </w:r>
      <w:r w:rsidRPr="00C62DF2">
        <w:rPr>
          <w:bCs w:val="0"/>
          <w:lang w:val="pt-BR"/>
        </w:rPr>
        <w:t>dever de investigar os atos de violência contra a mulher (artigo 7 da Convenção de Belém do Pará</w:t>
      </w:r>
      <w:r w:rsidRPr="00C62DF2">
        <w:rPr>
          <w:rStyle w:val="FootnoteReference"/>
          <w:bCs w:val="0"/>
          <w:lang w:val="pt-BR"/>
        </w:rPr>
        <w:footnoteReference w:id="179"/>
      </w:r>
      <w:r w:rsidRPr="00C62DF2">
        <w:rPr>
          <w:bCs w:val="0"/>
          <w:lang w:val="pt-BR"/>
        </w:rPr>
        <w:t>)</w:t>
      </w:r>
      <w:bookmarkEnd w:id="24"/>
      <w:bookmarkEnd w:id="25"/>
      <w:r w:rsidRPr="00C62DF2">
        <w:rPr>
          <w:lang w:val="pt-BR"/>
        </w:rPr>
        <w:t xml:space="preserve"> </w:t>
      </w:r>
    </w:p>
    <w:p w14:paraId="730B866B" w14:textId="77777777" w:rsidR="008C3011" w:rsidRPr="00C62DF2" w:rsidRDefault="008C3011" w:rsidP="00FC0CB6">
      <w:pPr>
        <w:rPr>
          <w:rFonts w:ascii="Cambria" w:hAnsi="Cambria"/>
          <w:sz w:val="20"/>
          <w:szCs w:val="20"/>
          <w:lang w:eastAsia="es-CL"/>
        </w:rPr>
      </w:pPr>
    </w:p>
    <w:p w14:paraId="1C30AE89" w14:textId="318A762E" w:rsidR="008C3011" w:rsidRPr="00C62DF2" w:rsidRDefault="008C3011" w:rsidP="00FC0CB6">
      <w:pPr>
        <w:numPr>
          <w:ilvl w:val="0"/>
          <w:numId w:val="2"/>
        </w:numPr>
        <w:jc w:val="both"/>
        <w:rPr>
          <w:rFonts w:ascii="Cambria" w:hAnsi="Cambria"/>
          <w:sz w:val="20"/>
          <w:szCs w:val="20"/>
        </w:rPr>
      </w:pPr>
      <w:r w:rsidRPr="00C62DF2">
        <w:rPr>
          <w:rStyle w:val="hps"/>
          <w:rFonts w:ascii="Cambria" w:hAnsi="Cambria"/>
          <w:sz w:val="20"/>
          <w:szCs w:val="20"/>
        </w:rPr>
        <w:t>A</w:t>
      </w:r>
      <w:r w:rsidR="00FE2531" w:rsidRPr="00C62DF2">
        <w:rPr>
          <w:rStyle w:val="hps"/>
          <w:rFonts w:ascii="Cambria" w:hAnsi="Cambria"/>
          <w:sz w:val="20"/>
          <w:szCs w:val="20"/>
        </w:rPr>
        <w:t>diante</w:t>
      </w:r>
      <w:r w:rsidRPr="00C62DF2">
        <w:rPr>
          <w:rStyle w:val="hps"/>
          <w:rFonts w:ascii="Cambria" w:hAnsi="Cambria"/>
          <w:sz w:val="20"/>
          <w:szCs w:val="20"/>
        </w:rPr>
        <w:t xml:space="preserve">, a </w:t>
      </w:r>
      <w:r w:rsidRPr="00C62DF2">
        <w:rPr>
          <w:rFonts w:ascii="Cambria" w:hAnsi="Cambria"/>
          <w:sz w:val="20"/>
          <w:szCs w:val="20"/>
        </w:rPr>
        <w:t xml:space="preserve">CIDH analisará a responsabilidade internacional do Estado pelas ações relativas à investigação da tortura de Denise Peres Crispim, e </w:t>
      </w:r>
      <w:r w:rsidR="00FE2531" w:rsidRPr="00C62DF2">
        <w:rPr>
          <w:rFonts w:ascii="Cambria" w:hAnsi="Cambria"/>
          <w:sz w:val="20"/>
          <w:szCs w:val="20"/>
        </w:rPr>
        <w:t>à</w:t>
      </w:r>
      <w:r w:rsidRPr="00C62DF2">
        <w:rPr>
          <w:rFonts w:ascii="Cambria" w:hAnsi="Cambria"/>
          <w:sz w:val="20"/>
          <w:szCs w:val="20"/>
        </w:rPr>
        <w:t xml:space="preserve"> tortura e execução Eduardo Collen Leite, </w:t>
      </w:r>
      <w:r w:rsidR="00FE2531" w:rsidRPr="00C62DF2">
        <w:rPr>
          <w:rFonts w:ascii="Cambria" w:hAnsi="Cambria"/>
          <w:sz w:val="20"/>
          <w:szCs w:val="20"/>
        </w:rPr>
        <w:t>bem</w:t>
      </w:r>
      <w:r w:rsidRPr="00C62DF2">
        <w:rPr>
          <w:rFonts w:ascii="Cambria" w:hAnsi="Cambria"/>
          <w:sz w:val="20"/>
          <w:szCs w:val="20"/>
        </w:rPr>
        <w:t xml:space="preserve"> como o acesso de s</w:t>
      </w:r>
      <w:r w:rsidR="00FE2531" w:rsidRPr="00C62DF2">
        <w:rPr>
          <w:rFonts w:ascii="Cambria" w:hAnsi="Cambria"/>
          <w:sz w:val="20"/>
          <w:szCs w:val="20"/>
        </w:rPr>
        <w:t>e</w:t>
      </w:r>
      <w:r w:rsidRPr="00C62DF2">
        <w:rPr>
          <w:rFonts w:ascii="Cambria" w:hAnsi="Cambria"/>
          <w:sz w:val="20"/>
          <w:szCs w:val="20"/>
        </w:rPr>
        <w:t>us familiares</w:t>
      </w:r>
      <w:r w:rsidR="00FE2531" w:rsidRPr="00C62DF2">
        <w:rPr>
          <w:rFonts w:ascii="Cambria" w:hAnsi="Cambria"/>
          <w:sz w:val="20"/>
          <w:szCs w:val="20"/>
        </w:rPr>
        <w:t xml:space="preserve"> à justiça</w:t>
      </w:r>
      <w:r w:rsidRPr="00C62DF2">
        <w:rPr>
          <w:rFonts w:ascii="Cambria" w:hAnsi="Cambria"/>
          <w:sz w:val="20"/>
          <w:szCs w:val="20"/>
        </w:rPr>
        <w:t>. Levando em conta que os fatos ocorreram antes que o Brasil ratificasse a Convenção Americana, a</w:t>
      </w:r>
      <w:r w:rsidR="0011415A" w:rsidRPr="00C62DF2">
        <w:rPr>
          <w:rFonts w:ascii="Cambria" w:hAnsi="Cambria"/>
          <w:sz w:val="20"/>
          <w:szCs w:val="20"/>
        </w:rPr>
        <w:t xml:space="preserve"> </w:t>
      </w:r>
      <w:r w:rsidRPr="00C62DF2">
        <w:rPr>
          <w:rFonts w:ascii="Cambria" w:hAnsi="Cambria"/>
          <w:sz w:val="20"/>
          <w:szCs w:val="20"/>
        </w:rPr>
        <w:t xml:space="preserve">Convenção Interamericana para Prevenir e </w:t>
      </w:r>
      <w:r w:rsidR="0011415A" w:rsidRPr="00C62DF2">
        <w:rPr>
          <w:rFonts w:ascii="Cambria" w:hAnsi="Cambria"/>
          <w:sz w:val="20"/>
          <w:szCs w:val="20"/>
        </w:rPr>
        <w:t>Punir</w:t>
      </w:r>
      <w:r w:rsidRPr="00C62DF2">
        <w:rPr>
          <w:rFonts w:ascii="Cambria" w:hAnsi="Cambria"/>
          <w:sz w:val="20"/>
          <w:szCs w:val="20"/>
        </w:rPr>
        <w:t xml:space="preserve"> a Tortura e a Convenção de Belém do Pará, a fonte de direito aplicável a algu</w:t>
      </w:r>
      <w:r w:rsidR="0011415A" w:rsidRPr="00C62DF2">
        <w:rPr>
          <w:rFonts w:ascii="Cambria" w:hAnsi="Cambria"/>
          <w:sz w:val="20"/>
          <w:szCs w:val="20"/>
        </w:rPr>
        <w:t>ns</w:t>
      </w:r>
      <w:r w:rsidRPr="00C62DF2">
        <w:rPr>
          <w:rFonts w:ascii="Cambria" w:hAnsi="Cambria"/>
          <w:sz w:val="20"/>
          <w:szCs w:val="20"/>
        </w:rPr>
        <w:t xml:space="preserve"> destes fatos é a Declaração Americana. No entanto, a partir de 20 de julho de 1989, de 25 de setembro de 1992 e 16 de novembro de 1995</w:t>
      </w:r>
      <w:r w:rsidR="0011415A" w:rsidRPr="00C62DF2">
        <w:rPr>
          <w:rFonts w:ascii="Cambria" w:hAnsi="Cambria"/>
          <w:sz w:val="20"/>
          <w:szCs w:val="20"/>
        </w:rPr>
        <w:t>,</w:t>
      </w:r>
      <w:r w:rsidRPr="00C62DF2">
        <w:rPr>
          <w:rFonts w:ascii="Cambria" w:hAnsi="Cambria"/>
          <w:sz w:val="20"/>
          <w:szCs w:val="20"/>
        </w:rPr>
        <w:t xml:space="preserve"> respectivamente, conforme </w:t>
      </w:r>
      <w:r w:rsidR="0011415A" w:rsidRPr="00C62DF2">
        <w:rPr>
          <w:rFonts w:ascii="Cambria" w:hAnsi="Cambria"/>
          <w:sz w:val="20"/>
          <w:szCs w:val="20"/>
        </w:rPr>
        <w:t>o caso</w:t>
      </w:r>
      <w:r w:rsidRPr="00C62DF2">
        <w:rPr>
          <w:rFonts w:ascii="Cambria" w:hAnsi="Cambria"/>
          <w:sz w:val="20"/>
          <w:szCs w:val="20"/>
        </w:rPr>
        <w:t xml:space="preserve">, o exame será realizado </w:t>
      </w:r>
      <w:r w:rsidR="0011415A" w:rsidRPr="00C62DF2">
        <w:rPr>
          <w:rFonts w:ascii="Cambria" w:hAnsi="Cambria"/>
          <w:sz w:val="20"/>
          <w:szCs w:val="20"/>
        </w:rPr>
        <w:t xml:space="preserve">segundo </w:t>
      </w:r>
      <w:r w:rsidRPr="00C62DF2">
        <w:rPr>
          <w:rFonts w:ascii="Cambria" w:hAnsi="Cambria"/>
          <w:sz w:val="20"/>
          <w:szCs w:val="20"/>
        </w:rPr>
        <w:t xml:space="preserve">a Convenção Americana, a Convenção Interamericana para Prevenir e </w:t>
      </w:r>
      <w:r w:rsidR="0011415A" w:rsidRPr="00C62DF2">
        <w:rPr>
          <w:rFonts w:ascii="Cambria" w:hAnsi="Cambria"/>
          <w:sz w:val="20"/>
          <w:szCs w:val="20"/>
        </w:rPr>
        <w:t>Punir</w:t>
      </w:r>
      <w:r w:rsidRPr="00C62DF2">
        <w:rPr>
          <w:rFonts w:ascii="Cambria" w:hAnsi="Cambria"/>
          <w:sz w:val="20"/>
          <w:szCs w:val="20"/>
        </w:rPr>
        <w:t xml:space="preserve"> a Tortura e a Convenção de Belém do Pará.</w:t>
      </w:r>
    </w:p>
    <w:p w14:paraId="12A47465" w14:textId="77777777" w:rsidR="008C3011" w:rsidRPr="00C62DF2" w:rsidRDefault="008C3011" w:rsidP="00FC0CB6">
      <w:pPr>
        <w:ind w:left="720"/>
        <w:jc w:val="both"/>
        <w:rPr>
          <w:rFonts w:ascii="Cambria" w:hAnsi="Cambria"/>
          <w:sz w:val="20"/>
          <w:szCs w:val="20"/>
        </w:rPr>
      </w:pPr>
    </w:p>
    <w:p w14:paraId="4A120A20" w14:textId="258A0D92" w:rsidR="008C3011" w:rsidRPr="00C62DF2" w:rsidRDefault="008C3011" w:rsidP="00FC0CB6">
      <w:pPr>
        <w:numPr>
          <w:ilvl w:val="0"/>
          <w:numId w:val="2"/>
        </w:numPr>
        <w:jc w:val="both"/>
        <w:rPr>
          <w:rFonts w:ascii="Cambria" w:hAnsi="Cambria"/>
          <w:sz w:val="20"/>
          <w:szCs w:val="20"/>
        </w:rPr>
      </w:pPr>
      <w:r w:rsidRPr="00C62DF2">
        <w:rPr>
          <w:rFonts w:ascii="Cambria" w:hAnsi="Cambria"/>
          <w:sz w:val="20"/>
          <w:szCs w:val="20"/>
        </w:rPr>
        <w:t xml:space="preserve">A Comissão analisará a investigação </w:t>
      </w:r>
      <w:r w:rsidR="0011415A" w:rsidRPr="00C62DF2">
        <w:rPr>
          <w:rFonts w:ascii="Cambria" w:hAnsi="Cambria"/>
          <w:sz w:val="20"/>
          <w:szCs w:val="20"/>
        </w:rPr>
        <w:t>d</w:t>
      </w:r>
      <w:r w:rsidRPr="00C62DF2">
        <w:rPr>
          <w:rFonts w:ascii="Cambria" w:hAnsi="Cambria"/>
          <w:sz w:val="20"/>
          <w:szCs w:val="20"/>
        </w:rPr>
        <w:t>os fatos do presente caso</w:t>
      </w:r>
      <w:r w:rsidR="0011415A" w:rsidRPr="00C62DF2">
        <w:rPr>
          <w:rFonts w:ascii="Cambria" w:hAnsi="Cambria"/>
          <w:sz w:val="20"/>
          <w:szCs w:val="20"/>
        </w:rPr>
        <w:t>,</w:t>
      </w:r>
      <w:r w:rsidRPr="00C62DF2">
        <w:rPr>
          <w:rFonts w:ascii="Cambria" w:hAnsi="Cambria"/>
          <w:sz w:val="20"/>
          <w:szCs w:val="20"/>
        </w:rPr>
        <w:t xml:space="preserve"> pronunciando-se em primeiro lugar a respeito da investigação realizada na justiça penal militar</w:t>
      </w:r>
      <w:r w:rsidR="0011415A" w:rsidRPr="00C62DF2">
        <w:rPr>
          <w:rFonts w:ascii="Cambria" w:hAnsi="Cambria"/>
          <w:sz w:val="20"/>
          <w:szCs w:val="20"/>
        </w:rPr>
        <w:t>;</w:t>
      </w:r>
      <w:r w:rsidRPr="00C62DF2">
        <w:rPr>
          <w:rFonts w:ascii="Cambria" w:hAnsi="Cambria"/>
          <w:sz w:val="20"/>
          <w:szCs w:val="20"/>
        </w:rPr>
        <w:t xml:space="preserve"> em segundo </w:t>
      </w:r>
      <w:r w:rsidR="0011415A" w:rsidRPr="00C62DF2">
        <w:rPr>
          <w:rFonts w:ascii="Cambria" w:hAnsi="Cambria"/>
          <w:sz w:val="20"/>
          <w:szCs w:val="20"/>
        </w:rPr>
        <w:t xml:space="preserve">lugar, </w:t>
      </w:r>
      <w:r w:rsidRPr="00C62DF2">
        <w:rPr>
          <w:rFonts w:ascii="Cambria" w:hAnsi="Cambria"/>
          <w:sz w:val="20"/>
          <w:szCs w:val="20"/>
        </w:rPr>
        <w:t xml:space="preserve">se referirá às atuações realizadas na justiça ordinária. </w:t>
      </w:r>
    </w:p>
    <w:p w14:paraId="311B59BF" w14:textId="77777777" w:rsidR="008C3011" w:rsidRPr="00C62DF2" w:rsidRDefault="008C3011" w:rsidP="00FC0CB6">
      <w:pPr>
        <w:tabs>
          <w:tab w:val="left" w:pos="0"/>
        </w:tabs>
        <w:ind w:left="567"/>
        <w:jc w:val="both"/>
        <w:rPr>
          <w:rFonts w:ascii="Cambria" w:hAnsi="Cambria"/>
          <w:sz w:val="20"/>
          <w:szCs w:val="20"/>
        </w:rPr>
      </w:pPr>
    </w:p>
    <w:p w14:paraId="014ED25A" w14:textId="77777777" w:rsidR="008C3011" w:rsidRPr="00C62DF2" w:rsidRDefault="008C3011" w:rsidP="00FC0CB6">
      <w:pPr>
        <w:pStyle w:val="Heading3"/>
        <w:numPr>
          <w:ilvl w:val="3"/>
          <w:numId w:val="29"/>
        </w:numPr>
        <w:ind w:left="1418" w:firstLine="0"/>
        <w:rPr>
          <w:color w:val="auto"/>
          <w:lang w:val="pt-BR"/>
        </w:rPr>
      </w:pPr>
      <w:bookmarkStart w:id="26" w:name="_Toc78883129"/>
      <w:bookmarkStart w:id="27" w:name="_Toc85895012"/>
      <w:r w:rsidRPr="00C62DF2">
        <w:rPr>
          <w:color w:val="auto"/>
          <w:lang w:val="pt-BR"/>
        </w:rPr>
        <w:t>Sobre a investigação realizada na justiça penal militar</w:t>
      </w:r>
      <w:bookmarkEnd w:id="26"/>
      <w:bookmarkEnd w:id="27"/>
    </w:p>
    <w:p w14:paraId="47E871A1" w14:textId="77777777" w:rsidR="008C3011" w:rsidRPr="00C62DF2" w:rsidRDefault="008C3011" w:rsidP="00FC0CB6">
      <w:pPr>
        <w:tabs>
          <w:tab w:val="left" w:pos="0"/>
        </w:tabs>
        <w:jc w:val="both"/>
        <w:rPr>
          <w:rFonts w:ascii="Cambria" w:hAnsi="Cambria"/>
          <w:sz w:val="20"/>
          <w:szCs w:val="20"/>
        </w:rPr>
      </w:pPr>
    </w:p>
    <w:p w14:paraId="3B5C0A67" w14:textId="77777777" w:rsidR="008C3011" w:rsidRPr="00C62DF2" w:rsidRDefault="008C3011" w:rsidP="00FC0CB6">
      <w:pPr>
        <w:pStyle w:val="Heading3"/>
        <w:numPr>
          <w:ilvl w:val="1"/>
          <w:numId w:val="37"/>
        </w:numPr>
        <w:ind w:firstLine="0"/>
        <w:rPr>
          <w:color w:val="auto"/>
          <w:lang w:val="pt-BR"/>
        </w:rPr>
      </w:pPr>
      <w:bookmarkStart w:id="28" w:name="_Toc78883130"/>
      <w:bookmarkStart w:id="29" w:name="_Toc85895013"/>
      <w:r w:rsidRPr="00C62DF2">
        <w:rPr>
          <w:color w:val="auto"/>
          <w:lang w:val="pt-BR"/>
        </w:rPr>
        <w:t>Considerações gerais</w:t>
      </w:r>
      <w:bookmarkEnd w:id="28"/>
      <w:bookmarkEnd w:id="29"/>
      <w:r w:rsidRPr="00C62DF2">
        <w:rPr>
          <w:color w:val="auto"/>
          <w:lang w:val="pt-BR"/>
        </w:rPr>
        <w:t xml:space="preserve"> </w:t>
      </w:r>
    </w:p>
    <w:p w14:paraId="5507D959" w14:textId="77777777" w:rsidR="008C3011" w:rsidRPr="00C62DF2" w:rsidRDefault="008C3011" w:rsidP="00FC0CB6">
      <w:pPr>
        <w:rPr>
          <w:rFonts w:ascii="Cambria" w:hAnsi="Cambria"/>
          <w:sz w:val="20"/>
          <w:szCs w:val="20"/>
          <w:lang w:eastAsia="es-CL"/>
        </w:rPr>
      </w:pPr>
    </w:p>
    <w:p w14:paraId="292A138F" w14:textId="18AFAB99" w:rsidR="008C3011" w:rsidRPr="00C62DF2" w:rsidRDefault="008C3011" w:rsidP="00FC0CB6">
      <w:pPr>
        <w:numPr>
          <w:ilvl w:val="0"/>
          <w:numId w:val="2"/>
        </w:numPr>
        <w:jc w:val="both"/>
        <w:rPr>
          <w:rFonts w:ascii="Cambria" w:hAnsi="Cambria"/>
          <w:sz w:val="20"/>
          <w:szCs w:val="20"/>
        </w:rPr>
      </w:pPr>
      <w:r w:rsidRPr="00C62DF2">
        <w:rPr>
          <w:rFonts w:ascii="Cambria" w:hAnsi="Cambria" w:cs="Arial"/>
          <w:sz w:val="20"/>
          <w:szCs w:val="20"/>
        </w:rPr>
        <w:t xml:space="preserve"> A CIDH indicou que o Estado não é s</w:t>
      </w:r>
      <w:r w:rsidR="0011415A" w:rsidRPr="00C62DF2">
        <w:rPr>
          <w:rFonts w:ascii="Cambria" w:hAnsi="Cambria" w:cs="Arial"/>
          <w:sz w:val="20"/>
          <w:szCs w:val="20"/>
        </w:rPr>
        <w:t>omente</w:t>
      </w:r>
      <w:r w:rsidRPr="00C62DF2">
        <w:rPr>
          <w:rFonts w:ascii="Cambria" w:hAnsi="Cambria" w:cs="Arial"/>
          <w:sz w:val="20"/>
          <w:szCs w:val="20"/>
        </w:rPr>
        <w:t xml:space="preserve"> responsável por respeitar e garantir o exercício dos direitos de uma pessoa privada da liberdade. Em sua condição de fiador, está igualmente obrigado a fornecer informação fidedigna, </w:t>
      </w:r>
      <w:r w:rsidR="0011415A" w:rsidRPr="00C62DF2">
        <w:rPr>
          <w:rFonts w:ascii="Cambria" w:hAnsi="Cambria" w:cs="Arial"/>
          <w:sz w:val="20"/>
          <w:szCs w:val="20"/>
        </w:rPr>
        <w:t>bem</w:t>
      </w:r>
      <w:r w:rsidRPr="00C62DF2">
        <w:rPr>
          <w:rFonts w:ascii="Cambria" w:hAnsi="Cambria" w:cs="Arial"/>
          <w:sz w:val="20"/>
          <w:szCs w:val="20"/>
        </w:rPr>
        <w:t xml:space="preserve"> como todas as provas relacionadas com o que sucede ao detento sob custódia. Este dever deriva da obrigação geral, a cargo dos próprios Estados, de garantir o livre e pleno exercício dos direitos reconhecidos na Declaração Americana, </w:t>
      </w:r>
      <w:r w:rsidR="0011415A" w:rsidRPr="00C62DF2">
        <w:rPr>
          <w:rFonts w:ascii="Cambria" w:hAnsi="Cambria" w:cs="Arial"/>
          <w:sz w:val="20"/>
          <w:szCs w:val="20"/>
        </w:rPr>
        <w:t>bem</w:t>
      </w:r>
      <w:r w:rsidRPr="00C62DF2">
        <w:rPr>
          <w:rFonts w:ascii="Cambria" w:hAnsi="Cambria" w:cs="Arial"/>
          <w:sz w:val="20"/>
          <w:szCs w:val="20"/>
        </w:rPr>
        <w:t xml:space="preserve"> como do direito das vítimas de violações de direitos humanos, ou seus familiares, a contar com amplas possibilidades de ser</w:t>
      </w:r>
      <w:r w:rsidR="0011415A" w:rsidRPr="00C62DF2">
        <w:rPr>
          <w:rFonts w:ascii="Cambria" w:hAnsi="Cambria" w:cs="Arial"/>
          <w:sz w:val="20"/>
          <w:szCs w:val="20"/>
        </w:rPr>
        <w:t>em</w:t>
      </w:r>
      <w:r w:rsidRPr="00C62DF2">
        <w:rPr>
          <w:rFonts w:ascii="Cambria" w:hAnsi="Cambria" w:cs="Arial"/>
          <w:sz w:val="20"/>
          <w:szCs w:val="20"/>
        </w:rPr>
        <w:t xml:space="preserve"> ouvidos e atuar nos respectivos processos, tanto em busca de esclarecimento dos fato</w:t>
      </w:r>
      <w:r w:rsidR="0011415A" w:rsidRPr="00C62DF2">
        <w:rPr>
          <w:rFonts w:ascii="Cambria" w:hAnsi="Cambria" w:cs="Arial"/>
          <w:sz w:val="20"/>
          <w:szCs w:val="20"/>
        </w:rPr>
        <w:t>s</w:t>
      </w:r>
      <w:r w:rsidRPr="00C62DF2">
        <w:rPr>
          <w:rFonts w:ascii="Cambria" w:hAnsi="Cambria" w:cs="Arial"/>
          <w:sz w:val="20"/>
          <w:szCs w:val="20"/>
        </w:rPr>
        <w:t xml:space="preserve"> como d</w:t>
      </w:r>
      <w:r w:rsidR="0011415A" w:rsidRPr="00C62DF2">
        <w:rPr>
          <w:rFonts w:ascii="Cambria" w:hAnsi="Cambria" w:cs="Arial"/>
          <w:sz w:val="20"/>
          <w:szCs w:val="20"/>
        </w:rPr>
        <w:t>a punição</w:t>
      </w:r>
      <w:r w:rsidRPr="00C62DF2">
        <w:rPr>
          <w:rFonts w:ascii="Cambria" w:hAnsi="Cambria" w:cs="Arial"/>
          <w:sz w:val="20"/>
          <w:szCs w:val="20"/>
        </w:rPr>
        <w:t xml:space="preserve"> dos responsáveis, e a ter acesso a recursos judiciais efetivos com este fim, substanciados e</w:t>
      </w:r>
      <w:r w:rsidR="0011415A" w:rsidRPr="00C62DF2">
        <w:rPr>
          <w:rFonts w:ascii="Cambria" w:hAnsi="Cambria" w:cs="Arial"/>
          <w:sz w:val="20"/>
          <w:szCs w:val="20"/>
        </w:rPr>
        <w:t>m</w:t>
      </w:r>
      <w:r w:rsidRPr="00C62DF2">
        <w:rPr>
          <w:rFonts w:ascii="Cambria" w:hAnsi="Cambria" w:cs="Arial"/>
          <w:sz w:val="20"/>
          <w:szCs w:val="20"/>
        </w:rPr>
        <w:t xml:space="preserve"> conformidade com as regras do devido processo legal. </w:t>
      </w:r>
    </w:p>
    <w:p w14:paraId="4E3D21D3" w14:textId="77777777" w:rsidR="008C3011" w:rsidRPr="00C62DF2" w:rsidRDefault="008C3011" w:rsidP="00FC0CB6">
      <w:pPr>
        <w:ind w:left="567"/>
        <w:jc w:val="both"/>
        <w:rPr>
          <w:rFonts w:ascii="Cambria" w:hAnsi="Cambria"/>
          <w:sz w:val="20"/>
          <w:szCs w:val="20"/>
        </w:rPr>
      </w:pPr>
    </w:p>
    <w:p w14:paraId="1A47836E" w14:textId="246A9FD6" w:rsidR="008C3011" w:rsidRPr="00C62DF2" w:rsidRDefault="008C3011" w:rsidP="00FC0CB6">
      <w:pPr>
        <w:numPr>
          <w:ilvl w:val="0"/>
          <w:numId w:val="2"/>
        </w:numPr>
        <w:jc w:val="both"/>
        <w:rPr>
          <w:rFonts w:ascii="Cambria" w:hAnsi="Cambria"/>
          <w:sz w:val="20"/>
          <w:szCs w:val="20"/>
        </w:rPr>
      </w:pPr>
      <w:r w:rsidRPr="00C62DF2">
        <w:rPr>
          <w:rFonts w:ascii="Cambria" w:hAnsi="Cambria"/>
          <w:sz w:val="20"/>
          <w:szCs w:val="20"/>
        </w:rPr>
        <w:lastRenderedPageBreak/>
        <w:t xml:space="preserve"> O cumprimento deste dever é particularmente estrito quando existem indícios de tortura</w:t>
      </w:r>
      <w:r w:rsidRPr="00C62DF2">
        <w:rPr>
          <w:rStyle w:val="FootnoteReference"/>
          <w:rFonts w:ascii="Cambria" w:hAnsi="Cambria"/>
          <w:sz w:val="20"/>
          <w:szCs w:val="20"/>
        </w:rPr>
        <w:footnoteReference w:id="180"/>
      </w:r>
      <w:r w:rsidRPr="00C62DF2">
        <w:rPr>
          <w:rFonts w:ascii="Cambria" w:hAnsi="Cambria"/>
          <w:sz w:val="20"/>
          <w:szCs w:val="20"/>
        </w:rPr>
        <w:t xml:space="preserve"> e em todo</w:t>
      </w:r>
      <w:r w:rsidR="0011415A" w:rsidRPr="00C62DF2">
        <w:rPr>
          <w:rFonts w:ascii="Cambria" w:hAnsi="Cambria"/>
          <w:sz w:val="20"/>
          <w:szCs w:val="20"/>
        </w:rPr>
        <w:t>s</w:t>
      </w:r>
      <w:r w:rsidRPr="00C62DF2">
        <w:rPr>
          <w:rFonts w:ascii="Cambria" w:hAnsi="Cambria"/>
          <w:sz w:val="20"/>
          <w:szCs w:val="20"/>
        </w:rPr>
        <w:t xml:space="preserve"> </w:t>
      </w:r>
      <w:r w:rsidR="0011415A" w:rsidRPr="00C62DF2">
        <w:rPr>
          <w:rFonts w:ascii="Cambria" w:hAnsi="Cambria"/>
          <w:sz w:val="20"/>
          <w:szCs w:val="20"/>
        </w:rPr>
        <w:t xml:space="preserve">os </w:t>
      </w:r>
      <w:r w:rsidRPr="00C62DF2">
        <w:rPr>
          <w:rFonts w:ascii="Cambria" w:hAnsi="Cambria"/>
          <w:sz w:val="20"/>
          <w:szCs w:val="20"/>
        </w:rPr>
        <w:t>caso</w:t>
      </w:r>
      <w:r w:rsidR="0011415A" w:rsidRPr="00C62DF2">
        <w:rPr>
          <w:rFonts w:ascii="Cambria" w:hAnsi="Cambria"/>
          <w:sz w:val="20"/>
          <w:szCs w:val="20"/>
        </w:rPr>
        <w:t>s</w:t>
      </w:r>
      <w:r w:rsidRPr="00C62DF2">
        <w:rPr>
          <w:rFonts w:ascii="Cambria" w:hAnsi="Cambria"/>
          <w:sz w:val="20"/>
          <w:szCs w:val="20"/>
        </w:rPr>
        <w:t xml:space="preserve"> em que ocorra a morte do detento.</w:t>
      </w:r>
      <w:r w:rsidRPr="00C62DF2">
        <w:rPr>
          <w:rStyle w:val="FootnoteReference"/>
          <w:rFonts w:ascii="Cambria" w:hAnsi="Cambria"/>
          <w:sz w:val="20"/>
          <w:szCs w:val="20"/>
        </w:rPr>
        <w:footnoteReference w:id="181"/>
      </w:r>
      <w:r w:rsidRPr="00C62DF2">
        <w:rPr>
          <w:rFonts w:ascii="Cambria" w:hAnsi="Cambria"/>
          <w:sz w:val="20"/>
          <w:szCs w:val="20"/>
        </w:rPr>
        <w:t xml:space="preserve"> Com efeito, o Estado, como fiador do direito à vida de integridade pessoal dos detentos, tem o dever de prevenir todas aquelas situações que p</w:t>
      </w:r>
      <w:r w:rsidR="00D76BC3" w:rsidRPr="00C62DF2">
        <w:rPr>
          <w:rFonts w:ascii="Cambria" w:hAnsi="Cambria"/>
          <w:sz w:val="20"/>
          <w:szCs w:val="20"/>
        </w:rPr>
        <w:t>oss</w:t>
      </w:r>
      <w:r w:rsidRPr="00C62DF2">
        <w:rPr>
          <w:rFonts w:ascii="Cambria" w:hAnsi="Cambria"/>
          <w:sz w:val="20"/>
          <w:szCs w:val="20"/>
        </w:rPr>
        <w:t xml:space="preserve">am </w:t>
      </w:r>
      <w:r w:rsidR="00D76BC3" w:rsidRPr="00C62DF2">
        <w:rPr>
          <w:rFonts w:ascii="Cambria" w:hAnsi="Cambria"/>
          <w:sz w:val="20"/>
          <w:szCs w:val="20"/>
        </w:rPr>
        <w:t>levar</w:t>
      </w:r>
      <w:r w:rsidRPr="00C62DF2">
        <w:rPr>
          <w:rFonts w:ascii="Cambria" w:hAnsi="Cambria"/>
          <w:sz w:val="20"/>
          <w:szCs w:val="20"/>
        </w:rPr>
        <w:t>, tanto por ação como por omissão, à supressão destes direitos. Neste sentido, se uma pessoa fo</w:t>
      </w:r>
      <w:r w:rsidR="00D76BC3" w:rsidRPr="00C62DF2">
        <w:rPr>
          <w:rFonts w:ascii="Cambria" w:hAnsi="Cambria"/>
          <w:sz w:val="20"/>
          <w:szCs w:val="20"/>
        </w:rPr>
        <w:t>r</w:t>
      </w:r>
      <w:r w:rsidRPr="00C62DF2">
        <w:rPr>
          <w:rFonts w:ascii="Cambria" w:hAnsi="Cambria"/>
          <w:sz w:val="20"/>
          <w:szCs w:val="20"/>
        </w:rPr>
        <w:t xml:space="preserve"> detida em bom estado de saúde e posteriormente morre, recai sobre o Estado a obrigação de oferecer uma explicação satisfatória e convincente do </w:t>
      </w:r>
      <w:r w:rsidR="00C85C61" w:rsidRPr="00C62DF2">
        <w:rPr>
          <w:rFonts w:ascii="Cambria" w:hAnsi="Cambria"/>
          <w:sz w:val="20"/>
          <w:szCs w:val="20"/>
        </w:rPr>
        <w:t>ocorrido</w:t>
      </w:r>
      <w:r w:rsidRPr="00C62DF2">
        <w:rPr>
          <w:rFonts w:ascii="Cambria" w:hAnsi="Cambria"/>
          <w:sz w:val="20"/>
          <w:szCs w:val="20"/>
        </w:rPr>
        <w:t xml:space="preserve"> e </w:t>
      </w:r>
      <w:r w:rsidR="00554885" w:rsidRPr="00C62DF2">
        <w:rPr>
          <w:rFonts w:ascii="Cambria" w:hAnsi="Cambria"/>
          <w:sz w:val="20"/>
          <w:szCs w:val="20"/>
        </w:rPr>
        <w:t>contestar</w:t>
      </w:r>
      <w:r w:rsidRPr="00C62DF2">
        <w:rPr>
          <w:rFonts w:ascii="Cambria" w:hAnsi="Cambria"/>
          <w:sz w:val="20"/>
          <w:szCs w:val="20"/>
        </w:rPr>
        <w:t xml:space="preserve"> as alegações sobre sua responsabilidade mediante elementos probatórios válidos</w:t>
      </w:r>
      <w:r w:rsidR="00D76BC3" w:rsidRPr="00C62DF2">
        <w:rPr>
          <w:rFonts w:ascii="Cambria" w:hAnsi="Cambria"/>
          <w:sz w:val="20"/>
          <w:szCs w:val="20"/>
        </w:rPr>
        <w:t>,</w:t>
      </w:r>
      <w:r w:rsidRPr="00C62DF2">
        <w:rPr>
          <w:rFonts w:ascii="Cambria" w:hAnsi="Cambria"/>
          <w:sz w:val="20"/>
          <w:szCs w:val="20"/>
        </w:rPr>
        <w:t xml:space="preserve"> levando em consideração que existe uma suposição de responsabilidade estatal </w:t>
      </w:r>
      <w:r w:rsidR="00D76BC3" w:rsidRPr="00C62DF2">
        <w:rPr>
          <w:rFonts w:ascii="Cambria" w:hAnsi="Cambria"/>
          <w:sz w:val="20"/>
          <w:szCs w:val="20"/>
        </w:rPr>
        <w:t>pel</w:t>
      </w:r>
      <w:r w:rsidRPr="00C62DF2">
        <w:rPr>
          <w:rFonts w:ascii="Cambria" w:hAnsi="Cambria"/>
          <w:sz w:val="20"/>
          <w:szCs w:val="20"/>
        </w:rPr>
        <w:t>o que ocorre a uma pessoa enquanto se encontra sob custódia do Estado.</w:t>
      </w:r>
      <w:r w:rsidRPr="00C62DF2">
        <w:rPr>
          <w:rStyle w:val="FootnoteReference"/>
          <w:rFonts w:ascii="Cambria" w:hAnsi="Cambria"/>
          <w:sz w:val="20"/>
          <w:szCs w:val="20"/>
        </w:rPr>
        <w:footnoteReference w:id="182"/>
      </w:r>
      <w:r w:rsidRPr="00C62DF2">
        <w:rPr>
          <w:rFonts w:ascii="Cambria" w:hAnsi="Cambria"/>
          <w:sz w:val="20"/>
          <w:szCs w:val="20"/>
        </w:rPr>
        <w:t xml:space="preserve"> </w:t>
      </w:r>
    </w:p>
    <w:p w14:paraId="4489DC64" w14:textId="77777777" w:rsidR="008C3011" w:rsidRPr="00C62DF2" w:rsidRDefault="008C3011" w:rsidP="00FC0CB6">
      <w:pPr>
        <w:pStyle w:val="ListParagraph"/>
        <w:ind w:firstLine="0"/>
        <w:rPr>
          <w:sz w:val="20"/>
          <w:szCs w:val="20"/>
          <w:lang w:val="pt-BR"/>
        </w:rPr>
      </w:pPr>
    </w:p>
    <w:p w14:paraId="77D8C277" w14:textId="0499D069"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 Nestes casos, o Estado deve iniciar de ofício e com a devida diligência uma investigação com o fim de determinar a natureza e causas das lesões e assegurar, </w:t>
      </w:r>
      <w:r w:rsidR="00554885" w:rsidRPr="00C62DF2">
        <w:rPr>
          <w:rFonts w:ascii="Cambria" w:hAnsi="Cambria"/>
          <w:sz w:val="20"/>
          <w:szCs w:val="20"/>
        </w:rPr>
        <w:t>se for o</w:t>
      </w:r>
      <w:r w:rsidRPr="00C62DF2">
        <w:rPr>
          <w:rFonts w:ascii="Cambria" w:hAnsi="Cambria"/>
          <w:sz w:val="20"/>
          <w:szCs w:val="20"/>
        </w:rPr>
        <w:t xml:space="preserve"> caso, a identificação e p</w:t>
      </w:r>
      <w:r w:rsidR="00554885" w:rsidRPr="00C62DF2">
        <w:rPr>
          <w:rFonts w:ascii="Cambria" w:hAnsi="Cambria"/>
          <w:sz w:val="20"/>
          <w:szCs w:val="20"/>
        </w:rPr>
        <w:t>e</w:t>
      </w:r>
      <w:r w:rsidRPr="00C62DF2">
        <w:rPr>
          <w:rFonts w:ascii="Cambria" w:hAnsi="Cambria"/>
          <w:sz w:val="20"/>
          <w:szCs w:val="20"/>
        </w:rPr>
        <w:t>r</w:t>
      </w:r>
      <w:r w:rsidR="00554885" w:rsidRPr="00C62DF2">
        <w:rPr>
          <w:rFonts w:ascii="Cambria" w:hAnsi="Cambria"/>
          <w:sz w:val="20"/>
          <w:szCs w:val="20"/>
        </w:rPr>
        <w:t>secução</w:t>
      </w:r>
      <w:r w:rsidRPr="00C62DF2">
        <w:rPr>
          <w:rFonts w:ascii="Cambria" w:hAnsi="Cambria"/>
          <w:sz w:val="20"/>
          <w:szCs w:val="20"/>
        </w:rPr>
        <w:t xml:space="preserve"> de seus responsáveis. A</w:t>
      </w:r>
      <w:r w:rsidRPr="00C62DF2">
        <w:rPr>
          <w:rFonts w:ascii="Cambria" w:hAnsi="Cambria"/>
          <w:bCs/>
          <w:sz w:val="20"/>
          <w:szCs w:val="20"/>
        </w:rPr>
        <w:t xml:space="preserve"> realização de uma investigação efetiva é um elemento fundamental e condicionante para a proteção dos direitos substantivos que se veem afetados ou anulados por essas situações.</w:t>
      </w:r>
      <w:r w:rsidRPr="00C62DF2">
        <w:rPr>
          <w:rStyle w:val="FootnoteReference"/>
          <w:rFonts w:ascii="Cambria" w:hAnsi="Cambria"/>
          <w:sz w:val="20"/>
          <w:szCs w:val="20"/>
        </w:rPr>
        <w:footnoteReference w:id="183"/>
      </w:r>
    </w:p>
    <w:p w14:paraId="51A93CC6" w14:textId="77777777" w:rsidR="008C3011" w:rsidRPr="00C62DF2" w:rsidRDefault="008C3011" w:rsidP="00FC0CB6">
      <w:pPr>
        <w:pStyle w:val="ListParagraph"/>
        <w:ind w:firstLine="0"/>
        <w:rPr>
          <w:sz w:val="20"/>
          <w:szCs w:val="20"/>
          <w:lang w:val="pt-BR"/>
        </w:rPr>
      </w:pPr>
    </w:p>
    <w:p w14:paraId="648D6759" w14:textId="192215B5"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Para que seja efetiva, a investigação deve ser </w:t>
      </w:r>
      <w:r w:rsidR="005E1E7B" w:rsidRPr="00C62DF2">
        <w:rPr>
          <w:rFonts w:ascii="Cambria" w:hAnsi="Cambria"/>
          <w:sz w:val="20"/>
          <w:szCs w:val="20"/>
        </w:rPr>
        <w:t>realiz</w:t>
      </w:r>
      <w:r w:rsidRPr="00C62DF2">
        <w:rPr>
          <w:rFonts w:ascii="Cambria" w:hAnsi="Cambria"/>
          <w:sz w:val="20"/>
          <w:szCs w:val="20"/>
        </w:rPr>
        <w:t>ada por autoridades independentes, que não devem ter nenhuma conexão hierárquica ou institucional com os implicados.</w:t>
      </w:r>
      <w:r w:rsidRPr="00C62DF2">
        <w:rPr>
          <w:rStyle w:val="FootnoteReference"/>
          <w:rFonts w:ascii="Cambria" w:hAnsi="Cambria"/>
          <w:sz w:val="20"/>
          <w:szCs w:val="20"/>
        </w:rPr>
        <w:footnoteReference w:id="184"/>
      </w:r>
      <w:r w:rsidRPr="00C62DF2">
        <w:rPr>
          <w:rFonts w:ascii="Cambria" w:hAnsi="Cambria"/>
          <w:sz w:val="20"/>
          <w:szCs w:val="20"/>
        </w:rPr>
        <w:t xml:space="preserve"> </w:t>
      </w:r>
      <w:r w:rsidRPr="00C62DF2">
        <w:rPr>
          <w:rFonts w:ascii="Cambria" w:hAnsi="Cambria"/>
          <w:bCs/>
          <w:sz w:val="20"/>
          <w:szCs w:val="20"/>
        </w:rPr>
        <w:t xml:space="preserve">A CIDH expressou </w:t>
      </w:r>
      <w:r w:rsidRPr="00C62DF2">
        <w:rPr>
          <w:rFonts w:ascii="Cambria" w:hAnsi="Cambria"/>
          <w:sz w:val="20"/>
          <w:szCs w:val="20"/>
        </w:rPr>
        <w:t>que</w:t>
      </w:r>
      <w:r w:rsidR="005E1E7B" w:rsidRPr="00C62DF2">
        <w:rPr>
          <w:rFonts w:ascii="Cambria" w:hAnsi="Cambria"/>
          <w:sz w:val="20"/>
          <w:szCs w:val="20"/>
        </w:rPr>
        <w:t>,</w:t>
      </w:r>
      <w:r w:rsidRPr="00C62DF2">
        <w:rPr>
          <w:rFonts w:ascii="Cambria" w:hAnsi="Cambria"/>
          <w:bCs/>
          <w:sz w:val="20"/>
          <w:szCs w:val="20"/>
        </w:rPr>
        <w:t xml:space="preserve"> quando se trata de uma morte violenta na qual se investiga a participação de funcionários estatais, os Estados devem assegurar que a responsabilidade de investigar e julgar violações de direitos humanos </w:t>
      </w:r>
      <w:r w:rsidR="005E1E7B" w:rsidRPr="00C62DF2">
        <w:rPr>
          <w:rFonts w:ascii="Cambria" w:hAnsi="Cambria"/>
          <w:bCs/>
          <w:sz w:val="20"/>
          <w:szCs w:val="20"/>
        </w:rPr>
        <w:t>seja</w:t>
      </w:r>
      <w:r w:rsidRPr="00C62DF2">
        <w:rPr>
          <w:rFonts w:ascii="Cambria" w:hAnsi="Cambria"/>
          <w:bCs/>
          <w:sz w:val="20"/>
          <w:szCs w:val="20"/>
        </w:rPr>
        <w:t xml:space="preserve"> atribuída às autoridades que </w:t>
      </w:r>
      <w:r w:rsidR="005E1E7B" w:rsidRPr="00C62DF2">
        <w:rPr>
          <w:rFonts w:ascii="Cambria" w:hAnsi="Cambria"/>
          <w:bCs/>
          <w:sz w:val="20"/>
          <w:szCs w:val="20"/>
        </w:rPr>
        <w:t>têm</w:t>
      </w:r>
      <w:r w:rsidRPr="00C62DF2">
        <w:rPr>
          <w:rFonts w:ascii="Cambria" w:hAnsi="Cambria"/>
          <w:bCs/>
          <w:sz w:val="20"/>
          <w:szCs w:val="20"/>
        </w:rPr>
        <w:t xml:space="preserve"> melhores condições para resolvê-las com eficácia, autonomia e independência. Neste sentido, os Estados devem estabelecer salvaguardas para que as autoridades competentes possam operar sem estar submetidas ao âmbito de influência do funcionário público supostamente envolvid</w:t>
      </w:r>
      <w:r w:rsidR="005E1E7B" w:rsidRPr="00C62DF2">
        <w:rPr>
          <w:rFonts w:ascii="Cambria" w:hAnsi="Cambria"/>
          <w:bCs/>
          <w:sz w:val="20"/>
          <w:szCs w:val="20"/>
        </w:rPr>
        <w:t>o</w:t>
      </w:r>
      <w:r w:rsidRPr="00C62DF2">
        <w:rPr>
          <w:rFonts w:ascii="Cambria" w:hAnsi="Cambria"/>
          <w:bCs/>
          <w:sz w:val="20"/>
          <w:szCs w:val="20"/>
        </w:rPr>
        <w:t xml:space="preserve"> no crime e</w:t>
      </w:r>
      <w:r w:rsidR="005E1E7B" w:rsidRPr="00C62DF2">
        <w:rPr>
          <w:rFonts w:ascii="Cambria" w:hAnsi="Cambria"/>
          <w:bCs/>
          <w:sz w:val="20"/>
          <w:szCs w:val="20"/>
        </w:rPr>
        <w:t>,</w:t>
      </w:r>
      <w:r w:rsidRPr="00C62DF2">
        <w:rPr>
          <w:rFonts w:ascii="Cambria" w:hAnsi="Cambria"/>
          <w:bCs/>
          <w:sz w:val="20"/>
          <w:szCs w:val="20"/>
        </w:rPr>
        <w:t xml:space="preserve"> por sua vez, garantir que </w:t>
      </w:r>
      <w:r w:rsidR="005E1E7B" w:rsidRPr="00C62DF2">
        <w:rPr>
          <w:rFonts w:ascii="Cambria" w:hAnsi="Cambria"/>
          <w:bCs/>
          <w:sz w:val="20"/>
          <w:szCs w:val="20"/>
        </w:rPr>
        <w:t xml:space="preserve">as </w:t>
      </w:r>
      <w:r w:rsidRPr="00C62DF2">
        <w:rPr>
          <w:rFonts w:ascii="Cambria" w:hAnsi="Cambria"/>
          <w:bCs/>
          <w:sz w:val="20"/>
          <w:szCs w:val="20"/>
        </w:rPr>
        <w:t>testemunhas e familiares da vítima participem dos processos sem medo de sofrer represálias.</w:t>
      </w:r>
      <w:r w:rsidRPr="00C62DF2">
        <w:rPr>
          <w:rStyle w:val="FootnoteReference"/>
          <w:rFonts w:ascii="Cambria" w:hAnsi="Cambria"/>
          <w:bCs/>
          <w:sz w:val="20"/>
          <w:szCs w:val="20"/>
        </w:rPr>
        <w:footnoteReference w:id="185"/>
      </w:r>
    </w:p>
    <w:p w14:paraId="1FC29EFF" w14:textId="77777777" w:rsidR="008C3011" w:rsidRPr="00C62DF2" w:rsidRDefault="008C3011" w:rsidP="00FC0CB6">
      <w:pPr>
        <w:pStyle w:val="ListParagraph"/>
        <w:ind w:firstLine="0"/>
        <w:rPr>
          <w:sz w:val="20"/>
          <w:szCs w:val="20"/>
          <w:lang w:val="pt-BR"/>
        </w:rPr>
      </w:pPr>
    </w:p>
    <w:p w14:paraId="085A5210" w14:textId="5F6EE845"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Sobre este </w:t>
      </w:r>
      <w:r w:rsidR="005E1E7B" w:rsidRPr="00C62DF2">
        <w:rPr>
          <w:rFonts w:ascii="Cambria" w:hAnsi="Cambria"/>
          <w:sz w:val="20"/>
          <w:szCs w:val="20"/>
        </w:rPr>
        <w:t>tema</w:t>
      </w:r>
      <w:r w:rsidRPr="00C62DF2">
        <w:rPr>
          <w:rFonts w:ascii="Cambria" w:hAnsi="Cambria"/>
          <w:sz w:val="20"/>
          <w:szCs w:val="20"/>
        </w:rPr>
        <w:t>, a CIDH reitera, que, e</w:t>
      </w:r>
      <w:r w:rsidR="005E1E7B" w:rsidRPr="00C62DF2">
        <w:rPr>
          <w:rFonts w:ascii="Cambria" w:hAnsi="Cambria"/>
          <w:sz w:val="20"/>
          <w:szCs w:val="20"/>
        </w:rPr>
        <w:t>m</w:t>
      </w:r>
      <w:r w:rsidRPr="00C62DF2">
        <w:rPr>
          <w:rFonts w:ascii="Cambria" w:hAnsi="Cambria"/>
          <w:sz w:val="20"/>
          <w:szCs w:val="20"/>
        </w:rPr>
        <w:t xml:space="preserve"> conformidade com a doutrina e jurisprudência constante dos órgãos do sistema interamericano de proteção d</w:t>
      </w:r>
      <w:r w:rsidR="005E1E7B" w:rsidRPr="00C62DF2">
        <w:rPr>
          <w:rFonts w:ascii="Cambria" w:hAnsi="Cambria"/>
          <w:sz w:val="20"/>
          <w:szCs w:val="20"/>
        </w:rPr>
        <w:t>os</w:t>
      </w:r>
      <w:r w:rsidRPr="00C62DF2">
        <w:rPr>
          <w:rFonts w:ascii="Cambria" w:hAnsi="Cambria"/>
          <w:sz w:val="20"/>
          <w:szCs w:val="20"/>
        </w:rPr>
        <w:t xml:space="preserve"> direitos humanos, além de apresentar problemas graves para que a administração de justiça seja imparcial e</w:t>
      </w:r>
      <w:r w:rsidRPr="00C62DF2">
        <w:rPr>
          <w:rFonts w:ascii="Cambria" w:hAnsi="Cambria" w:cs="Arial"/>
          <w:sz w:val="20"/>
          <w:szCs w:val="20"/>
        </w:rPr>
        <w:t xml:space="preserve"> </w:t>
      </w:r>
      <w:r w:rsidRPr="00C62DF2">
        <w:rPr>
          <w:rFonts w:ascii="Cambria" w:hAnsi="Cambria"/>
          <w:sz w:val="20"/>
          <w:szCs w:val="20"/>
        </w:rPr>
        <w:t>independente,</w:t>
      </w:r>
      <w:r w:rsidRPr="00C62DF2">
        <w:rPr>
          <w:rStyle w:val="FootnoteReference"/>
          <w:rFonts w:ascii="Cambria" w:hAnsi="Cambria"/>
          <w:sz w:val="20"/>
          <w:szCs w:val="20"/>
        </w:rPr>
        <w:footnoteReference w:id="186"/>
      </w:r>
      <w:r w:rsidRPr="00C62DF2">
        <w:rPr>
          <w:rFonts w:ascii="Cambria" w:hAnsi="Cambria"/>
          <w:sz w:val="20"/>
          <w:szCs w:val="20"/>
        </w:rPr>
        <w:t xml:space="preserve"> a jurisdição penal militar não é o fórum competente para investigar e, </w:t>
      </w:r>
      <w:r w:rsidR="005E1E7B" w:rsidRPr="00C62DF2">
        <w:rPr>
          <w:rFonts w:ascii="Cambria" w:hAnsi="Cambria"/>
          <w:sz w:val="20"/>
          <w:szCs w:val="20"/>
        </w:rPr>
        <w:t>se for o</w:t>
      </w:r>
      <w:r w:rsidRPr="00C62DF2">
        <w:rPr>
          <w:rFonts w:ascii="Cambria" w:hAnsi="Cambria"/>
          <w:sz w:val="20"/>
          <w:szCs w:val="20"/>
        </w:rPr>
        <w:t xml:space="preserve"> caso, julgar e </w:t>
      </w:r>
      <w:r w:rsidR="005E1E7B" w:rsidRPr="00C62DF2">
        <w:rPr>
          <w:rFonts w:ascii="Cambria" w:hAnsi="Cambria"/>
          <w:sz w:val="20"/>
          <w:szCs w:val="20"/>
        </w:rPr>
        <w:t>punir</w:t>
      </w:r>
      <w:r w:rsidRPr="00C62DF2">
        <w:rPr>
          <w:rFonts w:ascii="Cambria" w:hAnsi="Cambria"/>
          <w:sz w:val="20"/>
          <w:szCs w:val="20"/>
        </w:rPr>
        <w:t xml:space="preserve"> os autores de violações de direitos humanos.</w:t>
      </w:r>
      <w:r w:rsidRPr="00C62DF2">
        <w:rPr>
          <w:rStyle w:val="FootnoteReference"/>
          <w:rFonts w:ascii="Cambria" w:hAnsi="Cambria"/>
          <w:sz w:val="20"/>
          <w:szCs w:val="20"/>
        </w:rPr>
        <w:footnoteReference w:id="187"/>
      </w:r>
      <w:r w:rsidRPr="00C62DF2">
        <w:rPr>
          <w:rFonts w:ascii="Cambria" w:hAnsi="Cambria" w:cs="Arial"/>
          <w:sz w:val="20"/>
          <w:szCs w:val="20"/>
        </w:rPr>
        <w:t xml:space="preserve"> De fato, a CIDH destacou que a jurisdição militar deve ser aplicada unicamente quando se atente contra bens jurídicos penais castrenses, </w:t>
      </w:r>
      <w:r w:rsidR="005E1E7B" w:rsidRPr="00C62DF2">
        <w:rPr>
          <w:rFonts w:ascii="Cambria" w:hAnsi="Cambria" w:cs="Arial"/>
          <w:sz w:val="20"/>
          <w:szCs w:val="20"/>
        </w:rPr>
        <w:t>por</w:t>
      </w:r>
      <w:r w:rsidRPr="00C62DF2">
        <w:rPr>
          <w:rFonts w:ascii="Cambria" w:hAnsi="Cambria" w:cs="Arial"/>
          <w:sz w:val="20"/>
          <w:szCs w:val="20"/>
        </w:rPr>
        <w:t xml:space="preserve"> ocasião das particulares funções de defesa e segurança do Estado, e nunca para investigar violações de direitos humanos.</w:t>
      </w:r>
      <w:r w:rsidRPr="00C62DF2">
        <w:rPr>
          <w:rStyle w:val="FootnoteReference"/>
          <w:rFonts w:ascii="Cambria" w:hAnsi="Cambria" w:cs="Arial"/>
          <w:sz w:val="20"/>
          <w:szCs w:val="20"/>
        </w:rPr>
        <w:footnoteReference w:id="188"/>
      </w:r>
      <w:r w:rsidRPr="00C62DF2">
        <w:rPr>
          <w:rFonts w:ascii="Cambria" w:hAnsi="Cambria" w:cs="Arial"/>
          <w:sz w:val="20"/>
          <w:szCs w:val="20"/>
        </w:rPr>
        <w:t xml:space="preserve"> </w:t>
      </w:r>
    </w:p>
    <w:p w14:paraId="0C0AF6D9" w14:textId="77777777" w:rsidR="008C3011" w:rsidRPr="00C62DF2" w:rsidRDefault="008C3011" w:rsidP="00FC0CB6">
      <w:pPr>
        <w:pStyle w:val="ListParagraph"/>
        <w:ind w:firstLine="0"/>
        <w:rPr>
          <w:rFonts w:cs="Arial"/>
          <w:sz w:val="20"/>
          <w:szCs w:val="20"/>
          <w:lang w:val="pt-BR"/>
        </w:rPr>
      </w:pPr>
    </w:p>
    <w:p w14:paraId="1BAC9DCE" w14:textId="179E6C25"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cs="Arial"/>
          <w:sz w:val="20"/>
          <w:szCs w:val="20"/>
        </w:rPr>
        <w:t xml:space="preserve">Em suas sentenças </w:t>
      </w:r>
      <w:r w:rsidR="005E1E7B" w:rsidRPr="00C62DF2">
        <w:rPr>
          <w:rFonts w:ascii="Cambria" w:hAnsi="Cambria" w:cs="Arial"/>
          <w:sz w:val="20"/>
          <w:szCs w:val="20"/>
        </w:rPr>
        <w:t>n</w:t>
      </w:r>
      <w:r w:rsidRPr="00C62DF2">
        <w:rPr>
          <w:rFonts w:ascii="Cambria" w:hAnsi="Cambria" w:cs="Arial"/>
          <w:sz w:val="20"/>
          <w:szCs w:val="20"/>
        </w:rPr>
        <w:t xml:space="preserve">os casos </w:t>
      </w:r>
      <w:r w:rsidRPr="00C62DF2">
        <w:rPr>
          <w:rFonts w:ascii="Cambria" w:hAnsi="Cambria" w:cs="Arial"/>
          <w:iCs/>
          <w:sz w:val="20"/>
          <w:szCs w:val="20"/>
        </w:rPr>
        <w:t>Gomes Lund e outros (“Guerrilha do Araguaia”) vs. Brasil e Herzog e outros vs. Brasil</w:t>
      </w:r>
      <w:r w:rsidRPr="00C62DF2">
        <w:rPr>
          <w:rFonts w:ascii="Cambria" w:hAnsi="Cambria" w:cs="Arial"/>
          <w:sz w:val="20"/>
          <w:szCs w:val="20"/>
        </w:rPr>
        <w:t xml:space="preserve">, a Corte Interamericana ordenou </w:t>
      </w:r>
      <w:r w:rsidR="005E1E7B" w:rsidRPr="00C62DF2">
        <w:rPr>
          <w:rFonts w:ascii="Cambria" w:hAnsi="Cambria" w:cs="Arial"/>
          <w:sz w:val="20"/>
          <w:szCs w:val="20"/>
        </w:rPr>
        <w:t xml:space="preserve">que </w:t>
      </w:r>
      <w:r w:rsidRPr="00C62DF2">
        <w:rPr>
          <w:rFonts w:ascii="Cambria" w:hAnsi="Cambria" w:cs="Arial"/>
          <w:sz w:val="20"/>
          <w:szCs w:val="20"/>
        </w:rPr>
        <w:t>o Estado garanti</w:t>
      </w:r>
      <w:r w:rsidR="005E1E7B" w:rsidRPr="00C62DF2">
        <w:rPr>
          <w:rFonts w:ascii="Cambria" w:hAnsi="Cambria" w:cs="Arial"/>
          <w:sz w:val="20"/>
          <w:szCs w:val="20"/>
        </w:rPr>
        <w:t>sse</w:t>
      </w:r>
      <w:r w:rsidRPr="00C62DF2">
        <w:rPr>
          <w:rFonts w:ascii="Cambria" w:hAnsi="Cambria" w:cs="Arial"/>
          <w:sz w:val="20"/>
          <w:szCs w:val="20"/>
        </w:rPr>
        <w:t xml:space="preserve"> que as </w:t>
      </w:r>
      <w:r w:rsidR="005E1E7B" w:rsidRPr="00C62DF2">
        <w:rPr>
          <w:rFonts w:ascii="Cambria" w:hAnsi="Cambria" w:cs="Arial"/>
          <w:sz w:val="20"/>
          <w:szCs w:val="20"/>
        </w:rPr>
        <w:t>ações</w:t>
      </w:r>
      <w:r w:rsidRPr="00C62DF2">
        <w:rPr>
          <w:rFonts w:ascii="Cambria" w:hAnsi="Cambria" w:cs="Arial"/>
          <w:sz w:val="20"/>
          <w:szCs w:val="20"/>
        </w:rPr>
        <w:t xml:space="preserve"> penais inici</w:t>
      </w:r>
      <w:r w:rsidR="005E1E7B" w:rsidRPr="00C62DF2">
        <w:rPr>
          <w:rFonts w:ascii="Cambria" w:hAnsi="Cambria" w:cs="Arial"/>
          <w:sz w:val="20"/>
          <w:szCs w:val="20"/>
        </w:rPr>
        <w:t>adas</w:t>
      </w:r>
      <w:r w:rsidRPr="00C62DF2">
        <w:rPr>
          <w:rFonts w:ascii="Cambria" w:hAnsi="Cambria" w:cs="Arial"/>
          <w:sz w:val="20"/>
          <w:szCs w:val="20"/>
        </w:rPr>
        <w:t xml:space="preserve"> pelos fatos desse</w:t>
      </w:r>
      <w:r w:rsidR="005E1E7B" w:rsidRPr="00C62DF2">
        <w:rPr>
          <w:rFonts w:ascii="Cambria" w:hAnsi="Cambria" w:cs="Arial"/>
          <w:sz w:val="20"/>
          <w:szCs w:val="20"/>
        </w:rPr>
        <w:t>s</w:t>
      </w:r>
      <w:r w:rsidRPr="00C62DF2">
        <w:rPr>
          <w:rFonts w:ascii="Cambria" w:hAnsi="Cambria" w:cs="Arial"/>
          <w:sz w:val="20"/>
          <w:szCs w:val="20"/>
        </w:rPr>
        <w:t xml:space="preserve"> caso</w:t>
      </w:r>
      <w:r w:rsidR="005E1E7B" w:rsidRPr="00C62DF2">
        <w:rPr>
          <w:rFonts w:ascii="Cambria" w:hAnsi="Cambria" w:cs="Arial"/>
          <w:sz w:val="20"/>
          <w:szCs w:val="20"/>
        </w:rPr>
        <w:t>s</w:t>
      </w:r>
      <w:r w:rsidRPr="00C62DF2">
        <w:rPr>
          <w:rFonts w:ascii="Cambria" w:hAnsi="Cambria" w:cs="Arial"/>
          <w:sz w:val="20"/>
          <w:szCs w:val="20"/>
        </w:rPr>
        <w:t xml:space="preserve">, os quais ocorreram durante o regime militar da mesma forma que o presente, contra </w:t>
      </w:r>
      <w:r w:rsidRPr="00C62DF2">
        <w:rPr>
          <w:rFonts w:ascii="Cambria" w:hAnsi="Cambria" w:cs="Arial"/>
          <w:sz w:val="20"/>
          <w:szCs w:val="20"/>
        </w:rPr>
        <w:lastRenderedPageBreak/>
        <w:t>supostos responsáveis que sejam ou tenham sido funcionários militares, tramit</w:t>
      </w:r>
      <w:r w:rsidR="005E1E7B" w:rsidRPr="00C62DF2">
        <w:rPr>
          <w:rFonts w:ascii="Cambria" w:hAnsi="Cambria" w:cs="Arial"/>
          <w:sz w:val="20"/>
          <w:szCs w:val="20"/>
        </w:rPr>
        <w:t>ass</w:t>
      </w:r>
      <w:r w:rsidRPr="00C62DF2">
        <w:rPr>
          <w:rFonts w:ascii="Cambria" w:hAnsi="Cambria" w:cs="Arial"/>
          <w:sz w:val="20"/>
          <w:szCs w:val="20"/>
        </w:rPr>
        <w:t xml:space="preserve">em </w:t>
      </w:r>
      <w:r w:rsidR="005E1E7B" w:rsidRPr="00C62DF2">
        <w:rPr>
          <w:rFonts w:ascii="Cambria" w:hAnsi="Cambria" w:cs="Arial"/>
          <w:sz w:val="20"/>
          <w:szCs w:val="20"/>
        </w:rPr>
        <w:t>n</w:t>
      </w:r>
      <w:r w:rsidRPr="00C62DF2">
        <w:rPr>
          <w:rFonts w:ascii="Cambria" w:hAnsi="Cambria" w:cs="Arial"/>
          <w:sz w:val="20"/>
          <w:szCs w:val="20"/>
        </w:rPr>
        <w:t>a jurisdição ordinária e não no fórum militar.</w:t>
      </w:r>
      <w:r w:rsidRPr="00C62DF2">
        <w:rPr>
          <w:rStyle w:val="FootnoteReference"/>
          <w:rFonts w:ascii="Cambria" w:hAnsi="Cambria" w:cs="Arial"/>
          <w:sz w:val="20"/>
          <w:szCs w:val="20"/>
        </w:rPr>
        <w:footnoteReference w:id="189"/>
      </w:r>
    </w:p>
    <w:p w14:paraId="482E9970" w14:textId="77777777" w:rsidR="008C3011" w:rsidRPr="00C62DF2" w:rsidRDefault="008C3011" w:rsidP="00FC0CB6">
      <w:pPr>
        <w:pStyle w:val="ListParagraph"/>
        <w:ind w:firstLine="0"/>
        <w:rPr>
          <w:rFonts w:cs="Arial"/>
          <w:sz w:val="20"/>
          <w:szCs w:val="20"/>
          <w:lang w:val="pt-BR"/>
        </w:rPr>
      </w:pPr>
    </w:p>
    <w:p w14:paraId="3EC140F8" w14:textId="065F58B7"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cs="Arial"/>
          <w:sz w:val="20"/>
          <w:szCs w:val="20"/>
        </w:rPr>
        <w:t>Nesse sentido, a Comissão manteve de maneira constante que “o sistema de justiça penal militar tem certas características particulares que impedem o acesso a um recurso judicial efetivo e imparcial nesta jurisdição. Uma delas é que o fórum militar não pode ser considerado como um verdadeiro sistema judicial, já que não faz parte do Poder Judici</w:t>
      </w:r>
      <w:r w:rsidR="000C137A" w:rsidRPr="00C62DF2">
        <w:rPr>
          <w:rFonts w:ascii="Cambria" w:hAnsi="Cambria" w:cs="Arial"/>
          <w:sz w:val="20"/>
          <w:szCs w:val="20"/>
        </w:rPr>
        <w:t>ário</w:t>
      </w:r>
      <w:r w:rsidRPr="00C62DF2">
        <w:rPr>
          <w:rFonts w:ascii="Cambria" w:hAnsi="Cambria" w:cs="Arial"/>
          <w:sz w:val="20"/>
          <w:szCs w:val="20"/>
        </w:rPr>
        <w:t>, mas depende do Poder Executivo. Outro aspecto consiste em que os juízes do sistema judicial militar em geral são membros do Exército em serviço ativo, o que os coloca em posição de julgar seus companheiros de armas, tornando ilusório o requisito de imparcialidade, já que os membros do Exército com frequência se sentem obrigados a proteger quem combate junto a eles num contexto difícil e perigoso.”</w:t>
      </w:r>
      <w:r w:rsidRPr="00C62DF2">
        <w:rPr>
          <w:rStyle w:val="FootnoteReference"/>
          <w:rFonts w:ascii="Cambria" w:hAnsi="Cambria" w:cs="Arial"/>
          <w:sz w:val="20"/>
          <w:szCs w:val="20"/>
        </w:rPr>
        <w:footnoteReference w:id="190"/>
      </w:r>
    </w:p>
    <w:p w14:paraId="16E6376C" w14:textId="77777777" w:rsidR="008C3011" w:rsidRPr="00C62DF2" w:rsidRDefault="008C3011" w:rsidP="00FC0CB6">
      <w:pPr>
        <w:pStyle w:val="ListParagraph"/>
        <w:ind w:firstLine="0"/>
        <w:rPr>
          <w:sz w:val="20"/>
          <w:szCs w:val="20"/>
          <w:lang w:val="pt-BR"/>
        </w:rPr>
      </w:pPr>
    </w:p>
    <w:p w14:paraId="18E8EF19" w14:textId="08C0ACC4"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sz w:val="20"/>
          <w:szCs w:val="20"/>
        </w:rPr>
        <w:t>Esta investigação deve ser realizada através de todos os meios legais disponíveis para a determinação da verdade e a investigação, ju</w:t>
      </w:r>
      <w:r w:rsidR="00E35671" w:rsidRPr="00C62DF2">
        <w:rPr>
          <w:rFonts w:ascii="Cambria" w:hAnsi="Cambria"/>
          <w:sz w:val="20"/>
          <w:szCs w:val="20"/>
        </w:rPr>
        <w:t>lg</w:t>
      </w:r>
      <w:r w:rsidRPr="00C62DF2">
        <w:rPr>
          <w:rFonts w:ascii="Cambria" w:hAnsi="Cambria"/>
          <w:sz w:val="20"/>
          <w:szCs w:val="20"/>
        </w:rPr>
        <w:t xml:space="preserve">amento e </w:t>
      </w:r>
      <w:r w:rsidR="00E35671" w:rsidRPr="00C62DF2">
        <w:rPr>
          <w:rFonts w:ascii="Cambria" w:hAnsi="Cambria"/>
          <w:sz w:val="20"/>
          <w:szCs w:val="20"/>
        </w:rPr>
        <w:t>punição</w:t>
      </w:r>
      <w:r w:rsidRPr="00C62DF2">
        <w:rPr>
          <w:rFonts w:ascii="Cambria" w:hAnsi="Cambria"/>
          <w:sz w:val="20"/>
          <w:szCs w:val="20"/>
        </w:rPr>
        <w:t xml:space="preserve"> de todos os responsáveis pelos fatos. </w:t>
      </w:r>
      <w:r w:rsidR="00E35671" w:rsidRPr="00C62DF2">
        <w:rPr>
          <w:rFonts w:ascii="Cambria" w:hAnsi="Cambria"/>
          <w:sz w:val="20"/>
          <w:szCs w:val="20"/>
        </w:rPr>
        <w:t xml:space="preserve">Embora </w:t>
      </w:r>
      <w:r w:rsidRPr="00C62DF2">
        <w:rPr>
          <w:rFonts w:ascii="Cambria" w:hAnsi="Cambria"/>
          <w:sz w:val="20"/>
          <w:szCs w:val="20"/>
        </w:rPr>
        <w:t>se trat</w:t>
      </w:r>
      <w:r w:rsidR="00E35671" w:rsidRPr="00C62DF2">
        <w:rPr>
          <w:rFonts w:ascii="Cambria" w:hAnsi="Cambria"/>
          <w:sz w:val="20"/>
          <w:szCs w:val="20"/>
        </w:rPr>
        <w:t>e</w:t>
      </w:r>
      <w:r w:rsidRPr="00C62DF2">
        <w:rPr>
          <w:rFonts w:ascii="Cambria" w:hAnsi="Cambria"/>
          <w:sz w:val="20"/>
          <w:szCs w:val="20"/>
        </w:rPr>
        <w:t xml:space="preserve"> de uma obrigação de meios, e não de resultados, o dever de investigar deve ser assumido pelo Estado como um dever jurídico próprio.</w:t>
      </w:r>
      <w:r w:rsidRPr="00C62DF2">
        <w:rPr>
          <w:rStyle w:val="FootnoteReference"/>
          <w:rFonts w:ascii="Cambria" w:hAnsi="Cambria"/>
          <w:sz w:val="20"/>
          <w:szCs w:val="20"/>
        </w:rPr>
        <w:footnoteReference w:id="191"/>
      </w:r>
      <w:r w:rsidRPr="00C62DF2">
        <w:rPr>
          <w:rFonts w:ascii="Cambria" w:hAnsi="Cambria"/>
          <w:sz w:val="20"/>
          <w:szCs w:val="20"/>
        </w:rPr>
        <w:t xml:space="preserve"> </w:t>
      </w:r>
      <w:r w:rsidR="00E35671" w:rsidRPr="00C62DF2">
        <w:rPr>
          <w:rFonts w:ascii="Cambria" w:hAnsi="Cambria"/>
          <w:sz w:val="20"/>
          <w:szCs w:val="20"/>
        </w:rPr>
        <w:t xml:space="preserve">Nesse </w:t>
      </w:r>
      <w:r w:rsidRPr="00C62DF2">
        <w:rPr>
          <w:rFonts w:ascii="Cambria" w:hAnsi="Cambria"/>
          <w:sz w:val="20"/>
          <w:szCs w:val="20"/>
        </w:rPr>
        <w:t>sentido, o Estado está obrigado a assegurar a obtenção de prova</w:t>
      </w:r>
      <w:r w:rsidR="00E35671" w:rsidRPr="00C62DF2">
        <w:rPr>
          <w:rFonts w:ascii="Cambria" w:hAnsi="Cambria"/>
          <w:sz w:val="20"/>
          <w:szCs w:val="20"/>
        </w:rPr>
        <w:t>s</w:t>
      </w:r>
      <w:r w:rsidRPr="00C62DF2">
        <w:rPr>
          <w:rFonts w:ascii="Cambria" w:hAnsi="Cambria"/>
          <w:sz w:val="20"/>
          <w:szCs w:val="20"/>
        </w:rPr>
        <w:t>, inclu</w:t>
      </w:r>
      <w:r w:rsidR="00E35671" w:rsidRPr="00C62DF2">
        <w:rPr>
          <w:rFonts w:ascii="Cambria" w:hAnsi="Cambria"/>
          <w:sz w:val="20"/>
          <w:szCs w:val="20"/>
        </w:rPr>
        <w:t>s</w:t>
      </w:r>
      <w:r w:rsidRPr="00C62DF2">
        <w:rPr>
          <w:rFonts w:ascii="Cambria" w:hAnsi="Cambria"/>
          <w:sz w:val="20"/>
          <w:szCs w:val="20"/>
        </w:rPr>
        <w:t>i</w:t>
      </w:r>
      <w:r w:rsidR="00E35671" w:rsidRPr="00C62DF2">
        <w:rPr>
          <w:rFonts w:ascii="Cambria" w:hAnsi="Cambria"/>
          <w:sz w:val="20"/>
          <w:szCs w:val="20"/>
        </w:rPr>
        <w:t>ve</w:t>
      </w:r>
      <w:r w:rsidRPr="00C62DF2">
        <w:rPr>
          <w:rFonts w:ascii="Cambria" w:hAnsi="Cambria"/>
          <w:sz w:val="20"/>
          <w:szCs w:val="20"/>
        </w:rPr>
        <w:t>, entre outr</w:t>
      </w:r>
      <w:r w:rsidR="00E35671" w:rsidRPr="00C62DF2">
        <w:rPr>
          <w:rFonts w:ascii="Cambria" w:hAnsi="Cambria"/>
          <w:sz w:val="20"/>
          <w:szCs w:val="20"/>
        </w:rPr>
        <w:t>a</w:t>
      </w:r>
      <w:r w:rsidRPr="00C62DF2">
        <w:rPr>
          <w:rFonts w:ascii="Cambria" w:hAnsi="Cambria"/>
          <w:sz w:val="20"/>
          <w:szCs w:val="20"/>
        </w:rPr>
        <w:t xml:space="preserve">s, declarações de testemunhas, provas forenses e, </w:t>
      </w:r>
      <w:r w:rsidR="00E35671" w:rsidRPr="00C62DF2">
        <w:rPr>
          <w:rFonts w:ascii="Cambria" w:hAnsi="Cambria"/>
          <w:sz w:val="20"/>
          <w:szCs w:val="20"/>
        </w:rPr>
        <w:t>se for o</w:t>
      </w:r>
      <w:r w:rsidRPr="00C62DF2">
        <w:rPr>
          <w:rFonts w:ascii="Cambria" w:hAnsi="Cambria"/>
          <w:sz w:val="20"/>
          <w:szCs w:val="20"/>
        </w:rPr>
        <w:t xml:space="preserve"> caso, uma autópsia que proporcione um registro completo e preciso da</w:t>
      </w:r>
      <w:r w:rsidR="00E35671" w:rsidRPr="00C62DF2">
        <w:rPr>
          <w:rFonts w:ascii="Cambria" w:hAnsi="Cambria"/>
          <w:sz w:val="20"/>
          <w:szCs w:val="20"/>
        </w:rPr>
        <w:t>s</w:t>
      </w:r>
      <w:r w:rsidRPr="00C62DF2">
        <w:rPr>
          <w:rFonts w:ascii="Cambria" w:hAnsi="Cambria"/>
          <w:sz w:val="20"/>
          <w:szCs w:val="20"/>
        </w:rPr>
        <w:t xml:space="preserve"> les</w:t>
      </w:r>
      <w:r w:rsidR="00E35671" w:rsidRPr="00C62DF2">
        <w:rPr>
          <w:rFonts w:ascii="Cambria" w:hAnsi="Cambria"/>
          <w:sz w:val="20"/>
          <w:szCs w:val="20"/>
        </w:rPr>
        <w:t>ões</w:t>
      </w:r>
      <w:r w:rsidRPr="00C62DF2">
        <w:rPr>
          <w:rFonts w:ascii="Cambria" w:hAnsi="Cambria"/>
          <w:sz w:val="20"/>
          <w:szCs w:val="20"/>
        </w:rPr>
        <w:t xml:space="preserve"> e uma análise médica objetiva das </w:t>
      </w:r>
      <w:r w:rsidR="00E35671" w:rsidRPr="00C62DF2">
        <w:rPr>
          <w:rFonts w:ascii="Cambria" w:hAnsi="Cambria"/>
          <w:sz w:val="20"/>
          <w:szCs w:val="20"/>
        </w:rPr>
        <w:t>conclusões</w:t>
      </w:r>
      <w:r w:rsidRPr="00C62DF2">
        <w:rPr>
          <w:rFonts w:ascii="Cambria" w:hAnsi="Cambria"/>
          <w:sz w:val="20"/>
          <w:szCs w:val="20"/>
        </w:rPr>
        <w:t>, entre elas a causa da morte.</w:t>
      </w:r>
      <w:r w:rsidRPr="00C62DF2">
        <w:rPr>
          <w:rStyle w:val="FootnoteReference"/>
          <w:rFonts w:ascii="Cambria" w:hAnsi="Cambria"/>
          <w:sz w:val="20"/>
          <w:szCs w:val="20"/>
        </w:rPr>
        <w:footnoteReference w:id="192"/>
      </w:r>
      <w:r w:rsidRPr="00C62DF2">
        <w:rPr>
          <w:rFonts w:ascii="Cambria" w:hAnsi="Cambria"/>
          <w:sz w:val="20"/>
          <w:szCs w:val="20"/>
        </w:rPr>
        <w:t xml:space="preserve"> </w:t>
      </w:r>
    </w:p>
    <w:p w14:paraId="3B2942C9" w14:textId="77777777" w:rsidR="008C3011" w:rsidRPr="00C62DF2" w:rsidRDefault="008C3011" w:rsidP="00FC0CB6">
      <w:pPr>
        <w:pStyle w:val="ListParagraph"/>
        <w:ind w:firstLine="0"/>
        <w:rPr>
          <w:sz w:val="20"/>
          <w:szCs w:val="20"/>
          <w:lang w:val="pt-BR"/>
        </w:rPr>
      </w:pPr>
    </w:p>
    <w:p w14:paraId="38F3F568" w14:textId="358D987F"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sz w:val="20"/>
          <w:szCs w:val="20"/>
        </w:rPr>
        <w:t>O Estado também deve garantir a independência do pessoal médico e de saúde encarregado de maneira que possam praticar livremente as avaliações médicas necessárias, respeitando as normas estabelecidas na prática de sua profissão.</w:t>
      </w:r>
      <w:r w:rsidRPr="00C62DF2">
        <w:rPr>
          <w:rStyle w:val="FootnoteReference"/>
          <w:rFonts w:ascii="Cambria" w:hAnsi="Cambria"/>
          <w:sz w:val="20"/>
          <w:szCs w:val="20"/>
        </w:rPr>
        <w:footnoteReference w:id="193"/>
      </w:r>
      <w:r w:rsidRPr="00C62DF2">
        <w:rPr>
          <w:rFonts w:ascii="Cambria" w:hAnsi="Cambria"/>
          <w:sz w:val="20"/>
          <w:szCs w:val="20"/>
        </w:rPr>
        <w:t xml:space="preserve"> Neste</w:t>
      </w:r>
      <w:r w:rsidRPr="00C62DF2">
        <w:rPr>
          <w:rFonts w:ascii="Cambria" w:hAnsi="Cambria"/>
          <w:bCs/>
          <w:sz w:val="20"/>
          <w:szCs w:val="20"/>
        </w:rPr>
        <w:t xml:space="preserve"> sentido, a Comissão observa que </w:t>
      </w:r>
      <w:r w:rsidR="00AD5FD9" w:rsidRPr="00C62DF2">
        <w:rPr>
          <w:rFonts w:ascii="Cambria" w:hAnsi="Cambria"/>
          <w:bCs/>
          <w:sz w:val="20"/>
          <w:szCs w:val="20"/>
        </w:rPr>
        <w:t>a</w:t>
      </w:r>
      <w:r w:rsidRPr="00C62DF2">
        <w:rPr>
          <w:rFonts w:ascii="Cambria" w:hAnsi="Cambria"/>
          <w:bCs/>
          <w:sz w:val="20"/>
          <w:szCs w:val="20"/>
        </w:rPr>
        <w:t xml:space="preserve"> eficácia da investigação também depende de que se ofereça proteção adequada </w:t>
      </w:r>
      <w:r w:rsidR="00AD5FD9" w:rsidRPr="00C62DF2">
        <w:rPr>
          <w:rFonts w:ascii="Cambria" w:hAnsi="Cambria"/>
          <w:bCs/>
          <w:sz w:val="20"/>
          <w:szCs w:val="20"/>
        </w:rPr>
        <w:t>contr</w:t>
      </w:r>
      <w:r w:rsidRPr="00C62DF2">
        <w:rPr>
          <w:rFonts w:ascii="Cambria" w:hAnsi="Cambria"/>
          <w:bCs/>
          <w:sz w:val="20"/>
          <w:szCs w:val="20"/>
        </w:rPr>
        <w:t>a ameaças, pressões ou represálias a testemunhas</w:t>
      </w:r>
      <w:r w:rsidR="00AD5FD9" w:rsidRPr="00C62DF2">
        <w:rPr>
          <w:rFonts w:ascii="Cambria" w:hAnsi="Cambria"/>
          <w:bCs/>
          <w:sz w:val="20"/>
          <w:szCs w:val="20"/>
        </w:rPr>
        <w:t>,</w:t>
      </w:r>
      <w:r w:rsidRPr="00C62DF2">
        <w:rPr>
          <w:rStyle w:val="FootnoteReference"/>
          <w:rFonts w:ascii="Cambria" w:hAnsi="Cambria"/>
          <w:bCs/>
          <w:sz w:val="20"/>
          <w:szCs w:val="20"/>
        </w:rPr>
        <w:footnoteReference w:id="194"/>
      </w:r>
      <w:r w:rsidRPr="00C62DF2">
        <w:rPr>
          <w:rFonts w:ascii="Cambria" w:hAnsi="Cambria"/>
          <w:bCs/>
          <w:sz w:val="20"/>
          <w:szCs w:val="20"/>
        </w:rPr>
        <w:t xml:space="preserve"> particularmente </w:t>
      </w:r>
      <w:r w:rsidR="00AD5FD9" w:rsidRPr="00C62DF2">
        <w:rPr>
          <w:rFonts w:ascii="Cambria" w:hAnsi="Cambria"/>
          <w:bCs/>
          <w:sz w:val="20"/>
          <w:szCs w:val="20"/>
        </w:rPr>
        <w:t xml:space="preserve">no caso </w:t>
      </w:r>
      <w:r w:rsidRPr="00C62DF2">
        <w:rPr>
          <w:rFonts w:ascii="Cambria" w:hAnsi="Cambria"/>
          <w:bCs/>
          <w:sz w:val="20"/>
          <w:szCs w:val="20"/>
        </w:rPr>
        <w:t xml:space="preserve">de pessoas que também se encontram detidas. </w:t>
      </w:r>
      <w:r w:rsidRPr="00C62DF2">
        <w:rPr>
          <w:rFonts w:ascii="Cambria" w:hAnsi="Cambria"/>
          <w:sz w:val="20"/>
          <w:szCs w:val="20"/>
        </w:rPr>
        <w:t>Finalmente, este tipo de investigação e seus resultados devem estar submetid</w:t>
      </w:r>
      <w:r w:rsidR="00AD5FD9" w:rsidRPr="00C62DF2">
        <w:rPr>
          <w:rFonts w:ascii="Cambria" w:hAnsi="Cambria"/>
          <w:sz w:val="20"/>
          <w:szCs w:val="20"/>
        </w:rPr>
        <w:t>o</w:t>
      </w:r>
      <w:r w:rsidRPr="00C62DF2">
        <w:rPr>
          <w:rFonts w:ascii="Cambria" w:hAnsi="Cambria"/>
          <w:sz w:val="20"/>
          <w:szCs w:val="20"/>
        </w:rPr>
        <w:t>s ao escrutínio público</w:t>
      </w:r>
      <w:r w:rsidRPr="00C62DF2">
        <w:rPr>
          <w:rStyle w:val="FootnoteReference"/>
          <w:rFonts w:ascii="Cambria" w:hAnsi="Cambria"/>
          <w:sz w:val="20"/>
          <w:szCs w:val="20"/>
        </w:rPr>
        <w:footnoteReference w:id="195"/>
      </w:r>
      <w:r w:rsidRPr="00C62DF2">
        <w:rPr>
          <w:rFonts w:ascii="Cambria" w:hAnsi="Cambria"/>
          <w:sz w:val="20"/>
          <w:szCs w:val="20"/>
        </w:rPr>
        <w:t>.</w:t>
      </w:r>
    </w:p>
    <w:p w14:paraId="021A6F33" w14:textId="77777777" w:rsidR="008C3011" w:rsidRPr="00C62DF2" w:rsidRDefault="008C3011" w:rsidP="00FC0CB6">
      <w:pPr>
        <w:pStyle w:val="ListParagraph"/>
        <w:ind w:firstLine="0"/>
        <w:rPr>
          <w:sz w:val="20"/>
          <w:szCs w:val="20"/>
          <w:lang w:val="pt-BR"/>
        </w:rPr>
      </w:pPr>
    </w:p>
    <w:p w14:paraId="4B28B7E4" w14:textId="77777777" w:rsidR="008C3011" w:rsidRPr="00C62DF2" w:rsidRDefault="008C3011" w:rsidP="00FC0CB6">
      <w:pPr>
        <w:pStyle w:val="ListParagraph"/>
        <w:ind w:firstLine="0"/>
        <w:rPr>
          <w:sz w:val="20"/>
          <w:szCs w:val="20"/>
          <w:lang w:val="pt-BR"/>
        </w:rPr>
      </w:pPr>
    </w:p>
    <w:p w14:paraId="742380CA" w14:textId="2D9FE85B" w:rsidR="008C3011" w:rsidRPr="00C62DF2" w:rsidRDefault="008C3011" w:rsidP="00FC0CB6">
      <w:pPr>
        <w:pStyle w:val="Heading3"/>
        <w:numPr>
          <w:ilvl w:val="1"/>
          <w:numId w:val="37"/>
        </w:numPr>
        <w:ind w:firstLine="0"/>
        <w:rPr>
          <w:color w:val="auto"/>
          <w:lang w:val="pt-BR"/>
        </w:rPr>
      </w:pPr>
      <w:bookmarkStart w:id="30" w:name="_Toc78883131"/>
      <w:bookmarkStart w:id="31" w:name="_Toc85895014"/>
      <w:r w:rsidRPr="00C62DF2">
        <w:rPr>
          <w:color w:val="auto"/>
          <w:lang w:val="pt-BR"/>
        </w:rPr>
        <w:lastRenderedPageBreak/>
        <w:t xml:space="preserve">Análise </w:t>
      </w:r>
      <w:r w:rsidR="00AD5FD9" w:rsidRPr="00C62DF2">
        <w:rPr>
          <w:color w:val="auto"/>
          <w:lang w:val="pt-BR"/>
        </w:rPr>
        <w:t>d</w:t>
      </w:r>
      <w:r w:rsidRPr="00C62DF2">
        <w:rPr>
          <w:color w:val="auto"/>
          <w:lang w:val="pt-BR"/>
        </w:rPr>
        <w:t>o presente caso</w:t>
      </w:r>
      <w:bookmarkEnd w:id="30"/>
      <w:bookmarkEnd w:id="31"/>
    </w:p>
    <w:p w14:paraId="1110C9DC" w14:textId="77777777" w:rsidR="008C3011" w:rsidRPr="00C62DF2" w:rsidRDefault="008C3011" w:rsidP="00FC0CB6">
      <w:pPr>
        <w:rPr>
          <w:sz w:val="20"/>
          <w:szCs w:val="20"/>
        </w:rPr>
      </w:pPr>
    </w:p>
    <w:p w14:paraId="4C1CB5CB" w14:textId="3E9465B3" w:rsidR="008C3011" w:rsidRPr="00C62DF2" w:rsidRDefault="008C3011" w:rsidP="00FC0CB6">
      <w:pPr>
        <w:numPr>
          <w:ilvl w:val="0"/>
          <w:numId w:val="2"/>
        </w:numPr>
        <w:tabs>
          <w:tab w:val="left" w:pos="0"/>
        </w:tabs>
        <w:jc w:val="both"/>
        <w:rPr>
          <w:rStyle w:val="Emphasis"/>
          <w:rFonts w:ascii="Cambria" w:hAnsi="Cambria"/>
          <w:i w:val="0"/>
          <w:iCs w:val="0"/>
          <w:sz w:val="20"/>
          <w:szCs w:val="20"/>
        </w:rPr>
      </w:pPr>
      <w:r w:rsidRPr="00C62DF2">
        <w:rPr>
          <w:rFonts w:ascii="Cambria" w:hAnsi="Cambria"/>
          <w:sz w:val="20"/>
          <w:szCs w:val="20"/>
        </w:rPr>
        <w:t xml:space="preserve">A CIDH observa que a CNV reconheceu que a tortura de Eduardo Collen Leite foi denunciada </w:t>
      </w:r>
      <w:r w:rsidR="00272AFD" w:rsidRPr="00C62DF2">
        <w:rPr>
          <w:rFonts w:ascii="Cambria" w:hAnsi="Cambria"/>
          <w:sz w:val="20"/>
          <w:szCs w:val="20"/>
        </w:rPr>
        <w:t>à</w:t>
      </w:r>
      <w:r w:rsidRPr="00C62DF2">
        <w:rPr>
          <w:rStyle w:val="Emphasis"/>
          <w:rFonts w:ascii="Cambria" w:hAnsi="Cambria"/>
          <w:i w:val="0"/>
          <w:iCs w:val="0"/>
          <w:sz w:val="20"/>
          <w:szCs w:val="20"/>
        </w:rPr>
        <w:t xml:space="preserve"> 2ª Auditoria da Justiça Militar de São Paulo. A Comissão não conta com informação que indique que tais fatos foram investigados. A própria CNV pôde constatar, por meio da declaração do magistrado responsável pelas investigações na época dos fatos, que esses fatos não </w:t>
      </w:r>
      <w:r w:rsidR="00272AFD" w:rsidRPr="00C62DF2">
        <w:rPr>
          <w:rStyle w:val="Emphasis"/>
          <w:rFonts w:ascii="Cambria" w:hAnsi="Cambria"/>
          <w:i w:val="0"/>
          <w:iCs w:val="0"/>
          <w:sz w:val="20"/>
          <w:szCs w:val="20"/>
        </w:rPr>
        <w:t>fo</w:t>
      </w:r>
      <w:r w:rsidRPr="00C62DF2">
        <w:rPr>
          <w:rStyle w:val="Emphasis"/>
          <w:rFonts w:ascii="Cambria" w:hAnsi="Cambria"/>
          <w:i w:val="0"/>
          <w:iCs w:val="0"/>
          <w:sz w:val="20"/>
          <w:szCs w:val="20"/>
        </w:rPr>
        <w:t>ram investigados, pois supostamente “havia uma guerra no Brasil,” o que fazia com que os magistrados não investigassem possíveis atos de violência perpetrados pela ditadura civil</w:t>
      </w:r>
      <w:r w:rsidR="00272AFD" w:rsidRPr="00C62DF2">
        <w:rPr>
          <w:rStyle w:val="Emphasis"/>
          <w:rFonts w:ascii="Cambria" w:hAnsi="Cambria"/>
          <w:i w:val="0"/>
          <w:iCs w:val="0"/>
          <w:sz w:val="20"/>
          <w:szCs w:val="20"/>
        </w:rPr>
        <w:t>-</w:t>
      </w:r>
      <w:r w:rsidRPr="00C62DF2">
        <w:rPr>
          <w:rStyle w:val="Emphasis"/>
          <w:rFonts w:ascii="Cambria" w:hAnsi="Cambria"/>
          <w:i w:val="0"/>
          <w:iCs w:val="0"/>
          <w:sz w:val="20"/>
          <w:szCs w:val="20"/>
        </w:rPr>
        <w:t>militar</w:t>
      </w:r>
      <w:r w:rsidRPr="00C62DF2">
        <w:rPr>
          <w:rStyle w:val="Emphasis"/>
          <w:rFonts w:ascii="Cambria" w:hAnsi="Cambria"/>
          <w:sz w:val="20"/>
          <w:szCs w:val="20"/>
        </w:rPr>
        <w:t>.</w:t>
      </w:r>
    </w:p>
    <w:p w14:paraId="0477016B" w14:textId="77777777" w:rsidR="008C3011" w:rsidRPr="00C62DF2" w:rsidRDefault="008C3011" w:rsidP="00FC0CB6">
      <w:pPr>
        <w:pStyle w:val="ListParagraph"/>
        <w:ind w:firstLine="0"/>
        <w:rPr>
          <w:sz w:val="20"/>
          <w:szCs w:val="20"/>
          <w:lang w:val="pt-BR"/>
        </w:rPr>
      </w:pPr>
    </w:p>
    <w:p w14:paraId="647E2316" w14:textId="20282C08"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Por outro lado, a Comissão observa que os fatos relacionados com a morte de Eduardo Collen também foram denunciados e conhecidos pela justiça penal militar, sem que se tenha conhecimento de que foram investigados de forma diligente. Pelo contrário, a Comissão ressalta que a CNV </w:t>
      </w:r>
      <w:r w:rsidR="00601FE9" w:rsidRPr="00C62DF2">
        <w:rPr>
          <w:rFonts w:ascii="Cambria" w:hAnsi="Cambria"/>
          <w:sz w:val="20"/>
          <w:szCs w:val="20"/>
        </w:rPr>
        <w:t>assinalou</w:t>
      </w:r>
      <w:r w:rsidRPr="00C62DF2">
        <w:rPr>
          <w:rFonts w:ascii="Cambria" w:hAnsi="Cambria"/>
          <w:sz w:val="20"/>
          <w:szCs w:val="20"/>
        </w:rPr>
        <w:t xml:space="preserve"> que se procurou gerar uma versão de que a suposta vítima havia falecido em um tiroteio, sabendo-se posterior</w:t>
      </w:r>
      <w:r w:rsidR="00601FE9" w:rsidRPr="00C62DF2">
        <w:rPr>
          <w:rFonts w:ascii="Cambria" w:hAnsi="Cambria"/>
          <w:sz w:val="20"/>
          <w:szCs w:val="20"/>
        </w:rPr>
        <w:t>mente</w:t>
      </w:r>
      <w:r w:rsidRPr="00C62DF2">
        <w:rPr>
          <w:rFonts w:ascii="Cambria" w:hAnsi="Cambria"/>
          <w:sz w:val="20"/>
          <w:szCs w:val="20"/>
        </w:rPr>
        <w:t xml:space="preserve"> que existia uma ordem para executá-lo (ver supra </w:t>
      </w:r>
      <w:r w:rsidR="008417AF" w:rsidRPr="00C62DF2">
        <w:rPr>
          <w:rFonts w:ascii="Cambria" w:hAnsi="Cambria"/>
          <w:sz w:val="20"/>
          <w:szCs w:val="20"/>
        </w:rPr>
        <w:t>56-57</w:t>
      </w:r>
      <w:r w:rsidRPr="00C62DF2">
        <w:rPr>
          <w:rFonts w:ascii="Cambria" w:hAnsi="Cambria"/>
          <w:sz w:val="20"/>
          <w:szCs w:val="20"/>
        </w:rPr>
        <w:t>). Isto não foi controvertido pelo Estado d</w:t>
      </w:r>
      <w:r w:rsidR="00601FE9" w:rsidRPr="00C62DF2">
        <w:rPr>
          <w:rFonts w:ascii="Cambria" w:hAnsi="Cambria"/>
          <w:sz w:val="20"/>
          <w:szCs w:val="20"/>
        </w:rPr>
        <w:t>o</w:t>
      </w:r>
      <w:r w:rsidRPr="00C62DF2">
        <w:rPr>
          <w:rFonts w:ascii="Cambria" w:hAnsi="Cambria"/>
          <w:sz w:val="20"/>
          <w:szCs w:val="20"/>
        </w:rPr>
        <w:t xml:space="preserve"> Brasil.</w:t>
      </w:r>
    </w:p>
    <w:p w14:paraId="5614EC31" w14:textId="77777777" w:rsidR="008C3011" w:rsidRPr="00C62DF2" w:rsidRDefault="008C3011" w:rsidP="00FC0CB6">
      <w:pPr>
        <w:pStyle w:val="ListParagraph"/>
        <w:ind w:firstLine="0"/>
        <w:rPr>
          <w:rStyle w:val="Emphasis"/>
          <w:i w:val="0"/>
          <w:sz w:val="20"/>
          <w:szCs w:val="20"/>
          <w:lang w:val="pt-BR"/>
        </w:rPr>
      </w:pPr>
    </w:p>
    <w:p w14:paraId="7BB5EE89" w14:textId="17D84F0C" w:rsidR="008C3011" w:rsidRPr="00C62DF2" w:rsidRDefault="008C3011" w:rsidP="00FC0CB6">
      <w:pPr>
        <w:numPr>
          <w:ilvl w:val="0"/>
          <w:numId w:val="2"/>
        </w:numPr>
        <w:tabs>
          <w:tab w:val="left" w:pos="0"/>
        </w:tabs>
        <w:jc w:val="both"/>
        <w:rPr>
          <w:rStyle w:val="Emphasis"/>
          <w:rFonts w:ascii="Cambria" w:hAnsi="Cambria"/>
          <w:i w:val="0"/>
          <w:iCs w:val="0"/>
          <w:sz w:val="20"/>
          <w:szCs w:val="20"/>
        </w:rPr>
      </w:pPr>
      <w:r w:rsidRPr="00C62DF2">
        <w:rPr>
          <w:rStyle w:val="Emphasis"/>
          <w:rFonts w:ascii="Cambria" w:hAnsi="Cambria"/>
          <w:i w:val="0"/>
          <w:iCs w:val="0"/>
          <w:sz w:val="20"/>
          <w:szCs w:val="20"/>
        </w:rPr>
        <w:t>A Comissão observa que a versão forjada da morte de Eduardo</w:t>
      </w:r>
      <w:r w:rsidR="006E75C3"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que não considerou as torturas a que foi submetido e reconheceu como causa de sua morte o disparo de arma de fogo, foi elaborada pelo Instituto Médico </w:t>
      </w:r>
      <w:r w:rsidR="006E75C3" w:rsidRPr="00C62DF2">
        <w:rPr>
          <w:rStyle w:val="Emphasis"/>
          <w:rFonts w:ascii="Cambria" w:hAnsi="Cambria"/>
          <w:i w:val="0"/>
          <w:iCs w:val="0"/>
          <w:sz w:val="20"/>
          <w:szCs w:val="20"/>
        </w:rPr>
        <w:t>Legal</w:t>
      </w:r>
      <w:r w:rsidRPr="00C62DF2">
        <w:rPr>
          <w:rStyle w:val="Emphasis"/>
          <w:rFonts w:ascii="Cambria" w:hAnsi="Cambria"/>
          <w:i w:val="0"/>
          <w:iCs w:val="0"/>
          <w:sz w:val="20"/>
          <w:szCs w:val="20"/>
        </w:rPr>
        <w:t xml:space="preserve"> (IML), órgão vinculado à Secretaria de Segurança Pública do Estado de São Paulo. A esse respeito</w:t>
      </w:r>
      <w:r w:rsidR="006E75C3"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a Comissão da Verdade do Brasil reconheceu que os institutos médicos </w:t>
      </w:r>
      <w:r w:rsidR="006E75C3" w:rsidRPr="00C62DF2">
        <w:rPr>
          <w:rStyle w:val="Emphasis"/>
          <w:rFonts w:ascii="Cambria" w:hAnsi="Cambria"/>
          <w:i w:val="0"/>
          <w:iCs w:val="0"/>
          <w:sz w:val="20"/>
          <w:szCs w:val="20"/>
        </w:rPr>
        <w:t>legais</w:t>
      </w:r>
      <w:r w:rsidRPr="00C62DF2">
        <w:rPr>
          <w:rStyle w:val="Emphasis"/>
          <w:rFonts w:ascii="Cambria" w:hAnsi="Cambria"/>
          <w:i w:val="0"/>
          <w:iCs w:val="0"/>
          <w:sz w:val="20"/>
          <w:szCs w:val="20"/>
        </w:rPr>
        <w:t xml:space="preserve"> publicavam laudos falsos e afirmou que o DOPS, órgão que tinha a suposta vítima sob sua tutela, tinha o “controle do Instituto Médico </w:t>
      </w:r>
      <w:r w:rsidR="006E75C3" w:rsidRPr="00C62DF2">
        <w:rPr>
          <w:rStyle w:val="Emphasis"/>
          <w:rFonts w:ascii="Cambria" w:hAnsi="Cambria"/>
          <w:i w:val="0"/>
          <w:iCs w:val="0"/>
          <w:sz w:val="20"/>
          <w:szCs w:val="20"/>
        </w:rPr>
        <w:t>Legal</w:t>
      </w:r>
      <w:r w:rsidRPr="00C62DF2">
        <w:rPr>
          <w:rStyle w:val="Emphasis"/>
          <w:rFonts w:ascii="Cambria" w:hAnsi="Cambria"/>
          <w:i w:val="0"/>
          <w:iCs w:val="0"/>
          <w:sz w:val="20"/>
          <w:szCs w:val="20"/>
        </w:rPr>
        <w:t xml:space="preserve"> (IML)</w:t>
      </w:r>
      <w:r w:rsidR="006E75C3"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quando </w:t>
      </w:r>
      <w:r w:rsidR="006E75C3" w:rsidRPr="00C62DF2">
        <w:rPr>
          <w:rStyle w:val="Emphasis"/>
          <w:rFonts w:ascii="Cambria" w:hAnsi="Cambria"/>
          <w:i w:val="0"/>
          <w:iCs w:val="0"/>
          <w:sz w:val="20"/>
          <w:szCs w:val="20"/>
        </w:rPr>
        <w:t>houve</w:t>
      </w:r>
      <w:r w:rsidRPr="00C62DF2">
        <w:rPr>
          <w:rStyle w:val="Emphasis"/>
          <w:rFonts w:ascii="Cambria" w:hAnsi="Cambria"/>
          <w:i w:val="0"/>
          <w:iCs w:val="0"/>
          <w:sz w:val="20"/>
          <w:szCs w:val="20"/>
        </w:rPr>
        <w:t xml:space="preserve"> aumento dos presos políticos, era necessário validar tecnicamente os casos que geravam dúvida, pelo menos para tranquilizar a indignação da opinião pública.”</w:t>
      </w:r>
      <w:r w:rsidRPr="00C62DF2">
        <w:rPr>
          <w:rStyle w:val="FootnoteReference"/>
          <w:rFonts w:ascii="Cambria" w:hAnsi="Cambria"/>
          <w:i/>
          <w:iCs/>
          <w:sz w:val="20"/>
          <w:szCs w:val="20"/>
        </w:rPr>
        <w:footnoteReference w:id="196"/>
      </w:r>
      <w:r w:rsidRPr="00C62DF2">
        <w:rPr>
          <w:rStyle w:val="Emphasis"/>
          <w:rFonts w:ascii="Cambria" w:hAnsi="Cambria"/>
          <w:i w:val="0"/>
          <w:iCs w:val="0"/>
          <w:sz w:val="20"/>
          <w:szCs w:val="20"/>
        </w:rPr>
        <w:t xml:space="preserve"> Dessa maneira, a CIDH considera que a perícia realizada pelo Instituto Médico </w:t>
      </w:r>
      <w:r w:rsidR="006E75C3" w:rsidRPr="00C62DF2">
        <w:rPr>
          <w:rStyle w:val="Emphasis"/>
          <w:rFonts w:ascii="Cambria" w:hAnsi="Cambria"/>
          <w:i w:val="0"/>
          <w:iCs w:val="0"/>
          <w:sz w:val="20"/>
          <w:szCs w:val="20"/>
        </w:rPr>
        <w:t>Legal</w:t>
      </w:r>
      <w:r w:rsidRPr="00C62DF2">
        <w:rPr>
          <w:rStyle w:val="Emphasis"/>
          <w:rFonts w:ascii="Cambria" w:hAnsi="Cambria"/>
          <w:i w:val="0"/>
          <w:iCs w:val="0"/>
          <w:sz w:val="20"/>
          <w:szCs w:val="20"/>
        </w:rPr>
        <w:t xml:space="preserve"> no corpo de Eduardo não foi realizad</w:t>
      </w:r>
      <w:r w:rsidR="006E75C3" w:rsidRPr="00C62DF2">
        <w:rPr>
          <w:rStyle w:val="Emphasis"/>
          <w:rFonts w:ascii="Cambria" w:hAnsi="Cambria"/>
          <w:i w:val="0"/>
          <w:iCs w:val="0"/>
          <w:sz w:val="20"/>
          <w:szCs w:val="20"/>
        </w:rPr>
        <w:t>a</w:t>
      </w:r>
      <w:r w:rsidRPr="00C62DF2">
        <w:rPr>
          <w:rStyle w:val="Emphasis"/>
          <w:rFonts w:ascii="Cambria" w:hAnsi="Cambria"/>
          <w:i w:val="0"/>
          <w:iCs w:val="0"/>
          <w:sz w:val="20"/>
          <w:szCs w:val="20"/>
        </w:rPr>
        <w:t xml:space="preserve"> por um órgão independente e imparcial.</w:t>
      </w:r>
    </w:p>
    <w:p w14:paraId="0D8CFCB4" w14:textId="77777777" w:rsidR="008C3011" w:rsidRPr="00C62DF2" w:rsidRDefault="008C3011" w:rsidP="00FC0CB6">
      <w:pPr>
        <w:pStyle w:val="ListParagraph"/>
        <w:ind w:firstLine="0"/>
        <w:rPr>
          <w:rStyle w:val="Emphasis"/>
          <w:i w:val="0"/>
          <w:iCs w:val="0"/>
          <w:sz w:val="20"/>
          <w:szCs w:val="20"/>
          <w:lang w:val="pt-BR"/>
        </w:rPr>
      </w:pPr>
    </w:p>
    <w:p w14:paraId="74C72D79" w14:textId="64F5FA25" w:rsidR="008C3011" w:rsidRPr="00C62DF2" w:rsidRDefault="008C3011" w:rsidP="00FC0CB6">
      <w:pPr>
        <w:numPr>
          <w:ilvl w:val="0"/>
          <w:numId w:val="2"/>
        </w:numPr>
        <w:tabs>
          <w:tab w:val="left" w:pos="0"/>
        </w:tabs>
        <w:jc w:val="both"/>
        <w:rPr>
          <w:rStyle w:val="Emphasis"/>
          <w:rFonts w:ascii="Cambria" w:hAnsi="Cambria"/>
          <w:i w:val="0"/>
          <w:iCs w:val="0"/>
          <w:sz w:val="20"/>
          <w:szCs w:val="20"/>
        </w:rPr>
      </w:pPr>
      <w:r w:rsidRPr="00C62DF2">
        <w:rPr>
          <w:rStyle w:val="Emphasis"/>
          <w:rFonts w:ascii="Cambria" w:hAnsi="Cambria"/>
          <w:i w:val="0"/>
          <w:iCs w:val="0"/>
          <w:sz w:val="20"/>
          <w:szCs w:val="20"/>
        </w:rPr>
        <w:t xml:space="preserve">Em todo caso, a Comissão não conta com informação sobre o desenvolvimento ou conclusão de tais investigações, </w:t>
      </w:r>
      <w:r w:rsidR="006E75C3" w:rsidRPr="00C62DF2">
        <w:rPr>
          <w:rStyle w:val="Emphasis"/>
          <w:rFonts w:ascii="Cambria" w:hAnsi="Cambria"/>
          <w:i w:val="0"/>
          <w:iCs w:val="0"/>
          <w:sz w:val="20"/>
          <w:szCs w:val="20"/>
        </w:rPr>
        <w:t>mas</w:t>
      </w:r>
      <w:r w:rsidRPr="00C62DF2">
        <w:rPr>
          <w:rStyle w:val="Emphasis"/>
          <w:rFonts w:ascii="Cambria" w:hAnsi="Cambria"/>
          <w:i w:val="0"/>
          <w:iCs w:val="0"/>
          <w:sz w:val="20"/>
          <w:szCs w:val="20"/>
        </w:rPr>
        <w:t xml:space="preserve"> observa que tanto os atos de tortura como a execução de Eduardo Collen Leite </w:t>
      </w:r>
      <w:r w:rsidR="006E75C3" w:rsidRPr="00C62DF2">
        <w:rPr>
          <w:rStyle w:val="Emphasis"/>
          <w:rFonts w:ascii="Cambria" w:hAnsi="Cambria"/>
          <w:i w:val="0"/>
          <w:iCs w:val="0"/>
          <w:sz w:val="20"/>
          <w:szCs w:val="20"/>
        </w:rPr>
        <w:t>constituem</w:t>
      </w:r>
      <w:r w:rsidRPr="00C62DF2">
        <w:rPr>
          <w:rStyle w:val="Emphasis"/>
          <w:rFonts w:ascii="Cambria" w:hAnsi="Cambria"/>
          <w:i w:val="0"/>
          <w:iCs w:val="0"/>
          <w:sz w:val="20"/>
          <w:szCs w:val="20"/>
        </w:rPr>
        <w:t xml:space="preserve"> violações </w:t>
      </w:r>
      <w:r w:rsidR="006E75C3" w:rsidRPr="00C62DF2">
        <w:rPr>
          <w:rStyle w:val="Emphasis"/>
          <w:rFonts w:ascii="Cambria" w:hAnsi="Cambria"/>
          <w:i w:val="0"/>
          <w:iCs w:val="0"/>
          <w:sz w:val="20"/>
          <w:szCs w:val="20"/>
        </w:rPr>
        <w:t>de</w:t>
      </w:r>
      <w:r w:rsidRPr="00C62DF2">
        <w:rPr>
          <w:rStyle w:val="Emphasis"/>
          <w:rFonts w:ascii="Cambria" w:hAnsi="Cambria"/>
          <w:i w:val="0"/>
          <w:iCs w:val="0"/>
          <w:sz w:val="20"/>
          <w:szCs w:val="20"/>
        </w:rPr>
        <w:t xml:space="preserve"> direitos humanos perpetradas por agentes estatais, não sendo o fórum militar competente para investigar tais fatos </w:t>
      </w:r>
      <w:r w:rsidR="006E75C3" w:rsidRPr="00C62DF2">
        <w:rPr>
          <w:rStyle w:val="Emphasis"/>
          <w:rFonts w:ascii="Cambria" w:hAnsi="Cambria"/>
          <w:i w:val="0"/>
          <w:iCs w:val="0"/>
          <w:sz w:val="20"/>
          <w:szCs w:val="20"/>
        </w:rPr>
        <w:t xml:space="preserve">tendo </w:t>
      </w:r>
      <w:r w:rsidRPr="00C62DF2">
        <w:rPr>
          <w:rStyle w:val="Emphasis"/>
          <w:rFonts w:ascii="Cambria" w:hAnsi="Cambria"/>
          <w:i w:val="0"/>
          <w:iCs w:val="0"/>
          <w:sz w:val="20"/>
          <w:szCs w:val="20"/>
        </w:rPr>
        <w:t xml:space="preserve">em vista a ausência de garantias de independência e imparcialidade. </w:t>
      </w:r>
    </w:p>
    <w:p w14:paraId="182881FB" w14:textId="77777777" w:rsidR="008C3011" w:rsidRPr="00C62DF2" w:rsidRDefault="008C3011" w:rsidP="00FC0CB6">
      <w:pPr>
        <w:pStyle w:val="ListParagraph"/>
        <w:ind w:firstLine="0"/>
        <w:rPr>
          <w:rStyle w:val="Emphasis"/>
          <w:i w:val="0"/>
          <w:iCs w:val="0"/>
          <w:sz w:val="20"/>
          <w:szCs w:val="20"/>
          <w:lang w:val="pt-BR"/>
        </w:rPr>
      </w:pPr>
    </w:p>
    <w:p w14:paraId="650F39F2" w14:textId="77777777" w:rsidR="008C3011" w:rsidRPr="00C62DF2" w:rsidRDefault="008C3011" w:rsidP="00FC0CB6">
      <w:pPr>
        <w:numPr>
          <w:ilvl w:val="0"/>
          <w:numId w:val="2"/>
        </w:numPr>
        <w:tabs>
          <w:tab w:val="left" w:pos="0"/>
        </w:tabs>
        <w:jc w:val="both"/>
        <w:rPr>
          <w:rStyle w:val="Emphasis"/>
          <w:rFonts w:ascii="Cambria" w:hAnsi="Cambria"/>
          <w:i w:val="0"/>
          <w:iCs w:val="0"/>
          <w:sz w:val="20"/>
          <w:szCs w:val="20"/>
        </w:rPr>
      </w:pPr>
      <w:r w:rsidRPr="00C62DF2">
        <w:rPr>
          <w:rStyle w:val="Emphasis"/>
          <w:rFonts w:ascii="Cambria" w:hAnsi="Cambria"/>
          <w:i w:val="0"/>
          <w:iCs w:val="0"/>
          <w:sz w:val="20"/>
          <w:szCs w:val="20"/>
        </w:rPr>
        <w:t xml:space="preserve">A CIDH ressalta que, na época dos fatos, a legislação vigente era o Código Processual Penal Militar (Decreto-Lei nº 1.002, de 21 de outubro de 1969) que estabelecia que todos os crimes praticados por militares contra civis eram de competência da Justiça Militar. Essa legislação foi alterada em 7 de agosto de 1996 pela Lei nº 9.299 que estabeleceu que nos crimes dolosos contra a vida, praticados contra civis, a competência é da Justiça Ordinária. </w:t>
      </w:r>
    </w:p>
    <w:p w14:paraId="142EE8DC" w14:textId="77777777" w:rsidR="008C3011" w:rsidRPr="00C62DF2" w:rsidRDefault="008C3011" w:rsidP="00FC0CB6">
      <w:pPr>
        <w:rPr>
          <w:rStyle w:val="Emphasis"/>
          <w:i w:val="0"/>
          <w:iCs w:val="0"/>
          <w:sz w:val="20"/>
          <w:szCs w:val="20"/>
        </w:rPr>
      </w:pPr>
    </w:p>
    <w:p w14:paraId="66A801A2" w14:textId="2DDB3F7F" w:rsidR="008C3011" w:rsidRPr="00C62DF2" w:rsidRDefault="006E75C3" w:rsidP="00FC0CB6">
      <w:pPr>
        <w:numPr>
          <w:ilvl w:val="0"/>
          <w:numId w:val="2"/>
        </w:numPr>
        <w:tabs>
          <w:tab w:val="left" w:pos="0"/>
        </w:tabs>
        <w:jc w:val="both"/>
        <w:rPr>
          <w:rFonts w:ascii="Cambria" w:hAnsi="Cambria"/>
          <w:sz w:val="20"/>
          <w:szCs w:val="20"/>
        </w:rPr>
      </w:pPr>
      <w:r w:rsidRPr="00C62DF2">
        <w:rPr>
          <w:rStyle w:val="Emphasis"/>
          <w:rFonts w:ascii="Cambria" w:hAnsi="Cambria"/>
          <w:i w:val="0"/>
          <w:iCs w:val="0"/>
          <w:sz w:val="20"/>
          <w:szCs w:val="20"/>
        </w:rPr>
        <w:t>Tendo e</w:t>
      </w:r>
      <w:r w:rsidR="008C3011" w:rsidRPr="00C62DF2">
        <w:rPr>
          <w:rStyle w:val="Emphasis"/>
          <w:rFonts w:ascii="Cambria" w:hAnsi="Cambria"/>
          <w:i w:val="0"/>
          <w:iCs w:val="0"/>
          <w:sz w:val="20"/>
          <w:szCs w:val="20"/>
        </w:rPr>
        <w:t>m vista o exposto</w:t>
      </w:r>
      <w:r w:rsidRPr="00C62DF2">
        <w:rPr>
          <w:rStyle w:val="Emphasis"/>
          <w:rFonts w:ascii="Cambria" w:hAnsi="Cambria"/>
          <w:i w:val="0"/>
          <w:iCs w:val="0"/>
          <w:sz w:val="20"/>
          <w:szCs w:val="20"/>
        </w:rPr>
        <w:t xml:space="preserve"> anteriormente</w:t>
      </w:r>
      <w:r w:rsidR="008C3011" w:rsidRPr="00C62DF2">
        <w:rPr>
          <w:rStyle w:val="Emphasis"/>
          <w:rFonts w:ascii="Cambria" w:hAnsi="Cambria"/>
          <w:i w:val="0"/>
          <w:iCs w:val="0"/>
          <w:sz w:val="20"/>
          <w:szCs w:val="20"/>
        </w:rPr>
        <w:t xml:space="preserve">, para a CIDH </w:t>
      </w:r>
      <w:r w:rsidRPr="00C62DF2">
        <w:rPr>
          <w:rStyle w:val="Emphasis"/>
          <w:rFonts w:ascii="Cambria" w:hAnsi="Cambria"/>
          <w:i w:val="0"/>
          <w:iCs w:val="0"/>
          <w:sz w:val="20"/>
          <w:szCs w:val="20"/>
        </w:rPr>
        <w:t>está</w:t>
      </w:r>
      <w:r w:rsidR="008C3011" w:rsidRPr="00C62DF2">
        <w:rPr>
          <w:rStyle w:val="Emphasis"/>
          <w:rFonts w:ascii="Cambria" w:hAnsi="Cambria"/>
          <w:i w:val="0"/>
          <w:iCs w:val="0"/>
          <w:sz w:val="20"/>
          <w:szCs w:val="20"/>
        </w:rPr>
        <w:t xml:space="preserve"> claro que o Estado não cumpriu seu dever de investigar com a devida diligência os fatos violadores dos direitos humanos contra Eduardo Collen Leite, o que impediu o esclarecimento dos fatos e violou o direito dos familiares da vítima a conhecer a verdade do </w:t>
      </w:r>
      <w:r w:rsidRPr="00C62DF2">
        <w:rPr>
          <w:rStyle w:val="Emphasis"/>
          <w:rFonts w:ascii="Cambria" w:hAnsi="Cambria"/>
          <w:i w:val="0"/>
          <w:iCs w:val="0"/>
          <w:sz w:val="20"/>
          <w:szCs w:val="20"/>
        </w:rPr>
        <w:t>que aconteceu</w:t>
      </w:r>
      <w:r w:rsidR="008C3011" w:rsidRPr="00C62DF2">
        <w:rPr>
          <w:rStyle w:val="Emphasis"/>
          <w:rFonts w:ascii="Cambria" w:hAnsi="Cambria"/>
          <w:i w:val="0"/>
          <w:iCs w:val="0"/>
          <w:sz w:val="20"/>
          <w:szCs w:val="20"/>
        </w:rPr>
        <w:t xml:space="preserve">. </w:t>
      </w:r>
      <w:r w:rsidR="008C3011" w:rsidRPr="00C62DF2">
        <w:rPr>
          <w:rStyle w:val="hps"/>
          <w:rFonts w:ascii="Cambria" w:hAnsi="Cambria"/>
          <w:sz w:val="20"/>
          <w:szCs w:val="20"/>
        </w:rPr>
        <w:t>Em consequência, a Comissão conclui que o Estado brasileiro é responsável pela violação dos direitos reconhecidos nos</w:t>
      </w:r>
      <w:r w:rsidR="008C3011" w:rsidRPr="00C62DF2">
        <w:rPr>
          <w:rFonts w:ascii="Cambria" w:hAnsi="Cambria"/>
          <w:sz w:val="20"/>
          <w:szCs w:val="20"/>
        </w:rPr>
        <w:t xml:space="preserve"> artigos XVIII da Declaração Americana, em detrimento de Eduardo Collen Leite e de seus familiares</w:t>
      </w:r>
      <w:r w:rsidR="008C3011" w:rsidRPr="00C62DF2">
        <w:rPr>
          <w:rFonts w:ascii="Cambria" w:hAnsi="Cambria"/>
          <w:i/>
          <w:iCs/>
          <w:sz w:val="20"/>
          <w:szCs w:val="20"/>
        </w:rPr>
        <w:t>.</w:t>
      </w:r>
    </w:p>
    <w:p w14:paraId="56538927" w14:textId="77777777" w:rsidR="008C3011" w:rsidRPr="00C62DF2" w:rsidRDefault="008C3011" w:rsidP="00FC0CB6">
      <w:pPr>
        <w:jc w:val="both"/>
        <w:rPr>
          <w:rFonts w:ascii="Cambria" w:hAnsi="Cambria"/>
          <w:sz w:val="20"/>
          <w:szCs w:val="20"/>
        </w:rPr>
      </w:pPr>
    </w:p>
    <w:p w14:paraId="5DC18D2F" w14:textId="77777777" w:rsidR="008C3011" w:rsidRPr="00C62DF2" w:rsidRDefault="008C3011" w:rsidP="00FC0CB6">
      <w:pPr>
        <w:pStyle w:val="Heading3"/>
        <w:numPr>
          <w:ilvl w:val="3"/>
          <w:numId w:val="29"/>
        </w:numPr>
        <w:ind w:left="1418" w:firstLine="0"/>
        <w:rPr>
          <w:color w:val="auto"/>
          <w:lang w:val="pt-BR"/>
        </w:rPr>
      </w:pPr>
      <w:bookmarkStart w:id="32" w:name="_Toc78883132"/>
      <w:bookmarkStart w:id="33" w:name="_Toc85895015"/>
      <w:r w:rsidRPr="00C62DF2">
        <w:rPr>
          <w:color w:val="auto"/>
          <w:lang w:val="pt-BR"/>
        </w:rPr>
        <w:t>Sobre a investigação realizada na jurisdição ordinária</w:t>
      </w:r>
      <w:bookmarkEnd w:id="32"/>
      <w:bookmarkEnd w:id="33"/>
    </w:p>
    <w:p w14:paraId="6552331E" w14:textId="77777777" w:rsidR="008C3011" w:rsidRPr="00C62DF2" w:rsidRDefault="008C3011" w:rsidP="00FC0CB6">
      <w:pPr>
        <w:pStyle w:val="Heading3"/>
        <w:numPr>
          <w:ilvl w:val="0"/>
          <w:numId w:val="0"/>
        </w:numPr>
        <w:ind w:left="1418"/>
        <w:rPr>
          <w:color w:val="auto"/>
          <w:lang w:val="pt-BR"/>
        </w:rPr>
      </w:pPr>
    </w:p>
    <w:p w14:paraId="1D7FE715" w14:textId="77777777" w:rsidR="008C3011" w:rsidRPr="00C62DF2" w:rsidRDefault="008C3011" w:rsidP="00FC0CB6">
      <w:pPr>
        <w:pStyle w:val="Heading3"/>
        <w:numPr>
          <w:ilvl w:val="1"/>
          <w:numId w:val="39"/>
        </w:numPr>
        <w:ind w:firstLine="0"/>
        <w:rPr>
          <w:color w:val="auto"/>
          <w:lang w:val="pt-BR"/>
        </w:rPr>
      </w:pPr>
      <w:bookmarkStart w:id="34" w:name="_Toc78883133"/>
      <w:bookmarkStart w:id="35" w:name="_Toc85895016"/>
      <w:r w:rsidRPr="00C62DF2">
        <w:rPr>
          <w:color w:val="auto"/>
          <w:lang w:val="pt-BR"/>
        </w:rPr>
        <w:t>Considerações gerais</w:t>
      </w:r>
      <w:bookmarkEnd w:id="34"/>
      <w:bookmarkEnd w:id="35"/>
      <w:r w:rsidRPr="00C62DF2">
        <w:rPr>
          <w:color w:val="auto"/>
          <w:lang w:val="pt-BR"/>
        </w:rPr>
        <w:t xml:space="preserve"> </w:t>
      </w:r>
    </w:p>
    <w:p w14:paraId="4ED0DAA8" w14:textId="77777777" w:rsidR="008C3011" w:rsidRPr="00C62DF2" w:rsidRDefault="008C3011" w:rsidP="00FC0CB6">
      <w:pPr>
        <w:tabs>
          <w:tab w:val="left" w:pos="0"/>
        </w:tabs>
        <w:jc w:val="both"/>
        <w:rPr>
          <w:rFonts w:ascii="Cambria" w:hAnsi="Cambria"/>
          <w:sz w:val="20"/>
          <w:szCs w:val="20"/>
        </w:rPr>
      </w:pPr>
    </w:p>
    <w:p w14:paraId="3D614A8E" w14:textId="3214D847"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sz w:val="20"/>
          <w:szCs w:val="20"/>
        </w:rPr>
        <w:t>Do artigo 8.1 da Convenção Americana se depr</w:t>
      </w:r>
      <w:r w:rsidR="006E75C3" w:rsidRPr="00C62DF2">
        <w:rPr>
          <w:rFonts w:ascii="Cambria" w:hAnsi="Cambria"/>
          <w:sz w:val="20"/>
          <w:szCs w:val="20"/>
        </w:rPr>
        <w:t>e</w:t>
      </w:r>
      <w:r w:rsidRPr="00C62DF2">
        <w:rPr>
          <w:rFonts w:ascii="Cambria" w:hAnsi="Cambria"/>
          <w:sz w:val="20"/>
          <w:szCs w:val="20"/>
        </w:rPr>
        <w:t>ende que as vítimas de violações de direitos humanos, ou seus familiares, devem contar com amplas possibilidades de ser</w:t>
      </w:r>
      <w:r w:rsidR="006E75C3" w:rsidRPr="00C62DF2">
        <w:rPr>
          <w:rFonts w:ascii="Cambria" w:hAnsi="Cambria"/>
          <w:sz w:val="20"/>
          <w:szCs w:val="20"/>
        </w:rPr>
        <w:t>em</w:t>
      </w:r>
      <w:r w:rsidRPr="00C62DF2">
        <w:rPr>
          <w:rFonts w:ascii="Cambria" w:hAnsi="Cambria"/>
          <w:sz w:val="20"/>
          <w:szCs w:val="20"/>
        </w:rPr>
        <w:t xml:space="preserve"> ouvid</w:t>
      </w:r>
      <w:r w:rsidR="006E75C3" w:rsidRPr="00C62DF2">
        <w:rPr>
          <w:rFonts w:ascii="Cambria" w:hAnsi="Cambria"/>
          <w:sz w:val="20"/>
          <w:szCs w:val="20"/>
        </w:rPr>
        <w:t>a</w:t>
      </w:r>
      <w:r w:rsidRPr="00C62DF2">
        <w:rPr>
          <w:rFonts w:ascii="Cambria" w:hAnsi="Cambria"/>
          <w:sz w:val="20"/>
          <w:szCs w:val="20"/>
        </w:rPr>
        <w:t>s e atuar nos respectivos processos, tanto em busca de esclarecimento dos fatos e d</w:t>
      </w:r>
      <w:r w:rsidR="006E75C3" w:rsidRPr="00C62DF2">
        <w:rPr>
          <w:rFonts w:ascii="Cambria" w:hAnsi="Cambria"/>
          <w:sz w:val="20"/>
          <w:szCs w:val="20"/>
        </w:rPr>
        <w:t>a punição</w:t>
      </w:r>
      <w:r w:rsidRPr="00C62DF2">
        <w:rPr>
          <w:rFonts w:ascii="Cambria" w:hAnsi="Cambria"/>
          <w:sz w:val="20"/>
          <w:szCs w:val="20"/>
        </w:rPr>
        <w:t xml:space="preserve"> dos responsáveis, como na busca de uma devida reparação. </w:t>
      </w:r>
      <w:r w:rsidR="006E75C3" w:rsidRPr="00C62DF2">
        <w:rPr>
          <w:rFonts w:ascii="Cambria" w:hAnsi="Cambria"/>
          <w:sz w:val="20"/>
          <w:szCs w:val="20"/>
        </w:rPr>
        <w:t>A</w:t>
      </w:r>
      <w:r w:rsidRPr="00C62DF2">
        <w:rPr>
          <w:rFonts w:ascii="Cambria" w:hAnsi="Cambria"/>
          <w:sz w:val="20"/>
          <w:szCs w:val="20"/>
        </w:rPr>
        <w:t xml:space="preserve"> Corte considerou que os Estados têm a obrigação de fornecer recursos judiciais efetivos às pessoas que aleguem ser vítimas de violações de direitos humanos (artigo 25), recursos que devem ser </w:t>
      </w:r>
      <w:r w:rsidRPr="00C62DF2">
        <w:rPr>
          <w:rFonts w:ascii="Cambria" w:hAnsi="Cambria"/>
          <w:sz w:val="20"/>
          <w:szCs w:val="20"/>
        </w:rPr>
        <w:lastRenderedPageBreak/>
        <w:t>substanciados e</w:t>
      </w:r>
      <w:r w:rsidR="006E75C3" w:rsidRPr="00C62DF2">
        <w:rPr>
          <w:rFonts w:ascii="Cambria" w:hAnsi="Cambria"/>
          <w:sz w:val="20"/>
          <w:szCs w:val="20"/>
        </w:rPr>
        <w:t>m</w:t>
      </w:r>
      <w:r w:rsidRPr="00C62DF2">
        <w:rPr>
          <w:rFonts w:ascii="Cambria" w:hAnsi="Cambria"/>
          <w:sz w:val="20"/>
          <w:szCs w:val="20"/>
        </w:rPr>
        <w:t xml:space="preserve"> conformidade com as regras do devido processo legal (artigo 8.1), dentro da obrigação geral, a cargo dos mesmos Estados, de garantir o livre e pleno exercício dos direitos reconhecidos pela Convenção a toda pessoa que se encontre sob sua jurisdição (artigo 1.1).</w:t>
      </w:r>
      <w:r w:rsidRPr="00C62DF2">
        <w:rPr>
          <w:rFonts w:ascii="Cambria" w:hAnsi="Cambria"/>
          <w:sz w:val="20"/>
          <w:szCs w:val="20"/>
          <w:vertAlign w:val="superscript"/>
        </w:rPr>
        <w:t xml:space="preserve"> </w:t>
      </w:r>
      <w:r w:rsidRPr="00C62DF2">
        <w:rPr>
          <w:rFonts w:ascii="Cambria" w:hAnsi="Cambria"/>
          <w:sz w:val="20"/>
          <w:szCs w:val="20"/>
          <w:vertAlign w:val="superscript"/>
        </w:rPr>
        <w:footnoteReference w:id="197"/>
      </w:r>
    </w:p>
    <w:p w14:paraId="5875F629" w14:textId="77777777" w:rsidR="008C3011" w:rsidRPr="00C62DF2" w:rsidRDefault="008C3011" w:rsidP="00FC0CB6">
      <w:pPr>
        <w:pStyle w:val="ListParagraph"/>
        <w:ind w:firstLine="0"/>
        <w:rPr>
          <w:sz w:val="20"/>
          <w:szCs w:val="20"/>
          <w:lang w:val="pt-BR"/>
        </w:rPr>
      </w:pPr>
    </w:p>
    <w:p w14:paraId="40717529" w14:textId="685D82AD"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Em casos como o presente, esta obrigação de investigar </w:t>
      </w:r>
      <w:r w:rsidR="006E75C3" w:rsidRPr="00C62DF2">
        <w:rPr>
          <w:rFonts w:ascii="Cambria" w:hAnsi="Cambria"/>
          <w:sz w:val="20"/>
          <w:szCs w:val="20"/>
        </w:rPr>
        <w:t>é</w:t>
      </w:r>
      <w:r w:rsidRPr="00C62DF2">
        <w:rPr>
          <w:rFonts w:ascii="Cambria" w:hAnsi="Cambria"/>
          <w:sz w:val="20"/>
          <w:szCs w:val="20"/>
        </w:rPr>
        <w:t xml:space="preserve"> reforçada pelo disposto nos artigos 1, 6 e 8 da CIPST, </w:t>
      </w:r>
      <w:r w:rsidR="006E75C3" w:rsidRPr="00C62DF2">
        <w:rPr>
          <w:rFonts w:ascii="Cambria" w:hAnsi="Cambria"/>
          <w:sz w:val="20"/>
          <w:szCs w:val="20"/>
        </w:rPr>
        <w:t>n</w:t>
      </w:r>
      <w:r w:rsidRPr="00C62DF2">
        <w:rPr>
          <w:rFonts w:ascii="Cambria" w:hAnsi="Cambria"/>
          <w:sz w:val="20"/>
          <w:szCs w:val="20"/>
        </w:rPr>
        <w:t xml:space="preserve">a qual Brasil é Estado Parte desde 20 de julho de 1989, e que obrigam o Estado a “tomar medidas efetivas para prevenir e </w:t>
      </w:r>
      <w:r w:rsidR="00F4407F" w:rsidRPr="00C62DF2">
        <w:rPr>
          <w:rFonts w:ascii="Cambria" w:hAnsi="Cambria"/>
          <w:sz w:val="20"/>
          <w:szCs w:val="20"/>
        </w:rPr>
        <w:t>punir</w:t>
      </w:r>
      <w:r w:rsidRPr="00C62DF2">
        <w:rPr>
          <w:rFonts w:ascii="Cambria" w:hAnsi="Cambria"/>
          <w:sz w:val="20"/>
          <w:szCs w:val="20"/>
        </w:rPr>
        <w:t xml:space="preserve"> a tortura no âmbito de sua jurisdição,” </w:t>
      </w:r>
      <w:r w:rsidR="00F4407F" w:rsidRPr="00C62DF2">
        <w:rPr>
          <w:rFonts w:ascii="Cambria" w:hAnsi="Cambria"/>
          <w:sz w:val="20"/>
          <w:szCs w:val="20"/>
        </w:rPr>
        <w:t>bem</w:t>
      </w:r>
      <w:r w:rsidRPr="00C62DF2">
        <w:rPr>
          <w:rFonts w:ascii="Cambria" w:hAnsi="Cambria"/>
          <w:sz w:val="20"/>
          <w:szCs w:val="20"/>
        </w:rPr>
        <w:t xml:space="preserve"> como “prevenir e </w:t>
      </w:r>
      <w:r w:rsidR="00F4407F" w:rsidRPr="00C62DF2">
        <w:rPr>
          <w:rFonts w:ascii="Cambria" w:hAnsi="Cambria"/>
          <w:sz w:val="20"/>
          <w:szCs w:val="20"/>
        </w:rPr>
        <w:t>punir</w:t>
      </w:r>
      <w:r w:rsidRPr="00C62DF2">
        <w:rPr>
          <w:rFonts w:ascii="Cambria" w:hAnsi="Cambria"/>
          <w:sz w:val="20"/>
          <w:szCs w:val="20"/>
        </w:rPr>
        <w:t xml:space="preserve"> outros trat</w:t>
      </w:r>
      <w:r w:rsidR="00F4407F" w:rsidRPr="00C62DF2">
        <w:rPr>
          <w:rFonts w:ascii="Cambria" w:hAnsi="Cambria"/>
          <w:sz w:val="20"/>
          <w:szCs w:val="20"/>
        </w:rPr>
        <w:t>ament</w:t>
      </w:r>
      <w:r w:rsidRPr="00C62DF2">
        <w:rPr>
          <w:rFonts w:ascii="Cambria" w:hAnsi="Cambria"/>
          <w:sz w:val="20"/>
          <w:szCs w:val="20"/>
        </w:rPr>
        <w:t>os ou penas cruéis, desuman</w:t>
      </w:r>
      <w:r w:rsidR="00F4407F" w:rsidRPr="00C62DF2">
        <w:rPr>
          <w:rFonts w:ascii="Cambria" w:hAnsi="Cambria"/>
          <w:sz w:val="20"/>
          <w:szCs w:val="20"/>
        </w:rPr>
        <w:t>a</w:t>
      </w:r>
      <w:r w:rsidRPr="00C62DF2">
        <w:rPr>
          <w:rFonts w:ascii="Cambria" w:hAnsi="Cambria"/>
          <w:sz w:val="20"/>
          <w:szCs w:val="20"/>
        </w:rPr>
        <w:t xml:space="preserve">s ou degradantes.” Com efeito, de acordo com a jurisprudência reiterada da Corte e </w:t>
      </w:r>
      <w:r w:rsidR="00F4407F" w:rsidRPr="00C62DF2">
        <w:rPr>
          <w:rFonts w:ascii="Cambria" w:hAnsi="Cambria"/>
          <w:sz w:val="20"/>
          <w:szCs w:val="20"/>
        </w:rPr>
        <w:t>d</w:t>
      </w:r>
      <w:r w:rsidRPr="00C62DF2">
        <w:rPr>
          <w:rFonts w:ascii="Cambria" w:hAnsi="Cambria"/>
          <w:sz w:val="20"/>
          <w:szCs w:val="20"/>
        </w:rPr>
        <w:t xml:space="preserve">a Comissão Interamericana, a obrigação de investigar, determinar e </w:t>
      </w:r>
      <w:r w:rsidR="00F4407F" w:rsidRPr="00C62DF2">
        <w:rPr>
          <w:rFonts w:ascii="Cambria" w:hAnsi="Cambria"/>
          <w:sz w:val="20"/>
          <w:szCs w:val="20"/>
        </w:rPr>
        <w:t>punir</w:t>
      </w:r>
      <w:r w:rsidRPr="00C62DF2">
        <w:rPr>
          <w:rFonts w:ascii="Cambria" w:hAnsi="Cambria"/>
          <w:sz w:val="20"/>
          <w:szCs w:val="20"/>
        </w:rPr>
        <w:t xml:space="preserve"> os responsáveis </w:t>
      </w:r>
      <w:r w:rsidR="00F4407F" w:rsidRPr="00C62DF2">
        <w:rPr>
          <w:rFonts w:ascii="Cambria" w:hAnsi="Cambria"/>
          <w:sz w:val="20"/>
          <w:szCs w:val="20"/>
        </w:rPr>
        <w:t xml:space="preserve">por </w:t>
      </w:r>
      <w:r w:rsidRPr="00C62DF2">
        <w:rPr>
          <w:rFonts w:ascii="Cambria" w:hAnsi="Cambria"/>
          <w:sz w:val="20"/>
          <w:szCs w:val="20"/>
        </w:rPr>
        <w:t>graves violações de direitos humanos, tais como a tortura, as execuções sumárias, extralegais ou arbitrárias e os desaparecimentos forçados, têm caráter irrenunciável.</w:t>
      </w:r>
      <w:r w:rsidRPr="00C62DF2">
        <w:rPr>
          <w:rStyle w:val="FootnoteReference"/>
          <w:rFonts w:ascii="Cambria" w:hAnsi="Cambria"/>
          <w:sz w:val="20"/>
          <w:szCs w:val="20"/>
        </w:rPr>
        <w:footnoteReference w:id="198"/>
      </w:r>
      <w:r w:rsidRPr="00C62DF2">
        <w:rPr>
          <w:rFonts w:ascii="Cambria" w:hAnsi="Cambria"/>
          <w:sz w:val="20"/>
          <w:szCs w:val="20"/>
        </w:rPr>
        <w:t xml:space="preserve"> Além disso, de acordo com o disposto no artigo 8 da Convenção, os Estados Parte garantirão: “[…] a </w:t>
      </w:r>
      <w:r w:rsidR="00B42E6A" w:rsidRPr="00C62DF2">
        <w:rPr>
          <w:rFonts w:ascii="Cambria" w:hAnsi="Cambria" w:cs="Arial"/>
          <w:color w:val="000000"/>
          <w:sz w:val="20"/>
          <w:szCs w:val="20"/>
          <w:shd w:val="clear" w:color="auto" w:fill="FFFFFF"/>
        </w:rPr>
        <w:t> assegurarão a qualquer pessoa que denunciar haver sido submetida a tortura, no âmbito de sua jurisdição, o direito de que o caso seja examinado de maneira imparcial</w:t>
      </w:r>
      <w:r w:rsidRPr="00C62DF2">
        <w:rPr>
          <w:rFonts w:ascii="Cambria" w:hAnsi="Cambria"/>
          <w:sz w:val="20"/>
          <w:szCs w:val="20"/>
        </w:rPr>
        <w:t>, e</w:t>
      </w:r>
      <w:r w:rsidR="00B42E6A" w:rsidRPr="00C62DF2">
        <w:rPr>
          <w:rFonts w:ascii="Cambria" w:hAnsi="Cambria"/>
          <w:sz w:val="20"/>
          <w:szCs w:val="20"/>
        </w:rPr>
        <w:t>,</w:t>
      </w:r>
      <w:r w:rsidRPr="00C62DF2">
        <w:rPr>
          <w:rFonts w:ascii="Cambria" w:hAnsi="Cambria"/>
          <w:sz w:val="20"/>
          <w:szCs w:val="20"/>
        </w:rPr>
        <w:t xml:space="preserve"> quando </w:t>
      </w:r>
      <w:r w:rsidR="00B42E6A" w:rsidRPr="00C62DF2">
        <w:rPr>
          <w:rFonts w:ascii="Cambria" w:hAnsi="Cambria" w:cs="Arial"/>
          <w:color w:val="000000"/>
          <w:sz w:val="20"/>
          <w:szCs w:val="20"/>
          <w:shd w:val="clear" w:color="auto" w:fill="FFFFFF"/>
        </w:rPr>
        <w:t xml:space="preserve">houver denúncia ou razão fundada para supor que haja sido cometido ato de tortura no âmbito de sua jurisdição, os Estados Partes garantirão que suas autoridades procederão de ofício e imediatamente à realização de uma investigação sobre o caso e iniciarão, se for cabível, o respectivo processo </w:t>
      </w:r>
      <w:r w:rsidRPr="00C62DF2">
        <w:rPr>
          <w:rFonts w:ascii="Cambria" w:hAnsi="Cambria"/>
          <w:sz w:val="20"/>
          <w:szCs w:val="20"/>
        </w:rPr>
        <w:t>penal.”</w:t>
      </w:r>
    </w:p>
    <w:p w14:paraId="5BA87FCF" w14:textId="77777777" w:rsidR="008C3011" w:rsidRPr="00C62DF2" w:rsidRDefault="008C3011" w:rsidP="00FC0CB6">
      <w:pPr>
        <w:tabs>
          <w:tab w:val="left" w:pos="0"/>
        </w:tabs>
        <w:ind w:left="567"/>
        <w:jc w:val="both"/>
        <w:rPr>
          <w:rFonts w:ascii="Cambria" w:hAnsi="Cambria"/>
          <w:sz w:val="20"/>
          <w:szCs w:val="20"/>
        </w:rPr>
      </w:pPr>
    </w:p>
    <w:p w14:paraId="6A3C00D6" w14:textId="2D49C1BE" w:rsidR="008C3011" w:rsidRPr="00C62DF2" w:rsidRDefault="00B42E6A" w:rsidP="00FC0CB6">
      <w:pPr>
        <w:numPr>
          <w:ilvl w:val="0"/>
          <w:numId w:val="2"/>
        </w:numPr>
        <w:tabs>
          <w:tab w:val="left" w:pos="0"/>
        </w:tabs>
        <w:jc w:val="both"/>
        <w:rPr>
          <w:rFonts w:ascii="Cambria" w:hAnsi="Cambria"/>
          <w:sz w:val="20"/>
          <w:szCs w:val="20"/>
        </w:rPr>
      </w:pPr>
      <w:r w:rsidRPr="00C62DF2">
        <w:rPr>
          <w:rFonts w:ascii="Cambria" w:hAnsi="Cambria"/>
          <w:sz w:val="20"/>
          <w:szCs w:val="20"/>
        </w:rPr>
        <w:t>A</w:t>
      </w:r>
      <w:r w:rsidR="008C3011" w:rsidRPr="00C62DF2">
        <w:rPr>
          <w:rFonts w:ascii="Cambria" w:hAnsi="Cambria"/>
          <w:sz w:val="20"/>
          <w:szCs w:val="20"/>
        </w:rPr>
        <w:t xml:space="preserve"> Corte Interamericana assinalou</w:t>
      </w:r>
      <w:r w:rsidR="00AB3666" w:rsidRPr="00C62DF2">
        <w:rPr>
          <w:rFonts w:ascii="Cambria" w:hAnsi="Cambria"/>
          <w:sz w:val="20"/>
          <w:szCs w:val="20"/>
        </w:rPr>
        <w:t>:</w:t>
      </w:r>
      <w:r w:rsidR="008C3011" w:rsidRPr="00C62DF2">
        <w:rPr>
          <w:rFonts w:ascii="Cambria" w:hAnsi="Cambria"/>
          <w:sz w:val="20"/>
          <w:szCs w:val="20"/>
        </w:rPr>
        <w:t xml:space="preserve"> “a obrigação de investigar e o correspondente direito da vítima ou dos familiares não só se depr</w:t>
      </w:r>
      <w:r w:rsidRPr="00C62DF2">
        <w:rPr>
          <w:rFonts w:ascii="Cambria" w:hAnsi="Cambria"/>
          <w:sz w:val="20"/>
          <w:szCs w:val="20"/>
        </w:rPr>
        <w:t>e</w:t>
      </w:r>
      <w:r w:rsidR="008C3011" w:rsidRPr="00C62DF2">
        <w:rPr>
          <w:rFonts w:ascii="Cambria" w:hAnsi="Cambria"/>
          <w:sz w:val="20"/>
          <w:szCs w:val="20"/>
        </w:rPr>
        <w:t>endem das normas convencionais de direito internacional, imperativas para os Estados Parte</w:t>
      </w:r>
      <w:r w:rsidRPr="00C62DF2">
        <w:rPr>
          <w:rFonts w:ascii="Cambria" w:hAnsi="Cambria"/>
          <w:sz w:val="20"/>
          <w:szCs w:val="20"/>
        </w:rPr>
        <w:t>s</w:t>
      </w:r>
      <w:r w:rsidR="008C3011" w:rsidRPr="00C62DF2">
        <w:rPr>
          <w:rFonts w:ascii="Cambria" w:hAnsi="Cambria"/>
          <w:sz w:val="20"/>
          <w:szCs w:val="20"/>
        </w:rPr>
        <w:t>, mas deriva</w:t>
      </w:r>
      <w:r w:rsidRPr="00C62DF2">
        <w:rPr>
          <w:rFonts w:ascii="Cambria" w:hAnsi="Cambria"/>
          <w:sz w:val="20"/>
          <w:szCs w:val="20"/>
        </w:rPr>
        <w:t>m</w:t>
      </w:r>
      <w:r w:rsidR="008C3011" w:rsidRPr="00C62DF2">
        <w:rPr>
          <w:rFonts w:ascii="Cambria" w:hAnsi="Cambria"/>
          <w:sz w:val="20"/>
          <w:szCs w:val="20"/>
        </w:rPr>
        <w:t xml:space="preserve"> da legislação interna que faz referência ao dever de investigar de ofício certas condutas ilícitas e às normas que permitem que as vítimas ou seus familiares denunciem ou apresentem que</w:t>
      </w:r>
      <w:r w:rsidRPr="00C62DF2">
        <w:rPr>
          <w:rFonts w:ascii="Cambria" w:hAnsi="Cambria"/>
          <w:sz w:val="20"/>
          <w:szCs w:val="20"/>
        </w:rPr>
        <w:t>ix</w:t>
      </w:r>
      <w:r w:rsidR="008C3011" w:rsidRPr="00C62DF2">
        <w:rPr>
          <w:rFonts w:ascii="Cambria" w:hAnsi="Cambria"/>
          <w:sz w:val="20"/>
          <w:szCs w:val="20"/>
        </w:rPr>
        <w:t>as, provas, petições ou qualquer outra diligência, com a finalidade de participar processualmente na investigação penal com a pretensão de estabelecer a verdade dos fatos.”</w:t>
      </w:r>
      <w:r w:rsidR="008C3011" w:rsidRPr="00C62DF2">
        <w:rPr>
          <w:rStyle w:val="FootnoteReference"/>
          <w:rFonts w:ascii="Cambria" w:hAnsi="Cambria"/>
          <w:sz w:val="20"/>
          <w:szCs w:val="20"/>
        </w:rPr>
        <w:footnoteReference w:id="199"/>
      </w:r>
    </w:p>
    <w:p w14:paraId="1AF90D60" w14:textId="77777777" w:rsidR="008C3011" w:rsidRPr="00C62DF2" w:rsidRDefault="008C3011" w:rsidP="00FC0CB6">
      <w:pPr>
        <w:pStyle w:val="ListParagraph"/>
        <w:ind w:firstLine="0"/>
        <w:rPr>
          <w:sz w:val="20"/>
          <w:szCs w:val="20"/>
          <w:lang w:val="pt-BR"/>
        </w:rPr>
      </w:pPr>
    </w:p>
    <w:p w14:paraId="5F82EA79" w14:textId="111A2873"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Por outro lado, a Corte IDH destacou que, em casos como o presente, que envolvem atos de violência contra as mulheres, as obrigações gerais estabelecidas nos artigos 8 e 25 da Convenção se complementam e reforçam com as obrigações derivadas da Convenção de Belém do Pará. O artigo 7.b dessa Convenção estabelece que o Estado deve utilizar a devida diligência para prevenir, </w:t>
      </w:r>
      <w:r w:rsidR="00CF4638" w:rsidRPr="00C62DF2">
        <w:rPr>
          <w:rFonts w:ascii="Cambria" w:hAnsi="Cambria"/>
          <w:sz w:val="20"/>
          <w:szCs w:val="20"/>
        </w:rPr>
        <w:t>punir</w:t>
      </w:r>
      <w:r w:rsidRPr="00C62DF2">
        <w:rPr>
          <w:rFonts w:ascii="Cambria" w:hAnsi="Cambria"/>
          <w:sz w:val="20"/>
          <w:szCs w:val="20"/>
        </w:rPr>
        <w:t xml:space="preserve"> e erradicar a violência contra a mulher. Assim, ante um caso de violência contra a mulher, o Estado deve realizar a investigação com determinação.</w:t>
      </w:r>
      <w:r w:rsidRPr="00C62DF2">
        <w:rPr>
          <w:rStyle w:val="FootnoteReference"/>
          <w:rFonts w:ascii="Cambria" w:hAnsi="Cambria"/>
          <w:sz w:val="20"/>
          <w:szCs w:val="20"/>
        </w:rPr>
        <w:footnoteReference w:id="200"/>
      </w:r>
      <w:r w:rsidRPr="00C62DF2">
        <w:rPr>
          <w:rFonts w:ascii="Cambria" w:hAnsi="Cambria"/>
          <w:sz w:val="20"/>
          <w:szCs w:val="20"/>
        </w:rPr>
        <w:t xml:space="preserve"> Nestes casos, as autoridades estatais devem iniciar </w:t>
      </w:r>
      <w:r w:rsidRPr="00C62DF2">
        <w:rPr>
          <w:rFonts w:ascii="Cambria" w:hAnsi="Cambria"/>
          <w:i/>
          <w:iCs/>
          <w:sz w:val="20"/>
          <w:szCs w:val="20"/>
        </w:rPr>
        <w:t xml:space="preserve">ex officio </w:t>
      </w:r>
      <w:r w:rsidRPr="00C62DF2">
        <w:rPr>
          <w:rFonts w:ascii="Cambria" w:hAnsi="Cambria"/>
          <w:sz w:val="20"/>
          <w:szCs w:val="20"/>
        </w:rPr>
        <w:t>e</w:t>
      </w:r>
      <w:r w:rsidRPr="00C62DF2">
        <w:rPr>
          <w:rFonts w:ascii="Cambria" w:hAnsi="Cambria"/>
          <w:i/>
          <w:iCs/>
          <w:sz w:val="20"/>
          <w:szCs w:val="20"/>
        </w:rPr>
        <w:t xml:space="preserve"> </w:t>
      </w:r>
      <w:r w:rsidRPr="00C62DF2">
        <w:rPr>
          <w:rFonts w:ascii="Cambria" w:hAnsi="Cambria"/>
          <w:sz w:val="20"/>
          <w:szCs w:val="20"/>
        </w:rPr>
        <w:t>sem demora uma investigação séria, imparcial e efetiva.</w:t>
      </w:r>
      <w:r w:rsidRPr="00C62DF2">
        <w:rPr>
          <w:rStyle w:val="FootnoteReference"/>
          <w:rFonts w:ascii="Cambria" w:hAnsi="Cambria"/>
          <w:sz w:val="20"/>
          <w:szCs w:val="20"/>
        </w:rPr>
        <w:footnoteReference w:id="201"/>
      </w:r>
    </w:p>
    <w:p w14:paraId="3C6A128D" w14:textId="77777777" w:rsidR="008C3011" w:rsidRPr="00C62DF2" w:rsidRDefault="008C3011" w:rsidP="00FC0CB6">
      <w:pPr>
        <w:pStyle w:val="ListParagraph"/>
        <w:ind w:firstLine="0"/>
        <w:rPr>
          <w:sz w:val="20"/>
          <w:szCs w:val="20"/>
          <w:lang w:val="pt-BR"/>
        </w:rPr>
      </w:pPr>
    </w:p>
    <w:p w14:paraId="4C5688F5" w14:textId="17313187" w:rsidR="008C3011" w:rsidRPr="00C62DF2" w:rsidRDefault="008C3011" w:rsidP="00FC0CB6">
      <w:pPr>
        <w:numPr>
          <w:ilvl w:val="0"/>
          <w:numId w:val="2"/>
        </w:numPr>
        <w:tabs>
          <w:tab w:val="left" w:pos="0"/>
        </w:tabs>
        <w:jc w:val="both"/>
        <w:rPr>
          <w:rFonts w:ascii="Cambria" w:hAnsi="Cambria" w:cs="Arial"/>
          <w:sz w:val="20"/>
          <w:szCs w:val="20"/>
        </w:rPr>
      </w:pPr>
      <w:r w:rsidRPr="00C62DF2">
        <w:rPr>
          <w:rFonts w:ascii="Cambria" w:hAnsi="Cambria"/>
          <w:sz w:val="20"/>
          <w:szCs w:val="20"/>
        </w:rPr>
        <w:t xml:space="preserve">Além disso, a </w:t>
      </w:r>
      <w:r w:rsidRPr="00C62DF2">
        <w:rPr>
          <w:rStyle w:val="Emphasis"/>
          <w:rFonts w:ascii="Cambria" w:hAnsi="Cambria" w:cs="Arial"/>
          <w:i w:val="0"/>
          <w:iCs w:val="0"/>
          <w:sz w:val="20"/>
          <w:szCs w:val="20"/>
        </w:rPr>
        <w:t xml:space="preserve">CIDH considera que é fundamental reconhecer que a Corte IDH estabeleceu </w:t>
      </w:r>
      <w:r w:rsidR="00E57808" w:rsidRPr="00C62DF2">
        <w:rPr>
          <w:rStyle w:val="Emphasis"/>
          <w:rFonts w:ascii="Cambria" w:hAnsi="Cambria" w:cs="Arial"/>
          <w:i w:val="0"/>
          <w:iCs w:val="0"/>
          <w:sz w:val="20"/>
          <w:szCs w:val="20"/>
        </w:rPr>
        <w:t xml:space="preserve">que </w:t>
      </w:r>
      <w:r w:rsidRPr="00C62DF2">
        <w:rPr>
          <w:rFonts w:ascii="Cambria" w:hAnsi="Cambria"/>
          <w:sz w:val="20"/>
          <w:szCs w:val="20"/>
        </w:rPr>
        <w:t>o conceito de estere</w:t>
      </w:r>
      <w:r w:rsidR="00E57808" w:rsidRPr="00C62DF2">
        <w:rPr>
          <w:rFonts w:ascii="Cambria" w:hAnsi="Cambria"/>
          <w:sz w:val="20"/>
          <w:szCs w:val="20"/>
        </w:rPr>
        <w:t>ó</w:t>
      </w:r>
      <w:r w:rsidRPr="00C62DF2">
        <w:rPr>
          <w:rFonts w:ascii="Cambria" w:hAnsi="Cambria"/>
          <w:sz w:val="20"/>
          <w:szCs w:val="20"/>
        </w:rPr>
        <w:t>tipo se refere a “uma preconcepção de atributos ou características possuídas ou pap</w:t>
      </w:r>
      <w:r w:rsidR="00E57808" w:rsidRPr="00C62DF2">
        <w:rPr>
          <w:rFonts w:ascii="Cambria" w:hAnsi="Cambria"/>
          <w:sz w:val="20"/>
          <w:szCs w:val="20"/>
        </w:rPr>
        <w:t>é</w:t>
      </w:r>
      <w:r w:rsidRPr="00C62DF2">
        <w:rPr>
          <w:rFonts w:ascii="Cambria" w:hAnsi="Cambria"/>
          <w:sz w:val="20"/>
          <w:szCs w:val="20"/>
        </w:rPr>
        <w:t>is que são ou deveriam ser executados por homens e mulheres</w:t>
      </w:r>
      <w:r w:rsidR="00E57808" w:rsidRPr="00C62DF2">
        <w:rPr>
          <w:rFonts w:ascii="Cambria" w:hAnsi="Cambria"/>
          <w:sz w:val="20"/>
          <w:szCs w:val="20"/>
        </w:rPr>
        <w:t>,</w:t>
      </w:r>
      <w:r w:rsidRPr="00C62DF2">
        <w:rPr>
          <w:rFonts w:ascii="Cambria" w:hAnsi="Cambria"/>
          <w:sz w:val="20"/>
          <w:szCs w:val="20"/>
        </w:rPr>
        <w:t xml:space="preserve"> respectivamente (…) é possível associar a subordinação da mulher a práticas com base em estereótipos de gênero socialmente dominantes e socialmente persistentes, condições que se agravam quando os estereótipos se refletem, implícita ou explicitamente, em políticas e práticas, particularmente no raciocínio e linguagem das autoridades da polícia judicial (…).</w:t>
      </w:r>
      <w:r w:rsidRPr="00C62DF2">
        <w:rPr>
          <w:rStyle w:val="FootnoteReference"/>
          <w:rFonts w:ascii="Cambria" w:hAnsi="Cambria"/>
          <w:sz w:val="20"/>
          <w:szCs w:val="20"/>
        </w:rPr>
        <w:footnoteReference w:id="202"/>
      </w:r>
    </w:p>
    <w:p w14:paraId="2ED101C3" w14:textId="77777777" w:rsidR="008C3011" w:rsidRPr="00C62DF2" w:rsidRDefault="008C3011" w:rsidP="00FC0CB6">
      <w:pPr>
        <w:pStyle w:val="ListParagraph"/>
        <w:ind w:firstLine="0"/>
        <w:rPr>
          <w:rFonts w:cs="Arial"/>
          <w:sz w:val="20"/>
          <w:szCs w:val="20"/>
          <w:lang w:val="pt-BR"/>
        </w:rPr>
      </w:pPr>
    </w:p>
    <w:p w14:paraId="233D58C1" w14:textId="4A437714" w:rsidR="008C3011" w:rsidRPr="00C62DF2" w:rsidRDefault="008C3011" w:rsidP="00FC0CB6">
      <w:pPr>
        <w:numPr>
          <w:ilvl w:val="0"/>
          <w:numId w:val="2"/>
        </w:numPr>
        <w:tabs>
          <w:tab w:val="left" w:pos="0"/>
        </w:tabs>
        <w:jc w:val="both"/>
        <w:rPr>
          <w:rFonts w:ascii="Cambria" w:hAnsi="Cambria" w:cs="Arial"/>
          <w:sz w:val="20"/>
          <w:szCs w:val="20"/>
        </w:rPr>
      </w:pPr>
      <w:r w:rsidRPr="00C62DF2">
        <w:rPr>
          <w:rFonts w:ascii="Cambria" w:hAnsi="Cambria"/>
          <w:sz w:val="20"/>
          <w:szCs w:val="20"/>
        </w:rPr>
        <w:t xml:space="preserve">Tanto a CIDH como a Corte Interamericana identificaram uma série de impactos negativos que os estereótipos e os estereótipos de gênero </w:t>
      </w:r>
      <w:r w:rsidR="00D32C91" w:rsidRPr="00C62DF2">
        <w:rPr>
          <w:rFonts w:ascii="Cambria" w:hAnsi="Cambria"/>
          <w:sz w:val="20"/>
          <w:szCs w:val="20"/>
        </w:rPr>
        <w:t xml:space="preserve">podem ter </w:t>
      </w:r>
      <w:r w:rsidRPr="00C62DF2">
        <w:rPr>
          <w:rFonts w:ascii="Cambria" w:hAnsi="Cambria"/>
          <w:sz w:val="20"/>
          <w:szCs w:val="20"/>
        </w:rPr>
        <w:t>no âmbito de investigações penais, que podem ser resumid</w:t>
      </w:r>
      <w:r w:rsidR="008A3067" w:rsidRPr="00C62DF2">
        <w:rPr>
          <w:rFonts w:ascii="Cambria" w:hAnsi="Cambria"/>
          <w:sz w:val="20"/>
          <w:szCs w:val="20"/>
        </w:rPr>
        <w:t>o</w:t>
      </w:r>
      <w:r w:rsidRPr="00C62DF2">
        <w:rPr>
          <w:rFonts w:ascii="Cambria" w:hAnsi="Cambria"/>
          <w:sz w:val="20"/>
          <w:szCs w:val="20"/>
        </w:rPr>
        <w:t>s nos seguintes: i) a indevida avaliação da</w:t>
      </w:r>
      <w:r w:rsidR="008A3067" w:rsidRPr="00C62DF2">
        <w:rPr>
          <w:rFonts w:ascii="Cambria" w:hAnsi="Cambria"/>
          <w:sz w:val="20"/>
          <w:szCs w:val="20"/>
        </w:rPr>
        <w:t>s</w:t>
      </w:r>
      <w:r w:rsidRPr="00C62DF2">
        <w:rPr>
          <w:rFonts w:ascii="Cambria" w:hAnsi="Cambria"/>
          <w:sz w:val="20"/>
          <w:szCs w:val="20"/>
        </w:rPr>
        <w:t xml:space="preserve"> prova</w:t>
      </w:r>
      <w:r w:rsidR="008A3067" w:rsidRPr="00C62DF2">
        <w:rPr>
          <w:rFonts w:ascii="Cambria" w:hAnsi="Cambria"/>
          <w:sz w:val="20"/>
          <w:szCs w:val="20"/>
        </w:rPr>
        <w:t>s</w:t>
      </w:r>
      <w:r w:rsidRPr="00C62DF2">
        <w:rPr>
          <w:rFonts w:ascii="Cambria" w:hAnsi="Cambria"/>
          <w:sz w:val="20"/>
          <w:szCs w:val="20"/>
        </w:rPr>
        <w:t xml:space="preserve"> através de noções que generalizam o comportamento e papel social; ii) o </w:t>
      </w:r>
      <w:r w:rsidR="008A3067" w:rsidRPr="00C62DF2">
        <w:rPr>
          <w:rFonts w:ascii="Cambria" w:hAnsi="Cambria"/>
          <w:sz w:val="20"/>
          <w:szCs w:val="20"/>
        </w:rPr>
        <w:t>encerr</w:t>
      </w:r>
      <w:r w:rsidRPr="00C62DF2">
        <w:rPr>
          <w:rFonts w:ascii="Cambria" w:hAnsi="Cambria"/>
          <w:sz w:val="20"/>
          <w:szCs w:val="20"/>
        </w:rPr>
        <w:t xml:space="preserve">amento de possíveis linhas de investigação sobre as circunstâncias </w:t>
      </w:r>
      <w:r w:rsidRPr="00C62DF2">
        <w:rPr>
          <w:rFonts w:ascii="Cambria" w:hAnsi="Cambria"/>
          <w:sz w:val="20"/>
          <w:szCs w:val="20"/>
        </w:rPr>
        <w:lastRenderedPageBreak/>
        <w:t>do caso e identificação dos autores</w:t>
      </w:r>
      <w:r w:rsidRPr="00C62DF2">
        <w:rPr>
          <w:rStyle w:val="FootnoteReference"/>
          <w:rFonts w:ascii="Cambria" w:hAnsi="Cambria"/>
          <w:sz w:val="20"/>
          <w:szCs w:val="20"/>
        </w:rPr>
        <w:footnoteReference w:id="203"/>
      </w:r>
      <w:r w:rsidRPr="00C62DF2">
        <w:rPr>
          <w:rFonts w:ascii="Cambria" w:hAnsi="Cambria"/>
          <w:sz w:val="20"/>
          <w:szCs w:val="20"/>
        </w:rPr>
        <w:t xml:space="preserve">; iii) a falta de análise exaustiva da cena do crime </w:t>
      </w:r>
      <w:r w:rsidR="008A3067" w:rsidRPr="00C62DF2">
        <w:rPr>
          <w:rFonts w:ascii="Cambria" w:hAnsi="Cambria"/>
          <w:sz w:val="20"/>
          <w:szCs w:val="20"/>
        </w:rPr>
        <w:t xml:space="preserve">e </w:t>
      </w:r>
      <w:r w:rsidRPr="00C62DF2">
        <w:rPr>
          <w:rFonts w:ascii="Cambria" w:hAnsi="Cambria"/>
          <w:sz w:val="20"/>
          <w:szCs w:val="20"/>
        </w:rPr>
        <w:t>fal</w:t>
      </w:r>
      <w:r w:rsidR="008A3067" w:rsidRPr="00C62DF2">
        <w:rPr>
          <w:rFonts w:ascii="Cambria" w:hAnsi="Cambria"/>
          <w:sz w:val="20"/>
          <w:szCs w:val="20"/>
        </w:rPr>
        <w:t>h</w:t>
      </w:r>
      <w:r w:rsidRPr="00C62DF2">
        <w:rPr>
          <w:rFonts w:ascii="Cambria" w:hAnsi="Cambria"/>
          <w:sz w:val="20"/>
          <w:szCs w:val="20"/>
        </w:rPr>
        <w:t>as na coleta, documentação e preservação de evidência</w:t>
      </w:r>
      <w:r w:rsidR="008A3067" w:rsidRPr="00C62DF2">
        <w:rPr>
          <w:rFonts w:ascii="Cambria" w:hAnsi="Cambria"/>
          <w:sz w:val="20"/>
          <w:szCs w:val="20"/>
        </w:rPr>
        <w:t>s</w:t>
      </w:r>
      <w:r w:rsidRPr="00C62DF2">
        <w:rPr>
          <w:rFonts w:ascii="Cambria" w:hAnsi="Cambria"/>
          <w:sz w:val="20"/>
          <w:szCs w:val="20"/>
        </w:rPr>
        <w:t xml:space="preserve">, irregularidades nos reconhecimentos médicos forenses; iv) omissão de diligências de investigação </w:t>
      </w:r>
      <w:r w:rsidR="008A3067" w:rsidRPr="00C62DF2">
        <w:rPr>
          <w:rFonts w:ascii="Cambria" w:hAnsi="Cambria"/>
          <w:sz w:val="20"/>
          <w:szCs w:val="20"/>
        </w:rPr>
        <w:t>em</w:t>
      </w:r>
      <w:r w:rsidRPr="00C62DF2">
        <w:rPr>
          <w:rFonts w:ascii="Cambria" w:hAnsi="Cambria"/>
          <w:sz w:val="20"/>
          <w:szCs w:val="20"/>
        </w:rPr>
        <w:t xml:space="preserve"> consequência de avaliações sobre o comportamento social de homens e mulheres</w:t>
      </w:r>
      <w:r w:rsidRPr="00C62DF2">
        <w:rPr>
          <w:rStyle w:val="FootnoteReference"/>
          <w:rFonts w:ascii="Cambria" w:hAnsi="Cambria"/>
          <w:sz w:val="20"/>
          <w:szCs w:val="20"/>
        </w:rPr>
        <w:footnoteReference w:id="204"/>
      </w:r>
      <w:r w:rsidRPr="00C62DF2">
        <w:rPr>
          <w:rFonts w:ascii="Cambria" w:hAnsi="Cambria"/>
          <w:sz w:val="20"/>
          <w:szCs w:val="20"/>
        </w:rPr>
        <w:t>; v) assunção tácita de responsabilidade das mulheres nos fatos, por sua forma de vestir, sua ocupação de trabalho, conduta sexual, etc.</w:t>
      </w:r>
      <w:r w:rsidRPr="00C62DF2">
        <w:rPr>
          <w:rStyle w:val="FootnoteReference"/>
          <w:rFonts w:ascii="Cambria" w:hAnsi="Cambria"/>
          <w:sz w:val="20"/>
          <w:szCs w:val="20"/>
        </w:rPr>
        <w:footnoteReference w:id="205"/>
      </w:r>
      <w:r w:rsidRPr="00C62DF2">
        <w:rPr>
          <w:rFonts w:ascii="Cambria" w:hAnsi="Cambria"/>
          <w:sz w:val="20"/>
          <w:szCs w:val="20"/>
        </w:rPr>
        <w:t xml:space="preserve"> ou condenações baseadas em estereótipos negativos de certos grupos que permitem a</w:t>
      </w:r>
      <w:r w:rsidR="001E51C2" w:rsidRPr="00C62DF2">
        <w:rPr>
          <w:rFonts w:ascii="Cambria" w:hAnsi="Cambria"/>
          <w:sz w:val="20"/>
          <w:szCs w:val="20"/>
        </w:rPr>
        <w:t>tes</w:t>
      </w:r>
      <w:r w:rsidRPr="00C62DF2">
        <w:rPr>
          <w:rFonts w:ascii="Cambria" w:hAnsi="Cambria"/>
          <w:sz w:val="20"/>
          <w:szCs w:val="20"/>
        </w:rPr>
        <w:t>tar os elementos da responsabilidade penal.</w:t>
      </w:r>
      <w:r w:rsidRPr="00C62DF2">
        <w:rPr>
          <w:rStyle w:val="FootnoteReference"/>
          <w:rFonts w:ascii="Cambria" w:hAnsi="Cambria"/>
          <w:sz w:val="20"/>
          <w:szCs w:val="20"/>
        </w:rPr>
        <w:footnoteReference w:id="206"/>
      </w:r>
      <w:r w:rsidRPr="00C62DF2">
        <w:rPr>
          <w:rFonts w:ascii="Cambria" w:hAnsi="Cambria"/>
          <w:sz w:val="20"/>
          <w:szCs w:val="20"/>
        </w:rPr>
        <w:t xml:space="preserve"> </w:t>
      </w:r>
    </w:p>
    <w:p w14:paraId="03829F76" w14:textId="77777777" w:rsidR="008C3011" w:rsidRPr="00C62DF2" w:rsidRDefault="008C3011" w:rsidP="00FC0CB6">
      <w:pPr>
        <w:pStyle w:val="ListParagraph"/>
        <w:ind w:firstLine="0"/>
        <w:rPr>
          <w:rFonts w:cs="Arial"/>
          <w:sz w:val="20"/>
          <w:szCs w:val="20"/>
          <w:lang w:val="pt-BR"/>
        </w:rPr>
      </w:pPr>
    </w:p>
    <w:p w14:paraId="452C1FF3" w14:textId="62F2EDA1" w:rsidR="008C3011" w:rsidRPr="00C62DF2" w:rsidRDefault="008C3011" w:rsidP="00FC0CB6">
      <w:pPr>
        <w:numPr>
          <w:ilvl w:val="0"/>
          <w:numId w:val="2"/>
        </w:numPr>
        <w:tabs>
          <w:tab w:val="left" w:pos="0"/>
        </w:tabs>
        <w:jc w:val="both"/>
        <w:rPr>
          <w:rStyle w:val="Emphasis"/>
          <w:rFonts w:ascii="Cambria" w:hAnsi="Cambria"/>
          <w:i w:val="0"/>
          <w:iCs w:val="0"/>
          <w:sz w:val="20"/>
          <w:szCs w:val="20"/>
        </w:rPr>
      </w:pPr>
      <w:r w:rsidRPr="00C62DF2">
        <w:rPr>
          <w:rFonts w:ascii="Cambria" w:hAnsi="Cambria" w:cs="Cambria"/>
          <w:bCs/>
          <w:sz w:val="20"/>
          <w:szCs w:val="20"/>
          <w:u w:color="000000"/>
          <w:lang w:eastAsia="es-ES"/>
        </w:rPr>
        <w:t>A Corte considerou que o dever de não discriminação não se cumpre em casos</w:t>
      </w:r>
      <w:r w:rsidR="001E51C2" w:rsidRPr="00C62DF2">
        <w:rPr>
          <w:rFonts w:ascii="Cambria" w:hAnsi="Cambria" w:cs="Cambria"/>
          <w:bCs/>
          <w:sz w:val="20"/>
          <w:szCs w:val="20"/>
          <w:u w:color="000000"/>
          <w:lang w:eastAsia="es-ES"/>
        </w:rPr>
        <w:t xml:space="preserve"> nos quais</w:t>
      </w:r>
      <w:r w:rsidRPr="00C62DF2">
        <w:rPr>
          <w:rFonts w:ascii="Cambria" w:hAnsi="Cambria" w:cs="Cambria"/>
          <w:bCs/>
          <w:sz w:val="20"/>
          <w:szCs w:val="20"/>
          <w:u w:color="000000"/>
          <w:lang w:eastAsia="es-ES"/>
        </w:rPr>
        <w:t xml:space="preserve"> funcionários a cargo de uma investigação relacionada com a violência de uma mulher efetuem declarações que denotem a existência de preconceitos e estereótipos sobre o papel social das mulheres.</w:t>
      </w:r>
      <w:r w:rsidRPr="00C62DF2">
        <w:rPr>
          <w:rStyle w:val="FootnoteReference"/>
          <w:rFonts w:cs="Cambria"/>
          <w:bCs/>
          <w:szCs w:val="20"/>
          <w:u w:color="000000"/>
          <w:lang w:eastAsia="es-ES"/>
        </w:rPr>
        <w:footnoteReference w:id="207"/>
      </w:r>
      <w:r w:rsidRPr="00C62DF2">
        <w:rPr>
          <w:rStyle w:val="Emphasis"/>
          <w:rFonts w:ascii="Cambria" w:hAnsi="Cambria" w:cs="Arial"/>
          <w:sz w:val="20"/>
          <w:szCs w:val="20"/>
        </w:rPr>
        <w:t xml:space="preserve"> </w:t>
      </w:r>
    </w:p>
    <w:p w14:paraId="48D27BF4" w14:textId="77777777" w:rsidR="008C3011" w:rsidRPr="00C62DF2" w:rsidRDefault="008C3011" w:rsidP="00FC0CB6">
      <w:pPr>
        <w:pStyle w:val="ListParagraph"/>
        <w:ind w:firstLine="0"/>
        <w:rPr>
          <w:rStyle w:val="Emphasis"/>
          <w:rFonts w:cs="Arial"/>
          <w:i w:val="0"/>
          <w:iCs w:val="0"/>
          <w:sz w:val="20"/>
          <w:szCs w:val="20"/>
          <w:lang w:val="pt-BR"/>
        </w:rPr>
      </w:pPr>
    </w:p>
    <w:p w14:paraId="4DEA0ED7" w14:textId="2E650813" w:rsidR="008C3011" w:rsidRPr="00C62DF2" w:rsidRDefault="008C3011" w:rsidP="00FC0CB6">
      <w:pPr>
        <w:numPr>
          <w:ilvl w:val="0"/>
          <w:numId w:val="2"/>
        </w:numPr>
        <w:tabs>
          <w:tab w:val="left" w:pos="0"/>
        </w:tabs>
        <w:jc w:val="both"/>
        <w:rPr>
          <w:rStyle w:val="Emphasis"/>
          <w:rFonts w:ascii="Cambria" w:hAnsi="Cambria" w:cs="Arial"/>
          <w:i w:val="0"/>
          <w:iCs w:val="0"/>
          <w:sz w:val="20"/>
          <w:szCs w:val="20"/>
        </w:rPr>
      </w:pPr>
      <w:r w:rsidRPr="00C62DF2">
        <w:rPr>
          <w:rStyle w:val="Emphasis"/>
          <w:rFonts w:ascii="Cambria" w:hAnsi="Cambria" w:cs="Arial"/>
          <w:i w:val="0"/>
          <w:iCs w:val="0"/>
          <w:sz w:val="20"/>
          <w:szCs w:val="20"/>
        </w:rPr>
        <w:t>A Comissão reconheceu a importância da interdisciplinaridade e a necessidade de um enfoque de gênero nas políticas de memória.</w:t>
      </w:r>
      <w:r w:rsidRPr="00C62DF2">
        <w:rPr>
          <w:rStyle w:val="FootnoteReference"/>
          <w:rFonts w:ascii="Cambria" w:hAnsi="Cambria" w:cs="Arial"/>
          <w:i/>
          <w:iCs/>
          <w:sz w:val="20"/>
          <w:szCs w:val="20"/>
        </w:rPr>
        <w:footnoteReference w:id="208"/>
      </w:r>
      <w:r w:rsidRPr="00C62DF2">
        <w:rPr>
          <w:rStyle w:val="Emphasis"/>
          <w:rFonts w:ascii="Cambria" w:hAnsi="Cambria" w:cs="Arial"/>
          <w:i w:val="0"/>
          <w:iCs w:val="0"/>
          <w:sz w:val="20"/>
          <w:szCs w:val="20"/>
        </w:rPr>
        <w:t xml:space="preserve"> </w:t>
      </w:r>
      <w:r w:rsidR="0027183E" w:rsidRPr="00C62DF2">
        <w:rPr>
          <w:rStyle w:val="Emphasis"/>
          <w:rFonts w:ascii="Cambria" w:hAnsi="Cambria" w:cs="Arial"/>
          <w:i w:val="0"/>
          <w:iCs w:val="0"/>
          <w:sz w:val="20"/>
          <w:szCs w:val="20"/>
        </w:rPr>
        <w:t>Por</w:t>
      </w:r>
      <w:r w:rsidRPr="00C62DF2">
        <w:rPr>
          <w:rStyle w:val="Emphasis"/>
          <w:rFonts w:ascii="Cambria" w:hAnsi="Cambria" w:cs="Arial"/>
          <w:i w:val="0"/>
          <w:iCs w:val="0"/>
          <w:sz w:val="20"/>
          <w:szCs w:val="20"/>
        </w:rPr>
        <w:t xml:space="preserve"> sua </w:t>
      </w:r>
      <w:r w:rsidR="0027183E" w:rsidRPr="00C62DF2">
        <w:rPr>
          <w:rStyle w:val="Emphasis"/>
          <w:rFonts w:ascii="Cambria" w:hAnsi="Cambria" w:cs="Arial"/>
          <w:i w:val="0"/>
          <w:iCs w:val="0"/>
          <w:sz w:val="20"/>
          <w:szCs w:val="20"/>
        </w:rPr>
        <w:t>vez</w:t>
      </w:r>
      <w:r w:rsidRPr="00C62DF2">
        <w:rPr>
          <w:rStyle w:val="Emphasis"/>
          <w:rFonts w:ascii="Cambria" w:hAnsi="Cambria" w:cs="Arial"/>
          <w:i w:val="0"/>
          <w:iCs w:val="0"/>
          <w:sz w:val="20"/>
          <w:szCs w:val="20"/>
        </w:rPr>
        <w:t>, as Nações Unidas afirmaram que os Estados devem se esforçar para garantir os direitos das mulheres em processos e mecanismos de justiça transicional. Nesse sentido, indicaram que os enfoques de justiça transicional devem prestar especial atenção às violações cometidas contra os grupos mais afetad</w:t>
      </w:r>
      <w:r w:rsidR="0027183E" w:rsidRPr="00C62DF2">
        <w:rPr>
          <w:rStyle w:val="Emphasis"/>
          <w:rFonts w:ascii="Cambria" w:hAnsi="Cambria" w:cs="Arial"/>
          <w:i w:val="0"/>
          <w:iCs w:val="0"/>
          <w:sz w:val="20"/>
          <w:szCs w:val="20"/>
        </w:rPr>
        <w:t>o</w:t>
      </w:r>
      <w:r w:rsidRPr="00C62DF2">
        <w:rPr>
          <w:rStyle w:val="Emphasis"/>
          <w:rFonts w:ascii="Cambria" w:hAnsi="Cambria" w:cs="Arial"/>
          <w:i w:val="0"/>
          <w:iCs w:val="0"/>
          <w:sz w:val="20"/>
          <w:szCs w:val="20"/>
        </w:rPr>
        <w:t>s por conflitos</w:t>
      </w:r>
      <w:r w:rsidR="0027183E" w:rsidRPr="00C62DF2">
        <w:rPr>
          <w:rStyle w:val="Emphasis"/>
          <w:rFonts w:ascii="Cambria" w:hAnsi="Cambria" w:cs="Arial"/>
          <w:i w:val="0"/>
          <w:iCs w:val="0"/>
          <w:sz w:val="20"/>
          <w:szCs w:val="20"/>
        </w:rPr>
        <w:t>,</w:t>
      </w:r>
      <w:r w:rsidRPr="00C62DF2">
        <w:rPr>
          <w:rStyle w:val="Emphasis"/>
          <w:rFonts w:ascii="Cambria" w:hAnsi="Cambria" w:cs="Arial"/>
          <w:i w:val="0"/>
          <w:iCs w:val="0"/>
          <w:sz w:val="20"/>
          <w:szCs w:val="20"/>
        </w:rPr>
        <w:t xml:space="preserve"> em particular as mulheres. Isso se deve a que a desigualdade de gênero é uma das formas mais generalizadas de desigualdade social que se vê agravada por situações de graves violações de direitos humanos</w:t>
      </w:r>
      <w:r w:rsidR="0027183E" w:rsidRPr="00C62DF2">
        <w:rPr>
          <w:rStyle w:val="Emphasis"/>
          <w:rFonts w:ascii="Cambria" w:hAnsi="Cambria" w:cs="Arial"/>
          <w:i w:val="0"/>
          <w:iCs w:val="0"/>
          <w:sz w:val="20"/>
          <w:szCs w:val="20"/>
        </w:rPr>
        <w:t>;</w:t>
      </w:r>
      <w:r w:rsidRPr="00C62DF2">
        <w:rPr>
          <w:rStyle w:val="Emphasis"/>
          <w:rFonts w:ascii="Cambria" w:hAnsi="Cambria" w:cs="Arial"/>
          <w:i w:val="0"/>
          <w:iCs w:val="0"/>
          <w:sz w:val="20"/>
          <w:szCs w:val="20"/>
        </w:rPr>
        <w:t xml:space="preserve"> além d</w:t>
      </w:r>
      <w:r w:rsidR="0027183E" w:rsidRPr="00C62DF2">
        <w:rPr>
          <w:rStyle w:val="Emphasis"/>
          <w:rFonts w:ascii="Cambria" w:hAnsi="Cambria" w:cs="Arial"/>
          <w:i w:val="0"/>
          <w:iCs w:val="0"/>
          <w:sz w:val="20"/>
          <w:szCs w:val="20"/>
        </w:rPr>
        <w:t>isso,</w:t>
      </w:r>
      <w:r w:rsidRPr="00C62DF2">
        <w:rPr>
          <w:rStyle w:val="Emphasis"/>
          <w:rFonts w:ascii="Cambria" w:hAnsi="Cambria" w:cs="Arial"/>
          <w:i w:val="0"/>
          <w:iCs w:val="0"/>
          <w:sz w:val="20"/>
          <w:szCs w:val="20"/>
        </w:rPr>
        <w:t xml:space="preserve"> as formas arraigadas de violência de gênero também fazem com que as mulheres e as meninas sejam particularmente vulneráveis a violações de direitos humanos em tempos de conflitos. Nesse contexto, o estigma social e o trauma associado às violações sofridas, </w:t>
      </w:r>
      <w:r w:rsidR="0027183E" w:rsidRPr="00C62DF2">
        <w:rPr>
          <w:rStyle w:val="Emphasis"/>
          <w:rFonts w:ascii="Cambria" w:hAnsi="Cambria" w:cs="Arial"/>
          <w:i w:val="0"/>
          <w:iCs w:val="0"/>
          <w:sz w:val="20"/>
          <w:szCs w:val="20"/>
        </w:rPr>
        <w:t>bem</w:t>
      </w:r>
      <w:r w:rsidRPr="00C62DF2">
        <w:rPr>
          <w:rStyle w:val="Emphasis"/>
          <w:rFonts w:ascii="Cambria" w:hAnsi="Cambria" w:cs="Arial"/>
          <w:i w:val="0"/>
          <w:iCs w:val="0"/>
          <w:sz w:val="20"/>
          <w:szCs w:val="20"/>
        </w:rPr>
        <w:t xml:space="preserve"> como a exclusão das mulheres nos processos de tomada de decisões públicas</w:t>
      </w:r>
      <w:r w:rsidR="0027183E" w:rsidRPr="00C62DF2">
        <w:rPr>
          <w:rStyle w:val="Emphasis"/>
          <w:rFonts w:ascii="Cambria" w:hAnsi="Cambria" w:cs="Arial"/>
          <w:i w:val="0"/>
          <w:iCs w:val="0"/>
          <w:sz w:val="20"/>
          <w:szCs w:val="20"/>
        </w:rPr>
        <w:t>,</w:t>
      </w:r>
      <w:r w:rsidRPr="00C62DF2">
        <w:rPr>
          <w:rStyle w:val="Emphasis"/>
          <w:rFonts w:ascii="Cambria" w:hAnsi="Cambria" w:cs="Arial"/>
          <w:i w:val="0"/>
          <w:iCs w:val="0"/>
          <w:sz w:val="20"/>
          <w:szCs w:val="20"/>
        </w:rPr>
        <w:t xml:space="preserve"> fazem com que seja particularmente difícil para as mulheres participar dos mecanismos de justiça transicional. Portanto, os mecanismos de justiça transicional devem prever medidas especiais para garantir que as mulheres recebam uma reparação adequada pelas violações relacionadas com o conflito, que as mulheres possam participar plenamente nestes processos e que seus direitos e perspectivas</w:t>
      </w:r>
      <w:r w:rsidR="0027183E" w:rsidRPr="00C62DF2">
        <w:rPr>
          <w:rStyle w:val="Emphasis"/>
          <w:rFonts w:ascii="Cambria" w:hAnsi="Cambria" w:cs="Arial"/>
          <w:i w:val="0"/>
          <w:iCs w:val="0"/>
          <w:sz w:val="20"/>
          <w:szCs w:val="20"/>
        </w:rPr>
        <w:t xml:space="preserve"> sejam abordados adequadamente</w:t>
      </w:r>
      <w:r w:rsidRPr="00C62DF2">
        <w:rPr>
          <w:rStyle w:val="Emphasis"/>
          <w:rFonts w:ascii="Cambria" w:hAnsi="Cambria" w:cs="Arial"/>
          <w:i w:val="0"/>
          <w:iCs w:val="0"/>
          <w:sz w:val="20"/>
          <w:szCs w:val="20"/>
        </w:rPr>
        <w:t>.</w:t>
      </w:r>
      <w:r w:rsidRPr="00C62DF2">
        <w:rPr>
          <w:rStyle w:val="FootnoteReference"/>
          <w:rFonts w:ascii="Cambria" w:hAnsi="Cambria" w:cs="Arial"/>
          <w:i/>
          <w:iCs/>
          <w:sz w:val="20"/>
          <w:szCs w:val="20"/>
        </w:rPr>
        <w:t xml:space="preserve"> </w:t>
      </w:r>
      <w:r w:rsidRPr="00C62DF2">
        <w:rPr>
          <w:rStyle w:val="FootnoteReference"/>
          <w:rFonts w:ascii="Cambria" w:hAnsi="Cambria" w:cs="Arial"/>
          <w:i/>
          <w:iCs/>
          <w:sz w:val="20"/>
          <w:szCs w:val="20"/>
        </w:rPr>
        <w:footnoteReference w:id="209"/>
      </w:r>
    </w:p>
    <w:p w14:paraId="274827B9" w14:textId="77777777" w:rsidR="008C3011" w:rsidRPr="00C62DF2" w:rsidRDefault="008C3011" w:rsidP="00FC0CB6">
      <w:pPr>
        <w:tabs>
          <w:tab w:val="left" w:pos="0"/>
        </w:tabs>
        <w:ind w:left="567"/>
        <w:jc w:val="both"/>
        <w:rPr>
          <w:rStyle w:val="Emphasis"/>
          <w:rFonts w:ascii="Cambria" w:hAnsi="Cambria" w:cs="Arial"/>
          <w:i w:val="0"/>
          <w:iCs w:val="0"/>
          <w:sz w:val="20"/>
          <w:szCs w:val="20"/>
        </w:rPr>
      </w:pPr>
    </w:p>
    <w:p w14:paraId="1628A0FA" w14:textId="019A6F91" w:rsidR="008C3011" w:rsidRPr="00C62DF2" w:rsidRDefault="008C3011" w:rsidP="00FC0CB6">
      <w:pPr>
        <w:numPr>
          <w:ilvl w:val="0"/>
          <w:numId w:val="2"/>
        </w:numPr>
        <w:tabs>
          <w:tab w:val="left" w:pos="0"/>
        </w:tabs>
        <w:jc w:val="both"/>
        <w:rPr>
          <w:rFonts w:ascii="Cambria" w:hAnsi="Cambria" w:cs="Arial"/>
          <w:sz w:val="20"/>
          <w:szCs w:val="20"/>
        </w:rPr>
      </w:pPr>
      <w:r w:rsidRPr="00C62DF2">
        <w:rPr>
          <w:rStyle w:val="Emphasis"/>
          <w:rFonts w:ascii="Cambria" w:hAnsi="Cambria" w:cs="Arial"/>
          <w:i w:val="0"/>
          <w:iCs w:val="0"/>
          <w:sz w:val="20"/>
          <w:szCs w:val="20"/>
        </w:rPr>
        <w:t xml:space="preserve">Sobre </w:t>
      </w:r>
      <w:r w:rsidR="00666BD2" w:rsidRPr="00C62DF2">
        <w:rPr>
          <w:rStyle w:val="Emphasis"/>
          <w:rFonts w:ascii="Cambria" w:hAnsi="Cambria" w:cs="Arial"/>
          <w:i w:val="0"/>
          <w:iCs w:val="0"/>
          <w:sz w:val="20"/>
          <w:szCs w:val="20"/>
        </w:rPr>
        <w:t>esse</w:t>
      </w:r>
      <w:r w:rsidRPr="00C62DF2">
        <w:rPr>
          <w:rStyle w:val="Emphasis"/>
          <w:rFonts w:ascii="Cambria" w:hAnsi="Cambria" w:cs="Arial"/>
          <w:i w:val="0"/>
          <w:iCs w:val="0"/>
          <w:sz w:val="20"/>
          <w:szCs w:val="20"/>
        </w:rPr>
        <w:t xml:space="preserve"> tema, </w:t>
      </w:r>
      <w:r w:rsidRPr="00C62DF2">
        <w:rPr>
          <w:rStyle w:val="Emphasis"/>
          <w:rFonts w:ascii="Cambria" w:hAnsi="Cambria"/>
          <w:i w:val="0"/>
          <w:iCs w:val="0"/>
          <w:sz w:val="20"/>
          <w:szCs w:val="20"/>
        </w:rPr>
        <w:t>as Nações Unidas reconheceram que os mandatos das comissões da verdade prestaram pouca atenção a questões de gênero, o que imp</w:t>
      </w:r>
      <w:r w:rsidR="00666BD2" w:rsidRPr="00C62DF2">
        <w:rPr>
          <w:rStyle w:val="Emphasis"/>
          <w:rFonts w:ascii="Cambria" w:hAnsi="Cambria"/>
          <w:i w:val="0"/>
          <w:iCs w:val="0"/>
          <w:sz w:val="20"/>
          <w:szCs w:val="20"/>
        </w:rPr>
        <w:t>lica</w:t>
      </w:r>
      <w:r w:rsidRPr="00C62DF2">
        <w:rPr>
          <w:rStyle w:val="Emphasis"/>
          <w:rFonts w:ascii="Cambria" w:hAnsi="Cambria"/>
          <w:i w:val="0"/>
          <w:iCs w:val="0"/>
          <w:sz w:val="20"/>
          <w:szCs w:val="20"/>
        </w:rPr>
        <w:t xml:space="preserve"> que deix</w:t>
      </w:r>
      <w:r w:rsidR="00666BD2" w:rsidRPr="00C62DF2">
        <w:rPr>
          <w:rStyle w:val="Emphasis"/>
          <w:rFonts w:ascii="Cambria" w:hAnsi="Cambria"/>
          <w:i w:val="0"/>
          <w:iCs w:val="0"/>
          <w:sz w:val="20"/>
          <w:szCs w:val="20"/>
        </w:rPr>
        <w:t>aram</w:t>
      </w:r>
      <w:r w:rsidRPr="00C62DF2">
        <w:rPr>
          <w:rStyle w:val="Emphasis"/>
          <w:rFonts w:ascii="Cambria" w:hAnsi="Cambria"/>
          <w:i w:val="0"/>
          <w:iCs w:val="0"/>
          <w:sz w:val="20"/>
          <w:szCs w:val="20"/>
        </w:rPr>
        <w:t xml:space="preserve"> de lado as vozes e histórias das mulheres.</w:t>
      </w:r>
      <w:r w:rsidRPr="00C62DF2">
        <w:rPr>
          <w:rStyle w:val="FootnoteReference"/>
          <w:rFonts w:ascii="Cambria" w:hAnsi="Cambria"/>
          <w:i/>
          <w:iCs/>
          <w:sz w:val="20"/>
          <w:szCs w:val="20"/>
        </w:rPr>
        <w:footnoteReference w:id="210"/>
      </w:r>
      <w:r w:rsidRPr="00C62DF2">
        <w:rPr>
          <w:rStyle w:val="Emphasis"/>
          <w:rFonts w:ascii="Cambria" w:hAnsi="Cambria"/>
          <w:i w:val="0"/>
          <w:iCs w:val="0"/>
          <w:sz w:val="20"/>
          <w:szCs w:val="20"/>
        </w:rPr>
        <w:t xml:space="preserve"> </w:t>
      </w:r>
      <w:r w:rsidR="00666BD2" w:rsidRPr="00C62DF2">
        <w:rPr>
          <w:rStyle w:val="Emphasis"/>
          <w:rFonts w:ascii="Cambria" w:hAnsi="Cambria"/>
          <w:i w:val="0"/>
          <w:iCs w:val="0"/>
          <w:sz w:val="20"/>
          <w:szCs w:val="20"/>
        </w:rPr>
        <w:t>O</w:t>
      </w:r>
      <w:r w:rsidRPr="00C62DF2">
        <w:rPr>
          <w:rStyle w:val="Emphasis"/>
          <w:rFonts w:ascii="Cambria" w:hAnsi="Cambria"/>
          <w:i w:val="0"/>
          <w:iCs w:val="0"/>
          <w:sz w:val="20"/>
          <w:szCs w:val="20"/>
        </w:rPr>
        <w:t xml:space="preserve"> Relator Especial para a promoção da verdade, justiça, reparação e garantias de não repetição das Nações Unidas afirm</w:t>
      </w:r>
      <w:r w:rsidR="00581C4B" w:rsidRPr="00C62DF2">
        <w:rPr>
          <w:rStyle w:val="Emphasis"/>
          <w:rFonts w:ascii="Cambria" w:hAnsi="Cambria"/>
          <w:i w:val="0"/>
          <w:iCs w:val="0"/>
          <w:sz w:val="20"/>
          <w:szCs w:val="20"/>
        </w:rPr>
        <w:t>ou</w:t>
      </w:r>
      <w:r w:rsidRPr="00C62DF2">
        <w:rPr>
          <w:rStyle w:val="Emphasis"/>
          <w:rFonts w:ascii="Cambria" w:hAnsi="Cambria"/>
          <w:i w:val="0"/>
          <w:iCs w:val="0"/>
          <w:sz w:val="20"/>
          <w:szCs w:val="20"/>
        </w:rPr>
        <w:t xml:space="preserve"> que</w:t>
      </w:r>
      <w:r w:rsidR="00581C4B" w:rsidRPr="00C62DF2">
        <w:rPr>
          <w:rStyle w:val="Emphasis"/>
          <w:rFonts w:ascii="Cambria" w:hAnsi="Cambria"/>
          <w:i w:val="0"/>
          <w:iCs w:val="0"/>
          <w:sz w:val="20"/>
          <w:szCs w:val="20"/>
        </w:rPr>
        <w:t>,</w:t>
      </w:r>
      <w:r w:rsidRPr="00C62DF2">
        <w:rPr>
          <w:rStyle w:val="Emphasis"/>
          <w:rFonts w:ascii="Cambria" w:hAnsi="Cambria"/>
          <w:i w:val="0"/>
          <w:iCs w:val="0"/>
          <w:sz w:val="20"/>
          <w:szCs w:val="20"/>
        </w:rPr>
        <w:t xml:space="preserve"> </w:t>
      </w:r>
      <w:r w:rsidR="00581C4B" w:rsidRPr="00C62DF2">
        <w:rPr>
          <w:rStyle w:val="Emphasis"/>
          <w:rFonts w:ascii="Cambria" w:hAnsi="Cambria"/>
          <w:i w:val="0"/>
          <w:iCs w:val="0"/>
          <w:sz w:val="20"/>
          <w:szCs w:val="20"/>
        </w:rPr>
        <w:t>embora</w:t>
      </w:r>
      <w:r w:rsidRPr="00C62DF2">
        <w:rPr>
          <w:rStyle w:val="Emphasis"/>
          <w:rFonts w:ascii="Cambria" w:hAnsi="Cambria"/>
          <w:i w:val="0"/>
          <w:iCs w:val="0"/>
          <w:sz w:val="20"/>
          <w:szCs w:val="20"/>
        </w:rPr>
        <w:t xml:space="preserve"> </w:t>
      </w:r>
      <w:r w:rsidRPr="00C62DF2">
        <w:rPr>
          <w:rStyle w:val="Emphasis"/>
          <w:rFonts w:ascii="Cambria" w:hAnsi="Cambria"/>
          <w:sz w:val="20"/>
          <w:szCs w:val="20"/>
        </w:rPr>
        <w:t>“</w:t>
      </w:r>
      <w:r w:rsidRPr="00C62DF2">
        <w:rPr>
          <w:rFonts w:ascii="Cambria" w:hAnsi="Cambria" w:cs="TimesNewRomanPSMT"/>
          <w:sz w:val="20"/>
          <w:szCs w:val="20"/>
        </w:rPr>
        <w:t xml:space="preserve">as comissões da verdade sejam um instrumento para dar visibilidade às </w:t>
      </w:r>
      <w:r w:rsidR="00581C4B" w:rsidRPr="00C62DF2">
        <w:rPr>
          <w:rFonts w:ascii="Cambria" w:hAnsi="Cambria" w:cs="TimesNewRomanPSMT"/>
          <w:sz w:val="20"/>
          <w:szCs w:val="20"/>
        </w:rPr>
        <w:t>vítimas</w:t>
      </w:r>
      <w:r w:rsidRPr="00C62DF2">
        <w:rPr>
          <w:rFonts w:ascii="Cambria" w:hAnsi="Cambria" w:cs="TimesNewRomanPSMT"/>
          <w:sz w:val="20"/>
          <w:szCs w:val="20"/>
        </w:rPr>
        <w:t xml:space="preserve"> e facilitar sua participação, e insist</w:t>
      </w:r>
      <w:r w:rsidR="00581C4B" w:rsidRPr="00C62DF2">
        <w:rPr>
          <w:rFonts w:ascii="Cambria" w:hAnsi="Cambria" w:cs="TimesNewRomanPSMT"/>
          <w:sz w:val="20"/>
          <w:szCs w:val="20"/>
        </w:rPr>
        <w:t>am</w:t>
      </w:r>
      <w:r w:rsidRPr="00C62DF2">
        <w:rPr>
          <w:rFonts w:ascii="Cambria" w:hAnsi="Cambria" w:cs="TimesNewRomanPSMT"/>
          <w:sz w:val="20"/>
          <w:szCs w:val="20"/>
        </w:rPr>
        <w:t xml:space="preserve"> nas pessoas, comunidades ou populações historicamente submetidas a discriminação, inclu</w:t>
      </w:r>
      <w:r w:rsidR="00581C4B" w:rsidRPr="00C62DF2">
        <w:rPr>
          <w:rFonts w:ascii="Cambria" w:hAnsi="Cambria" w:cs="TimesNewRomanPSMT"/>
          <w:sz w:val="20"/>
          <w:szCs w:val="20"/>
        </w:rPr>
        <w:t>s</w:t>
      </w:r>
      <w:r w:rsidRPr="00C62DF2">
        <w:rPr>
          <w:rFonts w:ascii="Cambria" w:hAnsi="Cambria" w:cs="TimesNewRomanPSMT"/>
          <w:sz w:val="20"/>
          <w:szCs w:val="20"/>
        </w:rPr>
        <w:t>i</w:t>
      </w:r>
      <w:r w:rsidR="00581C4B" w:rsidRPr="00C62DF2">
        <w:rPr>
          <w:rFonts w:ascii="Cambria" w:hAnsi="Cambria" w:cs="TimesNewRomanPSMT"/>
          <w:sz w:val="20"/>
          <w:szCs w:val="20"/>
        </w:rPr>
        <w:t>ve</w:t>
      </w:r>
      <w:r w:rsidRPr="00C62DF2">
        <w:rPr>
          <w:rFonts w:ascii="Cambria" w:hAnsi="Cambria" w:cs="TimesNewRomanPSMT"/>
          <w:sz w:val="20"/>
          <w:szCs w:val="20"/>
        </w:rPr>
        <w:t xml:space="preserve"> as mulheres [...]evidencia</w:t>
      </w:r>
      <w:r w:rsidR="00581C4B" w:rsidRPr="00C62DF2">
        <w:rPr>
          <w:rFonts w:ascii="Cambria" w:hAnsi="Cambria" w:cs="TimesNewRomanPSMT"/>
          <w:sz w:val="20"/>
          <w:szCs w:val="20"/>
        </w:rPr>
        <w:t>-se</w:t>
      </w:r>
      <w:r w:rsidRPr="00C62DF2">
        <w:rPr>
          <w:rFonts w:ascii="Cambria" w:hAnsi="Cambria" w:cs="TimesNewRomanPSMT"/>
          <w:sz w:val="20"/>
          <w:szCs w:val="20"/>
        </w:rPr>
        <w:t xml:space="preserve"> a falta geral de enfoque a respeito da orientação sexual e identidade de gênero na grande maioria dos processos de busca da verdade.”</w:t>
      </w:r>
      <w:r w:rsidRPr="00C62DF2">
        <w:rPr>
          <w:rStyle w:val="FootnoteReference"/>
          <w:rFonts w:ascii="Cambria" w:hAnsi="Cambria" w:cs="TimesNewRomanPSMT"/>
          <w:sz w:val="20"/>
          <w:szCs w:val="20"/>
        </w:rPr>
        <w:footnoteReference w:id="211"/>
      </w:r>
      <w:r w:rsidRPr="00C62DF2">
        <w:rPr>
          <w:rFonts w:ascii="Cambria" w:hAnsi="Cambria" w:cs="TimesNewRomanPSMT"/>
          <w:sz w:val="20"/>
          <w:szCs w:val="20"/>
        </w:rPr>
        <w:t xml:space="preserve"> </w:t>
      </w:r>
    </w:p>
    <w:p w14:paraId="2FB45636" w14:textId="77777777" w:rsidR="008C3011" w:rsidRPr="00C62DF2" w:rsidRDefault="008C3011" w:rsidP="00FC0CB6">
      <w:pPr>
        <w:pStyle w:val="NormalWeb"/>
        <w:rPr>
          <w:rStyle w:val="Emphasis"/>
          <w:i w:val="0"/>
          <w:iCs w:val="0"/>
        </w:rPr>
      </w:pPr>
      <w:r w:rsidRPr="00C62DF2">
        <w:rPr>
          <w:rFonts w:ascii="TimesNewRomanPSMT" w:hAnsi="TimesNewRomanPSMT" w:cs="TimesNewRomanPSMT"/>
          <w:sz w:val="20"/>
          <w:szCs w:val="20"/>
        </w:rPr>
        <w:t xml:space="preserve"> </w:t>
      </w:r>
    </w:p>
    <w:p w14:paraId="345C22B8" w14:textId="2D95A06B" w:rsidR="008C3011" w:rsidRPr="00C62DF2" w:rsidRDefault="008C3011" w:rsidP="00FC0CB6">
      <w:pPr>
        <w:pStyle w:val="Heading3"/>
        <w:numPr>
          <w:ilvl w:val="1"/>
          <w:numId w:val="39"/>
        </w:numPr>
        <w:ind w:firstLine="0"/>
        <w:rPr>
          <w:color w:val="auto"/>
          <w:lang w:val="pt-BR"/>
        </w:rPr>
      </w:pPr>
      <w:bookmarkStart w:id="36" w:name="_Toc78883134"/>
      <w:bookmarkStart w:id="37" w:name="_Toc85895017"/>
      <w:r w:rsidRPr="00C62DF2">
        <w:rPr>
          <w:color w:val="auto"/>
          <w:lang w:val="pt-BR"/>
        </w:rPr>
        <w:t xml:space="preserve">Análise </w:t>
      </w:r>
      <w:r w:rsidR="00581C4B" w:rsidRPr="00C62DF2">
        <w:rPr>
          <w:color w:val="auto"/>
          <w:lang w:val="pt-BR"/>
        </w:rPr>
        <w:t>d</w:t>
      </w:r>
      <w:r w:rsidRPr="00C62DF2">
        <w:rPr>
          <w:color w:val="auto"/>
          <w:lang w:val="pt-BR"/>
        </w:rPr>
        <w:t>o presente caso</w:t>
      </w:r>
      <w:bookmarkEnd w:id="36"/>
      <w:bookmarkEnd w:id="37"/>
    </w:p>
    <w:p w14:paraId="4DACC329" w14:textId="77777777" w:rsidR="008C3011" w:rsidRPr="00C62DF2" w:rsidRDefault="008C3011" w:rsidP="00FC0CB6">
      <w:pPr>
        <w:tabs>
          <w:tab w:val="left" w:pos="0"/>
        </w:tabs>
        <w:jc w:val="both"/>
        <w:rPr>
          <w:rFonts w:ascii="Cambria" w:hAnsi="Cambria"/>
          <w:sz w:val="20"/>
          <w:szCs w:val="20"/>
        </w:rPr>
      </w:pPr>
    </w:p>
    <w:p w14:paraId="77C7DF52" w14:textId="1BB20D3D" w:rsidR="008C3011" w:rsidRPr="00C62DF2" w:rsidRDefault="008C3011" w:rsidP="00FC0CB6">
      <w:pPr>
        <w:pStyle w:val="ListParagraph"/>
        <w:numPr>
          <w:ilvl w:val="0"/>
          <w:numId w:val="42"/>
        </w:numPr>
        <w:tabs>
          <w:tab w:val="left" w:pos="0"/>
        </w:tabs>
        <w:ind w:left="1800" w:firstLine="0"/>
        <w:rPr>
          <w:b/>
          <w:bCs/>
          <w:sz w:val="20"/>
          <w:szCs w:val="20"/>
          <w:lang w:val="pt-BR"/>
        </w:rPr>
      </w:pPr>
      <w:r w:rsidRPr="00C62DF2">
        <w:rPr>
          <w:rStyle w:val="Emphasis"/>
          <w:rFonts w:cs="Times New Roman"/>
          <w:b/>
          <w:bCs/>
          <w:i w:val="0"/>
          <w:iCs w:val="0"/>
          <w:sz w:val="20"/>
          <w:szCs w:val="20"/>
          <w:lang w:val="pt-BR"/>
        </w:rPr>
        <w:t>Com</w:t>
      </w:r>
      <w:r w:rsidRPr="00C62DF2">
        <w:rPr>
          <w:rStyle w:val="Emphasis"/>
          <w:rFonts w:cs="Times New Roman"/>
          <w:b/>
          <w:bCs/>
          <w:sz w:val="20"/>
          <w:szCs w:val="20"/>
          <w:lang w:val="pt-BR"/>
        </w:rPr>
        <w:t xml:space="preserve"> </w:t>
      </w:r>
      <w:r w:rsidRPr="00C62DF2">
        <w:rPr>
          <w:rStyle w:val="Emphasis"/>
          <w:rFonts w:cs="Times New Roman"/>
          <w:b/>
          <w:bCs/>
          <w:i w:val="0"/>
          <w:iCs w:val="0"/>
          <w:sz w:val="20"/>
          <w:szCs w:val="20"/>
          <w:lang w:val="pt-BR"/>
        </w:rPr>
        <w:t xml:space="preserve">relação à investigação </w:t>
      </w:r>
      <w:r w:rsidR="009640A1" w:rsidRPr="00C62DF2">
        <w:rPr>
          <w:rStyle w:val="Emphasis"/>
          <w:rFonts w:cs="Times New Roman"/>
          <w:b/>
          <w:bCs/>
          <w:i w:val="0"/>
          <w:iCs w:val="0"/>
          <w:sz w:val="20"/>
          <w:szCs w:val="20"/>
          <w:lang w:val="pt-BR"/>
        </w:rPr>
        <w:t xml:space="preserve">da </w:t>
      </w:r>
      <w:r w:rsidRPr="00C62DF2">
        <w:rPr>
          <w:rStyle w:val="Emphasis"/>
          <w:rFonts w:cs="Times New Roman"/>
          <w:b/>
          <w:bCs/>
          <w:i w:val="0"/>
          <w:iCs w:val="0"/>
          <w:sz w:val="20"/>
          <w:szCs w:val="20"/>
          <w:lang w:val="pt-BR"/>
        </w:rPr>
        <w:t xml:space="preserve">tortura </w:t>
      </w:r>
      <w:r w:rsidR="009640A1" w:rsidRPr="00C62DF2">
        <w:rPr>
          <w:rStyle w:val="Emphasis"/>
          <w:rFonts w:cs="Times New Roman"/>
          <w:b/>
          <w:bCs/>
          <w:i w:val="0"/>
          <w:iCs w:val="0"/>
          <w:sz w:val="20"/>
          <w:szCs w:val="20"/>
          <w:lang w:val="pt-BR"/>
        </w:rPr>
        <w:t xml:space="preserve">e morte </w:t>
      </w:r>
      <w:r w:rsidRPr="00C62DF2">
        <w:rPr>
          <w:rStyle w:val="Emphasis"/>
          <w:rFonts w:cs="Times New Roman"/>
          <w:b/>
          <w:bCs/>
          <w:i w:val="0"/>
          <w:iCs w:val="0"/>
          <w:sz w:val="20"/>
          <w:szCs w:val="20"/>
          <w:lang w:val="pt-BR"/>
        </w:rPr>
        <w:t>de Eduardo Collen Leite</w:t>
      </w:r>
    </w:p>
    <w:p w14:paraId="49CF4E6A" w14:textId="77777777" w:rsidR="008C3011" w:rsidRPr="00C62DF2" w:rsidRDefault="008C3011" w:rsidP="00FC0CB6">
      <w:pPr>
        <w:pStyle w:val="ListParagraph"/>
        <w:ind w:firstLine="0"/>
        <w:rPr>
          <w:sz w:val="20"/>
          <w:szCs w:val="20"/>
          <w:lang w:val="pt-BR"/>
        </w:rPr>
      </w:pPr>
    </w:p>
    <w:p w14:paraId="31001BA4" w14:textId="32E170F6" w:rsidR="008C3011" w:rsidRPr="00C62DF2" w:rsidRDefault="008C3011" w:rsidP="00FC0CB6">
      <w:pPr>
        <w:numPr>
          <w:ilvl w:val="0"/>
          <w:numId w:val="2"/>
        </w:numPr>
        <w:tabs>
          <w:tab w:val="left" w:pos="0"/>
        </w:tabs>
        <w:jc w:val="both"/>
        <w:rPr>
          <w:rFonts w:ascii="Cambria" w:hAnsi="Cambria"/>
          <w:sz w:val="20"/>
          <w:szCs w:val="20"/>
        </w:rPr>
      </w:pPr>
      <w:r w:rsidRPr="00C62DF2">
        <w:rPr>
          <w:rFonts w:ascii="Cambria" w:hAnsi="Cambria"/>
          <w:sz w:val="20"/>
          <w:szCs w:val="20"/>
        </w:rPr>
        <w:t>Segundo se depr</w:t>
      </w:r>
      <w:r w:rsidR="0066289E" w:rsidRPr="00C62DF2">
        <w:rPr>
          <w:rFonts w:ascii="Cambria" w:hAnsi="Cambria"/>
          <w:sz w:val="20"/>
          <w:szCs w:val="20"/>
        </w:rPr>
        <w:t>e</w:t>
      </w:r>
      <w:r w:rsidRPr="00C62DF2">
        <w:rPr>
          <w:rFonts w:ascii="Cambria" w:hAnsi="Cambria"/>
          <w:sz w:val="20"/>
          <w:szCs w:val="20"/>
        </w:rPr>
        <w:t xml:space="preserve">ende do </w:t>
      </w:r>
      <w:r w:rsidR="0066289E" w:rsidRPr="00C62DF2">
        <w:rPr>
          <w:rFonts w:ascii="Cambria" w:hAnsi="Cambria"/>
          <w:sz w:val="20"/>
          <w:szCs w:val="20"/>
        </w:rPr>
        <w:t>processo</w:t>
      </w:r>
      <w:r w:rsidRPr="00C62DF2">
        <w:rPr>
          <w:rFonts w:ascii="Cambria" w:hAnsi="Cambria"/>
          <w:sz w:val="20"/>
          <w:szCs w:val="20"/>
        </w:rPr>
        <w:t xml:space="preserve">, a senhora Denise Peres Crispim formulou </w:t>
      </w:r>
      <w:r w:rsidRPr="00C62DF2">
        <w:rPr>
          <w:rFonts w:ascii="Cambria" w:hAnsi="Cambria"/>
          <w:i/>
          <w:iCs/>
          <w:sz w:val="20"/>
          <w:szCs w:val="20"/>
        </w:rPr>
        <w:t xml:space="preserve">noticia criminis </w:t>
      </w:r>
      <w:r w:rsidR="0066289E" w:rsidRPr="00C62DF2">
        <w:rPr>
          <w:rFonts w:ascii="Cambria" w:hAnsi="Cambria"/>
          <w:sz w:val="20"/>
          <w:szCs w:val="20"/>
        </w:rPr>
        <w:t>per</w:t>
      </w:r>
      <w:r w:rsidRPr="00C62DF2">
        <w:rPr>
          <w:rFonts w:ascii="Cambria" w:hAnsi="Cambria"/>
          <w:sz w:val="20"/>
          <w:szCs w:val="20"/>
        </w:rPr>
        <w:t>ante o Ministério Público Federal em 1 de julho de 2011</w:t>
      </w:r>
      <w:r w:rsidR="0066289E" w:rsidRPr="00C62DF2">
        <w:rPr>
          <w:rFonts w:ascii="Cambria" w:hAnsi="Cambria"/>
          <w:sz w:val="20"/>
          <w:szCs w:val="20"/>
        </w:rPr>
        <w:t>,</w:t>
      </w:r>
      <w:r w:rsidRPr="00C62DF2">
        <w:rPr>
          <w:rFonts w:ascii="Cambria" w:hAnsi="Cambria"/>
          <w:sz w:val="20"/>
          <w:szCs w:val="20"/>
        </w:rPr>
        <w:t xml:space="preserve"> na qual expôs os fatos vinculados </w:t>
      </w:r>
      <w:r w:rsidR="0066289E" w:rsidRPr="00C62DF2">
        <w:rPr>
          <w:rFonts w:ascii="Cambria" w:hAnsi="Cambria"/>
          <w:sz w:val="20"/>
          <w:szCs w:val="20"/>
        </w:rPr>
        <w:t>à</w:t>
      </w:r>
      <w:r w:rsidRPr="00C62DF2">
        <w:rPr>
          <w:rFonts w:ascii="Cambria" w:hAnsi="Cambria"/>
          <w:sz w:val="20"/>
          <w:szCs w:val="20"/>
        </w:rPr>
        <w:t xml:space="preserve"> tortura e execução de Eduardo Collen Leite. Em 3 de fevereiro de 2012, o MPF solicitou o arquivamento do caso e fundamentou sua </w:t>
      </w:r>
      <w:r w:rsidRPr="00C62DF2">
        <w:rPr>
          <w:rFonts w:ascii="Cambria" w:hAnsi="Cambria"/>
          <w:sz w:val="20"/>
          <w:szCs w:val="20"/>
        </w:rPr>
        <w:lastRenderedPageBreak/>
        <w:t xml:space="preserve">solicitação em três pontos: (a) alegou que houve prescrição da pretensão punitiva; (b) afirmou que não é possível reconhecer o delito como “crime </w:t>
      </w:r>
      <w:r w:rsidR="000647E7" w:rsidRPr="00C62DF2">
        <w:rPr>
          <w:rFonts w:ascii="Cambria" w:hAnsi="Cambria"/>
          <w:sz w:val="20"/>
          <w:szCs w:val="20"/>
        </w:rPr>
        <w:t>contra a humanidade</w:t>
      </w:r>
      <w:r w:rsidRPr="00C62DF2">
        <w:rPr>
          <w:rFonts w:ascii="Cambria" w:hAnsi="Cambria"/>
          <w:sz w:val="20"/>
          <w:szCs w:val="20"/>
        </w:rPr>
        <w:t xml:space="preserve">,” pois o referido crime não está previsto na ordem jurídica brasileira; e (c) alegou que a legislação brasileira não adotava a imprescritibilidade criminal em 1970. </w:t>
      </w:r>
      <w:r w:rsidRPr="00C62DF2">
        <w:rPr>
          <w:rStyle w:val="Emphasis"/>
          <w:rFonts w:ascii="Cambria" w:hAnsi="Cambria"/>
          <w:i w:val="0"/>
          <w:iCs w:val="0"/>
          <w:sz w:val="20"/>
          <w:szCs w:val="20"/>
        </w:rPr>
        <w:t>Em</w:t>
      </w:r>
      <w:r w:rsidRPr="00C62DF2">
        <w:rPr>
          <w:rStyle w:val="Emphasis"/>
          <w:rFonts w:ascii="Cambria" w:hAnsi="Cambria"/>
          <w:sz w:val="20"/>
          <w:szCs w:val="20"/>
        </w:rPr>
        <w:t xml:space="preserve"> </w:t>
      </w:r>
      <w:r w:rsidRPr="00C62DF2">
        <w:rPr>
          <w:rStyle w:val="Emphasis"/>
          <w:rFonts w:ascii="Cambria" w:hAnsi="Cambria"/>
          <w:i w:val="0"/>
          <w:iCs w:val="0"/>
          <w:sz w:val="20"/>
          <w:szCs w:val="20"/>
        </w:rPr>
        <w:t>14 de fevereiro de 2012, determinou</w:t>
      </w:r>
      <w:r w:rsidR="00122210" w:rsidRPr="00C62DF2">
        <w:rPr>
          <w:rStyle w:val="Emphasis"/>
          <w:rFonts w:ascii="Cambria" w:hAnsi="Cambria"/>
          <w:i w:val="0"/>
          <w:iCs w:val="0"/>
          <w:sz w:val="20"/>
          <w:szCs w:val="20"/>
        </w:rPr>
        <w:t>-se</w:t>
      </w:r>
      <w:r w:rsidRPr="00C62DF2">
        <w:rPr>
          <w:rStyle w:val="Emphasis"/>
          <w:rFonts w:ascii="Cambria" w:hAnsi="Cambria"/>
          <w:i w:val="0"/>
          <w:iCs w:val="0"/>
          <w:sz w:val="20"/>
          <w:szCs w:val="20"/>
        </w:rPr>
        <w:t xml:space="preserve"> o arquivamento do caso, reconhecendo a prescrição do </w:t>
      </w:r>
      <w:r w:rsidR="00122210" w:rsidRPr="00C62DF2">
        <w:rPr>
          <w:rStyle w:val="Emphasis"/>
          <w:rFonts w:ascii="Cambria" w:hAnsi="Cambria"/>
          <w:i w:val="0"/>
          <w:iCs w:val="0"/>
          <w:sz w:val="20"/>
          <w:szCs w:val="20"/>
        </w:rPr>
        <w:t>crime</w:t>
      </w:r>
      <w:r w:rsidRPr="00C62DF2">
        <w:rPr>
          <w:rStyle w:val="Emphasis"/>
          <w:rFonts w:ascii="Cambria" w:hAnsi="Cambria"/>
          <w:sz w:val="20"/>
          <w:szCs w:val="20"/>
        </w:rPr>
        <w:t>.</w:t>
      </w:r>
    </w:p>
    <w:p w14:paraId="5727D7A6" w14:textId="29526550" w:rsidR="00487AEA" w:rsidRPr="00C62DF2" w:rsidRDefault="00487AEA" w:rsidP="00FC0CB6">
      <w:pPr>
        <w:numPr>
          <w:ilvl w:val="0"/>
          <w:numId w:val="2"/>
        </w:numPr>
        <w:tabs>
          <w:tab w:val="left" w:pos="0"/>
        </w:tabs>
        <w:jc w:val="both"/>
        <w:rPr>
          <w:rStyle w:val="Emphasis"/>
          <w:rFonts w:ascii="Cambria" w:hAnsi="Cambria"/>
          <w:i w:val="0"/>
          <w:iCs w:val="0"/>
          <w:sz w:val="20"/>
          <w:szCs w:val="20"/>
        </w:rPr>
      </w:pPr>
      <w:r w:rsidRPr="00C62DF2">
        <w:rPr>
          <w:rFonts w:ascii="Cambria" w:hAnsi="Cambria"/>
          <w:sz w:val="20"/>
          <w:szCs w:val="20"/>
        </w:rPr>
        <w:t xml:space="preserve">Por outro lado, a Comissão nota que em 29 de abril de 2010 o Supremo Tribunal Federal </w:t>
      </w:r>
      <w:r w:rsidRPr="00C62DF2">
        <w:rPr>
          <w:rFonts w:ascii="Cambria" w:hAnsi="Cambria" w:cs="Verdana"/>
          <w:sz w:val="20"/>
          <w:szCs w:val="20"/>
        </w:rPr>
        <w:t xml:space="preserve">declarou a improcedência de uma </w:t>
      </w:r>
      <w:r w:rsidR="0056645F" w:rsidRPr="00C62DF2">
        <w:rPr>
          <w:rFonts w:ascii="Cambria" w:hAnsi="Cambria" w:cs="Verdana"/>
          <w:sz w:val="20"/>
          <w:szCs w:val="20"/>
        </w:rPr>
        <w:t>a</w:t>
      </w:r>
      <w:r w:rsidRPr="00C62DF2">
        <w:rPr>
          <w:rFonts w:ascii="Cambria" w:hAnsi="Cambria" w:cs="Verdana"/>
          <w:sz w:val="20"/>
          <w:szCs w:val="20"/>
        </w:rPr>
        <w:t xml:space="preserve">ção de </w:t>
      </w:r>
      <w:r w:rsidR="0056645F" w:rsidRPr="00C62DF2">
        <w:rPr>
          <w:rFonts w:ascii="Cambria" w:hAnsi="Cambria" w:cs="Verdana"/>
          <w:sz w:val="20"/>
          <w:szCs w:val="20"/>
        </w:rPr>
        <w:t>desc</w:t>
      </w:r>
      <w:r w:rsidRPr="00C62DF2">
        <w:rPr>
          <w:rFonts w:ascii="Cambria" w:hAnsi="Cambria" w:cs="Verdana"/>
          <w:sz w:val="20"/>
          <w:szCs w:val="20"/>
        </w:rPr>
        <w:t xml:space="preserve">umprimento de </w:t>
      </w:r>
      <w:r w:rsidR="0056645F" w:rsidRPr="00C62DF2">
        <w:rPr>
          <w:rFonts w:ascii="Cambria" w:hAnsi="Cambria" w:cs="Verdana"/>
          <w:sz w:val="20"/>
          <w:szCs w:val="20"/>
        </w:rPr>
        <w:t>p</w:t>
      </w:r>
      <w:r w:rsidRPr="00C62DF2">
        <w:rPr>
          <w:rFonts w:ascii="Cambria" w:hAnsi="Cambria" w:cs="Verdana"/>
          <w:sz w:val="20"/>
          <w:szCs w:val="20"/>
        </w:rPr>
        <w:t xml:space="preserve">receito </w:t>
      </w:r>
      <w:r w:rsidR="0056645F" w:rsidRPr="00C62DF2">
        <w:rPr>
          <w:rFonts w:ascii="Cambria" w:hAnsi="Cambria" w:cs="Verdana"/>
          <w:sz w:val="20"/>
          <w:szCs w:val="20"/>
        </w:rPr>
        <w:t>f</w:t>
      </w:r>
      <w:r w:rsidRPr="00C62DF2">
        <w:rPr>
          <w:rFonts w:ascii="Cambria" w:hAnsi="Cambria" w:cs="Verdana"/>
          <w:sz w:val="20"/>
          <w:szCs w:val="20"/>
        </w:rPr>
        <w:t>undamental (</w:t>
      </w:r>
      <w:r w:rsidRPr="00C62DF2">
        <w:rPr>
          <w:rFonts w:ascii="Cambria" w:hAnsi="Cambria"/>
          <w:sz w:val="20"/>
          <w:szCs w:val="20"/>
          <w:shd w:val="clear" w:color="auto" w:fill="FFFFFF"/>
        </w:rPr>
        <w:t xml:space="preserve">ADPF-153) </w:t>
      </w:r>
      <w:r w:rsidR="0056645F" w:rsidRPr="00C62DF2">
        <w:rPr>
          <w:rFonts w:ascii="Cambria" w:hAnsi="Cambria" w:cs="Verdana"/>
          <w:sz w:val="20"/>
          <w:szCs w:val="20"/>
        </w:rPr>
        <w:t xml:space="preserve">interposta </w:t>
      </w:r>
      <w:r w:rsidRPr="00C62DF2">
        <w:rPr>
          <w:rFonts w:ascii="Cambria" w:hAnsi="Cambria" w:cs="Verdana"/>
          <w:sz w:val="20"/>
          <w:szCs w:val="20"/>
        </w:rPr>
        <w:t>pel</w:t>
      </w:r>
      <w:r w:rsidR="0056645F" w:rsidRPr="00C62DF2">
        <w:rPr>
          <w:rFonts w:ascii="Cambria" w:hAnsi="Cambria" w:cs="Verdana"/>
          <w:sz w:val="20"/>
          <w:szCs w:val="20"/>
        </w:rPr>
        <w:t>a Ordem</w:t>
      </w:r>
      <w:r w:rsidRPr="00C62DF2">
        <w:rPr>
          <w:rFonts w:ascii="Cambria" w:hAnsi="Cambria" w:cs="Verdana"/>
          <w:sz w:val="20"/>
          <w:szCs w:val="20"/>
        </w:rPr>
        <w:t xml:space="preserve"> de Advogados do Brasil</w:t>
      </w:r>
      <w:r w:rsidRPr="00C62DF2">
        <w:rPr>
          <w:rFonts w:ascii="Cambria" w:hAnsi="Cambria"/>
          <w:sz w:val="20"/>
          <w:szCs w:val="20"/>
        </w:rPr>
        <w:t xml:space="preserve"> e </w:t>
      </w:r>
      <w:r w:rsidRPr="00C62DF2">
        <w:rPr>
          <w:rFonts w:ascii="Cambria" w:hAnsi="Cambria" w:cs="Verdana"/>
          <w:sz w:val="20"/>
          <w:szCs w:val="20"/>
        </w:rPr>
        <w:t xml:space="preserve">afirmou a vigência da Lei de Anistia </w:t>
      </w:r>
      <w:r w:rsidRPr="00C62DF2">
        <w:rPr>
          <w:rFonts w:ascii="Cambria" w:hAnsi="Cambria"/>
          <w:sz w:val="20"/>
          <w:szCs w:val="20"/>
        </w:rPr>
        <w:t>(</w:t>
      </w:r>
      <w:r w:rsidRPr="00C62DF2">
        <w:rPr>
          <w:rFonts w:ascii="Cambria" w:hAnsi="Cambria" w:cs="Verdana"/>
          <w:sz w:val="20"/>
          <w:szCs w:val="20"/>
        </w:rPr>
        <w:t>Lei Nº 6.683/79)</w:t>
      </w:r>
      <w:r w:rsidRPr="00C62DF2">
        <w:rPr>
          <w:rFonts w:ascii="Cambria" w:hAnsi="Cambria"/>
          <w:sz w:val="20"/>
          <w:szCs w:val="20"/>
        </w:rPr>
        <w:t xml:space="preserve"> e </w:t>
      </w:r>
      <w:r w:rsidRPr="00C62DF2">
        <w:rPr>
          <w:rFonts w:ascii="Cambria" w:hAnsi="Cambria" w:cs="Verdana"/>
          <w:sz w:val="20"/>
          <w:szCs w:val="20"/>
        </w:rPr>
        <w:t xml:space="preserve">a constitucionalidade da interpretação do parágrafo primeiro de seu artigo </w:t>
      </w:r>
      <w:r w:rsidRPr="00C62DF2">
        <w:rPr>
          <w:rFonts w:ascii="Cambria" w:hAnsi="Cambria" w:cs="Arial"/>
          <w:sz w:val="20"/>
          <w:szCs w:val="20"/>
          <w:shd w:val="clear" w:color="auto" w:fill="FFFFFF"/>
        </w:rPr>
        <w:t>1º.</w:t>
      </w:r>
      <w:r w:rsidRPr="00C62DF2">
        <w:rPr>
          <w:rStyle w:val="FootnoteReference"/>
          <w:rFonts w:ascii="Cambria" w:hAnsi="Cambria" w:cs="Verdana"/>
          <w:sz w:val="20"/>
          <w:szCs w:val="20"/>
        </w:rPr>
        <w:footnoteReference w:id="212"/>
      </w:r>
      <w:r w:rsidRPr="00C62DF2">
        <w:rPr>
          <w:rFonts w:ascii="Cambria" w:hAnsi="Cambria" w:cs="Verdana"/>
          <w:sz w:val="20"/>
          <w:szCs w:val="20"/>
        </w:rPr>
        <w:t xml:space="preserve"> E </w:t>
      </w:r>
      <w:r w:rsidR="0056645F" w:rsidRPr="00C62DF2">
        <w:rPr>
          <w:rFonts w:ascii="Cambria" w:hAnsi="Cambria" w:cs="Verdana"/>
          <w:sz w:val="20"/>
          <w:szCs w:val="20"/>
        </w:rPr>
        <w:t>a Ordem</w:t>
      </w:r>
      <w:r w:rsidRPr="00C62DF2">
        <w:rPr>
          <w:rFonts w:ascii="Cambria" w:hAnsi="Cambria"/>
          <w:sz w:val="20"/>
          <w:szCs w:val="20"/>
        </w:rPr>
        <w:t xml:space="preserve"> d</w:t>
      </w:r>
      <w:r w:rsidR="0056645F" w:rsidRPr="00C62DF2">
        <w:rPr>
          <w:rFonts w:ascii="Cambria" w:hAnsi="Cambria"/>
          <w:sz w:val="20"/>
          <w:szCs w:val="20"/>
        </w:rPr>
        <w:t>os</w:t>
      </w:r>
      <w:r w:rsidRPr="00C62DF2">
        <w:rPr>
          <w:rFonts w:ascii="Cambria" w:hAnsi="Cambria"/>
          <w:sz w:val="20"/>
          <w:szCs w:val="20"/>
        </w:rPr>
        <w:t xml:space="preserve"> Advogados do Brasil apresentou um recurso esclarecedor que</w:t>
      </w:r>
      <w:r w:rsidRPr="00C62DF2">
        <w:rPr>
          <w:rStyle w:val="Emphasis"/>
          <w:rFonts w:ascii="Cambria" w:hAnsi="Cambria"/>
          <w:sz w:val="20"/>
          <w:szCs w:val="20"/>
        </w:rPr>
        <w:t xml:space="preserve"> </w:t>
      </w:r>
      <w:r w:rsidRPr="00C62DF2">
        <w:rPr>
          <w:rStyle w:val="Emphasis"/>
          <w:rFonts w:ascii="Cambria" w:hAnsi="Cambria"/>
          <w:i w:val="0"/>
          <w:iCs w:val="0"/>
          <w:sz w:val="20"/>
          <w:szCs w:val="20"/>
        </w:rPr>
        <w:t>esta</w:t>
      </w:r>
      <w:r w:rsidR="0056645F" w:rsidRPr="00C62DF2">
        <w:rPr>
          <w:rStyle w:val="Emphasis"/>
          <w:rFonts w:ascii="Cambria" w:hAnsi="Cambria"/>
          <w:i w:val="0"/>
          <w:iCs w:val="0"/>
          <w:sz w:val="20"/>
          <w:szCs w:val="20"/>
        </w:rPr>
        <w:t>v</w:t>
      </w:r>
      <w:r w:rsidRPr="00C62DF2">
        <w:rPr>
          <w:rStyle w:val="Emphasis"/>
          <w:rFonts w:ascii="Cambria" w:hAnsi="Cambria"/>
          <w:i w:val="0"/>
          <w:iCs w:val="0"/>
          <w:sz w:val="20"/>
          <w:szCs w:val="20"/>
        </w:rPr>
        <w:t>a pendente de resolução até a data de emissão do presente relatório</w:t>
      </w:r>
      <w:r w:rsidRPr="00C62DF2">
        <w:rPr>
          <w:rStyle w:val="Emphasis"/>
          <w:rFonts w:ascii="Cambria" w:hAnsi="Cambria"/>
          <w:sz w:val="20"/>
          <w:szCs w:val="20"/>
        </w:rPr>
        <w:t xml:space="preserve">. </w:t>
      </w:r>
    </w:p>
    <w:p w14:paraId="2E88CF4D" w14:textId="77777777" w:rsidR="00487AEA" w:rsidRPr="00C62DF2" w:rsidRDefault="00487AEA" w:rsidP="00FC0CB6">
      <w:pPr>
        <w:pStyle w:val="ListParagraph"/>
        <w:ind w:firstLine="0"/>
        <w:rPr>
          <w:sz w:val="20"/>
          <w:szCs w:val="20"/>
          <w:lang w:val="pt-BR"/>
        </w:rPr>
      </w:pPr>
    </w:p>
    <w:p w14:paraId="51858833" w14:textId="76B6312F"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 Em suma, a Comissão observa que a decisão de arquiv</w:t>
      </w:r>
      <w:r w:rsidR="0056645F" w:rsidRPr="00C62DF2">
        <w:rPr>
          <w:rFonts w:ascii="Cambria" w:hAnsi="Cambria"/>
          <w:sz w:val="20"/>
          <w:szCs w:val="20"/>
        </w:rPr>
        <w:t>ament</w:t>
      </w:r>
      <w:r w:rsidRPr="00C62DF2">
        <w:rPr>
          <w:rFonts w:ascii="Cambria" w:hAnsi="Cambria"/>
          <w:sz w:val="20"/>
          <w:szCs w:val="20"/>
        </w:rPr>
        <w:t>o f</w:t>
      </w:r>
      <w:r w:rsidR="0068635C" w:rsidRPr="00C62DF2">
        <w:rPr>
          <w:rFonts w:ascii="Cambria" w:hAnsi="Cambria"/>
          <w:sz w:val="20"/>
          <w:szCs w:val="20"/>
        </w:rPr>
        <w:t>oi confirmada</w:t>
      </w:r>
      <w:r w:rsidRPr="00C62DF2">
        <w:rPr>
          <w:rFonts w:ascii="Cambria" w:hAnsi="Cambria"/>
          <w:sz w:val="20"/>
          <w:szCs w:val="20"/>
        </w:rPr>
        <w:t xml:space="preserve"> pela aplicação da figura da prescrição. Além disso, segundo a informação disponível</w:t>
      </w:r>
      <w:r w:rsidR="0056645F" w:rsidRPr="00C62DF2">
        <w:rPr>
          <w:rFonts w:ascii="Cambria" w:hAnsi="Cambria"/>
          <w:sz w:val="20"/>
          <w:szCs w:val="20"/>
        </w:rPr>
        <w:t>,</w:t>
      </w:r>
      <w:r w:rsidRPr="00C62DF2">
        <w:rPr>
          <w:rFonts w:ascii="Cambria" w:hAnsi="Cambria"/>
          <w:sz w:val="20"/>
          <w:szCs w:val="20"/>
        </w:rPr>
        <w:t xml:space="preserve"> atualmente existe uma interpretação da </w:t>
      </w:r>
      <w:r w:rsidRPr="00C62DF2">
        <w:rPr>
          <w:rFonts w:ascii="Cambria" w:hAnsi="Cambria" w:cs="Verdana"/>
          <w:sz w:val="20"/>
          <w:szCs w:val="20"/>
        </w:rPr>
        <w:t>Lei Nº 6.683/79 (</w:t>
      </w:r>
      <w:r w:rsidRPr="00C62DF2">
        <w:rPr>
          <w:rFonts w:ascii="Cambria" w:hAnsi="Cambria"/>
          <w:sz w:val="20"/>
          <w:szCs w:val="20"/>
        </w:rPr>
        <w:t>Lei de Anistia</w:t>
      </w:r>
      <w:r w:rsidRPr="00C62DF2">
        <w:rPr>
          <w:rFonts w:ascii="Cambria" w:hAnsi="Cambria" w:cs="Verdana"/>
          <w:sz w:val="20"/>
          <w:szCs w:val="20"/>
        </w:rPr>
        <w:t>)</w:t>
      </w:r>
      <w:r w:rsidRPr="00C62DF2">
        <w:rPr>
          <w:rFonts w:ascii="Cambria" w:hAnsi="Cambria"/>
          <w:sz w:val="20"/>
          <w:szCs w:val="20"/>
        </w:rPr>
        <w:t xml:space="preserve"> no </w:t>
      </w:r>
      <w:r w:rsidRPr="00C62DF2">
        <w:rPr>
          <w:rFonts w:ascii="Cambria" w:hAnsi="Cambria" w:cs="Verdana"/>
          <w:sz w:val="20"/>
          <w:szCs w:val="20"/>
        </w:rPr>
        <w:t xml:space="preserve">sentido de que </w:t>
      </w:r>
      <w:r w:rsidR="0056645F" w:rsidRPr="00C62DF2">
        <w:rPr>
          <w:rFonts w:ascii="Cambria" w:hAnsi="Cambria" w:cs="Verdana"/>
          <w:sz w:val="20"/>
          <w:szCs w:val="20"/>
        </w:rPr>
        <w:t>el</w:t>
      </w:r>
      <w:r w:rsidRPr="00C62DF2">
        <w:rPr>
          <w:rFonts w:ascii="Cambria" w:hAnsi="Cambria" w:cs="Verdana"/>
          <w:sz w:val="20"/>
          <w:szCs w:val="20"/>
        </w:rPr>
        <w:t>a constitui um obstáculo para a possível reabertura da investigação e acusação penal.</w:t>
      </w:r>
      <w:r w:rsidRPr="00C62DF2">
        <w:rPr>
          <w:rFonts w:ascii="Cambria" w:hAnsi="Cambria"/>
          <w:sz w:val="20"/>
          <w:szCs w:val="20"/>
        </w:rPr>
        <w:t xml:space="preserve"> Com base nestas decisões da justiça estadual e federal, o Estado brasileiro não continuou uma investigação penal na jurisdição ordinária a respeito dos fatos do presente caso. </w:t>
      </w:r>
    </w:p>
    <w:p w14:paraId="0AC6F475" w14:textId="77777777" w:rsidR="00487AEA" w:rsidRPr="00C62DF2" w:rsidRDefault="00487AEA" w:rsidP="00FC0CB6">
      <w:pPr>
        <w:pStyle w:val="ListParagraph"/>
        <w:ind w:firstLine="0"/>
        <w:rPr>
          <w:sz w:val="20"/>
          <w:szCs w:val="20"/>
          <w:lang w:val="pt-BR"/>
        </w:rPr>
      </w:pPr>
    </w:p>
    <w:p w14:paraId="0D9CDD83" w14:textId="2C1E60D0"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 Portanto, c</w:t>
      </w:r>
      <w:r w:rsidRPr="00C62DF2">
        <w:rPr>
          <w:rFonts w:ascii="Cambria" w:hAnsi="Cambria"/>
          <w:bCs/>
          <w:sz w:val="20"/>
          <w:szCs w:val="20"/>
        </w:rPr>
        <w:t xml:space="preserve">orresponde à CIDH examinar se, </w:t>
      </w:r>
      <w:r w:rsidRPr="00C62DF2">
        <w:rPr>
          <w:rFonts w:ascii="Cambria" w:hAnsi="Cambria" w:cs="Verdana"/>
          <w:sz w:val="20"/>
          <w:szCs w:val="20"/>
        </w:rPr>
        <w:t xml:space="preserve">uma vez que o Estado se obrigou internacionalmente a partir da ratificação da Convenção Americana, </w:t>
      </w:r>
      <w:r w:rsidRPr="00C62DF2">
        <w:rPr>
          <w:rFonts w:ascii="Cambria" w:hAnsi="Cambria"/>
          <w:bCs/>
          <w:sz w:val="20"/>
          <w:szCs w:val="20"/>
        </w:rPr>
        <w:t>a aplicação das seguintes figuras do direito penal</w:t>
      </w:r>
      <w:r w:rsidR="0068635C" w:rsidRPr="00C62DF2">
        <w:rPr>
          <w:rFonts w:ascii="Cambria" w:hAnsi="Cambria"/>
          <w:bCs/>
          <w:sz w:val="20"/>
          <w:szCs w:val="20"/>
        </w:rPr>
        <w:t>:</w:t>
      </w:r>
      <w:r w:rsidRPr="00C62DF2">
        <w:rPr>
          <w:rFonts w:ascii="Cambria" w:hAnsi="Cambria"/>
          <w:bCs/>
          <w:sz w:val="20"/>
          <w:szCs w:val="20"/>
        </w:rPr>
        <w:t xml:space="preserve"> a) a </w:t>
      </w:r>
      <w:r w:rsidRPr="00C62DF2">
        <w:rPr>
          <w:rFonts w:ascii="Cambria" w:hAnsi="Cambria" w:cs="Verdana"/>
          <w:sz w:val="20"/>
          <w:szCs w:val="20"/>
        </w:rPr>
        <w:t>Lei de Anistia (Lei Nº 6.683/79) e b</w:t>
      </w:r>
      <w:r w:rsidRPr="00C62DF2">
        <w:rPr>
          <w:rFonts w:ascii="Cambria" w:hAnsi="Cambria"/>
          <w:bCs/>
          <w:sz w:val="20"/>
          <w:szCs w:val="20"/>
        </w:rPr>
        <w:t xml:space="preserve">) a prescrição da ação penal, no </w:t>
      </w:r>
      <w:r w:rsidRPr="00C62DF2">
        <w:rPr>
          <w:rFonts w:ascii="Cambria" w:hAnsi="Cambria" w:cs="Verdana"/>
          <w:sz w:val="20"/>
          <w:szCs w:val="20"/>
        </w:rPr>
        <w:t xml:space="preserve">presente, é compatível com suas obrigações internacionais nesta matéria. </w:t>
      </w:r>
    </w:p>
    <w:p w14:paraId="55EA961F" w14:textId="77777777" w:rsidR="00487AEA" w:rsidRPr="00C62DF2" w:rsidRDefault="00487AEA" w:rsidP="00FC0CB6">
      <w:pPr>
        <w:pStyle w:val="ListParagraph"/>
        <w:tabs>
          <w:tab w:val="left" w:pos="7230"/>
        </w:tabs>
        <w:ind w:firstLine="0"/>
        <w:rPr>
          <w:rFonts w:cs="Verdana"/>
          <w:sz w:val="20"/>
          <w:szCs w:val="20"/>
          <w:lang w:val="pt-BR"/>
        </w:rPr>
      </w:pPr>
    </w:p>
    <w:p w14:paraId="238E118F" w14:textId="77777777" w:rsidR="00487AEA" w:rsidRPr="00C62DF2" w:rsidRDefault="00487AEA" w:rsidP="00FC0CB6">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30"/>
        </w:tabs>
        <w:ind w:firstLine="0"/>
        <w:contextualSpacing/>
        <w:jc w:val="left"/>
        <w:rPr>
          <w:rFonts w:cs="Verdana"/>
          <w:b/>
          <w:sz w:val="20"/>
          <w:szCs w:val="20"/>
          <w:lang w:val="pt-BR"/>
        </w:rPr>
      </w:pPr>
      <w:r w:rsidRPr="00C62DF2">
        <w:rPr>
          <w:b/>
          <w:bCs/>
          <w:sz w:val="20"/>
          <w:szCs w:val="20"/>
          <w:lang w:val="pt-BR"/>
        </w:rPr>
        <w:t xml:space="preserve">A </w:t>
      </w:r>
      <w:r w:rsidRPr="00C62DF2">
        <w:rPr>
          <w:rFonts w:cs="Verdana"/>
          <w:b/>
          <w:sz w:val="20"/>
          <w:szCs w:val="20"/>
          <w:lang w:val="pt-BR"/>
        </w:rPr>
        <w:t>Lei de Anistia (Lei Nº 6.683/79)</w:t>
      </w:r>
    </w:p>
    <w:p w14:paraId="1C445CD0" w14:textId="77777777" w:rsidR="00487AEA" w:rsidRPr="00C62DF2" w:rsidRDefault="00487AEA" w:rsidP="00FC0CB6">
      <w:pPr>
        <w:pStyle w:val="ListParagraph"/>
        <w:tabs>
          <w:tab w:val="left" w:pos="7230"/>
        </w:tabs>
        <w:ind w:left="1170" w:firstLine="0"/>
        <w:contextualSpacing/>
        <w:rPr>
          <w:rFonts w:cs="Verdana"/>
          <w:b/>
          <w:sz w:val="20"/>
          <w:szCs w:val="20"/>
          <w:lang w:val="pt-BR"/>
        </w:rPr>
      </w:pPr>
    </w:p>
    <w:p w14:paraId="05A96471" w14:textId="02BC2FB2"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 A Comissão </w:t>
      </w:r>
      <w:r w:rsidRPr="00C62DF2">
        <w:rPr>
          <w:rFonts w:ascii="Cambria" w:hAnsi="Cambria" w:cs="Verdana"/>
          <w:sz w:val="20"/>
          <w:szCs w:val="20"/>
        </w:rPr>
        <w:t xml:space="preserve">se pronunciou em uma série de casos sobre a aplicação de leis de </w:t>
      </w:r>
      <w:r w:rsidR="0068635C" w:rsidRPr="00C62DF2">
        <w:rPr>
          <w:rFonts w:ascii="Cambria" w:hAnsi="Cambria" w:cs="Verdana"/>
          <w:sz w:val="20"/>
          <w:szCs w:val="20"/>
        </w:rPr>
        <w:t>a</w:t>
      </w:r>
      <w:r w:rsidRPr="00C62DF2">
        <w:rPr>
          <w:rFonts w:ascii="Cambria" w:hAnsi="Cambria" w:cs="Verdana"/>
          <w:sz w:val="20"/>
          <w:szCs w:val="20"/>
        </w:rPr>
        <w:t xml:space="preserve">nistia, estabelecendo que essas leis violam diversas disposições tanto da Declaração Americana como da Convenção. Nestas decisões, coincidentes com o critério de outros órgãos internacionais de direitos humanos, a CIDH declarou de forma uniforme que tanto as leis de </w:t>
      </w:r>
      <w:r w:rsidR="0068635C" w:rsidRPr="00C62DF2">
        <w:rPr>
          <w:rFonts w:ascii="Cambria" w:hAnsi="Cambria" w:cs="Verdana"/>
          <w:sz w:val="20"/>
          <w:szCs w:val="20"/>
        </w:rPr>
        <w:t>a</w:t>
      </w:r>
      <w:r w:rsidRPr="00C62DF2">
        <w:rPr>
          <w:rFonts w:ascii="Cambria" w:hAnsi="Cambria" w:cs="Verdana"/>
          <w:sz w:val="20"/>
          <w:szCs w:val="20"/>
        </w:rPr>
        <w:t>nistia como as medidas legislativas comparáveis que impedem ou dão por terminada a investigação e julgamento de agentes de um Estado que possam ser responsáveis por sérias violações da Convenção ou da Declaração Americana violam múltiplas disposições destes instrumentos.</w:t>
      </w:r>
      <w:r w:rsidRPr="00C62DF2">
        <w:rPr>
          <w:rStyle w:val="FootnoteReference"/>
          <w:rFonts w:ascii="Cambria" w:hAnsi="Cambria" w:cs="Verdana"/>
          <w:sz w:val="20"/>
          <w:szCs w:val="20"/>
        </w:rPr>
        <w:footnoteReference w:id="213"/>
      </w:r>
      <w:r w:rsidRPr="00C62DF2">
        <w:rPr>
          <w:rFonts w:ascii="Cambria" w:hAnsi="Cambria"/>
          <w:sz w:val="20"/>
          <w:szCs w:val="20"/>
        </w:rPr>
        <w:t xml:space="preserve"> </w:t>
      </w:r>
    </w:p>
    <w:p w14:paraId="4E7F0476" w14:textId="77777777" w:rsidR="00487AEA" w:rsidRPr="00C62DF2" w:rsidRDefault="00487AEA" w:rsidP="00FC0CB6">
      <w:pPr>
        <w:tabs>
          <w:tab w:val="left" w:pos="0"/>
        </w:tabs>
        <w:ind w:left="567"/>
        <w:jc w:val="both"/>
        <w:rPr>
          <w:rFonts w:ascii="Cambria" w:hAnsi="Cambria"/>
          <w:sz w:val="20"/>
          <w:szCs w:val="20"/>
        </w:rPr>
      </w:pPr>
    </w:p>
    <w:p w14:paraId="79DB12A8" w14:textId="3FFB307E"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 Em termos similares, a Corte Interamericana considerou de maneira reiterada</w:t>
      </w:r>
      <w:r w:rsidR="0068635C" w:rsidRPr="00C62DF2">
        <w:rPr>
          <w:rFonts w:ascii="Cambria" w:hAnsi="Cambria"/>
          <w:sz w:val="20"/>
          <w:szCs w:val="20"/>
        </w:rPr>
        <w:t>:</w:t>
      </w:r>
      <w:r w:rsidRPr="00C62DF2">
        <w:rPr>
          <w:rFonts w:ascii="Cambria" w:hAnsi="Cambria"/>
          <w:sz w:val="20"/>
          <w:szCs w:val="20"/>
        </w:rPr>
        <w:t xml:space="preserve"> “são inadmissíveis as disposições de </w:t>
      </w:r>
      <w:r w:rsidR="0068635C" w:rsidRPr="00C62DF2">
        <w:rPr>
          <w:rFonts w:ascii="Cambria" w:hAnsi="Cambria"/>
          <w:sz w:val="20"/>
          <w:szCs w:val="20"/>
        </w:rPr>
        <w:t>a</w:t>
      </w:r>
      <w:r w:rsidRPr="00C62DF2">
        <w:rPr>
          <w:rFonts w:ascii="Cambria" w:hAnsi="Cambria"/>
          <w:sz w:val="20"/>
          <w:szCs w:val="20"/>
        </w:rPr>
        <w:t xml:space="preserve">nistia que pretendem impedir a investigação e </w:t>
      </w:r>
      <w:r w:rsidR="0068635C" w:rsidRPr="00C62DF2">
        <w:rPr>
          <w:rFonts w:ascii="Cambria" w:hAnsi="Cambria"/>
          <w:sz w:val="20"/>
          <w:szCs w:val="20"/>
        </w:rPr>
        <w:t>puni</w:t>
      </w:r>
      <w:r w:rsidRPr="00C62DF2">
        <w:rPr>
          <w:rFonts w:ascii="Cambria" w:hAnsi="Cambria"/>
          <w:sz w:val="20"/>
          <w:szCs w:val="20"/>
        </w:rPr>
        <w:t xml:space="preserve">ção dos responsáveis </w:t>
      </w:r>
      <w:r w:rsidR="0068635C" w:rsidRPr="00C62DF2">
        <w:rPr>
          <w:rFonts w:ascii="Cambria" w:hAnsi="Cambria"/>
          <w:sz w:val="20"/>
          <w:szCs w:val="20"/>
        </w:rPr>
        <w:t>por</w:t>
      </w:r>
      <w:r w:rsidRPr="00C62DF2">
        <w:rPr>
          <w:rFonts w:ascii="Cambria" w:hAnsi="Cambria"/>
          <w:sz w:val="20"/>
          <w:szCs w:val="20"/>
        </w:rPr>
        <w:t xml:space="preserve"> violações graves dos direitos humanos</w:t>
      </w:r>
      <w:r w:rsidR="0068635C" w:rsidRPr="00C62DF2">
        <w:rPr>
          <w:rFonts w:ascii="Cambria" w:hAnsi="Cambria"/>
          <w:sz w:val="20"/>
          <w:szCs w:val="20"/>
        </w:rPr>
        <w:t>,</w:t>
      </w:r>
      <w:r w:rsidRPr="00C62DF2">
        <w:rPr>
          <w:rFonts w:ascii="Cambria" w:hAnsi="Cambria"/>
          <w:sz w:val="20"/>
          <w:szCs w:val="20"/>
        </w:rPr>
        <w:t xml:space="preserve"> tais como a tortura, as execuções sumárias, extralegais ou arbitrárias e os desaparecimentos forçados, todas elas proibidas por contradizer direitos inderrogáveis reconhecidos pelo Direito Internacional dos Direitos Humanos.”</w:t>
      </w:r>
      <w:r w:rsidRPr="00C62DF2">
        <w:rPr>
          <w:rStyle w:val="FootnoteReference"/>
          <w:rFonts w:ascii="Cambria" w:hAnsi="Cambria"/>
          <w:sz w:val="20"/>
          <w:szCs w:val="20"/>
        </w:rPr>
        <w:footnoteReference w:id="214"/>
      </w:r>
    </w:p>
    <w:p w14:paraId="6467B788" w14:textId="77777777" w:rsidR="00487AEA" w:rsidRPr="00C62DF2" w:rsidRDefault="00487AEA" w:rsidP="00FC0CB6">
      <w:pPr>
        <w:pStyle w:val="ListParagraph"/>
        <w:ind w:firstLine="0"/>
        <w:rPr>
          <w:sz w:val="20"/>
          <w:szCs w:val="20"/>
          <w:lang w:val="pt-BR"/>
        </w:rPr>
      </w:pPr>
    </w:p>
    <w:p w14:paraId="79F8CA06" w14:textId="22801CDB"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 Mais recentemente, a Corte Interamericana observou:</w:t>
      </w:r>
    </w:p>
    <w:p w14:paraId="586B3E6A" w14:textId="77777777" w:rsidR="00487AEA" w:rsidRPr="00C62DF2" w:rsidRDefault="00487AEA" w:rsidP="00FC0CB6">
      <w:pPr>
        <w:tabs>
          <w:tab w:val="left" w:pos="7230"/>
        </w:tabs>
        <w:autoSpaceDE w:val="0"/>
        <w:autoSpaceDN w:val="0"/>
        <w:adjustRightInd w:val="0"/>
        <w:ind w:left="720"/>
        <w:jc w:val="both"/>
        <w:rPr>
          <w:rFonts w:ascii="Cambria" w:hAnsi="Cambria" w:cs="Verdana"/>
          <w:sz w:val="20"/>
          <w:szCs w:val="20"/>
        </w:rPr>
      </w:pPr>
    </w:p>
    <w:p w14:paraId="25465AA0" w14:textId="085DA222" w:rsidR="00487AEA" w:rsidRPr="00C62DF2" w:rsidRDefault="0068635C" w:rsidP="00FC0CB6">
      <w:pPr>
        <w:tabs>
          <w:tab w:val="left" w:pos="7230"/>
        </w:tabs>
        <w:autoSpaceDE w:val="0"/>
        <w:autoSpaceDN w:val="0"/>
        <w:adjustRightInd w:val="0"/>
        <w:ind w:left="720"/>
        <w:jc w:val="both"/>
        <w:rPr>
          <w:rFonts w:ascii="Cambria" w:hAnsi="Cambria" w:cs="Verdana"/>
          <w:sz w:val="20"/>
          <w:szCs w:val="20"/>
        </w:rPr>
      </w:pPr>
      <w:r w:rsidRPr="00C62DF2">
        <w:rPr>
          <w:rFonts w:ascii="Cambria" w:hAnsi="Cambria" w:cs="Verdana"/>
          <w:sz w:val="20"/>
          <w:szCs w:val="20"/>
        </w:rPr>
        <w:t>“T</w:t>
      </w:r>
      <w:r w:rsidR="00487AEA" w:rsidRPr="00C62DF2">
        <w:rPr>
          <w:rFonts w:ascii="Cambria" w:hAnsi="Cambria" w:cs="Verdana"/>
          <w:sz w:val="20"/>
          <w:szCs w:val="20"/>
        </w:rPr>
        <w:t xml:space="preserve">odos os órgãos internacionais de proteção de direitos humanos e diversas altas cortes nacionais da região que tiveram a oportunidade de se pronunciar com relação ao alcance das leis de </w:t>
      </w:r>
      <w:r w:rsidRPr="00C62DF2">
        <w:rPr>
          <w:rFonts w:ascii="Cambria" w:hAnsi="Cambria" w:cs="Verdana"/>
          <w:sz w:val="20"/>
          <w:szCs w:val="20"/>
        </w:rPr>
        <w:t>a</w:t>
      </w:r>
      <w:r w:rsidR="00487AEA" w:rsidRPr="00C62DF2">
        <w:rPr>
          <w:rFonts w:ascii="Cambria" w:hAnsi="Cambria" w:cs="Verdana"/>
          <w:sz w:val="20"/>
          <w:szCs w:val="20"/>
        </w:rPr>
        <w:t xml:space="preserve">nistia sobre graves violações de direitos humanos e sua incompatibilidade com as obrigações internacionais dos Estados que as emitem concluíram que </w:t>
      </w:r>
      <w:r w:rsidRPr="00C62DF2">
        <w:rPr>
          <w:rFonts w:ascii="Cambria" w:hAnsi="Cambria" w:cs="Verdana"/>
          <w:sz w:val="20"/>
          <w:szCs w:val="20"/>
        </w:rPr>
        <w:t>el</w:t>
      </w:r>
      <w:r w:rsidR="00487AEA" w:rsidRPr="00C62DF2">
        <w:rPr>
          <w:rFonts w:ascii="Cambria" w:hAnsi="Cambria" w:cs="Verdana"/>
          <w:sz w:val="20"/>
          <w:szCs w:val="20"/>
        </w:rPr>
        <w:t xml:space="preserve">as violam o dever internacional do Estado de investigar e </w:t>
      </w:r>
      <w:r w:rsidRPr="00C62DF2">
        <w:rPr>
          <w:rFonts w:ascii="Cambria" w:hAnsi="Cambria" w:cs="Verdana"/>
          <w:sz w:val="20"/>
          <w:szCs w:val="20"/>
        </w:rPr>
        <w:t>punir</w:t>
      </w:r>
      <w:r w:rsidR="00487AEA" w:rsidRPr="00C62DF2">
        <w:rPr>
          <w:rFonts w:ascii="Cambria" w:hAnsi="Cambria" w:cs="Verdana"/>
          <w:sz w:val="20"/>
          <w:szCs w:val="20"/>
        </w:rPr>
        <w:t xml:space="preserve"> essas violações</w:t>
      </w:r>
      <w:r w:rsidRPr="00C62DF2">
        <w:rPr>
          <w:rFonts w:ascii="Cambria" w:hAnsi="Cambria" w:cs="Verdana"/>
          <w:sz w:val="20"/>
          <w:szCs w:val="20"/>
        </w:rPr>
        <w:t>”</w:t>
      </w:r>
      <w:r w:rsidR="00487AEA" w:rsidRPr="00C62DF2">
        <w:rPr>
          <w:rFonts w:ascii="Cambria" w:hAnsi="Cambria" w:cs="Verdana"/>
          <w:sz w:val="20"/>
          <w:szCs w:val="20"/>
        </w:rPr>
        <w:t>.</w:t>
      </w:r>
      <w:r w:rsidR="00487AEA" w:rsidRPr="00C62DF2">
        <w:rPr>
          <w:rStyle w:val="FootnoteReference"/>
          <w:rFonts w:ascii="Cambria" w:hAnsi="Cambria" w:cs="Verdana"/>
          <w:sz w:val="20"/>
          <w:szCs w:val="20"/>
        </w:rPr>
        <w:footnoteReference w:id="215"/>
      </w:r>
    </w:p>
    <w:p w14:paraId="170F781B" w14:textId="77777777" w:rsidR="00487AEA" w:rsidRPr="00C62DF2" w:rsidRDefault="00487AEA" w:rsidP="00FC0CB6">
      <w:pPr>
        <w:tabs>
          <w:tab w:val="left" w:pos="7230"/>
        </w:tabs>
        <w:autoSpaceDE w:val="0"/>
        <w:autoSpaceDN w:val="0"/>
        <w:adjustRightInd w:val="0"/>
        <w:ind w:left="720"/>
        <w:jc w:val="both"/>
        <w:rPr>
          <w:rFonts w:ascii="Cambria" w:hAnsi="Cambria" w:cs="Verdana"/>
          <w:sz w:val="20"/>
          <w:szCs w:val="20"/>
        </w:rPr>
      </w:pPr>
    </w:p>
    <w:p w14:paraId="477F5E54" w14:textId="4C9B14FB"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cs="Verdana"/>
          <w:sz w:val="20"/>
          <w:szCs w:val="20"/>
        </w:rPr>
        <w:t xml:space="preserve"> No caso </w:t>
      </w:r>
      <w:r w:rsidRPr="00C62DF2">
        <w:rPr>
          <w:rFonts w:ascii="Cambria" w:hAnsi="Cambria"/>
          <w:i/>
          <w:sz w:val="20"/>
          <w:szCs w:val="20"/>
        </w:rPr>
        <w:t>Julia Gomes Lund e outros (Guerrilha d</w:t>
      </w:r>
      <w:r w:rsidR="0068635C" w:rsidRPr="00C62DF2">
        <w:rPr>
          <w:rFonts w:ascii="Cambria" w:hAnsi="Cambria"/>
          <w:i/>
          <w:sz w:val="20"/>
          <w:szCs w:val="20"/>
        </w:rPr>
        <w:t>o</w:t>
      </w:r>
      <w:r w:rsidRPr="00C62DF2">
        <w:rPr>
          <w:rFonts w:ascii="Cambria" w:hAnsi="Cambria"/>
          <w:i/>
          <w:sz w:val="20"/>
          <w:szCs w:val="20"/>
        </w:rPr>
        <w:t xml:space="preserve"> Araguaia) vs. Brasil</w:t>
      </w:r>
      <w:r w:rsidRPr="00C62DF2">
        <w:rPr>
          <w:rFonts w:ascii="Cambria" w:hAnsi="Cambria" w:cs="Verdana"/>
          <w:sz w:val="20"/>
          <w:szCs w:val="20"/>
        </w:rPr>
        <w:t xml:space="preserve">, a Comissão teve a oportunidade de se pronunciar pela primeira sobre a Lei Nº 6.683/79, aprovada no Brasil em 28 de agosto de 1979. </w:t>
      </w:r>
      <w:r w:rsidRPr="00C62DF2">
        <w:rPr>
          <w:rFonts w:ascii="Cambria" w:hAnsi="Cambria" w:cs="Verdana"/>
          <w:sz w:val="20"/>
          <w:szCs w:val="20"/>
        </w:rPr>
        <w:lastRenderedPageBreak/>
        <w:t xml:space="preserve">Posteriormente, no caso </w:t>
      </w:r>
      <w:r w:rsidRPr="00C62DF2">
        <w:rPr>
          <w:rFonts w:ascii="Cambria" w:hAnsi="Cambria" w:cs="Verdana"/>
          <w:i/>
          <w:iCs/>
          <w:sz w:val="20"/>
          <w:szCs w:val="20"/>
        </w:rPr>
        <w:t xml:space="preserve">Herzog e outros vs. </w:t>
      </w:r>
      <w:r w:rsidRPr="00C62DF2">
        <w:rPr>
          <w:rFonts w:ascii="Cambria" w:hAnsi="Cambria" w:cs="Verdana"/>
          <w:sz w:val="20"/>
          <w:szCs w:val="20"/>
        </w:rPr>
        <w:t xml:space="preserve">Brasil, a CIDH teve a oportunidade de se manifestar novamente sobre o tema. A Comissão considerou que essa norma constitui uma lei de </w:t>
      </w:r>
      <w:r w:rsidR="0068635C" w:rsidRPr="00C62DF2">
        <w:rPr>
          <w:rFonts w:ascii="Cambria" w:hAnsi="Cambria" w:cs="Verdana"/>
          <w:sz w:val="20"/>
          <w:szCs w:val="20"/>
        </w:rPr>
        <w:t>a</w:t>
      </w:r>
      <w:r w:rsidRPr="00C62DF2">
        <w:rPr>
          <w:rFonts w:ascii="Cambria" w:hAnsi="Cambria" w:cs="Verdana"/>
          <w:sz w:val="20"/>
          <w:szCs w:val="20"/>
        </w:rPr>
        <w:t>nistia ao declarar a extinção da responsabilidade penal de todos os indivíduos que haviam cometido “crimes políticos ou conexos com estes” no período da ditadura militar, entre 2 de setembro de 1961 a 15 de agosto de 1979</w:t>
      </w:r>
      <w:r w:rsidRPr="00C62DF2">
        <w:rPr>
          <w:rStyle w:val="FootnoteReference"/>
          <w:rFonts w:ascii="Cambria" w:hAnsi="Cambria" w:cs="Verdana"/>
          <w:sz w:val="20"/>
          <w:szCs w:val="20"/>
        </w:rPr>
        <w:footnoteReference w:id="216"/>
      </w:r>
      <w:r w:rsidRPr="00C62DF2">
        <w:rPr>
          <w:rFonts w:ascii="Cambria" w:hAnsi="Cambria" w:cs="Verdana"/>
          <w:sz w:val="20"/>
          <w:szCs w:val="20"/>
        </w:rPr>
        <w:t>. A CIDH a</w:t>
      </w:r>
      <w:r w:rsidR="0068635C" w:rsidRPr="00C62DF2">
        <w:rPr>
          <w:rFonts w:ascii="Cambria" w:hAnsi="Cambria" w:cs="Verdana"/>
          <w:sz w:val="20"/>
          <w:szCs w:val="20"/>
        </w:rPr>
        <w:t>crescent</w:t>
      </w:r>
      <w:r w:rsidRPr="00C62DF2">
        <w:rPr>
          <w:rFonts w:ascii="Cambria" w:hAnsi="Cambria" w:cs="Verdana"/>
          <w:sz w:val="20"/>
          <w:szCs w:val="20"/>
        </w:rPr>
        <w:t xml:space="preserve">ou que os tribunais brasileiros interpretaram a lei de </w:t>
      </w:r>
      <w:r w:rsidR="0068635C" w:rsidRPr="00C62DF2">
        <w:rPr>
          <w:rFonts w:ascii="Cambria" w:hAnsi="Cambria" w:cs="Verdana"/>
          <w:sz w:val="20"/>
          <w:szCs w:val="20"/>
        </w:rPr>
        <w:t>a</w:t>
      </w:r>
      <w:r w:rsidRPr="00C62DF2">
        <w:rPr>
          <w:rFonts w:ascii="Cambria" w:hAnsi="Cambria" w:cs="Verdana"/>
          <w:sz w:val="20"/>
          <w:szCs w:val="20"/>
        </w:rPr>
        <w:t xml:space="preserve">nistia no sentido de que impede </w:t>
      </w:r>
      <w:r w:rsidR="0068635C" w:rsidRPr="00C62DF2">
        <w:rPr>
          <w:rFonts w:ascii="Cambria" w:hAnsi="Cambria" w:cs="Verdana"/>
          <w:sz w:val="20"/>
          <w:szCs w:val="20"/>
        </w:rPr>
        <w:t xml:space="preserve">a </w:t>
      </w:r>
      <w:r w:rsidRPr="00C62DF2">
        <w:rPr>
          <w:rFonts w:ascii="Cambria" w:hAnsi="Cambria" w:cs="Verdana"/>
          <w:sz w:val="20"/>
          <w:szCs w:val="20"/>
        </w:rPr>
        <w:t xml:space="preserve">investigação penal, processo e </w:t>
      </w:r>
      <w:r w:rsidR="0068635C" w:rsidRPr="00C62DF2">
        <w:rPr>
          <w:rFonts w:ascii="Cambria" w:hAnsi="Cambria" w:cs="Verdana"/>
          <w:sz w:val="20"/>
          <w:szCs w:val="20"/>
        </w:rPr>
        <w:t>puni</w:t>
      </w:r>
      <w:r w:rsidRPr="00C62DF2">
        <w:rPr>
          <w:rFonts w:ascii="Cambria" w:hAnsi="Cambria" w:cs="Verdana"/>
          <w:sz w:val="20"/>
          <w:szCs w:val="20"/>
        </w:rPr>
        <w:t xml:space="preserve">ção dos responsáveis </w:t>
      </w:r>
      <w:r w:rsidR="0068635C" w:rsidRPr="00C62DF2">
        <w:rPr>
          <w:rFonts w:ascii="Cambria" w:hAnsi="Cambria" w:cs="Verdana"/>
          <w:sz w:val="20"/>
          <w:szCs w:val="20"/>
        </w:rPr>
        <w:t>por</w:t>
      </w:r>
      <w:r w:rsidRPr="00C62DF2">
        <w:rPr>
          <w:rFonts w:ascii="Cambria" w:hAnsi="Cambria" w:cs="Verdana"/>
          <w:sz w:val="20"/>
          <w:szCs w:val="20"/>
        </w:rPr>
        <w:t xml:space="preserve"> graves violações de direitos humanos que constituem crimes </w:t>
      </w:r>
      <w:r w:rsidR="000647E7" w:rsidRPr="00C62DF2">
        <w:rPr>
          <w:rFonts w:ascii="Cambria" w:hAnsi="Cambria" w:cs="Verdana"/>
          <w:sz w:val="20"/>
          <w:szCs w:val="20"/>
        </w:rPr>
        <w:t>contra a humanidade</w:t>
      </w:r>
      <w:r w:rsidRPr="00C62DF2">
        <w:rPr>
          <w:rFonts w:ascii="Cambria" w:hAnsi="Cambria" w:cs="Verdana"/>
          <w:sz w:val="20"/>
          <w:szCs w:val="20"/>
        </w:rPr>
        <w:t>, como a tortura, as execuções extrajudiciais e os desaparecimentos forçados.</w:t>
      </w:r>
      <w:r w:rsidRPr="00C62DF2">
        <w:rPr>
          <w:rStyle w:val="FootnoteReference"/>
          <w:rFonts w:ascii="Cambria" w:hAnsi="Cambria" w:cs="Verdana"/>
          <w:sz w:val="20"/>
          <w:szCs w:val="20"/>
        </w:rPr>
        <w:footnoteReference w:id="217"/>
      </w:r>
      <w:r w:rsidRPr="00C62DF2">
        <w:rPr>
          <w:rFonts w:ascii="Cambria" w:hAnsi="Cambria" w:cs="Verdana"/>
          <w:sz w:val="20"/>
          <w:szCs w:val="20"/>
        </w:rPr>
        <w:t xml:space="preserve"> Nesse sentido, a CIDH considerou que a Lei Nº 6.683/79 é contrária à Convenção Americana, “na medida </w:t>
      </w:r>
      <w:r w:rsidR="0068635C" w:rsidRPr="00C62DF2">
        <w:rPr>
          <w:rFonts w:ascii="Cambria" w:hAnsi="Cambria" w:cs="Verdana"/>
          <w:sz w:val="20"/>
          <w:szCs w:val="20"/>
        </w:rPr>
        <w:t xml:space="preserve">em </w:t>
      </w:r>
      <w:r w:rsidRPr="00C62DF2">
        <w:rPr>
          <w:rFonts w:ascii="Cambria" w:hAnsi="Cambria" w:cs="Verdana"/>
          <w:sz w:val="20"/>
          <w:szCs w:val="20"/>
        </w:rPr>
        <w:t>que é interpretada como um impedimento à acusação penal de graves violações de direitos humanos.”</w:t>
      </w:r>
      <w:r w:rsidRPr="00C62DF2">
        <w:rPr>
          <w:rStyle w:val="FootnoteReference"/>
          <w:rFonts w:ascii="Cambria" w:hAnsi="Cambria" w:cs="Verdana"/>
          <w:sz w:val="20"/>
          <w:szCs w:val="20"/>
        </w:rPr>
        <w:footnoteReference w:id="218"/>
      </w:r>
    </w:p>
    <w:p w14:paraId="7C529108" w14:textId="77777777" w:rsidR="00487AEA" w:rsidRPr="00C62DF2" w:rsidRDefault="00487AEA" w:rsidP="00FC0CB6">
      <w:pPr>
        <w:tabs>
          <w:tab w:val="left" w:pos="0"/>
        </w:tabs>
        <w:ind w:left="567"/>
        <w:jc w:val="both"/>
        <w:rPr>
          <w:rFonts w:ascii="Cambria" w:hAnsi="Cambria"/>
          <w:sz w:val="20"/>
          <w:szCs w:val="20"/>
        </w:rPr>
      </w:pPr>
    </w:p>
    <w:p w14:paraId="0692DBEB" w14:textId="4DD43254"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cs="Verdana"/>
          <w:sz w:val="20"/>
          <w:szCs w:val="20"/>
        </w:rPr>
        <w:t xml:space="preserve"> Em sua decisão sobre o caso </w:t>
      </w:r>
      <w:r w:rsidRPr="00C62DF2">
        <w:rPr>
          <w:rFonts w:ascii="Cambria" w:hAnsi="Cambria" w:cs="Verdana"/>
          <w:i/>
          <w:iCs/>
          <w:sz w:val="20"/>
          <w:szCs w:val="20"/>
        </w:rPr>
        <w:t>Julia Gomes Lund e outros (Guerrilha do Araguaia) vs. Brasil</w:t>
      </w:r>
      <w:r w:rsidRPr="00C62DF2">
        <w:rPr>
          <w:rFonts w:ascii="Cambria" w:hAnsi="Cambria" w:cs="Verdana"/>
          <w:sz w:val="20"/>
          <w:szCs w:val="20"/>
        </w:rPr>
        <w:t xml:space="preserve">, a Corte Interamericana afirmou que “não encontra fundamentos jurídicos para apartar-se de sua jurisprudência constante, segundo a qual são inadmissíveis as disposições de </w:t>
      </w:r>
      <w:r w:rsidR="0068635C" w:rsidRPr="00C62DF2">
        <w:rPr>
          <w:rFonts w:ascii="Cambria" w:hAnsi="Cambria" w:cs="Verdana"/>
          <w:sz w:val="20"/>
          <w:szCs w:val="20"/>
        </w:rPr>
        <w:t>a</w:t>
      </w:r>
      <w:r w:rsidRPr="00C62DF2">
        <w:rPr>
          <w:rFonts w:ascii="Cambria" w:hAnsi="Cambria" w:cs="Verdana"/>
          <w:sz w:val="20"/>
          <w:szCs w:val="20"/>
        </w:rPr>
        <w:t xml:space="preserve">nistia que pretendam impedir a investigação e </w:t>
      </w:r>
      <w:r w:rsidR="0068635C" w:rsidRPr="00C62DF2">
        <w:rPr>
          <w:rFonts w:ascii="Cambria" w:hAnsi="Cambria" w:cs="Verdana"/>
          <w:sz w:val="20"/>
          <w:szCs w:val="20"/>
        </w:rPr>
        <w:t>puni</w:t>
      </w:r>
      <w:r w:rsidRPr="00C62DF2">
        <w:rPr>
          <w:rFonts w:ascii="Cambria" w:hAnsi="Cambria" w:cs="Verdana"/>
          <w:sz w:val="20"/>
          <w:szCs w:val="20"/>
        </w:rPr>
        <w:t>ção dos responsáveis pelas violações graves dos direitos humanos”</w:t>
      </w:r>
      <w:r w:rsidR="0068635C" w:rsidRPr="00C62DF2">
        <w:rPr>
          <w:rFonts w:ascii="Cambria" w:hAnsi="Cambria" w:cs="Verdana"/>
          <w:sz w:val="20"/>
          <w:szCs w:val="20"/>
        </w:rPr>
        <w:t>.</w:t>
      </w:r>
      <w:r w:rsidRPr="00C62DF2">
        <w:rPr>
          <w:rFonts w:ascii="Cambria" w:hAnsi="Cambria" w:cs="Verdana"/>
          <w:sz w:val="20"/>
          <w:szCs w:val="20"/>
        </w:rPr>
        <w:t xml:space="preserve"> </w:t>
      </w:r>
    </w:p>
    <w:p w14:paraId="20B4782A" w14:textId="77777777" w:rsidR="0068635C" w:rsidRPr="00C62DF2" w:rsidRDefault="0068635C" w:rsidP="00FC0CB6">
      <w:pPr>
        <w:pStyle w:val="ListParagraph"/>
        <w:ind w:firstLine="0"/>
        <w:rPr>
          <w:sz w:val="20"/>
          <w:szCs w:val="20"/>
          <w:lang w:val="pt-BR"/>
        </w:rPr>
      </w:pPr>
    </w:p>
    <w:p w14:paraId="762C6891" w14:textId="5A6A2E3F" w:rsidR="0068635C" w:rsidRPr="00C62DF2" w:rsidRDefault="005030FB" w:rsidP="00FC0CB6">
      <w:pPr>
        <w:tabs>
          <w:tab w:val="left" w:pos="0"/>
        </w:tabs>
        <w:ind w:left="567"/>
        <w:jc w:val="both"/>
        <w:rPr>
          <w:rFonts w:ascii="Cambria" w:hAnsi="Cambria"/>
          <w:sz w:val="20"/>
          <w:szCs w:val="20"/>
        </w:rPr>
      </w:pPr>
      <w:r w:rsidRPr="00C62DF2">
        <w:rPr>
          <w:rFonts w:ascii="Cambria" w:hAnsi="Cambria" w:cs="Verdana"/>
          <w:sz w:val="20"/>
          <w:szCs w:val="20"/>
        </w:rPr>
        <w:t xml:space="preserve">172. </w:t>
      </w:r>
      <w:r w:rsidR="0068635C" w:rsidRPr="00C62DF2">
        <w:rPr>
          <w:rFonts w:ascii="Cambria" w:hAnsi="Cambria" w:cs="Verdana"/>
          <w:sz w:val="20"/>
          <w:szCs w:val="20"/>
        </w:rPr>
        <w:t>A Corte Interamericana considera que a forma na qual foi interpretada e aplicada a Lei de Anistia adotada pelo Brasil […] afetou o dever internacional do Estado de investigar e punir as graves violações de direitos humanos, ao impedir que os familiares das vítimas no presente caso fossem ouvidos por um juiz, conforme assinalado no artigo 8.1 da Convenção Americana, e violou o direito à proteção judicial consagrado no artigo 25 do mesmo instrumento, precisamente pela falta de investigação, acusação, captura, julgamento e punição dos responsáveis pelos fatos, descumprindo também o artigo 1.1 da Convenção. Adicionalmente, ao aplicar a Lei de Anistia impedindo a investigação dos fatos e a identificação, julgamento e eventual punição dos possíveis responsáveis por violações continuadas e permanentes, como os desaparecimentos forçados, o Estado não cumpriu a obrigação de adequar seu direito interno consagrada no artigo 2 da Convenção Americana.</w:t>
      </w:r>
    </w:p>
    <w:p w14:paraId="1DCB1460" w14:textId="77777777" w:rsidR="0068635C" w:rsidRPr="00C62DF2" w:rsidRDefault="0068635C" w:rsidP="00FC0CB6">
      <w:pPr>
        <w:pStyle w:val="ListParagraph"/>
        <w:ind w:firstLine="0"/>
        <w:rPr>
          <w:sz w:val="20"/>
          <w:szCs w:val="20"/>
          <w:lang w:val="pt-BR"/>
        </w:rPr>
      </w:pPr>
    </w:p>
    <w:p w14:paraId="45D1D451" w14:textId="6C7782C2" w:rsidR="0068635C" w:rsidRPr="00C62DF2" w:rsidRDefault="005030FB" w:rsidP="00FC0CB6">
      <w:pPr>
        <w:tabs>
          <w:tab w:val="left" w:pos="0"/>
        </w:tabs>
        <w:ind w:left="567"/>
        <w:jc w:val="both"/>
        <w:rPr>
          <w:rFonts w:ascii="Cambria" w:hAnsi="Cambria"/>
          <w:sz w:val="20"/>
          <w:szCs w:val="20"/>
        </w:rPr>
      </w:pPr>
      <w:r w:rsidRPr="00C62DF2">
        <w:rPr>
          <w:rFonts w:ascii="Cambria" w:hAnsi="Cambria" w:cs="Verdana"/>
          <w:sz w:val="20"/>
          <w:szCs w:val="20"/>
        </w:rPr>
        <w:t xml:space="preserve">173. </w:t>
      </w:r>
      <w:r w:rsidR="0068635C" w:rsidRPr="00C62DF2">
        <w:rPr>
          <w:rFonts w:ascii="Cambria" w:hAnsi="Cambria" w:cs="Verdana"/>
          <w:sz w:val="20"/>
          <w:szCs w:val="20"/>
        </w:rPr>
        <w:t xml:space="preserve">A Corte considera necessário enfatizar que, à luz das obrigações gerais consagradas nos artigos 1.1 e 2 da Convenção Americana, os Estados Partes têm o dever de adotar as providências de toda índole para que ninguém seja subtraído da proteção judicial e do exercício do direito a um recurso simples e eficaz, nos termos dos artigos 8 e 25 da Convenção. Num caso como o presente, uma vez ratificada a Convenção Americana cabe ao Estado, em conformidade com o artigo 2, adotar todas as medidas para deixar sem efeito as disposições legais que possam contradizê-la, como as que impedem a investigação de graves violações de direitos humanos, posto que conduzem </w:t>
      </w:r>
      <w:r w:rsidR="00156299" w:rsidRPr="00C62DF2">
        <w:rPr>
          <w:rFonts w:ascii="Cambria" w:hAnsi="Cambria" w:cs="Verdana"/>
          <w:sz w:val="20"/>
          <w:szCs w:val="20"/>
        </w:rPr>
        <w:t>ao abandono</w:t>
      </w:r>
      <w:r w:rsidR="0068635C" w:rsidRPr="00C62DF2">
        <w:rPr>
          <w:rFonts w:ascii="Cambria" w:hAnsi="Cambria" w:cs="Verdana"/>
          <w:sz w:val="20"/>
          <w:szCs w:val="20"/>
        </w:rPr>
        <w:t xml:space="preserve"> das vítimas e à perpetuação da impunidade, além de impedir que as vítimas e seus familiares conheçam a verdade dos fatos.</w:t>
      </w:r>
      <w:r w:rsidR="0068635C" w:rsidRPr="00C62DF2">
        <w:rPr>
          <w:rStyle w:val="FootnoteReference"/>
          <w:rFonts w:ascii="Cambria" w:hAnsi="Cambria" w:cs="Verdana"/>
          <w:sz w:val="20"/>
          <w:szCs w:val="20"/>
        </w:rPr>
        <w:footnoteReference w:id="219"/>
      </w:r>
    </w:p>
    <w:p w14:paraId="6F343388" w14:textId="77777777" w:rsidR="00487AEA" w:rsidRPr="00C62DF2" w:rsidRDefault="00487AEA" w:rsidP="00FC0CB6">
      <w:pPr>
        <w:tabs>
          <w:tab w:val="left" w:pos="0"/>
        </w:tabs>
        <w:ind w:left="567"/>
        <w:jc w:val="both"/>
        <w:rPr>
          <w:rFonts w:ascii="Cambria" w:hAnsi="Cambria"/>
          <w:sz w:val="20"/>
          <w:szCs w:val="20"/>
        </w:rPr>
      </w:pPr>
    </w:p>
    <w:p w14:paraId="40A9E53D" w14:textId="12003EA9"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cs="Verdana"/>
          <w:sz w:val="20"/>
          <w:szCs w:val="20"/>
        </w:rPr>
        <w:t xml:space="preserve"> Com base nisso, a Corte Interamericana concluiu</w:t>
      </w:r>
      <w:r w:rsidR="00156299" w:rsidRPr="00C62DF2">
        <w:rPr>
          <w:rFonts w:ascii="Cambria" w:hAnsi="Cambria" w:cs="Verdana"/>
          <w:sz w:val="20"/>
          <w:szCs w:val="20"/>
        </w:rPr>
        <w:t>:</w:t>
      </w:r>
      <w:r w:rsidRPr="00C62DF2">
        <w:rPr>
          <w:rFonts w:ascii="Cambria" w:hAnsi="Cambria" w:cs="Verdana"/>
          <w:sz w:val="20"/>
          <w:szCs w:val="20"/>
        </w:rPr>
        <w:t xml:space="preserve"> “</w:t>
      </w:r>
      <w:r w:rsidR="00156299" w:rsidRPr="00C62DF2">
        <w:rPr>
          <w:rFonts w:ascii="Cambria" w:hAnsi="Cambria" w:cs="Verdana"/>
          <w:sz w:val="20"/>
          <w:szCs w:val="20"/>
        </w:rPr>
        <w:t>D</w:t>
      </w:r>
      <w:r w:rsidRPr="00C62DF2">
        <w:rPr>
          <w:rFonts w:ascii="Cambria" w:hAnsi="Cambria" w:cs="Verdana"/>
          <w:sz w:val="20"/>
          <w:szCs w:val="20"/>
        </w:rPr>
        <w:t>ada</w:t>
      </w:r>
      <w:r w:rsidR="00404693" w:rsidRPr="00C62DF2">
        <w:rPr>
          <w:rFonts w:ascii="Cambria" w:hAnsi="Cambria" w:cs="Verdana"/>
          <w:sz w:val="20"/>
          <w:szCs w:val="20"/>
        </w:rPr>
        <w:t xml:space="preserve"> a</w:t>
      </w:r>
      <w:r w:rsidRPr="00C62DF2">
        <w:rPr>
          <w:rFonts w:ascii="Cambria" w:hAnsi="Cambria" w:cs="Verdana"/>
          <w:sz w:val="20"/>
          <w:szCs w:val="20"/>
        </w:rPr>
        <w:t xml:space="preserve"> sua manifesta incompatibilidade com a Convenção Americana, as disposições da Lei de Anistia brasileira que impedem a investigação e </w:t>
      </w:r>
      <w:r w:rsidR="00156299" w:rsidRPr="00C62DF2">
        <w:rPr>
          <w:rFonts w:ascii="Cambria" w:hAnsi="Cambria" w:cs="Verdana"/>
          <w:sz w:val="20"/>
          <w:szCs w:val="20"/>
        </w:rPr>
        <w:t>puni</w:t>
      </w:r>
      <w:r w:rsidRPr="00C62DF2">
        <w:rPr>
          <w:rFonts w:ascii="Cambria" w:hAnsi="Cambria" w:cs="Verdana"/>
          <w:sz w:val="20"/>
          <w:szCs w:val="20"/>
        </w:rPr>
        <w:t xml:space="preserve">ção de graves violações de direitos humanos carecem de efeitos jurídicos. Em consequência, não podem seguir representando um obstáculo para a investigação dos fatos do presente caso, nem para a identificação e </w:t>
      </w:r>
      <w:r w:rsidR="00156299" w:rsidRPr="00C62DF2">
        <w:rPr>
          <w:rFonts w:ascii="Cambria" w:hAnsi="Cambria" w:cs="Verdana"/>
          <w:sz w:val="20"/>
          <w:szCs w:val="20"/>
        </w:rPr>
        <w:t>punição</w:t>
      </w:r>
      <w:r w:rsidRPr="00C62DF2">
        <w:rPr>
          <w:rFonts w:ascii="Cambria" w:hAnsi="Cambria" w:cs="Verdana"/>
          <w:sz w:val="20"/>
          <w:szCs w:val="20"/>
        </w:rPr>
        <w:t xml:space="preserve"> dos responsáveis, nem podem ter igual ou similar impacto a respeito de outros casos de graves violações de direitos humanos consagrados na Convenção Americana ocorridos no Brasil.”</w:t>
      </w:r>
      <w:r w:rsidRPr="00C62DF2">
        <w:rPr>
          <w:rStyle w:val="FootnoteReference"/>
          <w:rFonts w:ascii="Cambria" w:hAnsi="Cambria" w:cs="Verdana"/>
          <w:sz w:val="20"/>
          <w:szCs w:val="20"/>
        </w:rPr>
        <w:footnoteReference w:id="220"/>
      </w:r>
    </w:p>
    <w:p w14:paraId="50CC2050" w14:textId="77777777" w:rsidR="00487AEA" w:rsidRPr="00C62DF2" w:rsidRDefault="00487AEA" w:rsidP="00FC0CB6">
      <w:pPr>
        <w:tabs>
          <w:tab w:val="left" w:pos="0"/>
        </w:tabs>
        <w:ind w:left="567"/>
        <w:jc w:val="both"/>
        <w:rPr>
          <w:rFonts w:ascii="Cambria" w:hAnsi="Cambria"/>
          <w:sz w:val="20"/>
          <w:szCs w:val="20"/>
        </w:rPr>
      </w:pPr>
    </w:p>
    <w:p w14:paraId="42007E05" w14:textId="3E3B75FF" w:rsidR="00487AEA" w:rsidRPr="00C62DF2" w:rsidRDefault="00487AEA" w:rsidP="00FC0CB6">
      <w:pPr>
        <w:numPr>
          <w:ilvl w:val="0"/>
          <w:numId w:val="2"/>
        </w:numPr>
        <w:tabs>
          <w:tab w:val="left" w:pos="0"/>
        </w:tabs>
        <w:jc w:val="both"/>
        <w:rPr>
          <w:rStyle w:val="hps"/>
          <w:rFonts w:ascii="Cambria" w:hAnsi="Cambria"/>
          <w:sz w:val="20"/>
          <w:szCs w:val="20"/>
        </w:rPr>
      </w:pPr>
      <w:r w:rsidRPr="00C62DF2">
        <w:rPr>
          <w:rFonts w:ascii="Cambria" w:hAnsi="Cambria" w:cs="Verdana"/>
          <w:sz w:val="20"/>
          <w:szCs w:val="20"/>
        </w:rPr>
        <w:t>A CIDH observa que em seu Relatório Final a Comissão Nacional da Verdade (CNV) do Brasil retomou  a jurisprudência interamericana e assinalou</w:t>
      </w:r>
      <w:r w:rsidR="00156299" w:rsidRPr="00C62DF2">
        <w:rPr>
          <w:rFonts w:ascii="Cambria" w:hAnsi="Cambria" w:cs="Verdana"/>
          <w:sz w:val="20"/>
          <w:szCs w:val="20"/>
        </w:rPr>
        <w:t xml:space="preserve"> que</w:t>
      </w:r>
      <w:r w:rsidRPr="00C62DF2">
        <w:rPr>
          <w:rFonts w:ascii="Cambria" w:hAnsi="Cambria" w:cs="Verdana"/>
          <w:sz w:val="20"/>
          <w:szCs w:val="20"/>
        </w:rPr>
        <w:t xml:space="preserve"> </w:t>
      </w:r>
      <w:r w:rsidRPr="00C62DF2">
        <w:rPr>
          <w:rStyle w:val="hps"/>
          <w:rFonts w:ascii="Cambria" w:hAnsi="Cambria" w:cs="Arial"/>
          <w:sz w:val="20"/>
          <w:szCs w:val="20"/>
        </w:rPr>
        <w:t xml:space="preserve">“a caracterização como grave de uma violação de direitos </w:t>
      </w:r>
      <w:r w:rsidRPr="00C62DF2">
        <w:rPr>
          <w:rStyle w:val="hps"/>
          <w:rFonts w:ascii="Cambria" w:hAnsi="Cambria" w:cs="Arial"/>
          <w:sz w:val="20"/>
          <w:szCs w:val="20"/>
        </w:rPr>
        <w:lastRenderedPageBreak/>
        <w:t>humanos impõe ao Estado uma série de obrigações”</w:t>
      </w:r>
      <w:r w:rsidR="00156299" w:rsidRPr="00C62DF2">
        <w:rPr>
          <w:rStyle w:val="hps"/>
          <w:rFonts w:ascii="Cambria" w:hAnsi="Cambria" w:cs="Arial"/>
          <w:sz w:val="20"/>
          <w:szCs w:val="20"/>
        </w:rPr>
        <w:t>,</w:t>
      </w:r>
      <w:r w:rsidRPr="00C62DF2">
        <w:rPr>
          <w:rStyle w:val="FootnoteReference"/>
          <w:rFonts w:ascii="Cambria" w:hAnsi="Cambria" w:cs="Arial"/>
          <w:sz w:val="20"/>
          <w:szCs w:val="20"/>
        </w:rPr>
        <w:footnoteReference w:id="221"/>
      </w:r>
      <w:r w:rsidRPr="00C62DF2">
        <w:rPr>
          <w:rStyle w:val="hps"/>
          <w:rFonts w:ascii="Cambria" w:hAnsi="Cambria" w:cs="Arial"/>
          <w:sz w:val="20"/>
          <w:szCs w:val="20"/>
        </w:rPr>
        <w:t xml:space="preserve"> ao indicar que “são inadmissíveis as disposições de </w:t>
      </w:r>
      <w:r w:rsidR="00E619D9" w:rsidRPr="00C62DF2">
        <w:rPr>
          <w:rStyle w:val="hps"/>
          <w:rFonts w:ascii="Cambria" w:hAnsi="Cambria" w:cs="Arial"/>
          <w:sz w:val="20"/>
          <w:szCs w:val="20"/>
        </w:rPr>
        <w:t>a</w:t>
      </w:r>
      <w:r w:rsidRPr="00C62DF2">
        <w:rPr>
          <w:rStyle w:val="hps"/>
          <w:rFonts w:ascii="Cambria" w:hAnsi="Cambria" w:cs="Arial"/>
          <w:sz w:val="20"/>
          <w:szCs w:val="20"/>
        </w:rPr>
        <w:t>nistia</w:t>
      </w:r>
      <w:r w:rsidR="00E619D9" w:rsidRPr="00C62DF2">
        <w:rPr>
          <w:rStyle w:val="hps"/>
          <w:rFonts w:ascii="Cambria" w:hAnsi="Cambria" w:cs="Arial"/>
          <w:sz w:val="20"/>
          <w:szCs w:val="20"/>
        </w:rPr>
        <w:t xml:space="preserve"> e </w:t>
      </w:r>
      <w:r w:rsidRPr="00C62DF2">
        <w:rPr>
          <w:rStyle w:val="hps"/>
          <w:rFonts w:ascii="Cambria" w:hAnsi="Cambria" w:cs="Arial"/>
          <w:sz w:val="20"/>
          <w:szCs w:val="20"/>
        </w:rPr>
        <w:t>prescrição e o estabelecimento de excludentes de responsabilidade a fim de obstruir a investigação e punição dos responsáveis por graves violações de direitos humanos.”</w:t>
      </w:r>
      <w:r w:rsidRPr="00C62DF2">
        <w:rPr>
          <w:rStyle w:val="FootnoteReference"/>
          <w:rFonts w:ascii="Cambria" w:hAnsi="Cambria" w:cs="Arial"/>
          <w:sz w:val="20"/>
          <w:szCs w:val="20"/>
        </w:rPr>
        <w:footnoteReference w:id="222"/>
      </w:r>
      <w:r w:rsidRPr="00C62DF2">
        <w:rPr>
          <w:rStyle w:val="hps"/>
          <w:rFonts w:ascii="Cambria" w:hAnsi="Cambria" w:cs="Arial"/>
          <w:sz w:val="20"/>
          <w:szCs w:val="20"/>
        </w:rPr>
        <w:t xml:space="preserve"> </w:t>
      </w:r>
    </w:p>
    <w:p w14:paraId="27EF614E" w14:textId="77777777" w:rsidR="00487AEA" w:rsidRPr="00C62DF2" w:rsidRDefault="00487AEA" w:rsidP="00FC0CB6">
      <w:pPr>
        <w:pStyle w:val="ListParagraph"/>
        <w:ind w:firstLine="0"/>
        <w:rPr>
          <w:rStyle w:val="hps"/>
          <w:rFonts w:cs="Arial"/>
          <w:sz w:val="20"/>
          <w:szCs w:val="20"/>
          <w:lang w:val="pt-BR"/>
        </w:rPr>
      </w:pPr>
    </w:p>
    <w:p w14:paraId="2574BEDC" w14:textId="7B9518E0" w:rsidR="00487AEA" w:rsidRPr="00C62DF2" w:rsidRDefault="00487AEA" w:rsidP="00FC0CB6">
      <w:pPr>
        <w:numPr>
          <w:ilvl w:val="0"/>
          <w:numId w:val="2"/>
        </w:numPr>
        <w:tabs>
          <w:tab w:val="left" w:pos="0"/>
        </w:tabs>
        <w:jc w:val="both"/>
        <w:rPr>
          <w:rStyle w:val="hps"/>
          <w:rFonts w:ascii="Cambria" w:hAnsi="Cambria"/>
          <w:sz w:val="20"/>
          <w:szCs w:val="20"/>
        </w:rPr>
      </w:pPr>
      <w:r w:rsidRPr="00C62DF2">
        <w:rPr>
          <w:rStyle w:val="hps"/>
          <w:rFonts w:ascii="Cambria" w:hAnsi="Cambria" w:cs="Arial"/>
          <w:sz w:val="20"/>
          <w:szCs w:val="20"/>
        </w:rPr>
        <w:t>Tanto a Corte</w:t>
      </w:r>
      <w:r w:rsidRPr="00C62DF2">
        <w:rPr>
          <w:rStyle w:val="FootnoteReference"/>
          <w:rFonts w:ascii="Cambria" w:hAnsi="Cambria" w:cs="Arial"/>
          <w:sz w:val="20"/>
          <w:szCs w:val="20"/>
        </w:rPr>
        <w:footnoteReference w:id="223"/>
      </w:r>
      <w:r w:rsidRPr="00C62DF2">
        <w:rPr>
          <w:rStyle w:val="hps"/>
          <w:rFonts w:ascii="Cambria" w:hAnsi="Cambria" w:cs="Arial"/>
          <w:sz w:val="20"/>
          <w:szCs w:val="20"/>
        </w:rPr>
        <w:t xml:space="preserve"> como a CIDH enfatizaram que, em sua condição de fiadores, os órgãos jurisdicionais de cada Estado se encontram obrigados a exercer um “controle de convencionalidade,” o que implica que </w:t>
      </w:r>
      <w:r w:rsidR="00E619D9" w:rsidRPr="00C62DF2">
        <w:rPr>
          <w:rStyle w:val="hps"/>
          <w:rFonts w:ascii="Cambria" w:hAnsi="Cambria" w:cs="Arial"/>
          <w:sz w:val="20"/>
          <w:szCs w:val="20"/>
        </w:rPr>
        <w:t>a</w:t>
      </w:r>
      <w:r w:rsidRPr="00C62DF2">
        <w:rPr>
          <w:rStyle w:val="hps"/>
          <w:rFonts w:ascii="Cambria" w:hAnsi="Cambria" w:cs="Arial"/>
          <w:sz w:val="20"/>
          <w:szCs w:val="20"/>
        </w:rPr>
        <w:t xml:space="preserve"> todo momento devem orientar suas sentenças e</w:t>
      </w:r>
      <w:r w:rsidR="00E619D9" w:rsidRPr="00C62DF2">
        <w:rPr>
          <w:rStyle w:val="hps"/>
          <w:rFonts w:ascii="Cambria" w:hAnsi="Cambria" w:cs="Arial"/>
          <w:sz w:val="20"/>
          <w:szCs w:val="20"/>
        </w:rPr>
        <w:t>m</w:t>
      </w:r>
      <w:r w:rsidRPr="00C62DF2">
        <w:rPr>
          <w:rStyle w:val="hps"/>
          <w:rFonts w:ascii="Cambria" w:hAnsi="Cambria" w:cs="Arial"/>
          <w:sz w:val="20"/>
          <w:szCs w:val="20"/>
        </w:rPr>
        <w:t xml:space="preserve"> conformidade com as normas convencionais sobre direitos humanos. Em sua sentença no caso </w:t>
      </w:r>
      <w:r w:rsidRPr="00C62DF2">
        <w:rPr>
          <w:rFonts w:ascii="Cambria" w:hAnsi="Cambria"/>
          <w:i/>
          <w:sz w:val="20"/>
          <w:szCs w:val="20"/>
        </w:rPr>
        <w:t>Gomes Lund e outros (“Guerrilha do Araguaia”) vs. Brasil</w:t>
      </w:r>
      <w:r w:rsidRPr="00C62DF2">
        <w:rPr>
          <w:rStyle w:val="hps"/>
          <w:rFonts w:ascii="Cambria" w:hAnsi="Cambria" w:cs="Arial"/>
          <w:sz w:val="20"/>
          <w:szCs w:val="20"/>
        </w:rPr>
        <w:t>, a Corte reafirmou esta obrigação e indicou que</w:t>
      </w:r>
      <w:r w:rsidR="00E619D9" w:rsidRPr="00C62DF2">
        <w:rPr>
          <w:rStyle w:val="hps"/>
          <w:rFonts w:ascii="Cambria" w:hAnsi="Cambria" w:cs="Arial"/>
          <w:sz w:val="20"/>
          <w:szCs w:val="20"/>
        </w:rPr>
        <w:t>,</w:t>
      </w:r>
      <w:r w:rsidRPr="00C62DF2">
        <w:rPr>
          <w:rStyle w:val="hps"/>
          <w:rFonts w:ascii="Cambria" w:hAnsi="Cambria" w:cs="Arial"/>
          <w:sz w:val="20"/>
          <w:szCs w:val="20"/>
        </w:rPr>
        <w:t xml:space="preserve"> quando um Estado </w:t>
      </w:r>
      <w:r w:rsidR="00E619D9" w:rsidRPr="00C62DF2">
        <w:rPr>
          <w:rStyle w:val="hps"/>
          <w:rFonts w:ascii="Cambria" w:hAnsi="Cambria" w:cs="Arial"/>
          <w:sz w:val="20"/>
          <w:szCs w:val="20"/>
        </w:rPr>
        <w:t>é</w:t>
      </w:r>
      <w:r w:rsidRPr="00C62DF2">
        <w:rPr>
          <w:rStyle w:val="hps"/>
          <w:rFonts w:ascii="Cambria" w:hAnsi="Cambria" w:cs="Arial"/>
          <w:sz w:val="20"/>
          <w:szCs w:val="20"/>
        </w:rPr>
        <w:t xml:space="preserve"> Parte </w:t>
      </w:r>
      <w:r w:rsidR="00E619D9" w:rsidRPr="00C62DF2">
        <w:rPr>
          <w:rStyle w:val="hps"/>
          <w:rFonts w:ascii="Cambria" w:hAnsi="Cambria" w:cs="Arial"/>
          <w:sz w:val="20"/>
          <w:szCs w:val="20"/>
        </w:rPr>
        <w:t>em</w:t>
      </w:r>
      <w:r w:rsidRPr="00C62DF2">
        <w:rPr>
          <w:rStyle w:val="hps"/>
          <w:rFonts w:ascii="Cambria" w:hAnsi="Cambria" w:cs="Arial"/>
          <w:sz w:val="20"/>
          <w:szCs w:val="20"/>
        </w:rPr>
        <w:t xml:space="preserve"> um tratado internacional como a Convenção Americana, o Poder Judici</w:t>
      </w:r>
      <w:r w:rsidR="002D0F14" w:rsidRPr="00C62DF2">
        <w:rPr>
          <w:rStyle w:val="hps"/>
          <w:rFonts w:ascii="Cambria" w:hAnsi="Cambria" w:cs="Arial"/>
          <w:sz w:val="20"/>
          <w:szCs w:val="20"/>
        </w:rPr>
        <w:t>ário</w:t>
      </w:r>
      <w:r w:rsidRPr="00C62DF2">
        <w:rPr>
          <w:rStyle w:val="hps"/>
          <w:rFonts w:ascii="Cambria" w:hAnsi="Cambria" w:cs="Arial"/>
          <w:sz w:val="20"/>
          <w:szCs w:val="20"/>
        </w:rPr>
        <w:t xml:space="preserve"> “está internacionalmente obrigado a exercer um “controle de convencionalidade” </w:t>
      </w:r>
      <w:r w:rsidRPr="00C62DF2">
        <w:rPr>
          <w:rStyle w:val="hps"/>
          <w:rFonts w:ascii="Cambria" w:hAnsi="Cambria" w:cs="Arial"/>
          <w:i/>
          <w:iCs/>
          <w:sz w:val="20"/>
          <w:szCs w:val="20"/>
        </w:rPr>
        <w:t>ex</w:t>
      </w:r>
      <w:r w:rsidR="002D0F14" w:rsidRPr="00C62DF2">
        <w:rPr>
          <w:rStyle w:val="hps"/>
          <w:rFonts w:ascii="Cambria" w:hAnsi="Cambria" w:cs="Arial"/>
          <w:i/>
          <w:iCs/>
          <w:sz w:val="20"/>
          <w:szCs w:val="20"/>
        </w:rPr>
        <w:t xml:space="preserve"> </w:t>
      </w:r>
      <w:r w:rsidRPr="00C62DF2">
        <w:rPr>
          <w:rStyle w:val="hps"/>
          <w:rFonts w:ascii="Cambria" w:hAnsi="Cambria" w:cs="Arial"/>
          <w:i/>
          <w:iCs/>
          <w:sz w:val="20"/>
          <w:szCs w:val="20"/>
        </w:rPr>
        <w:t>of</w:t>
      </w:r>
      <w:r w:rsidR="002D0F14" w:rsidRPr="00C62DF2">
        <w:rPr>
          <w:rStyle w:val="hps"/>
          <w:rFonts w:ascii="Cambria" w:hAnsi="Cambria" w:cs="Arial"/>
          <w:i/>
          <w:iCs/>
          <w:sz w:val="20"/>
          <w:szCs w:val="20"/>
        </w:rPr>
        <w:t>fi</w:t>
      </w:r>
      <w:r w:rsidRPr="00C62DF2">
        <w:rPr>
          <w:rStyle w:val="hps"/>
          <w:rFonts w:ascii="Cambria" w:hAnsi="Cambria" w:cs="Arial"/>
          <w:i/>
          <w:iCs/>
          <w:sz w:val="20"/>
          <w:szCs w:val="20"/>
        </w:rPr>
        <w:t>cio</w:t>
      </w:r>
      <w:r w:rsidRPr="00C62DF2">
        <w:rPr>
          <w:rStyle w:val="hps"/>
          <w:rFonts w:ascii="Cambria" w:hAnsi="Cambria" w:cs="Arial"/>
          <w:sz w:val="20"/>
          <w:szCs w:val="20"/>
        </w:rPr>
        <w:t xml:space="preserve"> entre as normas internas e a Convenção Americana.”</w:t>
      </w:r>
      <w:r w:rsidRPr="00C62DF2">
        <w:rPr>
          <w:rStyle w:val="FootnoteReference"/>
          <w:rFonts w:ascii="Cambria" w:hAnsi="Cambria" w:cs="Arial"/>
          <w:sz w:val="20"/>
          <w:szCs w:val="20"/>
        </w:rPr>
        <w:footnoteReference w:id="224"/>
      </w:r>
      <w:r w:rsidRPr="00C62DF2">
        <w:rPr>
          <w:rFonts w:ascii="Cambria" w:hAnsi="Cambria"/>
          <w:sz w:val="20"/>
          <w:szCs w:val="20"/>
        </w:rPr>
        <w:t xml:space="preserve"> </w:t>
      </w:r>
      <w:r w:rsidRPr="00C62DF2">
        <w:rPr>
          <w:rStyle w:val="hps"/>
          <w:rFonts w:ascii="Cambria" w:hAnsi="Cambria" w:cs="Arial"/>
          <w:sz w:val="20"/>
          <w:szCs w:val="20"/>
        </w:rPr>
        <w:t>O Tribunal recordou que a obrigação de cumprir as obrigações internacionais voluntariamente contraídas corresponde a um princípio básico do direito sobre a responsabilidade internacional dos Estados, respaldado pela jurisprudência internacional e nacional, segundo o qual devem acatar suas obrigações convencionais internacionais de boa</w:t>
      </w:r>
      <w:r w:rsidR="00F57670" w:rsidRPr="00C62DF2">
        <w:rPr>
          <w:rStyle w:val="hps"/>
          <w:rFonts w:ascii="Cambria" w:hAnsi="Cambria" w:cs="Arial"/>
          <w:sz w:val="20"/>
          <w:szCs w:val="20"/>
        </w:rPr>
        <w:t>-</w:t>
      </w:r>
      <w:r w:rsidRPr="00C62DF2">
        <w:rPr>
          <w:rStyle w:val="hps"/>
          <w:rFonts w:ascii="Cambria" w:hAnsi="Cambria" w:cs="Arial"/>
          <w:sz w:val="20"/>
          <w:szCs w:val="20"/>
        </w:rPr>
        <w:t>fé (</w:t>
      </w:r>
      <w:r w:rsidRPr="00C62DF2">
        <w:rPr>
          <w:rStyle w:val="hps"/>
          <w:rFonts w:ascii="Cambria" w:hAnsi="Cambria" w:cs="Arial"/>
          <w:i/>
          <w:sz w:val="20"/>
          <w:szCs w:val="20"/>
        </w:rPr>
        <w:t>pacta sunt servanda</w:t>
      </w:r>
      <w:r w:rsidRPr="00C62DF2">
        <w:rPr>
          <w:rStyle w:val="hps"/>
          <w:rFonts w:ascii="Cambria" w:hAnsi="Cambria" w:cs="Arial"/>
          <w:sz w:val="20"/>
          <w:szCs w:val="20"/>
        </w:rPr>
        <w:t xml:space="preserve">). Como já assinalou esta Corte e dispõe o artigo 27 da Convenção de Viena sobre o Direito dos Tratados de 1969, os Estados não podem, por razões de ordem interna, </w:t>
      </w:r>
      <w:r w:rsidR="00F57670" w:rsidRPr="00C62DF2">
        <w:rPr>
          <w:rStyle w:val="hps"/>
          <w:rFonts w:ascii="Cambria" w:hAnsi="Cambria" w:cs="Arial"/>
          <w:sz w:val="20"/>
          <w:szCs w:val="20"/>
        </w:rPr>
        <w:t>des</w:t>
      </w:r>
      <w:r w:rsidRPr="00C62DF2">
        <w:rPr>
          <w:rStyle w:val="hps"/>
          <w:rFonts w:ascii="Cambria" w:hAnsi="Cambria" w:cs="Arial"/>
          <w:sz w:val="20"/>
          <w:szCs w:val="20"/>
        </w:rPr>
        <w:t>cumprir obrigações internacionais. As obrigações convencionais dos Estados Parte</w:t>
      </w:r>
      <w:r w:rsidR="00F57670" w:rsidRPr="00C62DF2">
        <w:rPr>
          <w:rStyle w:val="hps"/>
          <w:rFonts w:ascii="Cambria" w:hAnsi="Cambria" w:cs="Arial"/>
          <w:sz w:val="20"/>
          <w:szCs w:val="20"/>
        </w:rPr>
        <w:t>s</w:t>
      </w:r>
      <w:r w:rsidRPr="00C62DF2">
        <w:rPr>
          <w:rStyle w:val="hps"/>
          <w:rFonts w:ascii="Cambria" w:hAnsi="Cambria" w:cs="Arial"/>
          <w:sz w:val="20"/>
          <w:szCs w:val="20"/>
        </w:rPr>
        <w:t xml:space="preserve"> vinculam todos </w:t>
      </w:r>
      <w:r w:rsidR="00F57670" w:rsidRPr="00C62DF2">
        <w:rPr>
          <w:rStyle w:val="hps"/>
          <w:rFonts w:ascii="Cambria" w:hAnsi="Cambria" w:cs="Arial"/>
          <w:sz w:val="20"/>
          <w:szCs w:val="20"/>
        </w:rPr>
        <w:t xml:space="preserve">os </w:t>
      </w:r>
      <w:r w:rsidRPr="00C62DF2">
        <w:rPr>
          <w:rStyle w:val="hps"/>
          <w:rFonts w:ascii="Cambria" w:hAnsi="Cambria" w:cs="Arial"/>
          <w:sz w:val="20"/>
          <w:szCs w:val="20"/>
        </w:rPr>
        <w:t>seus poderes e órgãos, os quais devem garantir o cumprimento das disposições convencionais e seus efeitos próprios (</w:t>
      </w:r>
      <w:r w:rsidRPr="00C62DF2">
        <w:rPr>
          <w:rStyle w:val="hps"/>
          <w:rFonts w:ascii="Cambria" w:hAnsi="Cambria" w:cs="Arial"/>
          <w:i/>
          <w:sz w:val="20"/>
          <w:szCs w:val="20"/>
        </w:rPr>
        <w:t>effet utile</w:t>
      </w:r>
      <w:r w:rsidRPr="00C62DF2">
        <w:rPr>
          <w:rStyle w:val="hps"/>
          <w:rFonts w:ascii="Cambria" w:hAnsi="Cambria" w:cs="Arial"/>
          <w:sz w:val="20"/>
          <w:szCs w:val="20"/>
        </w:rPr>
        <w:t>) no plano de seu direito interno”.</w:t>
      </w:r>
    </w:p>
    <w:p w14:paraId="0ACAC961" w14:textId="77777777" w:rsidR="00487AEA" w:rsidRPr="00C62DF2" w:rsidRDefault="00487AEA" w:rsidP="00FC0CB6">
      <w:pPr>
        <w:tabs>
          <w:tab w:val="left" w:pos="0"/>
        </w:tabs>
        <w:ind w:left="567"/>
        <w:jc w:val="both"/>
        <w:rPr>
          <w:rStyle w:val="hps"/>
          <w:rFonts w:ascii="Cambria" w:hAnsi="Cambria"/>
          <w:sz w:val="20"/>
          <w:szCs w:val="20"/>
        </w:rPr>
      </w:pPr>
    </w:p>
    <w:p w14:paraId="209C3E58" w14:textId="0C0C0A67" w:rsidR="00487AEA" w:rsidRPr="00C62DF2" w:rsidRDefault="00487AEA" w:rsidP="00FC0CB6">
      <w:pPr>
        <w:numPr>
          <w:ilvl w:val="0"/>
          <w:numId w:val="2"/>
        </w:numPr>
        <w:tabs>
          <w:tab w:val="left" w:pos="0"/>
        </w:tabs>
        <w:jc w:val="both"/>
        <w:rPr>
          <w:rFonts w:ascii="Cambria" w:hAnsi="Cambria"/>
          <w:sz w:val="20"/>
          <w:szCs w:val="20"/>
        </w:rPr>
      </w:pPr>
      <w:r w:rsidRPr="00C62DF2">
        <w:rPr>
          <w:rStyle w:val="hps"/>
          <w:rFonts w:ascii="Cambria" w:hAnsi="Cambria"/>
          <w:sz w:val="20"/>
          <w:szCs w:val="20"/>
        </w:rPr>
        <w:t xml:space="preserve">No âmbito da supervisão dos casos </w:t>
      </w:r>
      <w:r w:rsidRPr="00C62DF2">
        <w:rPr>
          <w:rFonts w:ascii="Cambria" w:hAnsi="Cambria"/>
          <w:i/>
          <w:sz w:val="20"/>
          <w:szCs w:val="20"/>
        </w:rPr>
        <w:t>Gomes Lund e outros (“Guerrilha do Araguaia”) vs. Brasil</w:t>
      </w:r>
      <w:r w:rsidRPr="00C62DF2">
        <w:rPr>
          <w:rStyle w:val="hps"/>
          <w:rFonts w:ascii="Cambria" w:hAnsi="Cambria"/>
          <w:sz w:val="20"/>
          <w:szCs w:val="20"/>
        </w:rPr>
        <w:t xml:space="preserve"> e </w:t>
      </w:r>
      <w:r w:rsidRPr="00C62DF2">
        <w:rPr>
          <w:rStyle w:val="hps"/>
          <w:rFonts w:ascii="Cambria" w:hAnsi="Cambria"/>
          <w:i/>
          <w:iCs/>
          <w:sz w:val="20"/>
          <w:szCs w:val="20"/>
        </w:rPr>
        <w:t>Herzog vs. Brasil</w:t>
      </w:r>
      <w:r w:rsidRPr="00C62DF2">
        <w:rPr>
          <w:rStyle w:val="hps"/>
          <w:rFonts w:ascii="Cambria" w:hAnsi="Cambria"/>
          <w:sz w:val="20"/>
          <w:szCs w:val="20"/>
        </w:rPr>
        <w:t xml:space="preserve">, a Corte reconheceu que o Estado brasileiro </w:t>
      </w:r>
      <w:r w:rsidR="00F57670" w:rsidRPr="00C62DF2">
        <w:rPr>
          <w:rStyle w:val="hps"/>
          <w:rFonts w:ascii="Cambria" w:hAnsi="Cambria"/>
          <w:sz w:val="20"/>
          <w:szCs w:val="20"/>
        </w:rPr>
        <w:t>continua</w:t>
      </w:r>
      <w:r w:rsidRPr="00C62DF2">
        <w:rPr>
          <w:rStyle w:val="hps"/>
          <w:rFonts w:ascii="Cambria" w:hAnsi="Cambria"/>
          <w:sz w:val="20"/>
          <w:szCs w:val="20"/>
        </w:rPr>
        <w:t xml:space="preserve"> aplicando a Lei de Anistia, assim como disposições análogas, prescrição, coisa julgada e outros excludentes similares de responsabilidade em benefício de autores de crimes </w:t>
      </w:r>
      <w:r w:rsidR="000647E7" w:rsidRPr="00C62DF2">
        <w:rPr>
          <w:rStyle w:val="hps"/>
          <w:rFonts w:ascii="Cambria" w:hAnsi="Cambria"/>
          <w:sz w:val="20"/>
          <w:szCs w:val="20"/>
        </w:rPr>
        <w:t>contra a humanidade</w:t>
      </w:r>
      <w:r w:rsidRPr="00C62DF2">
        <w:rPr>
          <w:rStyle w:val="hps"/>
          <w:rFonts w:ascii="Cambria" w:hAnsi="Cambria"/>
          <w:sz w:val="20"/>
          <w:szCs w:val="20"/>
        </w:rPr>
        <w:t xml:space="preserve"> para se escusar da obrigação de investigar os responsáveis por violações de direitos humanos; além disso</w:t>
      </w:r>
      <w:r w:rsidR="00F57670" w:rsidRPr="00C62DF2">
        <w:rPr>
          <w:rStyle w:val="hps"/>
          <w:rFonts w:ascii="Cambria" w:hAnsi="Cambria"/>
          <w:sz w:val="20"/>
          <w:szCs w:val="20"/>
        </w:rPr>
        <w:t>,</w:t>
      </w:r>
      <w:r w:rsidRPr="00C62DF2">
        <w:rPr>
          <w:rStyle w:val="hps"/>
          <w:rFonts w:ascii="Cambria" w:hAnsi="Cambria"/>
          <w:sz w:val="20"/>
          <w:szCs w:val="20"/>
        </w:rPr>
        <w:t xml:space="preserve"> reconheceu que o Estado do Brasil deve assegurar que a Lei de Anistia e seus efeitos não continu</w:t>
      </w:r>
      <w:r w:rsidR="00F57670" w:rsidRPr="00C62DF2">
        <w:rPr>
          <w:rStyle w:val="hps"/>
          <w:rFonts w:ascii="Cambria" w:hAnsi="Cambria"/>
          <w:sz w:val="20"/>
          <w:szCs w:val="20"/>
        </w:rPr>
        <w:t>em</w:t>
      </w:r>
      <w:r w:rsidRPr="00C62DF2">
        <w:rPr>
          <w:rStyle w:val="hps"/>
          <w:rFonts w:ascii="Cambria" w:hAnsi="Cambria"/>
          <w:sz w:val="20"/>
          <w:szCs w:val="20"/>
        </w:rPr>
        <w:t xml:space="preserve"> representando um obstáculo à investigação de violações de direitos humanos.</w:t>
      </w:r>
      <w:r w:rsidRPr="00C62DF2">
        <w:rPr>
          <w:rStyle w:val="FootnoteReference"/>
          <w:rFonts w:ascii="Cambria" w:hAnsi="Cambria"/>
          <w:sz w:val="20"/>
          <w:szCs w:val="20"/>
        </w:rPr>
        <w:footnoteReference w:id="225"/>
      </w:r>
      <w:r w:rsidRPr="00C62DF2">
        <w:rPr>
          <w:rStyle w:val="hps"/>
          <w:rFonts w:ascii="Cambria" w:hAnsi="Cambria"/>
          <w:sz w:val="20"/>
          <w:szCs w:val="20"/>
        </w:rPr>
        <w:t xml:space="preserve"> </w:t>
      </w:r>
      <w:r w:rsidR="00F57670" w:rsidRPr="00C62DF2">
        <w:rPr>
          <w:rStyle w:val="hps"/>
          <w:rFonts w:ascii="Cambria" w:hAnsi="Cambria"/>
          <w:sz w:val="20"/>
          <w:szCs w:val="20"/>
        </w:rPr>
        <w:t>A</w:t>
      </w:r>
      <w:r w:rsidRPr="00C62DF2">
        <w:rPr>
          <w:rStyle w:val="hps"/>
          <w:rFonts w:ascii="Cambria" w:hAnsi="Cambria"/>
          <w:sz w:val="20"/>
          <w:szCs w:val="20"/>
        </w:rPr>
        <w:t xml:space="preserve"> Corte recordou que “</w:t>
      </w:r>
      <w:r w:rsidRPr="00C62DF2">
        <w:rPr>
          <w:rFonts w:ascii="Cambria" w:hAnsi="Cambria"/>
          <w:sz w:val="20"/>
          <w:szCs w:val="20"/>
        </w:rPr>
        <w:t>todas as autoridades – inclu</w:t>
      </w:r>
      <w:r w:rsidR="00F57670" w:rsidRPr="00C62DF2">
        <w:rPr>
          <w:rFonts w:ascii="Cambria" w:hAnsi="Cambria"/>
          <w:sz w:val="20"/>
          <w:szCs w:val="20"/>
        </w:rPr>
        <w:t>s</w:t>
      </w:r>
      <w:r w:rsidRPr="00C62DF2">
        <w:rPr>
          <w:rFonts w:ascii="Cambria" w:hAnsi="Cambria"/>
          <w:sz w:val="20"/>
          <w:szCs w:val="20"/>
        </w:rPr>
        <w:t>i</w:t>
      </w:r>
      <w:r w:rsidR="00F57670" w:rsidRPr="00C62DF2">
        <w:rPr>
          <w:rFonts w:ascii="Cambria" w:hAnsi="Cambria"/>
          <w:sz w:val="20"/>
          <w:szCs w:val="20"/>
        </w:rPr>
        <w:t>ve</w:t>
      </w:r>
      <w:r w:rsidRPr="00C62DF2">
        <w:rPr>
          <w:rFonts w:ascii="Cambria" w:hAnsi="Cambria"/>
          <w:sz w:val="20"/>
          <w:szCs w:val="20"/>
        </w:rPr>
        <w:t xml:space="preserve"> o Ministério Público - de um Estado Parte na Convenção Americana têm a obrigação de exercer um “controle de convencionalidade” </w:t>
      </w:r>
      <w:r w:rsidRPr="00C62DF2">
        <w:rPr>
          <w:rFonts w:ascii="Cambria" w:hAnsi="Cambria"/>
          <w:i/>
          <w:iCs/>
          <w:sz w:val="20"/>
          <w:szCs w:val="20"/>
        </w:rPr>
        <w:t>ex officio</w:t>
      </w:r>
      <w:r w:rsidRPr="00C62DF2">
        <w:rPr>
          <w:rFonts w:ascii="Cambria" w:hAnsi="Cambria"/>
          <w:sz w:val="20"/>
          <w:szCs w:val="20"/>
        </w:rPr>
        <w:t>, evidentemente no âmbito de seus respectivas competências e das regulações processuais correspondentes, de forma que a interpretação e aplicação do direito nacional seja co</w:t>
      </w:r>
      <w:r w:rsidR="00F57670" w:rsidRPr="00C62DF2">
        <w:rPr>
          <w:rFonts w:ascii="Cambria" w:hAnsi="Cambria"/>
          <w:sz w:val="20"/>
          <w:szCs w:val="20"/>
        </w:rPr>
        <w:t>er</w:t>
      </w:r>
      <w:r w:rsidRPr="00C62DF2">
        <w:rPr>
          <w:rFonts w:ascii="Cambria" w:hAnsi="Cambria"/>
          <w:sz w:val="20"/>
          <w:szCs w:val="20"/>
        </w:rPr>
        <w:t xml:space="preserve">ente com as obrigações internacionais do Estado em matéria de direitos humanos. Nesta tarefa devem levar em conta não somente a Convenção Americana e demais instrumentos interamericanos, mas também </w:t>
      </w:r>
      <w:r w:rsidR="00F57670" w:rsidRPr="00C62DF2">
        <w:rPr>
          <w:rFonts w:ascii="Cambria" w:hAnsi="Cambria"/>
          <w:sz w:val="20"/>
          <w:szCs w:val="20"/>
        </w:rPr>
        <w:t>su</w:t>
      </w:r>
      <w:r w:rsidRPr="00C62DF2">
        <w:rPr>
          <w:rFonts w:ascii="Cambria" w:hAnsi="Cambria"/>
          <w:sz w:val="20"/>
          <w:szCs w:val="20"/>
        </w:rPr>
        <w:t xml:space="preserve">a interpretação </w:t>
      </w:r>
      <w:r w:rsidR="00F57670" w:rsidRPr="00C62DF2">
        <w:rPr>
          <w:rFonts w:ascii="Cambria" w:hAnsi="Cambria"/>
          <w:sz w:val="20"/>
          <w:szCs w:val="20"/>
        </w:rPr>
        <w:t>pel</w:t>
      </w:r>
      <w:r w:rsidRPr="00C62DF2">
        <w:rPr>
          <w:rFonts w:ascii="Cambria" w:hAnsi="Cambria"/>
          <w:sz w:val="20"/>
          <w:szCs w:val="20"/>
        </w:rPr>
        <w:t>a Corte Interamericana.”</w:t>
      </w:r>
      <w:r w:rsidRPr="00C62DF2">
        <w:rPr>
          <w:rStyle w:val="FootnoteReference"/>
          <w:rFonts w:ascii="Cambria" w:hAnsi="Cambria"/>
          <w:sz w:val="20"/>
          <w:szCs w:val="20"/>
        </w:rPr>
        <w:footnoteReference w:id="226"/>
      </w:r>
      <w:r w:rsidRPr="00C62DF2">
        <w:rPr>
          <w:rFonts w:ascii="Cambria" w:hAnsi="Cambria"/>
          <w:sz w:val="20"/>
          <w:szCs w:val="20"/>
        </w:rPr>
        <w:t xml:space="preserve"> </w:t>
      </w:r>
    </w:p>
    <w:p w14:paraId="251080F9" w14:textId="77777777" w:rsidR="00487AEA" w:rsidRPr="00C62DF2" w:rsidRDefault="00487AEA" w:rsidP="00FC0CB6">
      <w:pPr>
        <w:pStyle w:val="NormalWeb"/>
        <w:rPr>
          <w:rFonts w:ascii="Cambria" w:hAnsi="Cambria"/>
          <w:sz w:val="20"/>
          <w:szCs w:val="20"/>
        </w:rPr>
      </w:pPr>
    </w:p>
    <w:p w14:paraId="0530A37B" w14:textId="2A75E2D5" w:rsidR="00487AEA" w:rsidRPr="00C62DF2" w:rsidRDefault="00487AEA" w:rsidP="00FC0CB6">
      <w:pPr>
        <w:numPr>
          <w:ilvl w:val="0"/>
          <w:numId w:val="2"/>
        </w:numPr>
        <w:tabs>
          <w:tab w:val="left" w:pos="0"/>
        </w:tabs>
        <w:jc w:val="both"/>
        <w:rPr>
          <w:rFonts w:ascii="Cambria" w:hAnsi="Cambria"/>
          <w:sz w:val="20"/>
          <w:szCs w:val="20"/>
        </w:rPr>
      </w:pPr>
      <w:r w:rsidRPr="00C62DF2">
        <w:rPr>
          <w:rStyle w:val="hps"/>
          <w:rFonts w:ascii="Cambria" w:hAnsi="Cambria"/>
          <w:sz w:val="20"/>
          <w:szCs w:val="20"/>
        </w:rPr>
        <w:t>Em particular, em seu recente relatório sobre a situação dos direitos humanos no Brasil, a Comissão destacou</w:t>
      </w:r>
      <w:r w:rsidR="00F57670" w:rsidRPr="00C62DF2">
        <w:rPr>
          <w:rStyle w:val="hps"/>
          <w:rFonts w:ascii="Cambria" w:hAnsi="Cambria"/>
          <w:sz w:val="20"/>
          <w:szCs w:val="20"/>
        </w:rPr>
        <w:t>:</w:t>
      </w:r>
      <w:r w:rsidRPr="00C62DF2">
        <w:rPr>
          <w:rStyle w:val="hps"/>
          <w:rFonts w:ascii="Cambria" w:hAnsi="Cambria"/>
          <w:sz w:val="20"/>
          <w:szCs w:val="20"/>
        </w:rPr>
        <w:t xml:space="preserve"> “</w:t>
      </w:r>
      <w:r w:rsidR="00AB3666" w:rsidRPr="00C62DF2">
        <w:rPr>
          <w:rFonts w:ascii="Cambria" w:hAnsi="Cambria"/>
          <w:sz w:val="20"/>
          <w:szCs w:val="20"/>
        </w:rPr>
        <w:t>D</w:t>
      </w:r>
      <w:r w:rsidR="0032438B" w:rsidRPr="00C62DF2">
        <w:rPr>
          <w:rFonts w:ascii="Cambria" w:hAnsi="Cambria"/>
          <w:sz w:val="20"/>
          <w:szCs w:val="20"/>
        </w:rPr>
        <w:t xml:space="preserve">iversas organizações da sociedade civil indicam que os magistrados têm recorrido frequentemente a figuras como a prescrição e a Lei de Anistia – Lei nº 6.683/79 – para rejeitar as denúncias ou interromper o curso das ações judiciais. Recentemente, a CIDH lamentou a publicação de duas sentenças que aplicaram tais institutos jurídicos, determinando o encerramento dos processos criminais relacionados ao caso Atentado ao Riocentro e caso Luiz Eduardo Merlino. Além disso, em alguns casos, existiria uma recusa por parte dos </w:t>
      </w:r>
      <w:r w:rsidR="0032438B" w:rsidRPr="00C62DF2">
        <w:rPr>
          <w:rFonts w:ascii="Cambria" w:hAnsi="Cambria"/>
          <w:sz w:val="20"/>
          <w:szCs w:val="20"/>
        </w:rPr>
        <w:lastRenderedPageBreak/>
        <w:t>julgadores em categorizar as graves violações de direitos humanos perpetradas durante a ditadura como crimes contra a humanidade, e em decorrência disto, não estariam reconhecendo a imprescritibilidade dos crimes sob julgamento</w:t>
      </w:r>
      <w:r w:rsidRPr="00C62DF2">
        <w:rPr>
          <w:rFonts w:ascii="Cambria" w:hAnsi="Cambria"/>
          <w:sz w:val="20"/>
          <w:szCs w:val="20"/>
        </w:rPr>
        <w:t>.”</w:t>
      </w:r>
      <w:r w:rsidRPr="00C62DF2">
        <w:rPr>
          <w:rStyle w:val="FootnoteReference"/>
          <w:rFonts w:ascii="Cambria" w:hAnsi="Cambria"/>
          <w:sz w:val="20"/>
          <w:szCs w:val="20"/>
        </w:rPr>
        <w:footnoteReference w:id="227"/>
      </w:r>
    </w:p>
    <w:p w14:paraId="35FC630D" w14:textId="77777777" w:rsidR="00487AEA" w:rsidRPr="00C62DF2" w:rsidRDefault="00487AEA" w:rsidP="00FC0CB6">
      <w:pPr>
        <w:tabs>
          <w:tab w:val="left" w:pos="0"/>
        </w:tabs>
        <w:jc w:val="both"/>
        <w:rPr>
          <w:rStyle w:val="hps"/>
          <w:rFonts w:ascii="Cambria" w:hAnsi="Cambria"/>
          <w:sz w:val="20"/>
          <w:szCs w:val="20"/>
        </w:rPr>
      </w:pPr>
    </w:p>
    <w:p w14:paraId="2E70BA7F" w14:textId="3817662F" w:rsidR="00487AEA" w:rsidRPr="00C62DF2" w:rsidRDefault="00487AEA" w:rsidP="00FC0CB6">
      <w:pPr>
        <w:numPr>
          <w:ilvl w:val="0"/>
          <w:numId w:val="2"/>
        </w:numPr>
        <w:tabs>
          <w:tab w:val="left" w:pos="0"/>
        </w:tabs>
        <w:jc w:val="both"/>
        <w:rPr>
          <w:rStyle w:val="hps"/>
          <w:rFonts w:ascii="Cambria" w:hAnsi="Cambria"/>
          <w:sz w:val="20"/>
          <w:szCs w:val="20"/>
        </w:rPr>
      </w:pPr>
      <w:r w:rsidRPr="00C62DF2">
        <w:rPr>
          <w:rStyle w:val="hps"/>
          <w:rFonts w:ascii="Cambria" w:hAnsi="Cambria" w:cs="Arial"/>
          <w:sz w:val="20"/>
          <w:szCs w:val="20"/>
        </w:rPr>
        <w:t xml:space="preserve">A CIDH observa que, no presente caso, a vigência de </w:t>
      </w:r>
      <w:r w:rsidRPr="00C62DF2">
        <w:rPr>
          <w:rFonts w:ascii="Cambria" w:hAnsi="Cambria"/>
          <w:sz w:val="20"/>
          <w:szCs w:val="20"/>
        </w:rPr>
        <w:t xml:space="preserve">interpretação da </w:t>
      </w:r>
      <w:r w:rsidRPr="00C62DF2">
        <w:rPr>
          <w:rFonts w:ascii="Cambria" w:hAnsi="Cambria" w:cs="Verdana"/>
          <w:sz w:val="20"/>
          <w:szCs w:val="20"/>
        </w:rPr>
        <w:t>Lei Nº 6.683/79 (</w:t>
      </w:r>
      <w:r w:rsidRPr="00C62DF2">
        <w:rPr>
          <w:rFonts w:ascii="Cambria" w:hAnsi="Cambria"/>
          <w:sz w:val="20"/>
          <w:szCs w:val="20"/>
        </w:rPr>
        <w:t>Lei de Anistia) sustentada pelo Poder Judici</w:t>
      </w:r>
      <w:r w:rsidR="00AB3666" w:rsidRPr="00C62DF2">
        <w:rPr>
          <w:rFonts w:ascii="Cambria" w:hAnsi="Cambria"/>
          <w:sz w:val="20"/>
          <w:szCs w:val="20"/>
        </w:rPr>
        <w:t>ário</w:t>
      </w:r>
      <w:r w:rsidRPr="00C62DF2">
        <w:rPr>
          <w:rFonts w:ascii="Cambria" w:hAnsi="Cambria"/>
          <w:sz w:val="20"/>
          <w:szCs w:val="20"/>
        </w:rPr>
        <w:t xml:space="preserve"> e pelo próprio Estado no presente caso constitui um fator de impunidade</w:t>
      </w:r>
      <w:r w:rsidR="00EC3D35" w:rsidRPr="00C62DF2">
        <w:rPr>
          <w:rFonts w:ascii="Cambria" w:hAnsi="Cambria"/>
          <w:sz w:val="20"/>
          <w:szCs w:val="20"/>
        </w:rPr>
        <w:t>;</w:t>
      </w:r>
      <w:r w:rsidRPr="00C62DF2">
        <w:rPr>
          <w:rFonts w:ascii="Cambria" w:hAnsi="Cambria"/>
          <w:sz w:val="20"/>
          <w:szCs w:val="20"/>
        </w:rPr>
        <w:t xml:space="preserve"> não obstante</w:t>
      </w:r>
      <w:r w:rsidR="00EC3D35" w:rsidRPr="00C62DF2">
        <w:rPr>
          <w:rFonts w:ascii="Cambria" w:hAnsi="Cambria"/>
          <w:sz w:val="20"/>
          <w:szCs w:val="20"/>
        </w:rPr>
        <w:t>,</w:t>
      </w:r>
      <w:r w:rsidRPr="00C62DF2">
        <w:rPr>
          <w:rFonts w:ascii="Cambria" w:hAnsi="Cambria"/>
          <w:sz w:val="20"/>
          <w:szCs w:val="20"/>
        </w:rPr>
        <w:t xml:space="preserve"> essa lei carece de efeitos jurídicos a respeito de graves violações de direitos humanos nos termos antes indicados. Em consequência, a Comissão conclui que o Estado violou os artigos 8 e 25 da Convenção Americana com relação aos artigos 1 e 2 do mesmo instrumento.</w:t>
      </w:r>
    </w:p>
    <w:p w14:paraId="35AF6CA2" w14:textId="77777777" w:rsidR="00487AEA" w:rsidRPr="00C62DF2" w:rsidRDefault="00487AEA" w:rsidP="00FC0CB6">
      <w:pPr>
        <w:tabs>
          <w:tab w:val="left" w:pos="7230"/>
        </w:tabs>
        <w:jc w:val="both"/>
        <w:rPr>
          <w:rFonts w:ascii="Cambria" w:hAnsi="Cambria" w:cs="Verdana"/>
          <w:sz w:val="20"/>
          <w:szCs w:val="20"/>
        </w:rPr>
      </w:pPr>
    </w:p>
    <w:p w14:paraId="25E75C2B" w14:textId="77777777" w:rsidR="00487AEA" w:rsidRPr="00C62DF2" w:rsidRDefault="00487AEA" w:rsidP="00FC0CB6">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30"/>
        </w:tabs>
        <w:ind w:firstLine="0"/>
        <w:contextualSpacing/>
        <w:jc w:val="left"/>
        <w:rPr>
          <w:rFonts w:cs="Verdana"/>
          <w:b/>
          <w:sz w:val="20"/>
          <w:szCs w:val="20"/>
          <w:lang w:val="pt-BR"/>
        </w:rPr>
      </w:pPr>
      <w:r w:rsidRPr="00C62DF2">
        <w:rPr>
          <w:b/>
          <w:bCs/>
          <w:sz w:val="20"/>
          <w:szCs w:val="20"/>
          <w:lang w:val="pt-BR"/>
        </w:rPr>
        <w:t xml:space="preserve">A </w:t>
      </w:r>
      <w:r w:rsidRPr="00C62DF2">
        <w:rPr>
          <w:rFonts w:cs="Verdana"/>
          <w:b/>
          <w:sz w:val="20"/>
          <w:szCs w:val="20"/>
          <w:lang w:val="pt-BR"/>
        </w:rPr>
        <w:t>prescrição da ação penal</w:t>
      </w:r>
    </w:p>
    <w:p w14:paraId="37C7A4E1" w14:textId="77777777" w:rsidR="00487AEA" w:rsidRPr="00C62DF2" w:rsidRDefault="00487AEA" w:rsidP="00FC0CB6">
      <w:pPr>
        <w:pStyle w:val="ListParagraph"/>
        <w:tabs>
          <w:tab w:val="left" w:pos="7230"/>
        </w:tabs>
        <w:ind w:left="1170" w:firstLine="0"/>
        <w:contextualSpacing/>
        <w:rPr>
          <w:rFonts w:cs="Verdana"/>
          <w:b/>
          <w:sz w:val="20"/>
          <w:szCs w:val="20"/>
          <w:lang w:val="pt-BR"/>
        </w:rPr>
      </w:pPr>
    </w:p>
    <w:p w14:paraId="010D1B9E" w14:textId="3B0A3FF9"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Tanto a Corte</w:t>
      </w:r>
      <w:r w:rsidRPr="00C62DF2">
        <w:rPr>
          <w:rStyle w:val="FootnoteReference"/>
          <w:rFonts w:ascii="Cambria" w:hAnsi="Cambria"/>
          <w:sz w:val="20"/>
          <w:szCs w:val="20"/>
        </w:rPr>
        <w:footnoteReference w:id="228"/>
      </w:r>
      <w:r w:rsidRPr="00C62DF2">
        <w:rPr>
          <w:rFonts w:ascii="Cambria" w:hAnsi="Cambria"/>
          <w:sz w:val="20"/>
          <w:szCs w:val="20"/>
        </w:rPr>
        <w:t xml:space="preserve"> como a Comissão</w:t>
      </w:r>
      <w:r w:rsidRPr="00C62DF2">
        <w:rPr>
          <w:rStyle w:val="FootnoteReference"/>
          <w:rFonts w:ascii="Cambria" w:hAnsi="Cambria"/>
          <w:sz w:val="20"/>
          <w:szCs w:val="20"/>
        </w:rPr>
        <w:footnoteReference w:id="229"/>
      </w:r>
      <w:r w:rsidRPr="00C62DF2">
        <w:rPr>
          <w:rFonts w:ascii="Cambria" w:hAnsi="Cambria"/>
          <w:sz w:val="20"/>
          <w:szCs w:val="20"/>
        </w:rPr>
        <w:t xml:space="preserve"> determinaram que a aplicação da prescrição penal viola a Convenção Americana em casos de graves violações de direitos humanos</w:t>
      </w:r>
      <w:r w:rsidR="00EC3D35" w:rsidRPr="00C62DF2">
        <w:rPr>
          <w:rFonts w:ascii="Cambria" w:hAnsi="Cambria"/>
          <w:sz w:val="20"/>
          <w:szCs w:val="20"/>
        </w:rPr>
        <w:t>,</w:t>
      </w:r>
      <w:r w:rsidRPr="00C62DF2">
        <w:rPr>
          <w:rFonts w:ascii="Cambria" w:hAnsi="Cambria"/>
          <w:sz w:val="20"/>
          <w:szCs w:val="20"/>
        </w:rPr>
        <w:t xml:space="preserve"> </w:t>
      </w:r>
      <w:r w:rsidRPr="00C62DF2">
        <w:rPr>
          <w:rFonts w:ascii="Cambria" w:eastAsia="Calibri" w:hAnsi="Cambria" w:cs="Verdana"/>
          <w:bCs/>
          <w:sz w:val="20"/>
          <w:szCs w:val="20"/>
          <w:lang w:eastAsia="es-MX"/>
        </w:rPr>
        <w:t xml:space="preserve">tais </w:t>
      </w:r>
      <w:r w:rsidRPr="00C62DF2">
        <w:rPr>
          <w:rFonts w:ascii="Cambria" w:hAnsi="Cambria"/>
          <w:sz w:val="20"/>
          <w:szCs w:val="20"/>
        </w:rPr>
        <w:t>como</w:t>
      </w:r>
      <w:r w:rsidRPr="00C62DF2">
        <w:rPr>
          <w:rFonts w:ascii="Cambria" w:eastAsia="Calibri" w:hAnsi="Cambria" w:cs="Verdana"/>
          <w:bCs/>
          <w:sz w:val="20"/>
          <w:szCs w:val="20"/>
          <w:lang w:eastAsia="es-MX"/>
        </w:rPr>
        <w:t xml:space="preserve"> o desaparecimento forçado de pessoas, a execução extrajudicial e tortura, o que não implica </w:t>
      </w:r>
      <w:r w:rsidR="00EC3D35" w:rsidRPr="00C62DF2">
        <w:rPr>
          <w:rFonts w:ascii="Cambria" w:eastAsia="Calibri" w:hAnsi="Cambria" w:cs="Verdana"/>
          <w:bCs/>
          <w:sz w:val="20"/>
          <w:szCs w:val="20"/>
          <w:lang w:eastAsia="es-MX"/>
        </w:rPr>
        <w:t xml:space="preserve">necessariamente </w:t>
      </w:r>
      <w:r w:rsidRPr="00C62DF2">
        <w:rPr>
          <w:rFonts w:ascii="Cambria" w:eastAsia="Calibri" w:hAnsi="Cambria" w:cs="Verdana"/>
          <w:bCs/>
          <w:sz w:val="20"/>
          <w:szCs w:val="20"/>
          <w:lang w:eastAsia="es-MX"/>
        </w:rPr>
        <w:t xml:space="preserve">que tenham </w:t>
      </w:r>
      <w:r w:rsidR="00EC3D35" w:rsidRPr="00C62DF2">
        <w:rPr>
          <w:rFonts w:ascii="Cambria" w:eastAsia="Calibri" w:hAnsi="Cambria" w:cs="Verdana"/>
          <w:bCs/>
          <w:sz w:val="20"/>
          <w:szCs w:val="20"/>
          <w:lang w:eastAsia="es-MX"/>
        </w:rPr>
        <w:t>ocorrido</w:t>
      </w:r>
      <w:r w:rsidRPr="00C62DF2">
        <w:rPr>
          <w:rFonts w:ascii="Cambria" w:eastAsia="Calibri" w:hAnsi="Cambria" w:cs="Verdana"/>
          <w:bCs/>
          <w:sz w:val="20"/>
          <w:szCs w:val="20"/>
          <w:lang w:eastAsia="es-MX"/>
        </w:rPr>
        <w:t xml:space="preserve"> em contextos de violações ma</w:t>
      </w:r>
      <w:r w:rsidR="00EC3D35" w:rsidRPr="00C62DF2">
        <w:rPr>
          <w:rFonts w:ascii="Cambria" w:eastAsia="Calibri" w:hAnsi="Cambria" w:cs="Verdana"/>
          <w:bCs/>
          <w:sz w:val="20"/>
          <w:szCs w:val="20"/>
          <w:lang w:eastAsia="es-MX"/>
        </w:rPr>
        <w:t>c</w:t>
      </w:r>
      <w:r w:rsidRPr="00C62DF2">
        <w:rPr>
          <w:rFonts w:ascii="Cambria" w:eastAsia="Calibri" w:hAnsi="Cambria" w:cs="Verdana"/>
          <w:bCs/>
          <w:sz w:val="20"/>
          <w:szCs w:val="20"/>
          <w:lang w:eastAsia="es-MX"/>
        </w:rPr>
        <w:t>i</w:t>
      </w:r>
      <w:r w:rsidR="00EC3D35" w:rsidRPr="00C62DF2">
        <w:rPr>
          <w:rFonts w:ascii="Cambria" w:eastAsia="Calibri" w:hAnsi="Cambria" w:cs="Verdana"/>
          <w:bCs/>
          <w:sz w:val="20"/>
          <w:szCs w:val="20"/>
          <w:lang w:eastAsia="es-MX"/>
        </w:rPr>
        <w:t>ç</w:t>
      </w:r>
      <w:r w:rsidRPr="00C62DF2">
        <w:rPr>
          <w:rFonts w:ascii="Cambria" w:eastAsia="Calibri" w:hAnsi="Cambria" w:cs="Verdana"/>
          <w:bCs/>
          <w:sz w:val="20"/>
          <w:szCs w:val="20"/>
          <w:lang w:eastAsia="es-MX"/>
        </w:rPr>
        <w:t>as e sistemáticas</w:t>
      </w:r>
      <w:r w:rsidRPr="00C62DF2">
        <w:rPr>
          <w:rStyle w:val="FootnoteReference"/>
          <w:rFonts w:ascii="Cambria" w:eastAsia="Calibri" w:hAnsi="Cambria" w:cs="Verdana"/>
          <w:bCs/>
          <w:sz w:val="20"/>
          <w:szCs w:val="20"/>
          <w:lang w:eastAsia="es-MX"/>
        </w:rPr>
        <w:footnoteReference w:id="230"/>
      </w:r>
      <w:r w:rsidRPr="00C62DF2">
        <w:rPr>
          <w:rFonts w:ascii="Cambria" w:eastAsia="Calibri" w:hAnsi="Cambria" w:cs="Verdana"/>
          <w:bCs/>
          <w:sz w:val="20"/>
          <w:szCs w:val="20"/>
          <w:lang w:eastAsia="es-MX"/>
        </w:rPr>
        <w:t>.</w:t>
      </w:r>
    </w:p>
    <w:p w14:paraId="6EE921A3" w14:textId="77777777" w:rsidR="00487AEA" w:rsidRPr="00C62DF2" w:rsidRDefault="00487AEA" w:rsidP="00FC0CB6">
      <w:pPr>
        <w:tabs>
          <w:tab w:val="left" w:pos="0"/>
        </w:tabs>
        <w:ind w:left="567"/>
        <w:jc w:val="both"/>
        <w:rPr>
          <w:rFonts w:ascii="Cambria" w:hAnsi="Cambria"/>
          <w:sz w:val="20"/>
          <w:szCs w:val="20"/>
        </w:rPr>
      </w:pPr>
    </w:p>
    <w:p w14:paraId="00BC4EA0" w14:textId="298C1ED3"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eastAsia="Calibri" w:hAnsi="Cambria" w:cs="Verdana"/>
          <w:sz w:val="20"/>
          <w:szCs w:val="20"/>
          <w:lang w:eastAsia="es-MX"/>
        </w:rPr>
        <w:t xml:space="preserve">No caso </w:t>
      </w:r>
      <w:r w:rsidRPr="00C62DF2">
        <w:rPr>
          <w:rFonts w:ascii="Cambria" w:eastAsia="Calibri" w:hAnsi="Cambria" w:cs="Verdana"/>
          <w:i/>
          <w:sz w:val="20"/>
          <w:szCs w:val="20"/>
          <w:lang w:eastAsia="es-MX"/>
        </w:rPr>
        <w:t>Ibsen Cárdenas e Ibsen Peña</w:t>
      </w:r>
      <w:r w:rsidRPr="00C62DF2">
        <w:rPr>
          <w:rFonts w:ascii="Cambria" w:eastAsia="Calibri" w:hAnsi="Cambria" w:cs="Verdana"/>
          <w:sz w:val="20"/>
          <w:szCs w:val="20"/>
          <w:lang w:eastAsia="es-MX"/>
        </w:rPr>
        <w:t xml:space="preserve"> vs. </w:t>
      </w:r>
      <w:r w:rsidRPr="00C62DF2">
        <w:rPr>
          <w:rFonts w:ascii="Cambria" w:eastAsia="Calibri" w:hAnsi="Cambria" w:cs="Verdana"/>
          <w:i/>
          <w:sz w:val="20"/>
          <w:szCs w:val="20"/>
          <w:lang w:eastAsia="es-MX"/>
        </w:rPr>
        <w:t xml:space="preserve">Bolívia </w:t>
      </w:r>
      <w:r w:rsidRPr="00C62DF2">
        <w:rPr>
          <w:rFonts w:ascii="Cambria" w:eastAsia="Calibri" w:hAnsi="Cambria" w:cs="Verdana"/>
          <w:sz w:val="20"/>
          <w:szCs w:val="20"/>
          <w:lang w:eastAsia="es-MX"/>
        </w:rPr>
        <w:t>esse critério foi reiterado</w:t>
      </w:r>
      <w:r w:rsidR="00EC3D35" w:rsidRPr="00C62DF2">
        <w:rPr>
          <w:rFonts w:ascii="Cambria" w:eastAsia="Calibri" w:hAnsi="Cambria" w:cs="Verdana"/>
          <w:sz w:val="20"/>
          <w:szCs w:val="20"/>
          <w:lang w:eastAsia="es-MX"/>
        </w:rPr>
        <w:t>,</w:t>
      </w:r>
      <w:r w:rsidRPr="00C62DF2">
        <w:rPr>
          <w:rFonts w:ascii="Cambria" w:eastAsia="Calibri" w:hAnsi="Cambria" w:cs="Verdana"/>
          <w:sz w:val="20"/>
          <w:szCs w:val="20"/>
          <w:lang w:eastAsia="es-MX"/>
        </w:rPr>
        <w:t xml:space="preserve"> ao estabelecer que “em certas circunstâncias o Direito </w:t>
      </w:r>
      <w:r w:rsidRPr="00C62DF2">
        <w:rPr>
          <w:rFonts w:ascii="Cambria" w:hAnsi="Cambria"/>
          <w:sz w:val="20"/>
          <w:szCs w:val="20"/>
        </w:rPr>
        <w:t>Internacional</w:t>
      </w:r>
      <w:r w:rsidRPr="00C62DF2">
        <w:rPr>
          <w:rFonts w:ascii="Cambria" w:eastAsia="Calibri" w:hAnsi="Cambria" w:cs="Verdana"/>
          <w:sz w:val="20"/>
          <w:szCs w:val="20"/>
          <w:lang w:eastAsia="es-MX"/>
        </w:rPr>
        <w:t xml:space="preserve"> considera inadmissível e inaplicável a prescrição, assim como as disposições de Anistia e o estabelecimento de excludentes de responsabilidade, a fim de manter vigente no tempo o poder punitivo do Estado sobre condutas cuja gravidade torna necessária sua repressão para evitar que voltem a ser cometidas.”</w:t>
      </w:r>
      <w:r w:rsidRPr="00C62DF2">
        <w:rPr>
          <w:rStyle w:val="FootnoteReference"/>
          <w:rFonts w:ascii="Cambria" w:eastAsia="Calibri" w:hAnsi="Cambria" w:cs="Verdana"/>
          <w:sz w:val="20"/>
          <w:szCs w:val="20"/>
          <w:lang w:eastAsia="es-MX"/>
        </w:rPr>
        <w:footnoteReference w:id="231"/>
      </w:r>
      <w:r w:rsidRPr="00C62DF2">
        <w:rPr>
          <w:rFonts w:ascii="Cambria" w:eastAsia="Calibri" w:hAnsi="Cambria" w:cs="Verdana"/>
          <w:sz w:val="20"/>
          <w:szCs w:val="20"/>
          <w:lang w:eastAsia="es-MX"/>
        </w:rPr>
        <w:t xml:space="preserve"> </w:t>
      </w:r>
    </w:p>
    <w:p w14:paraId="5320F810" w14:textId="77777777" w:rsidR="00487AEA" w:rsidRPr="00C62DF2" w:rsidRDefault="00487AEA" w:rsidP="00FC0CB6">
      <w:pPr>
        <w:pStyle w:val="ListParagraph"/>
        <w:ind w:firstLine="0"/>
        <w:rPr>
          <w:rFonts w:eastAsia="Calibri" w:cs="Verdana"/>
          <w:sz w:val="20"/>
          <w:szCs w:val="20"/>
          <w:lang w:val="pt-BR" w:eastAsia="es-MX"/>
        </w:rPr>
      </w:pPr>
    </w:p>
    <w:p w14:paraId="32D95089" w14:textId="77C35B76"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eastAsia="Calibri" w:hAnsi="Cambria" w:cs="Verdana"/>
          <w:sz w:val="20"/>
          <w:szCs w:val="20"/>
          <w:lang w:eastAsia="es-MX"/>
        </w:rPr>
        <w:t>Posteriormente</w:t>
      </w:r>
      <w:r w:rsidR="00EC3D35" w:rsidRPr="00C62DF2">
        <w:rPr>
          <w:rFonts w:ascii="Cambria" w:eastAsia="Calibri" w:hAnsi="Cambria" w:cs="Verdana"/>
          <w:sz w:val="20"/>
          <w:szCs w:val="20"/>
          <w:lang w:eastAsia="es-MX"/>
        </w:rPr>
        <w:t>,</w:t>
      </w:r>
      <w:r w:rsidRPr="00C62DF2">
        <w:rPr>
          <w:rFonts w:ascii="Cambria" w:eastAsia="Calibri" w:hAnsi="Cambria" w:cs="Verdana"/>
          <w:sz w:val="20"/>
          <w:szCs w:val="20"/>
          <w:lang w:eastAsia="es-MX"/>
        </w:rPr>
        <w:t xml:space="preserve"> nos casos </w:t>
      </w:r>
      <w:r w:rsidRPr="00C62DF2">
        <w:rPr>
          <w:rFonts w:ascii="Cambria" w:eastAsia="Calibri" w:hAnsi="Cambria" w:cs="Verdana"/>
          <w:bCs/>
          <w:i/>
          <w:sz w:val="20"/>
          <w:szCs w:val="20"/>
          <w:lang w:eastAsia="es-MX"/>
        </w:rPr>
        <w:t>Gomes Lund e outros (Guerrilha do Araguaia)</w:t>
      </w:r>
      <w:r w:rsidRPr="00C62DF2">
        <w:rPr>
          <w:rFonts w:ascii="Cambria" w:eastAsia="Calibri" w:hAnsi="Cambria" w:cs="Verdana"/>
          <w:bCs/>
          <w:sz w:val="20"/>
          <w:szCs w:val="20"/>
          <w:lang w:eastAsia="es-MX"/>
        </w:rPr>
        <w:t xml:space="preserve"> </w:t>
      </w:r>
      <w:r w:rsidRPr="00C62DF2">
        <w:rPr>
          <w:rFonts w:ascii="Cambria" w:eastAsia="Calibri" w:hAnsi="Cambria" w:cs="Verdana"/>
          <w:bCs/>
          <w:i/>
          <w:sz w:val="20"/>
          <w:szCs w:val="20"/>
          <w:lang w:eastAsia="es-MX"/>
        </w:rPr>
        <w:t>vs</w:t>
      </w:r>
      <w:r w:rsidRPr="00C62DF2">
        <w:rPr>
          <w:rFonts w:ascii="Cambria" w:eastAsia="Calibri" w:hAnsi="Cambria" w:cs="Verdana"/>
          <w:bCs/>
          <w:sz w:val="20"/>
          <w:szCs w:val="20"/>
          <w:lang w:eastAsia="es-MX"/>
        </w:rPr>
        <w:t xml:space="preserve">. </w:t>
      </w:r>
      <w:r w:rsidRPr="00C62DF2">
        <w:rPr>
          <w:rFonts w:ascii="Cambria" w:eastAsia="Calibri" w:hAnsi="Cambria" w:cs="Verdana"/>
          <w:bCs/>
          <w:i/>
          <w:sz w:val="20"/>
          <w:szCs w:val="20"/>
          <w:lang w:eastAsia="es-MX"/>
        </w:rPr>
        <w:t>Brasil</w:t>
      </w:r>
      <w:r w:rsidRPr="00C62DF2">
        <w:rPr>
          <w:rFonts w:ascii="Cambria" w:eastAsia="Calibri" w:hAnsi="Cambria" w:cs="Verdana"/>
          <w:bCs/>
          <w:sz w:val="20"/>
          <w:szCs w:val="20"/>
          <w:lang w:eastAsia="es-MX"/>
        </w:rPr>
        <w:t xml:space="preserve"> e </w:t>
      </w:r>
      <w:r w:rsidRPr="00C62DF2">
        <w:rPr>
          <w:rFonts w:ascii="Cambria" w:eastAsia="Calibri" w:hAnsi="Cambria" w:cs="Verdana"/>
          <w:bCs/>
          <w:i/>
          <w:sz w:val="20"/>
          <w:szCs w:val="20"/>
          <w:lang w:eastAsia="es-MX"/>
        </w:rPr>
        <w:t xml:space="preserve">Gelman vs. Uruguai, </w:t>
      </w:r>
      <w:r w:rsidRPr="00C62DF2">
        <w:rPr>
          <w:rFonts w:ascii="Cambria" w:eastAsia="Calibri" w:hAnsi="Cambria" w:cs="Verdana"/>
          <w:bCs/>
          <w:sz w:val="20"/>
          <w:szCs w:val="20"/>
          <w:lang w:eastAsia="es-MX"/>
        </w:rPr>
        <w:t xml:space="preserve">relativos a graves </w:t>
      </w:r>
      <w:r w:rsidRPr="00C62DF2">
        <w:rPr>
          <w:rFonts w:ascii="Cambria" w:hAnsi="Cambria"/>
          <w:sz w:val="20"/>
          <w:szCs w:val="20"/>
        </w:rPr>
        <w:t>violações</w:t>
      </w:r>
      <w:r w:rsidRPr="00C62DF2">
        <w:rPr>
          <w:rFonts w:ascii="Cambria" w:eastAsia="Calibri" w:hAnsi="Cambria" w:cs="Verdana"/>
          <w:bCs/>
          <w:sz w:val="20"/>
          <w:szCs w:val="20"/>
          <w:lang w:eastAsia="es-MX"/>
        </w:rPr>
        <w:t xml:space="preserve"> de direitos humanos cometidas em ditaduras militares, a Corte reiterou sua jurisprudência no sentido de que “‘são inadmissíveis as […] disposições de prescrição […] que pretendam impedir a investigação e </w:t>
      </w:r>
      <w:r w:rsidR="00EC3D35" w:rsidRPr="00C62DF2">
        <w:rPr>
          <w:rFonts w:ascii="Cambria" w:eastAsia="Calibri" w:hAnsi="Cambria" w:cs="Verdana"/>
          <w:bCs/>
          <w:sz w:val="20"/>
          <w:szCs w:val="20"/>
          <w:lang w:eastAsia="es-MX"/>
        </w:rPr>
        <w:t>puni</w:t>
      </w:r>
      <w:r w:rsidRPr="00C62DF2">
        <w:rPr>
          <w:rFonts w:ascii="Cambria" w:eastAsia="Calibri" w:hAnsi="Cambria" w:cs="Verdana"/>
          <w:bCs/>
          <w:sz w:val="20"/>
          <w:szCs w:val="20"/>
          <w:lang w:eastAsia="es-MX"/>
        </w:rPr>
        <w:t>ção dos responsáveis pelas violações graves dos direitos humanos</w:t>
      </w:r>
      <w:r w:rsidR="00EC3D35" w:rsidRPr="00C62DF2">
        <w:rPr>
          <w:rFonts w:ascii="Cambria" w:eastAsia="Calibri" w:hAnsi="Cambria" w:cs="Verdana"/>
          <w:bCs/>
          <w:sz w:val="20"/>
          <w:szCs w:val="20"/>
          <w:lang w:eastAsia="es-MX"/>
        </w:rPr>
        <w:t>,</w:t>
      </w:r>
      <w:r w:rsidRPr="00C62DF2">
        <w:rPr>
          <w:rFonts w:ascii="Cambria" w:eastAsia="Calibri" w:hAnsi="Cambria" w:cs="Verdana"/>
          <w:bCs/>
          <w:sz w:val="20"/>
          <w:szCs w:val="20"/>
          <w:lang w:eastAsia="es-MX"/>
        </w:rPr>
        <w:t xml:space="preserve"> tais como a tortura, as execuções sumárias, extralegais ou arbitrárias e os desaparecimentos forçados, todas elas proibidas por contradizer direitos inderrogáveis reconhecidos pelo Direito Internacional dos Direitos Humanos.’”</w:t>
      </w:r>
      <w:r w:rsidRPr="00C62DF2">
        <w:rPr>
          <w:rStyle w:val="FootnoteReference"/>
          <w:rFonts w:ascii="Cambria" w:eastAsia="Calibri" w:hAnsi="Cambria" w:cs="Verdana"/>
          <w:bCs/>
          <w:sz w:val="20"/>
          <w:szCs w:val="20"/>
          <w:lang w:eastAsia="es-MX"/>
        </w:rPr>
        <w:footnoteReference w:id="232"/>
      </w:r>
      <w:r w:rsidRPr="00C62DF2">
        <w:rPr>
          <w:rFonts w:ascii="Cambria" w:eastAsia="Calibri" w:hAnsi="Cambria" w:cs="Verdana"/>
          <w:bCs/>
          <w:sz w:val="20"/>
          <w:szCs w:val="20"/>
          <w:lang w:eastAsia="es-MX"/>
        </w:rPr>
        <w:t xml:space="preserve"> </w:t>
      </w:r>
      <w:r w:rsidRPr="00C62DF2">
        <w:rPr>
          <w:rFonts w:ascii="Cambria" w:hAnsi="Cambria"/>
          <w:sz w:val="20"/>
          <w:szCs w:val="20"/>
        </w:rPr>
        <w:t xml:space="preserve"> </w:t>
      </w:r>
      <w:r w:rsidRPr="00C62DF2">
        <w:rPr>
          <w:rFonts w:ascii="Cambria" w:eastAsia="Calibri" w:hAnsi="Cambria" w:cs="Verdana"/>
          <w:bCs/>
          <w:sz w:val="20"/>
          <w:szCs w:val="20"/>
          <w:lang w:eastAsia="es-MX"/>
        </w:rPr>
        <w:t>Esta formulação sobre a proibição da prescrição penal em casos de graves violações de direitos humanos foi mantida pela Corte também em casos em que essas violações ocorreram no âmbito de conflitos armados internos.</w:t>
      </w:r>
      <w:r w:rsidRPr="00C62DF2">
        <w:rPr>
          <w:rStyle w:val="FootnoteReference"/>
          <w:rFonts w:ascii="Cambria" w:eastAsia="Calibri" w:hAnsi="Cambria" w:cs="Verdana"/>
          <w:bCs/>
          <w:sz w:val="20"/>
          <w:szCs w:val="20"/>
          <w:lang w:eastAsia="es-MX"/>
        </w:rPr>
        <w:footnoteReference w:id="233"/>
      </w:r>
    </w:p>
    <w:p w14:paraId="55F36B17" w14:textId="77777777" w:rsidR="00487AEA" w:rsidRPr="00C62DF2" w:rsidRDefault="00487AEA" w:rsidP="00FC0CB6">
      <w:pPr>
        <w:pStyle w:val="ListParagraph"/>
        <w:ind w:firstLine="0"/>
        <w:rPr>
          <w:sz w:val="20"/>
          <w:szCs w:val="20"/>
          <w:lang w:val="pt-BR"/>
        </w:rPr>
      </w:pPr>
    </w:p>
    <w:p w14:paraId="76602A98" w14:textId="76E04862"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No caso </w:t>
      </w:r>
      <w:r w:rsidRPr="00C62DF2">
        <w:rPr>
          <w:rFonts w:ascii="Cambria" w:hAnsi="Cambria"/>
          <w:i/>
          <w:sz w:val="20"/>
          <w:szCs w:val="20"/>
        </w:rPr>
        <w:t>Almonacid Arellano vs. Chile</w:t>
      </w:r>
      <w:r w:rsidRPr="00C62DF2">
        <w:rPr>
          <w:rFonts w:ascii="Cambria" w:hAnsi="Cambria"/>
          <w:sz w:val="20"/>
          <w:szCs w:val="20"/>
        </w:rPr>
        <w:t xml:space="preserve"> a Corte afirmou que “</w:t>
      </w:r>
      <w:r w:rsidR="009360AE" w:rsidRPr="00C62DF2">
        <w:rPr>
          <w:rFonts w:ascii="Cambria" w:hAnsi="Cambria"/>
          <w:sz w:val="20"/>
          <w:szCs w:val="20"/>
        </w:rPr>
        <w:t xml:space="preserve">embora </w:t>
      </w:r>
      <w:r w:rsidRPr="00C62DF2">
        <w:rPr>
          <w:rFonts w:ascii="Cambria" w:hAnsi="Cambria"/>
          <w:sz w:val="20"/>
          <w:szCs w:val="20"/>
        </w:rPr>
        <w:t xml:space="preserve">o Chile não </w:t>
      </w:r>
      <w:r w:rsidR="009360AE" w:rsidRPr="00C62DF2">
        <w:rPr>
          <w:rFonts w:ascii="Cambria" w:hAnsi="Cambria"/>
          <w:sz w:val="20"/>
          <w:szCs w:val="20"/>
        </w:rPr>
        <w:t xml:space="preserve">tenha </w:t>
      </w:r>
      <w:r w:rsidRPr="00C62DF2">
        <w:rPr>
          <w:rFonts w:ascii="Cambria" w:hAnsi="Cambria"/>
          <w:sz w:val="20"/>
          <w:szCs w:val="20"/>
        </w:rPr>
        <w:t>ratific</w:t>
      </w:r>
      <w:r w:rsidR="009360AE" w:rsidRPr="00C62DF2">
        <w:rPr>
          <w:rFonts w:ascii="Cambria" w:hAnsi="Cambria"/>
          <w:sz w:val="20"/>
          <w:szCs w:val="20"/>
        </w:rPr>
        <w:t>ad</w:t>
      </w:r>
      <w:r w:rsidRPr="00C62DF2">
        <w:rPr>
          <w:rFonts w:ascii="Cambria" w:hAnsi="Cambria"/>
          <w:sz w:val="20"/>
          <w:szCs w:val="20"/>
        </w:rPr>
        <w:t xml:space="preserve">o a Convenção sobre [a imprescritibilidade dos crimes de guerra e dos crimes </w:t>
      </w:r>
      <w:r w:rsidR="009360AE" w:rsidRPr="00C62DF2">
        <w:rPr>
          <w:rFonts w:ascii="Cambria" w:hAnsi="Cambria"/>
          <w:sz w:val="20"/>
          <w:szCs w:val="20"/>
        </w:rPr>
        <w:t xml:space="preserve">contra </w:t>
      </w:r>
      <w:r w:rsidRPr="00C62DF2">
        <w:rPr>
          <w:rFonts w:ascii="Cambria" w:hAnsi="Cambria"/>
          <w:sz w:val="20"/>
          <w:szCs w:val="20"/>
        </w:rPr>
        <w:t xml:space="preserve">a humanidade], esta Corte considera que a imprescritibilidade dos crimes </w:t>
      </w:r>
      <w:r w:rsidR="009360AE" w:rsidRPr="00C62DF2">
        <w:rPr>
          <w:rFonts w:ascii="Cambria" w:hAnsi="Cambria"/>
          <w:sz w:val="20"/>
          <w:szCs w:val="20"/>
        </w:rPr>
        <w:t xml:space="preserve">contra </w:t>
      </w:r>
      <w:r w:rsidRPr="00C62DF2">
        <w:rPr>
          <w:rFonts w:ascii="Cambria" w:hAnsi="Cambria"/>
          <w:sz w:val="20"/>
          <w:szCs w:val="20"/>
        </w:rPr>
        <w:t>a humanidade surge como categoria de norma de Direito Internacional Geral (</w:t>
      </w:r>
      <w:r w:rsidRPr="00C62DF2">
        <w:rPr>
          <w:rFonts w:ascii="Cambria" w:hAnsi="Cambria"/>
          <w:i/>
          <w:sz w:val="20"/>
          <w:szCs w:val="20"/>
        </w:rPr>
        <w:t>ius cogens</w:t>
      </w:r>
      <w:r w:rsidRPr="00C62DF2">
        <w:rPr>
          <w:rFonts w:ascii="Cambria" w:hAnsi="Cambria"/>
          <w:sz w:val="20"/>
          <w:szCs w:val="20"/>
        </w:rPr>
        <w:t>), que não nasce com tal Convenção, mas está reconhecida nela. Consequentemente, o Chile não pode deixar de cumprir esta norma imperativa.”</w:t>
      </w:r>
      <w:r w:rsidRPr="00C62DF2">
        <w:rPr>
          <w:rStyle w:val="FootnoteReference"/>
          <w:rFonts w:ascii="Cambria" w:hAnsi="Cambria"/>
          <w:sz w:val="20"/>
          <w:szCs w:val="20"/>
        </w:rPr>
        <w:footnoteReference w:id="234"/>
      </w:r>
    </w:p>
    <w:p w14:paraId="624EEFDE" w14:textId="77777777" w:rsidR="00487AEA" w:rsidRPr="00C62DF2" w:rsidRDefault="00487AEA" w:rsidP="00FC0CB6">
      <w:pPr>
        <w:pStyle w:val="ListParagraph"/>
        <w:ind w:firstLine="0"/>
        <w:rPr>
          <w:sz w:val="20"/>
          <w:szCs w:val="20"/>
          <w:lang w:val="pt-BR"/>
        </w:rPr>
      </w:pPr>
    </w:p>
    <w:p w14:paraId="09551229" w14:textId="1125F025"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Em termos</w:t>
      </w:r>
      <w:r w:rsidR="009360AE" w:rsidRPr="00C62DF2">
        <w:rPr>
          <w:rFonts w:ascii="Cambria" w:hAnsi="Cambria"/>
          <w:sz w:val="20"/>
          <w:szCs w:val="20"/>
        </w:rPr>
        <w:t xml:space="preserve"> similares</w:t>
      </w:r>
      <w:r w:rsidRPr="00C62DF2">
        <w:rPr>
          <w:rFonts w:ascii="Cambria" w:hAnsi="Cambria"/>
          <w:sz w:val="20"/>
          <w:szCs w:val="20"/>
        </w:rPr>
        <w:t xml:space="preserve">, a Comissão Interamericana manteve no relatório sobre o caso </w:t>
      </w:r>
      <w:r w:rsidRPr="00C62DF2">
        <w:rPr>
          <w:rFonts w:ascii="Cambria" w:hAnsi="Cambria"/>
          <w:i/>
          <w:sz w:val="20"/>
          <w:szCs w:val="20"/>
        </w:rPr>
        <w:t>Julia Gomes Lund e outros (“Guerrilha do Araguaia”)</w:t>
      </w:r>
      <w:r w:rsidRPr="00C62DF2">
        <w:rPr>
          <w:rFonts w:ascii="Cambria" w:hAnsi="Cambria"/>
          <w:sz w:val="20"/>
          <w:szCs w:val="20"/>
        </w:rPr>
        <w:t xml:space="preserve"> e em seu relatório sobre o</w:t>
      </w:r>
      <w:r w:rsidR="00507393" w:rsidRPr="00C62DF2">
        <w:rPr>
          <w:rFonts w:ascii="Cambria" w:hAnsi="Cambria"/>
          <w:sz w:val="20"/>
          <w:szCs w:val="20"/>
        </w:rPr>
        <w:t xml:space="preserve"> </w:t>
      </w:r>
      <w:r w:rsidRPr="00C62DF2">
        <w:rPr>
          <w:rFonts w:ascii="Cambria" w:hAnsi="Cambria"/>
          <w:sz w:val="20"/>
          <w:szCs w:val="20"/>
        </w:rPr>
        <w:t xml:space="preserve">caso </w:t>
      </w:r>
      <w:r w:rsidRPr="00C62DF2">
        <w:rPr>
          <w:rFonts w:ascii="Cambria" w:hAnsi="Cambria"/>
          <w:i/>
          <w:iCs/>
          <w:sz w:val="20"/>
          <w:szCs w:val="20"/>
        </w:rPr>
        <w:t xml:space="preserve">Herzog e outros Vs. Brasil </w:t>
      </w:r>
      <w:r w:rsidRPr="00C62DF2">
        <w:rPr>
          <w:rFonts w:ascii="Cambria" w:hAnsi="Cambria"/>
          <w:sz w:val="20"/>
          <w:szCs w:val="20"/>
        </w:rPr>
        <w:t>que</w:t>
      </w:r>
      <w:r w:rsidR="00507393" w:rsidRPr="00C62DF2">
        <w:rPr>
          <w:rFonts w:ascii="Cambria" w:hAnsi="Cambria"/>
          <w:sz w:val="20"/>
          <w:szCs w:val="20"/>
        </w:rPr>
        <w:t>,</w:t>
      </w:r>
      <w:r w:rsidRPr="00C62DF2">
        <w:rPr>
          <w:rFonts w:ascii="Cambria" w:hAnsi="Cambria"/>
          <w:sz w:val="20"/>
          <w:szCs w:val="20"/>
        </w:rPr>
        <w:t xml:space="preserve"> apesar d</w:t>
      </w:r>
      <w:r w:rsidR="00507393" w:rsidRPr="00C62DF2">
        <w:rPr>
          <w:rFonts w:ascii="Cambria" w:hAnsi="Cambria"/>
          <w:sz w:val="20"/>
          <w:szCs w:val="20"/>
        </w:rPr>
        <w:t xml:space="preserve">e </w:t>
      </w:r>
      <w:r w:rsidRPr="00C62DF2">
        <w:rPr>
          <w:rFonts w:ascii="Cambria" w:hAnsi="Cambria"/>
          <w:sz w:val="20"/>
          <w:szCs w:val="20"/>
        </w:rPr>
        <w:t xml:space="preserve">o Estado brasileiro não </w:t>
      </w:r>
      <w:r w:rsidR="00507393" w:rsidRPr="00C62DF2">
        <w:rPr>
          <w:rFonts w:ascii="Cambria" w:hAnsi="Cambria"/>
          <w:sz w:val="20"/>
          <w:szCs w:val="20"/>
        </w:rPr>
        <w:t>t</w:t>
      </w:r>
      <w:r w:rsidRPr="00C62DF2">
        <w:rPr>
          <w:rFonts w:ascii="Cambria" w:hAnsi="Cambria"/>
          <w:sz w:val="20"/>
          <w:szCs w:val="20"/>
        </w:rPr>
        <w:t xml:space="preserve">er ratificado a Convenção sobre a imprescritibilidade dos crimes de guerra e </w:t>
      </w:r>
      <w:r w:rsidR="00507393" w:rsidRPr="00C62DF2">
        <w:rPr>
          <w:rFonts w:ascii="Cambria" w:hAnsi="Cambria"/>
          <w:sz w:val="20"/>
          <w:szCs w:val="20"/>
        </w:rPr>
        <w:t xml:space="preserve">contra </w:t>
      </w:r>
      <w:r w:rsidRPr="00C62DF2">
        <w:rPr>
          <w:rFonts w:ascii="Cambria" w:hAnsi="Cambria"/>
          <w:sz w:val="20"/>
          <w:szCs w:val="20"/>
        </w:rPr>
        <w:t xml:space="preserve">a humanidade, a obrigação de investigar e processar penalmente os crimes </w:t>
      </w:r>
      <w:r w:rsidR="00507393" w:rsidRPr="00C62DF2">
        <w:rPr>
          <w:rFonts w:ascii="Cambria" w:hAnsi="Cambria"/>
          <w:sz w:val="20"/>
          <w:szCs w:val="20"/>
        </w:rPr>
        <w:t xml:space="preserve">contra </w:t>
      </w:r>
      <w:r w:rsidRPr="00C62DF2">
        <w:rPr>
          <w:rFonts w:ascii="Cambria" w:hAnsi="Cambria"/>
          <w:sz w:val="20"/>
          <w:szCs w:val="20"/>
        </w:rPr>
        <w:t xml:space="preserve">a humanidade surge como </w:t>
      </w:r>
      <w:r w:rsidRPr="00C62DF2">
        <w:rPr>
          <w:rFonts w:ascii="Cambria" w:hAnsi="Cambria"/>
          <w:sz w:val="20"/>
          <w:szCs w:val="20"/>
        </w:rPr>
        <w:lastRenderedPageBreak/>
        <w:t xml:space="preserve">norma de </w:t>
      </w:r>
      <w:r w:rsidRPr="00C62DF2">
        <w:rPr>
          <w:rFonts w:ascii="Cambria" w:hAnsi="Cambria"/>
          <w:i/>
          <w:sz w:val="20"/>
          <w:szCs w:val="20"/>
        </w:rPr>
        <w:t>ius cogens</w:t>
      </w:r>
      <w:r w:rsidR="00507393" w:rsidRPr="00C62DF2">
        <w:rPr>
          <w:rFonts w:ascii="Cambria" w:hAnsi="Cambria"/>
          <w:i/>
          <w:sz w:val="20"/>
          <w:szCs w:val="20"/>
        </w:rPr>
        <w:t>;</w:t>
      </w:r>
      <w:r w:rsidRPr="00C62DF2">
        <w:rPr>
          <w:rFonts w:ascii="Cambria" w:hAnsi="Cambria"/>
          <w:sz w:val="20"/>
          <w:szCs w:val="20"/>
        </w:rPr>
        <w:t xml:space="preserve"> por isso</w:t>
      </w:r>
      <w:r w:rsidR="00507393" w:rsidRPr="00C62DF2">
        <w:rPr>
          <w:rFonts w:ascii="Cambria" w:hAnsi="Cambria"/>
          <w:sz w:val="20"/>
          <w:szCs w:val="20"/>
        </w:rPr>
        <w:t>,</w:t>
      </w:r>
      <w:r w:rsidRPr="00C62DF2">
        <w:rPr>
          <w:rFonts w:ascii="Cambria" w:hAnsi="Cambria"/>
          <w:sz w:val="20"/>
          <w:szCs w:val="20"/>
        </w:rPr>
        <w:t xml:space="preserve"> aplicar a prescrição nestes casos constitui uma violação dessa norma imperativa por parte do Estado.</w:t>
      </w:r>
      <w:r w:rsidRPr="00C62DF2">
        <w:rPr>
          <w:rStyle w:val="FootnoteReference"/>
          <w:rFonts w:ascii="Cambria" w:hAnsi="Cambria"/>
          <w:sz w:val="20"/>
          <w:szCs w:val="20"/>
        </w:rPr>
        <w:footnoteReference w:id="235"/>
      </w:r>
      <w:r w:rsidRPr="00C62DF2">
        <w:rPr>
          <w:rFonts w:ascii="Cambria" w:hAnsi="Cambria"/>
          <w:sz w:val="20"/>
          <w:szCs w:val="20"/>
        </w:rPr>
        <w:t xml:space="preserve"> Neste sentido, a Corte reconheceu que a proibição dos </w:t>
      </w:r>
      <w:r w:rsidR="00820504" w:rsidRPr="00C62DF2">
        <w:rPr>
          <w:rFonts w:ascii="Cambria" w:hAnsi="Cambria"/>
          <w:sz w:val="20"/>
          <w:szCs w:val="20"/>
        </w:rPr>
        <w:t>crimes</w:t>
      </w:r>
      <w:r w:rsidRPr="00C62DF2">
        <w:rPr>
          <w:rFonts w:ascii="Cambria" w:hAnsi="Cambria"/>
          <w:sz w:val="20"/>
          <w:szCs w:val="20"/>
        </w:rPr>
        <w:t xml:space="preserve"> de direito internacional ou </w:t>
      </w:r>
      <w:r w:rsidR="00820504" w:rsidRPr="00C62DF2">
        <w:rPr>
          <w:rFonts w:ascii="Cambria" w:hAnsi="Cambria"/>
          <w:sz w:val="20"/>
          <w:szCs w:val="20"/>
        </w:rPr>
        <w:t xml:space="preserve">contra </w:t>
      </w:r>
      <w:r w:rsidRPr="00C62DF2">
        <w:rPr>
          <w:rFonts w:ascii="Cambria" w:hAnsi="Cambria"/>
          <w:sz w:val="20"/>
          <w:szCs w:val="20"/>
        </w:rPr>
        <w:t xml:space="preserve">a humanidade estabelecida na Convenção sobre imprescritibilidade dos crimes de guerra e </w:t>
      </w:r>
      <w:r w:rsidR="00820504" w:rsidRPr="00C62DF2">
        <w:rPr>
          <w:rFonts w:ascii="Cambria" w:hAnsi="Cambria"/>
          <w:sz w:val="20"/>
          <w:szCs w:val="20"/>
        </w:rPr>
        <w:t xml:space="preserve">contra </w:t>
      </w:r>
      <w:r w:rsidRPr="00C62DF2">
        <w:rPr>
          <w:rFonts w:ascii="Cambria" w:hAnsi="Cambria"/>
          <w:sz w:val="20"/>
          <w:szCs w:val="20"/>
        </w:rPr>
        <w:t>a humanidade de 1968 reafirma princípios e normas de direito internacional pr</w:t>
      </w:r>
      <w:r w:rsidR="00820504" w:rsidRPr="00C62DF2">
        <w:rPr>
          <w:rFonts w:ascii="Cambria" w:hAnsi="Cambria"/>
          <w:sz w:val="20"/>
          <w:szCs w:val="20"/>
        </w:rPr>
        <w:t>e</w:t>
      </w:r>
      <w:r w:rsidRPr="00C62DF2">
        <w:rPr>
          <w:rFonts w:ascii="Cambria" w:hAnsi="Cambria"/>
          <w:sz w:val="20"/>
          <w:szCs w:val="20"/>
        </w:rPr>
        <w:t xml:space="preserve">existentes a esse instrumento, de maneira que a Convenção sobre Imprescritibilidade “tem caráter declarativo, isto é, consagra um princípio de direito internacional vigente </w:t>
      </w:r>
      <w:r w:rsidR="00820504" w:rsidRPr="00C62DF2">
        <w:rPr>
          <w:rFonts w:ascii="Cambria" w:hAnsi="Cambria"/>
          <w:sz w:val="20"/>
          <w:szCs w:val="20"/>
        </w:rPr>
        <w:t xml:space="preserve">antes </w:t>
      </w:r>
      <w:r w:rsidRPr="00C62DF2">
        <w:rPr>
          <w:rFonts w:ascii="Cambria" w:hAnsi="Cambria"/>
          <w:sz w:val="20"/>
          <w:szCs w:val="20"/>
        </w:rPr>
        <w:t>de sua aprovação.”</w:t>
      </w:r>
      <w:r w:rsidRPr="00C62DF2">
        <w:rPr>
          <w:rStyle w:val="FootnoteReference"/>
          <w:rFonts w:ascii="Cambria" w:hAnsi="Cambria"/>
          <w:sz w:val="20"/>
          <w:szCs w:val="20"/>
        </w:rPr>
        <w:footnoteReference w:id="236"/>
      </w:r>
    </w:p>
    <w:p w14:paraId="1FA661B3" w14:textId="77777777" w:rsidR="00487AEA" w:rsidRPr="00C62DF2" w:rsidRDefault="00487AEA" w:rsidP="00FC0CB6">
      <w:pPr>
        <w:pStyle w:val="ListParagraph"/>
        <w:ind w:firstLine="0"/>
        <w:rPr>
          <w:sz w:val="20"/>
          <w:szCs w:val="20"/>
          <w:lang w:val="pt-BR"/>
        </w:rPr>
      </w:pPr>
    </w:p>
    <w:p w14:paraId="4CFEC959" w14:textId="1436FD0F"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 Assim, os Estados devem aplicar o conteúdo da Convenção sobre imprescritibilidade dos crimes de guerra e </w:t>
      </w:r>
      <w:r w:rsidR="00820504" w:rsidRPr="00C62DF2">
        <w:rPr>
          <w:rFonts w:ascii="Cambria" w:hAnsi="Cambria"/>
          <w:sz w:val="20"/>
          <w:szCs w:val="20"/>
        </w:rPr>
        <w:t xml:space="preserve">contra </w:t>
      </w:r>
      <w:r w:rsidRPr="00C62DF2">
        <w:rPr>
          <w:rFonts w:ascii="Cambria" w:hAnsi="Cambria"/>
          <w:sz w:val="20"/>
          <w:szCs w:val="20"/>
        </w:rPr>
        <w:t>a humanidade, ainda que não a tenha</w:t>
      </w:r>
      <w:r w:rsidR="0066385C" w:rsidRPr="00C62DF2">
        <w:rPr>
          <w:rFonts w:ascii="Cambria" w:hAnsi="Cambria"/>
          <w:sz w:val="20"/>
          <w:szCs w:val="20"/>
        </w:rPr>
        <w:t>m</w:t>
      </w:r>
      <w:r w:rsidRPr="00C62DF2">
        <w:rPr>
          <w:rFonts w:ascii="Cambria" w:hAnsi="Cambria"/>
          <w:sz w:val="20"/>
          <w:szCs w:val="20"/>
        </w:rPr>
        <w:t xml:space="preserve"> ratificado,</w:t>
      </w:r>
      <w:r w:rsidRPr="00C62DF2">
        <w:rPr>
          <w:rStyle w:val="FootnoteReference"/>
          <w:rFonts w:ascii="Cambria" w:hAnsi="Cambria"/>
          <w:sz w:val="20"/>
          <w:szCs w:val="20"/>
        </w:rPr>
        <w:footnoteReference w:id="237"/>
      </w:r>
      <w:r w:rsidRPr="00C62DF2">
        <w:rPr>
          <w:rFonts w:ascii="Cambria" w:hAnsi="Cambria"/>
          <w:sz w:val="20"/>
          <w:szCs w:val="20"/>
        </w:rPr>
        <w:t xml:space="preserve"> como é o caso do Brasil</w:t>
      </w:r>
      <w:r w:rsidR="0066385C" w:rsidRPr="00C62DF2">
        <w:rPr>
          <w:rFonts w:ascii="Cambria" w:hAnsi="Cambria"/>
          <w:sz w:val="20"/>
          <w:szCs w:val="20"/>
        </w:rPr>
        <w:t>;</w:t>
      </w:r>
      <w:r w:rsidRPr="00C62DF2">
        <w:rPr>
          <w:rFonts w:ascii="Cambria" w:hAnsi="Cambria"/>
          <w:sz w:val="20"/>
          <w:szCs w:val="20"/>
        </w:rPr>
        <w:t xml:space="preserve"> por outro lado, os Estados devem aplicá-la inclusive nos </w:t>
      </w:r>
      <w:r w:rsidR="0066385C" w:rsidRPr="00C62DF2">
        <w:rPr>
          <w:rFonts w:ascii="Cambria" w:hAnsi="Cambria"/>
          <w:sz w:val="20"/>
          <w:szCs w:val="20"/>
        </w:rPr>
        <w:t>crimes</w:t>
      </w:r>
      <w:r w:rsidRPr="00C62DF2">
        <w:rPr>
          <w:rFonts w:ascii="Cambria" w:hAnsi="Cambria"/>
          <w:sz w:val="20"/>
          <w:szCs w:val="20"/>
        </w:rPr>
        <w:t xml:space="preserve"> cometidos </w:t>
      </w:r>
      <w:r w:rsidR="0066385C" w:rsidRPr="00C62DF2">
        <w:rPr>
          <w:rFonts w:ascii="Cambria" w:hAnsi="Cambria"/>
          <w:sz w:val="20"/>
          <w:szCs w:val="20"/>
        </w:rPr>
        <w:t xml:space="preserve">antes da </w:t>
      </w:r>
      <w:r w:rsidRPr="00C62DF2">
        <w:rPr>
          <w:rFonts w:ascii="Cambria" w:hAnsi="Cambria"/>
          <w:sz w:val="20"/>
          <w:szCs w:val="20"/>
        </w:rPr>
        <w:t>entrada em vigor dessa Convenção, ante o caráter consuetudinário da norma preexiste</w:t>
      </w:r>
      <w:r w:rsidR="0066385C" w:rsidRPr="00C62DF2">
        <w:rPr>
          <w:rFonts w:ascii="Cambria" w:hAnsi="Cambria"/>
          <w:sz w:val="20"/>
          <w:szCs w:val="20"/>
        </w:rPr>
        <w:t>nte</w:t>
      </w:r>
      <w:r w:rsidRPr="00C62DF2">
        <w:rPr>
          <w:rFonts w:ascii="Cambria" w:hAnsi="Cambria"/>
          <w:sz w:val="20"/>
          <w:szCs w:val="20"/>
        </w:rPr>
        <w:t>.</w:t>
      </w:r>
      <w:r w:rsidRPr="00C62DF2">
        <w:rPr>
          <w:rStyle w:val="FootnoteReference"/>
          <w:rFonts w:ascii="Cambria" w:hAnsi="Cambria"/>
          <w:sz w:val="20"/>
          <w:szCs w:val="20"/>
        </w:rPr>
        <w:footnoteReference w:id="238"/>
      </w:r>
    </w:p>
    <w:p w14:paraId="657F3372" w14:textId="77777777" w:rsidR="00487AEA" w:rsidRPr="00C62DF2" w:rsidRDefault="00487AEA" w:rsidP="00FC0CB6">
      <w:pPr>
        <w:pStyle w:val="ListParagraph"/>
        <w:ind w:firstLine="0"/>
        <w:rPr>
          <w:sz w:val="20"/>
          <w:szCs w:val="20"/>
          <w:lang w:val="pt-BR"/>
        </w:rPr>
      </w:pPr>
    </w:p>
    <w:p w14:paraId="5BE58DA1" w14:textId="728FB44E" w:rsidR="00487AEA" w:rsidRPr="00C62DF2" w:rsidRDefault="00487AEA" w:rsidP="00FC0CB6">
      <w:pPr>
        <w:numPr>
          <w:ilvl w:val="0"/>
          <w:numId w:val="2"/>
        </w:numPr>
        <w:tabs>
          <w:tab w:val="left" w:pos="0"/>
        </w:tabs>
        <w:jc w:val="both"/>
        <w:rPr>
          <w:rFonts w:ascii="Cambria" w:hAnsi="Cambria"/>
          <w:sz w:val="20"/>
          <w:szCs w:val="20"/>
        </w:rPr>
      </w:pPr>
      <w:r w:rsidRPr="00C62DF2">
        <w:rPr>
          <w:rStyle w:val="Emphasis"/>
          <w:rFonts w:ascii="Cambria" w:hAnsi="Cambria"/>
          <w:i w:val="0"/>
          <w:iCs w:val="0"/>
          <w:sz w:val="20"/>
          <w:szCs w:val="20"/>
        </w:rPr>
        <w:t>No presente caso, a Comissão recorda que em 14 de fevereiro de 2012 a Justiça Federal determinou o arquivamento do caso sobre a detenção arbitrária, tortura e assassinato de Eduardo Collen Leite e sustentou sua decisão na prescrição da ação penal</w:t>
      </w:r>
      <w:r w:rsidRPr="00C62DF2">
        <w:rPr>
          <w:rStyle w:val="Emphasis"/>
          <w:rFonts w:ascii="Cambria" w:hAnsi="Cambria"/>
          <w:sz w:val="20"/>
          <w:szCs w:val="20"/>
        </w:rPr>
        <w:t xml:space="preserve">. </w:t>
      </w:r>
      <w:r w:rsidRPr="00C62DF2">
        <w:rPr>
          <w:rFonts w:ascii="Cambria" w:hAnsi="Cambria"/>
          <w:sz w:val="20"/>
          <w:szCs w:val="20"/>
        </w:rPr>
        <w:t xml:space="preserve">A Comissão não encontra razões para se afastar dos critérios consolidados pela jurisprudência interamericana, pois a investigação </w:t>
      </w:r>
      <w:r w:rsidR="0055723B" w:rsidRPr="00C62DF2">
        <w:rPr>
          <w:rFonts w:ascii="Cambria" w:hAnsi="Cambria"/>
          <w:sz w:val="20"/>
          <w:szCs w:val="20"/>
        </w:rPr>
        <w:t>d</w:t>
      </w:r>
      <w:r w:rsidRPr="00C62DF2">
        <w:rPr>
          <w:rFonts w:ascii="Cambria" w:hAnsi="Cambria"/>
          <w:sz w:val="20"/>
          <w:szCs w:val="20"/>
        </w:rPr>
        <w:t>os fatos materiais do presente caso trat</w:t>
      </w:r>
      <w:r w:rsidR="0055723B" w:rsidRPr="00C62DF2">
        <w:rPr>
          <w:rFonts w:ascii="Cambria" w:hAnsi="Cambria"/>
          <w:sz w:val="20"/>
          <w:szCs w:val="20"/>
        </w:rPr>
        <w:t>a</w:t>
      </w:r>
      <w:r w:rsidRPr="00C62DF2">
        <w:rPr>
          <w:rFonts w:ascii="Cambria" w:hAnsi="Cambria"/>
          <w:sz w:val="20"/>
          <w:szCs w:val="20"/>
        </w:rPr>
        <w:t xml:space="preserve">m de graves violações de direitos humanos, de forma que a aplicação da figura da prescrição impediu a investigação e </w:t>
      </w:r>
      <w:r w:rsidR="0055723B" w:rsidRPr="00C62DF2">
        <w:rPr>
          <w:rFonts w:ascii="Cambria" w:hAnsi="Cambria"/>
          <w:sz w:val="20"/>
          <w:szCs w:val="20"/>
        </w:rPr>
        <w:t>puni</w:t>
      </w:r>
      <w:r w:rsidRPr="00C62DF2">
        <w:rPr>
          <w:rFonts w:ascii="Cambria" w:hAnsi="Cambria"/>
          <w:sz w:val="20"/>
          <w:szCs w:val="20"/>
        </w:rPr>
        <w:t xml:space="preserve">ção dos crimes cometidos contra Eduardo Collen Leite e constitui um obstáculo no acesso efetivo à justiça e à verdade dos familiares da vítima, em claro </w:t>
      </w:r>
      <w:r w:rsidR="0055723B" w:rsidRPr="00C62DF2">
        <w:rPr>
          <w:rFonts w:ascii="Cambria" w:hAnsi="Cambria"/>
          <w:sz w:val="20"/>
          <w:szCs w:val="20"/>
        </w:rPr>
        <w:t>des</w:t>
      </w:r>
      <w:r w:rsidRPr="00C62DF2">
        <w:rPr>
          <w:rFonts w:ascii="Cambria" w:hAnsi="Cambria"/>
          <w:sz w:val="20"/>
          <w:szCs w:val="20"/>
        </w:rPr>
        <w:t>cumprimento de uma obrigação internacional do Estado</w:t>
      </w:r>
      <w:r w:rsidR="0055723B" w:rsidRPr="00C62DF2">
        <w:rPr>
          <w:rFonts w:ascii="Cambria" w:hAnsi="Cambria"/>
          <w:sz w:val="20"/>
          <w:szCs w:val="20"/>
        </w:rPr>
        <w:t xml:space="preserve">, </w:t>
      </w:r>
      <w:r w:rsidRPr="00C62DF2">
        <w:rPr>
          <w:rFonts w:ascii="Cambria" w:hAnsi="Cambria"/>
          <w:sz w:val="20"/>
          <w:szCs w:val="20"/>
        </w:rPr>
        <w:t>em violação dos artigos 8 e 25 da Convenção Americana com relação aos artigos 1 e 2 do mesmo instrumento.</w:t>
      </w:r>
    </w:p>
    <w:p w14:paraId="107744F0" w14:textId="77777777" w:rsidR="00487AEA" w:rsidRPr="00C62DF2" w:rsidRDefault="00487AEA" w:rsidP="00FC0CB6">
      <w:pPr>
        <w:rPr>
          <w:rFonts w:ascii="Cambria" w:hAnsi="Cambria"/>
          <w:sz w:val="20"/>
          <w:szCs w:val="20"/>
        </w:rPr>
      </w:pPr>
    </w:p>
    <w:p w14:paraId="4A9C70CC" w14:textId="77777777" w:rsidR="00487AEA" w:rsidRPr="00C62DF2" w:rsidRDefault="00487AEA" w:rsidP="00FC0CB6">
      <w:pPr>
        <w:pStyle w:val="ListParagraph"/>
        <w:numPr>
          <w:ilvl w:val="1"/>
          <w:numId w:val="29"/>
        </w:numPr>
        <w:ind w:firstLine="0"/>
        <w:rPr>
          <w:b/>
          <w:bCs/>
          <w:sz w:val="20"/>
          <w:szCs w:val="20"/>
          <w:lang w:val="pt-BR"/>
        </w:rPr>
      </w:pPr>
      <w:r w:rsidRPr="00C62DF2">
        <w:rPr>
          <w:b/>
          <w:bCs/>
          <w:sz w:val="20"/>
          <w:szCs w:val="20"/>
          <w:lang w:val="pt-BR"/>
        </w:rPr>
        <w:t>Com relação às torturas sofridas por Denise Crispim</w:t>
      </w:r>
    </w:p>
    <w:p w14:paraId="6EA01221" w14:textId="77777777" w:rsidR="00487AEA" w:rsidRPr="00C62DF2" w:rsidRDefault="00487AEA" w:rsidP="00FC0CB6">
      <w:pPr>
        <w:pStyle w:val="ListParagraph"/>
        <w:ind w:firstLine="0"/>
        <w:rPr>
          <w:sz w:val="20"/>
          <w:szCs w:val="20"/>
          <w:lang w:val="pt-BR"/>
        </w:rPr>
      </w:pPr>
    </w:p>
    <w:p w14:paraId="0DE47BE5" w14:textId="2D76D4A7"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A Comissão observa que, apesar de terem sido de seu conhecimento os fatos relacionados com a detenção e torturas sofridas por Denise Peres, não conta com informação que indique que o Estado desenvolveu </w:t>
      </w:r>
      <w:r w:rsidRPr="00C62DF2">
        <w:rPr>
          <w:rFonts w:ascii="Cambria" w:hAnsi="Cambria"/>
          <w:i/>
          <w:iCs/>
          <w:sz w:val="20"/>
          <w:szCs w:val="20"/>
        </w:rPr>
        <w:t>ex of</w:t>
      </w:r>
      <w:r w:rsidR="0055723B" w:rsidRPr="00C62DF2">
        <w:rPr>
          <w:rFonts w:ascii="Cambria" w:hAnsi="Cambria"/>
          <w:i/>
          <w:iCs/>
          <w:sz w:val="20"/>
          <w:szCs w:val="20"/>
        </w:rPr>
        <w:t>f</w:t>
      </w:r>
      <w:r w:rsidRPr="00C62DF2">
        <w:rPr>
          <w:rFonts w:ascii="Cambria" w:hAnsi="Cambria"/>
          <w:i/>
          <w:iCs/>
          <w:sz w:val="20"/>
          <w:szCs w:val="20"/>
        </w:rPr>
        <w:t>icio</w:t>
      </w:r>
      <w:r w:rsidRPr="00C62DF2">
        <w:rPr>
          <w:rFonts w:ascii="Cambria" w:hAnsi="Cambria"/>
          <w:sz w:val="20"/>
          <w:szCs w:val="20"/>
        </w:rPr>
        <w:t xml:space="preserve"> e de maneira imediata uma investigação diligente, reforçada e com enfoque de gênero a respeito destes fatos. Co</w:t>
      </w:r>
      <w:r w:rsidR="00B668B3" w:rsidRPr="00C62DF2">
        <w:rPr>
          <w:rFonts w:ascii="Cambria" w:hAnsi="Cambria"/>
          <w:sz w:val="20"/>
          <w:szCs w:val="20"/>
        </w:rPr>
        <w:t>nforme</w:t>
      </w:r>
      <w:r w:rsidRPr="00C62DF2">
        <w:rPr>
          <w:rFonts w:ascii="Cambria" w:hAnsi="Cambria"/>
          <w:sz w:val="20"/>
          <w:szCs w:val="20"/>
        </w:rPr>
        <w:t xml:space="preserve"> explic</w:t>
      </w:r>
      <w:r w:rsidR="00B668B3" w:rsidRPr="00C62DF2">
        <w:rPr>
          <w:rFonts w:ascii="Cambria" w:hAnsi="Cambria"/>
          <w:sz w:val="20"/>
          <w:szCs w:val="20"/>
        </w:rPr>
        <w:t>ad</w:t>
      </w:r>
      <w:r w:rsidRPr="00C62DF2">
        <w:rPr>
          <w:rFonts w:ascii="Cambria" w:hAnsi="Cambria"/>
          <w:sz w:val="20"/>
          <w:szCs w:val="20"/>
        </w:rPr>
        <w:t xml:space="preserve">o detalhadamente </w:t>
      </w:r>
      <w:r w:rsidR="00B668B3" w:rsidRPr="00C62DF2">
        <w:rPr>
          <w:rFonts w:ascii="Cambria" w:hAnsi="Cambria"/>
          <w:sz w:val="20"/>
          <w:szCs w:val="20"/>
        </w:rPr>
        <w:t>n</w:t>
      </w:r>
      <w:r w:rsidRPr="00C62DF2">
        <w:rPr>
          <w:rFonts w:ascii="Cambria" w:hAnsi="Cambria"/>
          <w:sz w:val="20"/>
          <w:szCs w:val="20"/>
        </w:rPr>
        <w:t xml:space="preserve">uma seção anterior (ver supra par. </w:t>
      </w:r>
      <w:r w:rsidR="008417AF" w:rsidRPr="00C62DF2">
        <w:rPr>
          <w:rFonts w:ascii="Cambria" w:hAnsi="Cambria"/>
          <w:sz w:val="20"/>
          <w:szCs w:val="20"/>
        </w:rPr>
        <w:t>49, 56-57, 90-104, 171</w:t>
      </w:r>
      <w:r w:rsidRPr="00C62DF2">
        <w:rPr>
          <w:rFonts w:ascii="Cambria" w:hAnsi="Cambria"/>
          <w:sz w:val="20"/>
          <w:szCs w:val="20"/>
        </w:rPr>
        <w:t>)</w:t>
      </w:r>
      <w:r w:rsidR="00B668B3" w:rsidRPr="00C62DF2">
        <w:rPr>
          <w:rFonts w:ascii="Cambria" w:hAnsi="Cambria"/>
          <w:sz w:val="20"/>
          <w:szCs w:val="20"/>
        </w:rPr>
        <w:t>,</w:t>
      </w:r>
      <w:r w:rsidRPr="00C62DF2">
        <w:rPr>
          <w:rFonts w:ascii="Cambria" w:hAnsi="Cambria"/>
          <w:sz w:val="20"/>
          <w:szCs w:val="20"/>
        </w:rPr>
        <w:t xml:space="preserve"> a suposta vítima </w:t>
      </w:r>
      <w:r w:rsidR="00B668B3" w:rsidRPr="00C62DF2">
        <w:rPr>
          <w:rFonts w:ascii="Cambria" w:hAnsi="Cambria"/>
          <w:sz w:val="20"/>
          <w:szCs w:val="20"/>
        </w:rPr>
        <w:t xml:space="preserve">estava </w:t>
      </w:r>
      <w:r w:rsidRPr="00C62DF2">
        <w:rPr>
          <w:rFonts w:ascii="Cambria" w:hAnsi="Cambria"/>
          <w:sz w:val="20"/>
          <w:szCs w:val="20"/>
        </w:rPr>
        <w:t xml:space="preserve">em especial situação de vulnerabilidade </w:t>
      </w:r>
      <w:r w:rsidR="00B668B3" w:rsidRPr="00C62DF2">
        <w:rPr>
          <w:rFonts w:ascii="Cambria" w:hAnsi="Cambria"/>
          <w:sz w:val="20"/>
          <w:szCs w:val="20"/>
        </w:rPr>
        <w:t>em</w:t>
      </w:r>
      <w:r w:rsidRPr="00C62DF2">
        <w:rPr>
          <w:rFonts w:ascii="Cambria" w:hAnsi="Cambria"/>
          <w:sz w:val="20"/>
          <w:szCs w:val="20"/>
        </w:rPr>
        <w:t xml:space="preserve"> resultado de seu estado de gravidez, tendo um impacto agravado tais </w:t>
      </w:r>
      <w:r w:rsidR="00B668B3" w:rsidRPr="00C62DF2">
        <w:rPr>
          <w:rFonts w:ascii="Cambria" w:hAnsi="Cambria"/>
          <w:sz w:val="20"/>
          <w:szCs w:val="20"/>
        </w:rPr>
        <w:t>viol</w:t>
      </w:r>
      <w:r w:rsidRPr="00C62DF2">
        <w:rPr>
          <w:rFonts w:ascii="Cambria" w:hAnsi="Cambria"/>
          <w:sz w:val="20"/>
          <w:szCs w:val="20"/>
        </w:rPr>
        <w:t xml:space="preserve">ações </w:t>
      </w:r>
      <w:r w:rsidR="00B668B3" w:rsidRPr="00C62DF2">
        <w:rPr>
          <w:rFonts w:ascii="Cambria" w:hAnsi="Cambria"/>
          <w:sz w:val="20"/>
          <w:szCs w:val="20"/>
        </w:rPr>
        <w:t>d</w:t>
      </w:r>
      <w:r w:rsidRPr="00C62DF2">
        <w:rPr>
          <w:rFonts w:ascii="Cambria" w:hAnsi="Cambria"/>
          <w:sz w:val="20"/>
          <w:szCs w:val="20"/>
        </w:rPr>
        <w:t xml:space="preserve">e seus direitos. Em consequência, a Comissão considera que o Estado violou </w:t>
      </w:r>
      <w:r w:rsidR="00B668B3" w:rsidRPr="00C62DF2">
        <w:rPr>
          <w:rFonts w:ascii="Cambria" w:hAnsi="Cambria"/>
          <w:sz w:val="20"/>
          <w:szCs w:val="20"/>
        </w:rPr>
        <w:t>os direitos a</w:t>
      </w:r>
      <w:r w:rsidRPr="00C62DF2">
        <w:rPr>
          <w:rFonts w:ascii="Cambria" w:hAnsi="Cambria"/>
          <w:sz w:val="20"/>
          <w:szCs w:val="20"/>
        </w:rPr>
        <w:t xml:space="preserve"> garantias judiciais e proteção judicial previstos nos artigos 8.1 e 25.1 da Convenção Americana, com relação </w:t>
      </w:r>
      <w:r w:rsidR="00B668B3" w:rsidRPr="00C62DF2">
        <w:rPr>
          <w:rFonts w:ascii="Cambria" w:hAnsi="Cambria"/>
          <w:sz w:val="20"/>
          <w:szCs w:val="20"/>
        </w:rPr>
        <w:t>a</w:t>
      </w:r>
      <w:r w:rsidRPr="00C62DF2">
        <w:rPr>
          <w:rFonts w:ascii="Cambria" w:hAnsi="Cambria"/>
          <w:sz w:val="20"/>
          <w:szCs w:val="20"/>
        </w:rPr>
        <w:t xml:space="preserve">os artigos 1.1 e 2 da mesma, as disposições 1, 6 e 8 da Convenção Interamericana para Prevenir e </w:t>
      </w:r>
      <w:r w:rsidR="00B668B3" w:rsidRPr="00C62DF2">
        <w:rPr>
          <w:rFonts w:ascii="Cambria" w:hAnsi="Cambria"/>
          <w:sz w:val="20"/>
          <w:szCs w:val="20"/>
        </w:rPr>
        <w:t>Punir</w:t>
      </w:r>
      <w:r w:rsidRPr="00C62DF2">
        <w:rPr>
          <w:rFonts w:ascii="Cambria" w:hAnsi="Cambria"/>
          <w:sz w:val="20"/>
          <w:szCs w:val="20"/>
        </w:rPr>
        <w:t xml:space="preserve"> a Tortura e o artigo 7.b da Convenção de Belém do Pará com relação a ela a partir </w:t>
      </w:r>
      <w:r w:rsidR="00290396" w:rsidRPr="00C62DF2">
        <w:rPr>
          <w:rFonts w:ascii="Cambria" w:hAnsi="Cambria"/>
          <w:sz w:val="20"/>
          <w:szCs w:val="20"/>
        </w:rPr>
        <w:t>de que o Estado ratificou tais instrumentos</w:t>
      </w:r>
      <w:r w:rsidRPr="00C62DF2">
        <w:rPr>
          <w:rFonts w:ascii="Cambria" w:hAnsi="Cambria"/>
          <w:sz w:val="20"/>
          <w:szCs w:val="20"/>
        </w:rPr>
        <w:t>.</w:t>
      </w:r>
    </w:p>
    <w:p w14:paraId="1171B611" w14:textId="77777777" w:rsidR="00487AEA" w:rsidRPr="00C62DF2" w:rsidRDefault="00487AEA" w:rsidP="00FC0CB6">
      <w:pPr>
        <w:pStyle w:val="ListParagraph"/>
        <w:ind w:firstLine="0"/>
        <w:rPr>
          <w:rFonts w:cs="Verdana"/>
          <w:sz w:val="20"/>
          <w:szCs w:val="20"/>
          <w:lang w:val="pt-BR"/>
        </w:rPr>
      </w:pPr>
    </w:p>
    <w:p w14:paraId="526274A7" w14:textId="77777777" w:rsidR="00487AEA" w:rsidRPr="00C62DF2" w:rsidRDefault="00487AEA" w:rsidP="00FC0CB6">
      <w:pPr>
        <w:pStyle w:val="ListParagraph"/>
        <w:numPr>
          <w:ilvl w:val="0"/>
          <w:numId w:val="29"/>
        </w:numPr>
        <w:ind w:left="1440" w:firstLine="0"/>
        <w:rPr>
          <w:rFonts w:cs="Verdana"/>
          <w:b/>
          <w:bCs/>
          <w:sz w:val="20"/>
          <w:szCs w:val="20"/>
          <w:lang w:val="pt-BR"/>
        </w:rPr>
      </w:pPr>
      <w:r w:rsidRPr="00C62DF2">
        <w:rPr>
          <w:rFonts w:cs="Verdana"/>
          <w:b/>
          <w:bCs/>
          <w:sz w:val="20"/>
          <w:szCs w:val="20"/>
          <w:lang w:val="pt-BR"/>
        </w:rPr>
        <w:t>Conclusão</w:t>
      </w:r>
    </w:p>
    <w:p w14:paraId="262219A3" w14:textId="77777777" w:rsidR="00487AEA" w:rsidRPr="00C62DF2" w:rsidRDefault="00487AEA" w:rsidP="00FC0CB6">
      <w:pPr>
        <w:rPr>
          <w:rFonts w:ascii="Cambria" w:hAnsi="Cambria"/>
          <w:sz w:val="20"/>
          <w:szCs w:val="20"/>
        </w:rPr>
      </w:pPr>
    </w:p>
    <w:p w14:paraId="053E5C6F" w14:textId="4A79B26B"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Com base em todas as considerações anteriores, a CIDH observa que os fatos relacionados com as supostas vítimas se encontram em situação de total impunidade. Dado que tais investigações não avançaram </w:t>
      </w:r>
      <w:r w:rsidR="00290396" w:rsidRPr="00C62DF2">
        <w:rPr>
          <w:rFonts w:ascii="Cambria" w:hAnsi="Cambria"/>
          <w:sz w:val="20"/>
          <w:szCs w:val="20"/>
        </w:rPr>
        <w:t>devido a</w:t>
      </w:r>
      <w:r w:rsidRPr="00C62DF2">
        <w:rPr>
          <w:rFonts w:ascii="Cambria" w:hAnsi="Cambria"/>
          <w:sz w:val="20"/>
          <w:szCs w:val="20"/>
        </w:rPr>
        <w:t xml:space="preserve">os próprios fatores de impunidade gerados pelo Estado e a consequente falta de diligência nas investigações, tais investigações se estenderam por um prazo irrazoável.  </w:t>
      </w:r>
    </w:p>
    <w:p w14:paraId="446CB61C" w14:textId="77777777" w:rsidR="00487AEA" w:rsidRPr="00C62DF2" w:rsidRDefault="00487AEA" w:rsidP="00FC0CB6">
      <w:pPr>
        <w:tabs>
          <w:tab w:val="left" w:pos="0"/>
        </w:tabs>
        <w:ind w:left="567"/>
        <w:jc w:val="both"/>
        <w:rPr>
          <w:rFonts w:ascii="Cambria" w:hAnsi="Cambria"/>
          <w:sz w:val="20"/>
          <w:szCs w:val="20"/>
        </w:rPr>
      </w:pPr>
    </w:p>
    <w:p w14:paraId="19933B52" w14:textId="2A6AAABB"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Assim, a Comissão nota que</w:t>
      </w:r>
      <w:r w:rsidR="00290396" w:rsidRPr="00C62DF2">
        <w:rPr>
          <w:rFonts w:ascii="Cambria" w:hAnsi="Cambria"/>
          <w:sz w:val="20"/>
          <w:szCs w:val="20"/>
        </w:rPr>
        <w:t>,</w:t>
      </w:r>
      <w:r w:rsidRPr="00C62DF2">
        <w:rPr>
          <w:rFonts w:ascii="Cambria" w:hAnsi="Cambria"/>
          <w:sz w:val="20"/>
          <w:szCs w:val="20"/>
        </w:rPr>
        <w:t xml:space="preserve"> no caso das torturas e morte do Eduardo Collen Leite, a falta de avanço nas investigações e processo penal foi resultado da aplicação da justiça penal militar, vigência da </w:t>
      </w:r>
      <w:r w:rsidRPr="00C62DF2">
        <w:rPr>
          <w:rFonts w:ascii="Cambria" w:hAnsi="Cambria" w:cs="Verdana"/>
          <w:sz w:val="20"/>
          <w:szCs w:val="20"/>
        </w:rPr>
        <w:t>Lei Nº 6.683/79 (</w:t>
      </w:r>
      <w:r w:rsidRPr="00C62DF2">
        <w:rPr>
          <w:rFonts w:ascii="Cambria" w:hAnsi="Cambria"/>
          <w:sz w:val="20"/>
          <w:szCs w:val="20"/>
        </w:rPr>
        <w:t xml:space="preserve">Lei de Anistia) e aplicação da figura da prescrição, todos eles fatores de impunidade que </w:t>
      </w:r>
      <w:r w:rsidR="00290396" w:rsidRPr="00C62DF2">
        <w:rPr>
          <w:rFonts w:ascii="Cambria" w:hAnsi="Cambria"/>
          <w:sz w:val="20"/>
          <w:szCs w:val="20"/>
        </w:rPr>
        <w:t>implicam</w:t>
      </w:r>
      <w:r w:rsidRPr="00C62DF2">
        <w:rPr>
          <w:rFonts w:ascii="Cambria" w:hAnsi="Cambria"/>
          <w:sz w:val="20"/>
          <w:szCs w:val="20"/>
        </w:rPr>
        <w:t xml:space="preserve"> que o Brasil não cumpriu sua obrigação de investigar diligentemente tais fatos e de adequar seu direito interno </w:t>
      </w:r>
      <w:r w:rsidRPr="00C62DF2">
        <w:rPr>
          <w:rFonts w:ascii="Cambria" w:hAnsi="Cambria"/>
          <w:sz w:val="20"/>
          <w:szCs w:val="20"/>
        </w:rPr>
        <w:lastRenderedPageBreak/>
        <w:t>à Convenção. T</w:t>
      </w:r>
      <w:r w:rsidR="00290396" w:rsidRPr="00C62DF2">
        <w:rPr>
          <w:rFonts w:ascii="Cambria" w:hAnsi="Cambria"/>
          <w:sz w:val="20"/>
          <w:szCs w:val="20"/>
        </w:rPr>
        <w:t>u</w:t>
      </w:r>
      <w:r w:rsidRPr="00C62DF2">
        <w:rPr>
          <w:rFonts w:ascii="Cambria" w:hAnsi="Cambria"/>
          <w:sz w:val="20"/>
          <w:szCs w:val="20"/>
        </w:rPr>
        <w:t xml:space="preserve">do </w:t>
      </w:r>
      <w:r w:rsidR="00290396" w:rsidRPr="00C62DF2">
        <w:rPr>
          <w:rFonts w:ascii="Cambria" w:hAnsi="Cambria"/>
          <w:sz w:val="20"/>
          <w:szCs w:val="20"/>
        </w:rPr>
        <w:t>iss</w:t>
      </w:r>
      <w:r w:rsidRPr="00C62DF2">
        <w:rPr>
          <w:rFonts w:ascii="Cambria" w:hAnsi="Cambria"/>
          <w:sz w:val="20"/>
          <w:szCs w:val="20"/>
        </w:rPr>
        <w:t xml:space="preserve">o viola os direitos às garantias judiciais e à proteção judicial previstos nos artigos 8.1 e 25.1 da Convenção Americana, com relação aos artigos 1.1 e 2 da mesma, e </w:t>
      </w:r>
      <w:r w:rsidR="00290396" w:rsidRPr="00C62DF2">
        <w:rPr>
          <w:rFonts w:ascii="Cambria" w:hAnsi="Cambria"/>
          <w:sz w:val="20"/>
          <w:szCs w:val="20"/>
        </w:rPr>
        <w:t>a</w:t>
      </w:r>
      <w:r w:rsidRPr="00C62DF2">
        <w:rPr>
          <w:rFonts w:ascii="Cambria" w:hAnsi="Cambria"/>
          <w:sz w:val="20"/>
          <w:szCs w:val="20"/>
        </w:rPr>
        <w:t xml:space="preserve">s disposições 1, 6 e 8 da Convenção Interamericana para Prevenir e </w:t>
      </w:r>
      <w:r w:rsidR="00290396" w:rsidRPr="00C62DF2">
        <w:rPr>
          <w:rFonts w:ascii="Cambria" w:hAnsi="Cambria"/>
          <w:sz w:val="20"/>
          <w:szCs w:val="20"/>
        </w:rPr>
        <w:t>Punir</w:t>
      </w:r>
      <w:r w:rsidRPr="00C62DF2">
        <w:rPr>
          <w:rFonts w:ascii="Cambria" w:hAnsi="Cambria"/>
          <w:sz w:val="20"/>
          <w:szCs w:val="20"/>
        </w:rPr>
        <w:t xml:space="preserve"> a Tortura.</w:t>
      </w:r>
    </w:p>
    <w:p w14:paraId="405788E3" w14:textId="77777777" w:rsidR="00487AEA" w:rsidRPr="00C62DF2" w:rsidRDefault="00487AEA" w:rsidP="00FC0CB6">
      <w:pPr>
        <w:pStyle w:val="ListParagraph"/>
        <w:ind w:firstLine="0"/>
        <w:rPr>
          <w:sz w:val="20"/>
          <w:szCs w:val="20"/>
          <w:lang w:val="pt-BR"/>
        </w:rPr>
      </w:pPr>
    </w:p>
    <w:p w14:paraId="792B4CF8" w14:textId="58A94340" w:rsidR="00487AEA" w:rsidRPr="00C62DF2" w:rsidRDefault="00487AEA" w:rsidP="00FC0CB6">
      <w:pPr>
        <w:numPr>
          <w:ilvl w:val="0"/>
          <w:numId w:val="2"/>
        </w:numPr>
        <w:tabs>
          <w:tab w:val="left" w:pos="0"/>
        </w:tabs>
        <w:jc w:val="both"/>
        <w:rPr>
          <w:rFonts w:ascii="Cambria" w:hAnsi="Cambria"/>
          <w:sz w:val="20"/>
          <w:szCs w:val="20"/>
        </w:rPr>
      </w:pPr>
      <w:r w:rsidRPr="00C62DF2">
        <w:rPr>
          <w:rFonts w:ascii="Cambria" w:hAnsi="Cambria"/>
          <w:sz w:val="20"/>
          <w:szCs w:val="20"/>
        </w:rPr>
        <w:t>Com relação a Denise Peres Crispim, levando em conta que não se dispõe de informação que indique que o Estado investigou os atos de violência e tortura dos quais foi objeto durante sua gravidez enquanto se encontrou em custódia do Estado, a Comissão conclui que o Estado violou os direitos às garantias judiciais e à proteção judicial previstos nos artigos 8.1 e 25.1 da Convenção Americana, com relação aos artigos 1.1 e 2 da mesma</w:t>
      </w:r>
      <w:r w:rsidR="00817E3A" w:rsidRPr="00C62DF2">
        <w:rPr>
          <w:rFonts w:ascii="Cambria" w:hAnsi="Cambria"/>
          <w:sz w:val="20"/>
          <w:szCs w:val="20"/>
        </w:rPr>
        <w:t>,</w:t>
      </w:r>
      <w:r w:rsidRPr="00C62DF2">
        <w:rPr>
          <w:rFonts w:ascii="Cambria" w:hAnsi="Cambria"/>
          <w:sz w:val="20"/>
          <w:szCs w:val="20"/>
        </w:rPr>
        <w:t xml:space="preserve">  as disposições 1, 6 e 8 da Convenção Interamericana para Prevenir e </w:t>
      </w:r>
      <w:r w:rsidR="00817E3A" w:rsidRPr="00C62DF2">
        <w:rPr>
          <w:rFonts w:ascii="Cambria" w:hAnsi="Cambria"/>
          <w:sz w:val="20"/>
          <w:szCs w:val="20"/>
        </w:rPr>
        <w:t>Punir</w:t>
      </w:r>
      <w:r w:rsidRPr="00C62DF2">
        <w:rPr>
          <w:rFonts w:ascii="Cambria" w:hAnsi="Cambria"/>
          <w:sz w:val="20"/>
          <w:szCs w:val="20"/>
        </w:rPr>
        <w:t xml:space="preserve"> a Tortura e o artigo 7 da Convenção </w:t>
      </w:r>
      <w:r w:rsidR="00817E3A" w:rsidRPr="00C62DF2">
        <w:rPr>
          <w:rFonts w:ascii="Cambria" w:hAnsi="Cambria"/>
          <w:sz w:val="20"/>
          <w:szCs w:val="20"/>
        </w:rPr>
        <w:t xml:space="preserve">de </w:t>
      </w:r>
      <w:r w:rsidRPr="00C62DF2">
        <w:rPr>
          <w:rFonts w:ascii="Cambria" w:hAnsi="Cambria"/>
          <w:sz w:val="20"/>
          <w:szCs w:val="20"/>
        </w:rPr>
        <w:t xml:space="preserve">Belém </w:t>
      </w:r>
      <w:r w:rsidR="00817E3A" w:rsidRPr="00C62DF2">
        <w:rPr>
          <w:rFonts w:ascii="Cambria" w:hAnsi="Cambria"/>
          <w:sz w:val="20"/>
          <w:szCs w:val="20"/>
        </w:rPr>
        <w:t>d</w:t>
      </w:r>
      <w:r w:rsidRPr="00C62DF2">
        <w:rPr>
          <w:rFonts w:ascii="Cambria" w:hAnsi="Cambria"/>
          <w:sz w:val="20"/>
          <w:szCs w:val="20"/>
        </w:rPr>
        <w:t>o Pará em seu detrimento.</w:t>
      </w:r>
    </w:p>
    <w:p w14:paraId="0296CD98" w14:textId="77777777" w:rsidR="00477238" w:rsidRPr="00C62DF2" w:rsidRDefault="00477238" w:rsidP="00FC0CB6">
      <w:pPr>
        <w:pStyle w:val="Body"/>
        <w:ind w:firstLine="0"/>
        <w:rPr>
          <w:lang w:val="pt-BR" w:eastAsia="es-ES"/>
        </w:rPr>
      </w:pPr>
    </w:p>
    <w:p w14:paraId="6E59E3E2" w14:textId="563F3BCA" w:rsidR="00477238" w:rsidRPr="00C62DF2" w:rsidRDefault="00477238" w:rsidP="00FC0CB6">
      <w:pPr>
        <w:pStyle w:val="Heading2"/>
        <w:numPr>
          <w:ilvl w:val="0"/>
          <w:numId w:val="26"/>
        </w:numPr>
        <w:tabs>
          <w:tab w:val="num" w:pos="1020"/>
        </w:tabs>
        <w:ind w:left="709" w:firstLine="0"/>
        <w:rPr>
          <w:lang w:val="pt-BR"/>
        </w:rPr>
      </w:pPr>
      <w:bookmarkStart w:id="38" w:name="_Toc78883126"/>
      <w:bookmarkStart w:id="39" w:name="_Toc85895018"/>
      <w:r w:rsidRPr="00C62DF2">
        <w:rPr>
          <w:lang w:val="pt-BR"/>
        </w:rPr>
        <w:t>Direito de residência e trânsito (Artigo VIII</w:t>
      </w:r>
      <w:r w:rsidRPr="00C62DF2">
        <w:rPr>
          <w:rStyle w:val="FootnoteReference"/>
          <w:lang w:val="pt-BR"/>
        </w:rPr>
        <w:footnoteReference w:id="239"/>
      </w:r>
      <w:r w:rsidRPr="00C62DF2">
        <w:rPr>
          <w:lang w:val="pt-BR"/>
        </w:rPr>
        <w:t xml:space="preserve"> da Declaração Americana), direito </w:t>
      </w:r>
      <w:r w:rsidR="006A4BC7" w:rsidRPr="00C62DF2">
        <w:rPr>
          <w:lang w:val="pt-BR"/>
        </w:rPr>
        <w:t>à</w:t>
      </w:r>
      <w:r w:rsidRPr="00C62DF2">
        <w:rPr>
          <w:lang w:val="pt-BR"/>
        </w:rPr>
        <w:t xml:space="preserve"> proteção </w:t>
      </w:r>
      <w:r w:rsidR="006A4BC7" w:rsidRPr="00C62DF2">
        <w:rPr>
          <w:lang w:val="pt-BR"/>
        </w:rPr>
        <w:t>da</w:t>
      </w:r>
      <w:r w:rsidRPr="00C62DF2">
        <w:rPr>
          <w:lang w:val="pt-BR"/>
        </w:rPr>
        <w:t xml:space="preserve"> infância (artigo VII</w:t>
      </w:r>
      <w:r w:rsidRPr="00C62DF2">
        <w:rPr>
          <w:rStyle w:val="FootnoteReference"/>
          <w:lang w:val="pt-BR"/>
        </w:rPr>
        <w:footnoteReference w:id="240"/>
      </w:r>
      <w:r w:rsidRPr="00C62DF2">
        <w:rPr>
          <w:lang w:val="pt-BR"/>
        </w:rPr>
        <w:t xml:space="preserve"> da Declaração Americana)</w:t>
      </w:r>
      <w:bookmarkEnd w:id="38"/>
      <w:r w:rsidRPr="00C62DF2">
        <w:rPr>
          <w:lang w:val="pt-BR"/>
        </w:rPr>
        <w:t xml:space="preserve">, </w:t>
      </w:r>
      <w:bookmarkStart w:id="40" w:name="_Toc78883135"/>
      <w:r w:rsidRPr="00C62DF2">
        <w:rPr>
          <w:lang w:val="pt-BR"/>
        </w:rPr>
        <w:t>direito à integridade da pessoa (Artigo I da Declaração Americana) e direito à integridade pessoal (artigo 5 da Convenção Americana)</w:t>
      </w:r>
      <w:bookmarkEnd w:id="39"/>
      <w:bookmarkEnd w:id="40"/>
    </w:p>
    <w:p w14:paraId="098840A1" w14:textId="77777777" w:rsidR="00477238" w:rsidRPr="00C62DF2" w:rsidRDefault="00477238" w:rsidP="00FC0CB6">
      <w:pPr>
        <w:jc w:val="both"/>
        <w:rPr>
          <w:rStyle w:val="Emphasis"/>
          <w:rFonts w:ascii="Cambria" w:hAnsi="Cambria" w:cs="Cambria"/>
          <w:i w:val="0"/>
          <w:iCs w:val="0"/>
          <w:color w:val="000000"/>
          <w:sz w:val="20"/>
          <w:szCs w:val="20"/>
          <w:u w:color="000000"/>
          <w:bdr w:val="nil"/>
          <w:lang w:eastAsia="es-CL"/>
        </w:rPr>
      </w:pPr>
    </w:p>
    <w:p w14:paraId="4B241DB4" w14:textId="77777777" w:rsidR="00477238" w:rsidRPr="00C62DF2" w:rsidRDefault="00477238" w:rsidP="00FC0CB6">
      <w:pPr>
        <w:numPr>
          <w:ilvl w:val="0"/>
          <w:numId w:val="2"/>
        </w:numPr>
        <w:jc w:val="both"/>
        <w:rPr>
          <w:rFonts w:ascii="Cambria" w:hAnsi="Cambria"/>
          <w:sz w:val="20"/>
          <w:szCs w:val="20"/>
        </w:rPr>
      </w:pPr>
      <w:r w:rsidRPr="00C62DF2">
        <w:rPr>
          <w:rFonts w:ascii="Cambria" w:eastAsia="Calibri" w:hAnsi="Cambria"/>
          <w:sz w:val="20"/>
          <w:szCs w:val="20"/>
        </w:rPr>
        <w:t xml:space="preserve">À luz dos padrões previamente mencionados sobre a interpretação da Declaração Americana de Direitos e Deveres do Homem e levando em conta os avanços realizados com o tempo no </w:t>
      </w:r>
      <w:r w:rsidRPr="00C62DF2">
        <w:rPr>
          <w:rFonts w:ascii="Cambria" w:eastAsia="Calibri" w:hAnsi="Cambria"/>
          <w:i/>
          <w:sz w:val="20"/>
          <w:szCs w:val="20"/>
        </w:rPr>
        <w:t>corpus juris</w:t>
      </w:r>
      <w:r w:rsidRPr="00C62DF2">
        <w:rPr>
          <w:rFonts w:ascii="Cambria" w:eastAsia="Calibri" w:hAnsi="Cambria"/>
          <w:sz w:val="20"/>
          <w:szCs w:val="20"/>
        </w:rPr>
        <w:t xml:space="preserve"> do direito internacional dos direitos humanos e sua situação atual, é possível constatar que o direito de residência e trânsito consagrado no artigo VIII da Declaração tem um alcance similar ao direito de circulação e residência contemplado no artigo 22 da Convenção Americana de Direitos Humanos, que dispõe em seu inciso </w:t>
      </w:r>
      <w:r w:rsidRPr="00C62DF2">
        <w:rPr>
          <w:rFonts w:ascii="Cambria" w:hAnsi="Cambria"/>
          <w:sz w:val="20"/>
          <w:szCs w:val="20"/>
        </w:rPr>
        <w:t>primeiro:</w:t>
      </w:r>
      <w:r w:rsidRPr="00C62DF2">
        <w:rPr>
          <w:rFonts w:ascii="Cambria" w:eastAsia="Calibri" w:hAnsi="Cambria"/>
          <w:sz w:val="20"/>
          <w:szCs w:val="20"/>
        </w:rPr>
        <w:t xml:space="preserve"> “</w:t>
      </w:r>
      <w:r w:rsidRPr="00C62DF2">
        <w:rPr>
          <w:rFonts w:ascii="Cambria" w:hAnsi="Cambria"/>
          <w:color w:val="000000"/>
          <w:spacing w:val="-3"/>
          <w:sz w:val="20"/>
          <w:szCs w:val="20"/>
        </w:rPr>
        <w:t>Toda pessoa que se ache legalmente no território de um Estado tem direito de circular nele e de nele residir em conformidade com as disposições legais</w:t>
      </w:r>
      <w:r w:rsidRPr="00C62DF2">
        <w:rPr>
          <w:rFonts w:ascii="Cambria" w:eastAsia="Calibri" w:hAnsi="Cambria" w:cs="Tahoma"/>
          <w:color w:val="000000"/>
          <w:sz w:val="20"/>
          <w:szCs w:val="20"/>
        </w:rPr>
        <w:t xml:space="preserve">”. </w:t>
      </w:r>
    </w:p>
    <w:p w14:paraId="43946B97" w14:textId="77777777" w:rsidR="00477238" w:rsidRPr="00C62DF2" w:rsidRDefault="00477238" w:rsidP="00FC0CB6">
      <w:pPr>
        <w:jc w:val="both"/>
        <w:rPr>
          <w:rStyle w:val="Emphasis"/>
          <w:rFonts w:ascii="Cambria" w:hAnsi="Cambria"/>
          <w:i w:val="0"/>
          <w:iCs w:val="0"/>
          <w:sz w:val="20"/>
          <w:szCs w:val="20"/>
        </w:rPr>
      </w:pPr>
    </w:p>
    <w:p w14:paraId="2FF05A98" w14:textId="619C79E6" w:rsidR="00477238" w:rsidRPr="00C62DF2" w:rsidRDefault="00477238" w:rsidP="00FC0CB6">
      <w:pPr>
        <w:numPr>
          <w:ilvl w:val="0"/>
          <w:numId w:val="2"/>
        </w:numPr>
        <w:jc w:val="both"/>
        <w:rPr>
          <w:rFonts w:ascii="Cambria" w:hAnsi="Cambria"/>
          <w:sz w:val="20"/>
          <w:szCs w:val="20"/>
        </w:rPr>
      </w:pPr>
      <w:r w:rsidRPr="00C62DF2">
        <w:rPr>
          <w:rStyle w:val="Emphasis"/>
          <w:rFonts w:ascii="Cambria" w:hAnsi="Cambria"/>
          <w:i w:val="0"/>
          <w:iCs w:val="0"/>
          <w:sz w:val="20"/>
          <w:szCs w:val="20"/>
        </w:rPr>
        <w:t xml:space="preserve">O artigo VIII da Declaração Americana garante o direito que toda pessoa tem de </w:t>
      </w:r>
      <w:r w:rsidRPr="00C62DF2">
        <w:rPr>
          <w:rFonts w:ascii="Cambria" w:hAnsi="Cambria" w:cs="Arial"/>
          <w:sz w:val="20"/>
          <w:szCs w:val="20"/>
        </w:rPr>
        <w:t>fixar residência no território do Estado de que é nacional, de transitar livremente por ele e não o abandonar senão por sua vontade. A Comissão Interamericana abordou a situação de exílio pela primeira vez no Caso 2088, Hipólito Solari Yrigoyen vs. Argentina, Resolução N° 18/78, aprovada pela CIDH em 18 de novembro de 1978, na qual se estabeleceu que o fato de uma pessoa ser obrigada a abandonar o território de sua pátria com proibição de regressar pela falta de garantia à integridade e segurança de sua pessoa implica uma violação de seu direito de residência e trânsito</w:t>
      </w:r>
      <w:r w:rsidRPr="00C62DF2">
        <w:rPr>
          <w:rStyle w:val="FootnoteReference"/>
          <w:rFonts w:ascii="Cambria" w:hAnsi="Cambria" w:cs="Arial"/>
          <w:sz w:val="20"/>
          <w:szCs w:val="20"/>
        </w:rPr>
        <w:footnoteReference w:id="241"/>
      </w:r>
      <w:r w:rsidRPr="00C62DF2">
        <w:rPr>
          <w:rFonts w:ascii="Cambria" w:hAnsi="Cambria" w:cs="Arial"/>
          <w:sz w:val="20"/>
          <w:szCs w:val="20"/>
        </w:rPr>
        <w:t xml:space="preserve">. </w:t>
      </w:r>
      <w:r w:rsidRPr="00C62DF2">
        <w:rPr>
          <w:rFonts w:ascii="Cambria" w:hAnsi="Cambria"/>
          <w:sz w:val="20"/>
          <w:szCs w:val="20"/>
        </w:rPr>
        <w:t>Além disso, a Comissão Interamericana reconheceu que milhares de pessoas foram obrigadas a fugir ou abandonar seus lares e seus países de origem devido às violações perpetradas pelas ditaduras da região</w:t>
      </w:r>
      <w:r w:rsidRPr="00C62DF2">
        <w:rPr>
          <w:rStyle w:val="FootnoteReference"/>
          <w:rFonts w:ascii="Cambria" w:hAnsi="Cambria"/>
          <w:sz w:val="20"/>
          <w:szCs w:val="20"/>
        </w:rPr>
        <w:footnoteReference w:id="242"/>
      </w:r>
      <w:r w:rsidRPr="00C62DF2">
        <w:rPr>
          <w:rFonts w:ascii="Cambria" w:hAnsi="Cambria"/>
          <w:sz w:val="20"/>
          <w:szCs w:val="20"/>
        </w:rPr>
        <w:t>. A Corte Interamericana, por sua vez, referindo-se ao conteúdo do direito de liberdade de circulação e residência, enfatizou que esse direito “pode ser violado de maneira formal ou por restrições de fato quando o Estado não estabeleceu as condições nem forneceu os meios que permitem exercê-lo”</w:t>
      </w:r>
      <w:r w:rsidRPr="00C62DF2">
        <w:rPr>
          <w:rStyle w:val="FootnoteReference"/>
          <w:rFonts w:ascii="Cambria" w:hAnsi="Cambria"/>
          <w:sz w:val="20"/>
          <w:szCs w:val="20"/>
        </w:rPr>
        <w:t xml:space="preserve"> </w:t>
      </w:r>
      <w:r w:rsidRPr="00C62DF2">
        <w:rPr>
          <w:rStyle w:val="FootnoteReference"/>
          <w:rFonts w:ascii="Cambria" w:hAnsi="Cambria"/>
          <w:sz w:val="20"/>
          <w:szCs w:val="20"/>
        </w:rPr>
        <w:footnoteReference w:id="243"/>
      </w:r>
      <w:r w:rsidRPr="00C62DF2">
        <w:rPr>
          <w:rFonts w:ascii="Cambria" w:hAnsi="Cambria"/>
          <w:sz w:val="20"/>
          <w:szCs w:val="20"/>
        </w:rPr>
        <w:t>. Além disso, a Corte indicou que a falta de uma investigação efetiva de atos violentos pode propiciar ou perpetuar um exílio ou deslocamento forçado.</w:t>
      </w:r>
    </w:p>
    <w:p w14:paraId="32D051C9" w14:textId="77777777" w:rsidR="00477238" w:rsidRPr="00C62DF2" w:rsidRDefault="00477238" w:rsidP="00FC0CB6">
      <w:pPr>
        <w:jc w:val="both"/>
        <w:rPr>
          <w:rFonts w:ascii="Cambria" w:hAnsi="Cambria"/>
          <w:sz w:val="20"/>
          <w:szCs w:val="20"/>
        </w:rPr>
      </w:pPr>
    </w:p>
    <w:p w14:paraId="7CDE5A51" w14:textId="77777777" w:rsidR="00477238" w:rsidRPr="00C62DF2" w:rsidRDefault="00477238" w:rsidP="00FC0CB6">
      <w:pPr>
        <w:numPr>
          <w:ilvl w:val="0"/>
          <w:numId w:val="2"/>
        </w:numPr>
        <w:jc w:val="both"/>
        <w:rPr>
          <w:rFonts w:ascii="Cambria" w:hAnsi="Cambria"/>
          <w:sz w:val="20"/>
          <w:szCs w:val="20"/>
        </w:rPr>
      </w:pPr>
      <w:r w:rsidRPr="00C62DF2">
        <w:rPr>
          <w:rFonts w:ascii="Cambria" w:hAnsi="Cambria"/>
          <w:sz w:val="20"/>
          <w:szCs w:val="20"/>
        </w:rPr>
        <w:t>Por outro lado, o artigo VII da Declaração Americana também se refere à obrigação do Estado de adotar medidas de proteção de toda criança em virtude de sua condição de infância. Quer dizer, os Estados devem conferir um tratamento preferencial às crianças devido à sua condição de vulnerabilidade. Essa proteção deve levar em consideração as características das crianças, além dos elementos necessários para propiciar seu desenvolvimento, oferecendo-lhes as condições necessárias para viver e desenvolver suas aptidões com pleno aproveitamento de suas potencialidades</w:t>
      </w:r>
      <w:r w:rsidRPr="00C62DF2">
        <w:rPr>
          <w:rStyle w:val="FootnoteReference"/>
          <w:rFonts w:ascii="Cambria" w:hAnsi="Cambria"/>
          <w:sz w:val="20"/>
          <w:szCs w:val="20"/>
        </w:rPr>
        <w:footnoteReference w:id="244"/>
      </w:r>
      <w:r w:rsidRPr="00C62DF2">
        <w:rPr>
          <w:rFonts w:ascii="Cambria" w:hAnsi="Cambria"/>
          <w:sz w:val="20"/>
          <w:szCs w:val="20"/>
        </w:rPr>
        <w:t xml:space="preserve">. </w:t>
      </w:r>
    </w:p>
    <w:p w14:paraId="793BCE82" w14:textId="77777777" w:rsidR="00477238" w:rsidRPr="00C62DF2" w:rsidRDefault="00477238" w:rsidP="00FC0CB6">
      <w:pPr>
        <w:pStyle w:val="ListParagraph"/>
        <w:ind w:firstLine="0"/>
        <w:rPr>
          <w:sz w:val="20"/>
          <w:szCs w:val="20"/>
          <w:lang w:val="pt-BR"/>
        </w:rPr>
      </w:pPr>
    </w:p>
    <w:p w14:paraId="066E3F73" w14:textId="77777777" w:rsidR="00477238" w:rsidRPr="00C62DF2" w:rsidRDefault="00477238" w:rsidP="00FC0CB6">
      <w:pPr>
        <w:numPr>
          <w:ilvl w:val="0"/>
          <w:numId w:val="2"/>
        </w:numPr>
        <w:tabs>
          <w:tab w:val="left" w:pos="0"/>
        </w:tabs>
        <w:jc w:val="both"/>
        <w:rPr>
          <w:rFonts w:ascii="Cambria" w:hAnsi="Cambria"/>
          <w:sz w:val="20"/>
          <w:szCs w:val="20"/>
        </w:rPr>
      </w:pPr>
      <w:r w:rsidRPr="00C62DF2">
        <w:rPr>
          <w:rFonts w:ascii="Cambria" w:hAnsi="Cambria"/>
          <w:sz w:val="20"/>
          <w:szCs w:val="20"/>
        </w:rPr>
        <w:lastRenderedPageBreak/>
        <w:t>Além disso, conforme já mencionado, o Artigo I da Declaração reconhece o direito à integridade pessoal de toda pessoa. Por sua vez, o artigo 5.1 da Convenção Americana estabelece: “</w:t>
      </w:r>
      <w:r w:rsidRPr="00C62DF2">
        <w:rPr>
          <w:rFonts w:ascii="Cambria" w:hAnsi="Cambria"/>
          <w:color w:val="000000"/>
          <w:spacing w:val="-3"/>
          <w:sz w:val="20"/>
          <w:szCs w:val="20"/>
        </w:rPr>
        <w:t>Toda pessoa tem o direito de que se respeite sua integridade física, psíquica e moral.</w:t>
      </w:r>
      <w:r w:rsidRPr="00C62DF2">
        <w:rPr>
          <w:rFonts w:ascii="Cambria" w:hAnsi="Cambria"/>
          <w:sz w:val="20"/>
          <w:szCs w:val="20"/>
        </w:rPr>
        <w:t>” Em caso de exílio e de deslocamento forçado, a Corte observou que a situação de insegurança em que se encontram os exilados de que sua vida e integridade pessoal possam estar em risco de ser violadas gera um temor nas vítimas que viola sua integridade pessoal</w:t>
      </w:r>
      <w:r w:rsidRPr="00C62DF2">
        <w:rPr>
          <w:rStyle w:val="FootnoteReference"/>
          <w:rFonts w:ascii="Cambria" w:hAnsi="Cambria"/>
          <w:sz w:val="20"/>
          <w:szCs w:val="20"/>
        </w:rPr>
        <w:footnoteReference w:id="245"/>
      </w:r>
      <w:r w:rsidRPr="00C62DF2">
        <w:rPr>
          <w:rFonts w:ascii="Cambria" w:hAnsi="Cambria"/>
          <w:sz w:val="20"/>
          <w:szCs w:val="20"/>
        </w:rPr>
        <w:t xml:space="preserve">. </w:t>
      </w:r>
    </w:p>
    <w:p w14:paraId="4E84D9BF" w14:textId="77777777" w:rsidR="00477238" w:rsidRPr="00C62DF2" w:rsidRDefault="00477238" w:rsidP="00FC0CB6">
      <w:pPr>
        <w:pStyle w:val="ListParagraph"/>
        <w:ind w:firstLine="0"/>
        <w:rPr>
          <w:sz w:val="20"/>
          <w:szCs w:val="20"/>
          <w:lang w:val="pt-BR"/>
        </w:rPr>
      </w:pPr>
    </w:p>
    <w:p w14:paraId="59A24C5A" w14:textId="77777777" w:rsidR="00477238" w:rsidRPr="00C62DF2" w:rsidRDefault="00477238" w:rsidP="00FC0CB6">
      <w:pPr>
        <w:numPr>
          <w:ilvl w:val="0"/>
          <w:numId w:val="2"/>
        </w:numPr>
        <w:tabs>
          <w:tab w:val="left" w:pos="0"/>
        </w:tabs>
        <w:jc w:val="both"/>
        <w:rPr>
          <w:rFonts w:ascii="Cambria" w:hAnsi="Cambria"/>
          <w:sz w:val="20"/>
          <w:szCs w:val="20"/>
        </w:rPr>
      </w:pPr>
      <w:r w:rsidRPr="00C62DF2">
        <w:rPr>
          <w:rFonts w:ascii="Cambria" w:hAnsi="Cambria"/>
          <w:sz w:val="20"/>
          <w:szCs w:val="20"/>
        </w:rPr>
        <w:t>Além disso, a Corte Interamericana indicou de maneira reiterada que os familiares das vítimas de certas violações de direitos humanos também podem ser vítimas</w:t>
      </w:r>
      <w:r w:rsidRPr="00C62DF2">
        <w:rPr>
          <w:rFonts w:ascii="Cambria" w:hAnsi="Cambria"/>
          <w:sz w:val="20"/>
          <w:szCs w:val="20"/>
          <w:vertAlign w:val="superscript"/>
        </w:rPr>
        <w:footnoteReference w:id="246"/>
      </w:r>
      <w:r w:rsidRPr="00C62DF2">
        <w:rPr>
          <w:rFonts w:ascii="Cambria" w:hAnsi="Cambria"/>
          <w:sz w:val="20"/>
          <w:szCs w:val="20"/>
        </w:rPr>
        <w:t>. Especificamente, a Corte indicou que os familiares das vítimas podem ser afetados em sua integridade psíquica e moral em consequência das situações que seus entes queridos padeceram e das posteriores atuações ou omissões das autoridades internas diante desses fatos</w:t>
      </w:r>
      <w:r w:rsidRPr="00C62DF2">
        <w:rPr>
          <w:rFonts w:ascii="Cambria" w:hAnsi="Cambria"/>
          <w:sz w:val="20"/>
          <w:szCs w:val="20"/>
          <w:vertAlign w:val="superscript"/>
        </w:rPr>
        <w:footnoteReference w:id="247"/>
      </w:r>
      <w:r w:rsidRPr="00C62DF2">
        <w:rPr>
          <w:rFonts w:ascii="Cambria" w:hAnsi="Cambria"/>
          <w:sz w:val="20"/>
          <w:szCs w:val="20"/>
        </w:rPr>
        <w:t>. Além disso, a Corte Interamericana estabeleceu: “A obrigação de investigar violações de direitos humanos se encontra dentro das medidas positivas que os Estados devem adotar para garantir os direitos reconhecidos na Convenção. Além disso, os Estados devem buscar, se possível, o restabelecimento do direito violado e, se for o caso, a reparação dos danos produzidos por essas violações”</w:t>
      </w:r>
      <w:r w:rsidRPr="00C62DF2">
        <w:rPr>
          <w:rFonts w:ascii="Cambria" w:hAnsi="Cambria"/>
          <w:sz w:val="20"/>
          <w:szCs w:val="20"/>
          <w:vertAlign w:val="superscript"/>
        </w:rPr>
        <w:footnoteReference w:id="248"/>
      </w:r>
      <w:r w:rsidRPr="00C62DF2">
        <w:rPr>
          <w:rFonts w:ascii="Cambria" w:hAnsi="Cambria"/>
          <w:sz w:val="20"/>
          <w:szCs w:val="20"/>
        </w:rPr>
        <w:t>. Com relação a isso, a Corte Interamericana estabeleceu que a ausência de recursos efetivos constitui uma fonte de sofrimento e angústia adicionais para os familiares das vítimas.</w:t>
      </w:r>
    </w:p>
    <w:p w14:paraId="4257FBFA" w14:textId="77777777" w:rsidR="00477238" w:rsidRPr="00C62DF2" w:rsidRDefault="00477238" w:rsidP="00FC0CB6">
      <w:pPr>
        <w:numPr>
          <w:ilvl w:val="0"/>
          <w:numId w:val="2"/>
        </w:numPr>
        <w:tabs>
          <w:tab w:val="left" w:pos="0"/>
        </w:tabs>
        <w:jc w:val="both"/>
        <w:rPr>
          <w:rFonts w:ascii="Cambria" w:hAnsi="Cambria"/>
          <w:sz w:val="20"/>
          <w:szCs w:val="20"/>
        </w:rPr>
      </w:pPr>
      <w:r w:rsidRPr="00C62DF2">
        <w:rPr>
          <w:rFonts w:ascii="Cambria" w:hAnsi="Cambria"/>
          <w:sz w:val="20"/>
          <w:szCs w:val="20"/>
        </w:rPr>
        <w:t>As consequências da violência e impunidade podem ter um efeito particularmente prejudicial nos familiares das vítimas que são menores de idade. A esse respeito, a Corte Interamericana observou no caso do Massacre de las Dos Erres que os filhos das vítimas “</w:t>
      </w:r>
      <w:r w:rsidRPr="00C62DF2">
        <w:rPr>
          <w:rFonts w:ascii="Cambria" w:hAnsi="Cambria" w:cs="Verdana"/>
          <w:sz w:val="20"/>
          <w:szCs w:val="20"/>
        </w:rPr>
        <w:t>sofreram violações de sua saúde física e psicológica, de maneira particular pela falta de justiça e impunidade prolongada no presente caso, e que essas experiências</w:t>
      </w:r>
      <w:r w:rsidRPr="00C62DF2">
        <w:rPr>
          <w:rFonts w:ascii="Cambria" w:hAnsi="Cambria"/>
          <w:sz w:val="20"/>
          <w:szCs w:val="20"/>
        </w:rPr>
        <w:t xml:space="preserve"> </w:t>
      </w:r>
      <w:r w:rsidRPr="00C62DF2">
        <w:rPr>
          <w:rFonts w:ascii="Cambria" w:hAnsi="Cambria" w:cs="Verdana"/>
          <w:sz w:val="20"/>
          <w:szCs w:val="20"/>
        </w:rPr>
        <w:t>impactaram sus relações sociais […], alterando a dinâmica de suas famílias”</w:t>
      </w:r>
      <w:r w:rsidRPr="00C62DF2">
        <w:rPr>
          <w:rStyle w:val="FootnoteReference"/>
          <w:rFonts w:ascii="Cambria" w:hAnsi="Cambria" w:cs="Verdana"/>
          <w:sz w:val="20"/>
          <w:szCs w:val="20"/>
        </w:rPr>
        <w:footnoteReference w:id="249"/>
      </w:r>
      <w:r w:rsidRPr="00C62DF2">
        <w:rPr>
          <w:rFonts w:ascii="Cambria" w:hAnsi="Cambria" w:cs="Verdana"/>
          <w:sz w:val="20"/>
          <w:szCs w:val="20"/>
        </w:rPr>
        <w:t>.</w:t>
      </w:r>
      <w:r w:rsidRPr="00C62DF2">
        <w:rPr>
          <w:rFonts w:ascii="Cambria" w:hAnsi="Cambria"/>
          <w:sz w:val="20"/>
          <w:szCs w:val="20"/>
        </w:rPr>
        <w:t xml:space="preserve"> Além disso, o Tribunal considera que se pode presumir um dano à integridade psíquica e moral dos familiares diretos de vítimas de certas violações de direitos humanos aplicando uma presunção juris tantum a respeito de mães e pais, filhas e filhos, esposos e esposas, companheiros e companheiras permanentes, desde que corresponda às circunstâncias particulares do caso. No caso de tais familiares diretos, cabe ao Estado contestar essa presunção</w:t>
      </w:r>
      <w:r w:rsidRPr="00C62DF2">
        <w:rPr>
          <w:rStyle w:val="FootnoteReference"/>
          <w:rFonts w:ascii="Cambria" w:hAnsi="Cambria"/>
          <w:sz w:val="20"/>
          <w:szCs w:val="20"/>
        </w:rPr>
        <w:footnoteReference w:id="250"/>
      </w:r>
      <w:r w:rsidRPr="00C62DF2">
        <w:rPr>
          <w:rFonts w:ascii="Cambria" w:hAnsi="Cambria"/>
          <w:sz w:val="20"/>
          <w:szCs w:val="20"/>
        </w:rPr>
        <w:t>.</w:t>
      </w:r>
    </w:p>
    <w:p w14:paraId="446A7325" w14:textId="77777777" w:rsidR="00477238" w:rsidRPr="00C62DF2" w:rsidRDefault="00477238" w:rsidP="00FC0CB6">
      <w:pPr>
        <w:rPr>
          <w:rFonts w:ascii="Cambria" w:hAnsi="Cambria"/>
          <w:sz w:val="20"/>
          <w:szCs w:val="20"/>
        </w:rPr>
      </w:pPr>
    </w:p>
    <w:p w14:paraId="42D03DAA" w14:textId="77777777" w:rsidR="00477238" w:rsidRPr="00C62DF2" w:rsidRDefault="00477238" w:rsidP="00FC0CB6">
      <w:pPr>
        <w:numPr>
          <w:ilvl w:val="0"/>
          <w:numId w:val="2"/>
        </w:numPr>
        <w:jc w:val="both"/>
        <w:rPr>
          <w:rFonts w:ascii="Cambria" w:hAnsi="Cambria"/>
          <w:sz w:val="20"/>
          <w:szCs w:val="20"/>
        </w:rPr>
      </w:pPr>
      <w:r w:rsidRPr="00C62DF2">
        <w:rPr>
          <w:rFonts w:ascii="Cambria" w:hAnsi="Cambria"/>
          <w:sz w:val="20"/>
          <w:szCs w:val="20"/>
        </w:rPr>
        <w:t xml:space="preserve">No presente caso, a Comissão constatou que as provas apresentadas permitem concluir que </w:t>
      </w:r>
      <w:r w:rsidRPr="00C62DF2">
        <w:rPr>
          <w:rStyle w:val="Emphasis"/>
          <w:rFonts w:ascii="Cambria" w:hAnsi="Cambria"/>
          <w:i w:val="0"/>
          <w:iCs w:val="0"/>
          <w:sz w:val="20"/>
          <w:szCs w:val="20"/>
        </w:rPr>
        <w:t>Denise Peres Crispim e Eduarda buscaram asilo na Embaixada do Chile; posteriormente, foram trasladadas ao Chile e finalmente foram reconhecidas como refugiadas pelo governo da Itália e pelo ACNUR. Para a Comissão, estes fatos</w:t>
      </w:r>
      <w:r w:rsidRPr="00C62DF2">
        <w:rPr>
          <w:rFonts w:ascii="Cambria" w:hAnsi="Cambria"/>
          <w:sz w:val="20"/>
          <w:szCs w:val="20"/>
        </w:rPr>
        <w:t xml:space="preserve"> são particularmente graves devido à condição de infância de Eduarda e devido ao fato de que Denise solicitou asilo diplomático na Embaixada do Chile no período pós-parto, ante o temor decorrente da tortura de que foi objeto, a execução de seu companheiro, Eduardo Collen, e as intimidações posteriores. A Corte Interamericana assinalou que a concessão de “asilo” em outro país permite dimensionar o nível de credibilidade que as autoridades do Estado deram às denúncias feitas pelas vítimas.</w:t>
      </w:r>
      <w:r w:rsidRPr="00C62DF2">
        <w:rPr>
          <w:rStyle w:val="FootnoteReference"/>
          <w:rFonts w:ascii="Cambria" w:hAnsi="Cambria"/>
          <w:sz w:val="20"/>
          <w:szCs w:val="20"/>
        </w:rPr>
        <w:footnoteReference w:id="251"/>
      </w:r>
      <w:r w:rsidRPr="00C62DF2">
        <w:rPr>
          <w:rFonts w:ascii="Cambria" w:hAnsi="Cambria"/>
          <w:sz w:val="20"/>
          <w:szCs w:val="20"/>
        </w:rPr>
        <w:t xml:space="preserve"> A CIDH observa que as perseguições sofridas por Denise e Eduarda foram reconhecidas não só pelo Chile e pela Itália, mas também pela Agência das Nações Unidas para os Refugiados, que lhes conferiu a condição de refugiadas. Essa situação demonstra que não se garantiu o direito à residência das supostas vítimas, já que, devido a questões de segurança, não lhes foi permitido viver no Brasil.</w:t>
      </w:r>
    </w:p>
    <w:p w14:paraId="49DA79D3" w14:textId="77777777" w:rsidR="00477238" w:rsidRPr="00C62DF2" w:rsidRDefault="00477238" w:rsidP="00FC0CB6">
      <w:pPr>
        <w:pStyle w:val="ListParagraph"/>
        <w:ind w:firstLine="0"/>
        <w:rPr>
          <w:sz w:val="20"/>
          <w:szCs w:val="20"/>
          <w:lang w:val="pt-BR"/>
        </w:rPr>
      </w:pPr>
    </w:p>
    <w:p w14:paraId="5D80700A" w14:textId="77777777" w:rsidR="00477238" w:rsidRPr="00C62DF2" w:rsidRDefault="00477238" w:rsidP="00FC0CB6">
      <w:pPr>
        <w:numPr>
          <w:ilvl w:val="0"/>
          <w:numId w:val="2"/>
        </w:numPr>
        <w:jc w:val="both"/>
        <w:rPr>
          <w:rFonts w:ascii="Cambria" w:hAnsi="Cambria"/>
          <w:sz w:val="20"/>
          <w:szCs w:val="20"/>
        </w:rPr>
      </w:pPr>
      <w:r w:rsidRPr="00C62DF2">
        <w:rPr>
          <w:rFonts w:ascii="Cambria" w:hAnsi="Cambria"/>
          <w:sz w:val="20"/>
          <w:szCs w:val="20"/>
        </w:rPr>
        <w:lastRenderedPageBreak/>
        <w:t>A Comissão ressalta que, para salvaguardar seus direitos, Eduarda, desde uma idade muito tenra, teve que viver por quase um ano na biblioteca da Embaixada do Chile no Brasil; posteriormente, saiu desse país e viveu no Chile e na Itália. Segundo o relato do senhor Leonardo Ditta, Eduarda chegou à Itália sem falar italiano e durante toda sua adolescência teve problemas devido aos traumas sofridos por ela e sua mãe. Além disso, a Comissão observa que, em resultado do deslocamento, houve um desprendimento de Eduarda e Denise com seu ambiente no Brasil e seu núcleo familiar.</w:t>
      </w:r>
    </w:p>
    <w:p w14:paraId="2357080D" w14:textId="77777777" w:rsidR="00477238" w:rsidRPr="00C62DF2" w:rsidRDefault="00477238" w:rsidP="00FC0CB6">
      <w:pPr>
        <w:pStyle w:val="Heading2"/>
        <w:numPr>
          <w:ilvl w:val="0"/>
          <w:numId w:val="0"/>
        </w:numPr>
        <w:ind w:left="709"/>
        <w:rPr>
          <w:lang w:val="pt-BR"/>
        </w:rPr>
      </w:pPr>
    </w:p>
    <w:p w14:paraId="5CDC9B16" w14:textId="77777777" w:rsidR="00477238" w:rsidRPr="00C62DF2" w:rsidRDefault="00477238" w:rsidP="00FC0CB6">
      <w:pPr>
        <w:numPr>
          <w:ilvl w:val="0"/>
          <w:numId w:val="2"/>
        </w:numPr>
        <w:tabs>
          <w:tab w:val="left" w:pos="0"/>
        </w:tabs>
        <w:jc w:val="both"/>
        <w:rPr>
          <w:rFonts w:ascii="Cambria" w:hAnsi="Cambria"/>
          <w:sz w:val="20"/>
          <w:szCs w:val="20"/>
        </w:rPr>
      </w:pPr>
      <w:r w:rsidRPr="00C62DF2">
        <w:rPr>
          <w:rFonts w:ascii="Cambria" w:hAnsi="Cambria"/>
          <w:sz w:val="20"/>
          <w:szCs w:val="20"/>
        </w:rPr>
        <w:t xml:space="preserve">A Comissão observa que, conforme exposto anteriormente, o Estado é responsável pela detenção arbitrária, tortura e assassinato de Eduardo Collen Leite, pela disseminação de informação falsa sobre as circunstâncias de sua morte e por não ter investigado com a devida diligência este crime, </w:t>
      </w:r>
      <w:r w:rsidRPr="00C62DF2">
        <w:rPr>
          <w:rStyle w:val="hps"/>
          <w:rFonts w:ascii="Cambria" w:hAnsi="Cambria" w:cs="Arial"/>
          <w:sz w:val="20"/>
          <w:szCs w:val="20"/>
        </w:rPr>
        <w:t>enquadrado em padrões sistemáticos de violações de direitos humanos</w:t>
      </w:r>
      <w:r w:rsidRPr="00C62DF2">
        <w:rPr>
          <w:rFonts w:ascii="Cambria" w:hAnsi="Cambria"/>
          <w:sz w:val="20"/>
          <w:szCs w:val="20"/>
        </w:rPr>
        <w:t xml:space="preserve">. Além disso, o Estado é responsável pela detenção arbitrária e tortura de Denise Peres Crispim, bem como por não ter investigado com a devida diligência este crime, </w:t>
      </w:r>
      <w:r w:rsidRPr="00C62DF2">
        <w:rPr>
          <w:rStyle w:val="hps"/>
          <w:rFonts w:ascii="Cambria" w:hAnsi="Cambria" w:cs="Arial"/>
          <w:sz w:val="20"/>
          <w:szCs w:val="20"/>
        </w:rPr>
        <w:t xml:space="preserve">enquadrado em padrões sistemáticos de violações de direitos humanos. O Estado também é responsável pela violação dos direitos à liberdade, à integridade, à proteção da maternidade e da infância e do direito de residência e trânsito de Denise Peres Crispim e Eduarda Crispim Leite. Esses </w:t>
      </w:r>
      <w:r w:rsidRPr="00C62DF2">
        <w:rPr>
          <w:rFonts w:ascii="Cambria" w:hAnsi="Cambria"/>
          <w:sz w:val="20"/>
          <w:szCs w:val="20"/>
        </w:rPr>
        <w:t>fatos afetaram gravemente a integridade psíquica e moral dos familiares identificados neste caso.</w:t>
      </w:r>
      <w:r w:rsidRPr="00C62DF2">
        <w:rPr>
          <w:rFonts w:ascii="Cambria" w:hAnsi="Cambria"/>
          <w:bCs/>
          <w:sz w:val="20"/>
          <w:szCs w:val="20"/>
        </w:rPr>
        <w:t xml:space="preserve"> </w:t>
      </w:r>
    </w:p>
    <w:p w14:paraId="163675F5" w14:textId="77777777" w:rsidR="00477238" w:rsidRPr="00C62DF2" w:rsidRDefault="00477238" w:rsidP="00FC0CB6">
      <w:pPr>
        <w:pStyle w:val="ListParagraph"/>
        <w:ind w:firstLine="0"/>
        <w:rPr>
          <w:sz w:val="20"/>
          <w:szCs w:val="20"/>
          <w:lang w:val="pt-BR"/>
        </w:rPr>
      </w:pPr>
    </w:p>
    <w:p w14:paraId="4257FF1C" w14:textId="77777777" w:rsidR="00477238" w:rsidRPr="00C62DF2" w:rsidRDefault="00477238" w:rsidP="00FC0CB6">
      <w:pPr>
        <w:numPr>
          <w:ilvl w:val="0"/>
          <w:numId w:val="2"/>
        </w:numPr>
        <w:tabs>
          <w:tab w:val="left" w:pos="0"/>
        </w:tabs>
        <w:jc w:val="both"/>
        <w:rPr>
          <w:rStyle w:val="Emphasis"/>
          <w:rFonts w:ascii="Cambria" w:hAnsi="Cambria"/>
          <w:i w:val="0"/>
          <w:iCs w:val="0"/>
          <w:sz w:val="20"/>
          <w:szCs w:val="20"/>
        </w:rPr>
      </w:pPr>
      <w:r w:rsidRPr="00C62DF2">
        <w:rPr>
          <w:rFonts w:ascii="Cambria" w:hAnsi="Cambria"/>
          <w:sz w:val="20"/>
          <w:szCs w:val="20"/>
        </w:rPr>
        <w:t xml:space="preserve">A Comissão destaca que a </w:t>
      </w:r>
      <w:r w:rsidRPr="00C62DF2">
        <w:rPr>
          <w:rStyle w:val="Emphasis"/>
          <w:rFonts w:ascii="Cambria" w:hAnsi="Cambria"/>
          <w:i w:val="0"/>
          <w:iCs w:val="0"/>
          <w:sz w:val="20"/>
          <w:szCs w:val="20"/>
        </w:rPr>
        <w:t>Comissão Estadual de Ex-Presos Políticos da Procuradoria-Geral do Estado afirmou que houve uma ruptura na relação entre Denise e Eduarda, devido às violações que sofreram. Além disso, segundo a declaração do senhor Leonardo Ditta, a qual não foi controvertida pelo Estado, tanto ele como Denise e Eduarda sofreram com as violações perpetradas, tinham crises nervosas, medo e insegurança.</w:t>
      </w:r>
    </w:p>
    <w:p w14:paraId="44E2BD79" w14:textId="77777777" w:rsidR="00477238" w:rsidRPr="00C62DF2" w:rsidRDefault="00477238" w:rsidP="00FC0CB6">
      <w:pPr>
        <w:pStyle w:val="ListParagraph"/>
        <w:ind w:firstLine="0"/>
        <w:rPr>
          <w:sz w:val="20"/>
          <w:szCs w:val="20"/>
          <w:lang w:val="pt-BR"/>
        </w:rPr>
      </w:pPr>
    </w:p>
    <w:p w14:paraId="498B9ECD" w14:textId="77777777" w:rsidR="00477238" w:rsidRPr="00C62DF2" w:rsidRDefault="00477238" w:rsidP="00FC0CB6">
      <w:pPr>
        <w:numPr>
          <w:ilvl w:val="0"/>
          <w:numId w:val="2"/>
        </w:numPr>
        <w:tabs>
          <w:tab w:val="left" w:pos="0"/>
        </w:tabs>
        <w:jc w:val="both"/>
        <w:rPr>
          <w:rFonts w:ascii="Cambria" w:hAnsi="Cambria"/>
          <w:sz w:val="20"/>
          <w:szCs w:val="20"/>
        </w:rPr>
      </w:pPr>
      <w:r w:rsidRPr="00C62DF2">
        <w:rPr>
          <w:rFonts w:ascii="Cambria" w:hAnsi="Cambria"/>
          <w:sz w:val="20"/>
          <w:szCs w:val="20"/>
        </w:rPr>
        <w:t>De particular gravidade é o impacto na integridade psíquica e moral das vítimas. A grave violação deste direito é evidente nos casos de Eduarda Crispim Leite, que na época dos fatos tinha poucos meses de vida, e de Denise Peres Crispim, que estava grávida quando soube da execução de Eduardo Collen Leite.  Além disso, o senhor Leonardo Ditta, Denise e Eduarda desempenharam um papel importante na busca de justiça e verdade, sendo evidente que a impunidade que subsiste a mais de 50 anos dos fatos lhes produz um profundo sofrimento e angústia.</w:t>
      </w:r>
    </w:p>
    <w:p w14:paraId="0C580221" w14:textId="77777777" w:rsidR="00477238" w:rsidRPr="00C62DF2" w:rsidRDefault="00477238" w:rsidP="00FC0CB6">
      <w:pPr>
        <w:pStyle w:val="ListParagraph"/>
        <w:ind w:firstLine="0"/>
        <w:rPr>
          <w:sz w:val="20"/>
          <w:szCs w:val="20"/>
          <w:lang w:val="pt-BR"/>
        </w:rPr>
      </w:pPr>
    </w:p>
    <w:p w14:paraId="275675CB" w14:textId="77777777" w:rsidR="00477238" w:rsidRPr="00C62DF2" w:rsidRDefault="00477238" w:rsidP="00FC0CB6">
      <w:pPr>
        <w:numPr>
          <w:ilvl w:val="0"/>
          <w:numId w:val="2"/>
        </w:numPr>
        <w:jc w:val="both"/>
        <w:rPr>
          <w:rFonts w:ascii="Cambria" w:hAnsi="Cambria"/>
          <w:sz w:val="20"/>
          <w:szCs w:val="20"/>
        </w:rPr>
      </w:pPr>
      <w:r w:rsidRPr="00C62DF2">
        <w:rPr>
          <w:rStyle w:val="hps"/>
          <w:rFonts w:ascii="Cambria" w:hAnsi="Cambria"/>
          <w:sz w:val="20"/>
          <w:szCs w:val="20"/>
        </w:rPr>
        <w:t xml:space="preserve">Em consequência, a Comissão conclui que o Estado brasileiro é responsável pela violação dos direitos reconhecidos nos </w:t>
      </w:r>
      <w:r w:rsidRPr="00C62DF2">
        <w:rPr>
          <w:rFonts w:ascii="Cambria" w:hAnsi="Cambria"/>
          <w:sz w:val="20"/>
          <w:szCs w:val="20"/>
        </w:rPr>
        <w:t>artigos I e VIII da Declaração Americana, em prejuízo de Denise Peres Crispim e Eduarda Crispim Leite; consagrado no artigo I da Declaração Americana, bem como no artigo 5.1 da Convenção Americana com relação às obrigações estabelecidas no artigo 1.1 da mesma em prejuízo de Leonardo Ditta, Denise Peres Crispim, Eduarda Crispim Leite; bem como do artigo VII da Declaração Americana em prejuízo de Eduarda Crispim Leite. Além disso, pelo sofrimento provocado nessas pessoas em resultado da falta de esclarecimento e situação de impunidade que se estendeu até hoje, a Comissão conclui que o Estado violou o artigo 5.1 da Convenção Americana com relação ao artigo 1.1 do mesmo instrumento.</w:t>
      </w:r>
    </w:p>
    <w:p w14:paraId="3AF1C35D" w14:textId="77777777" w:rsidR="00477238" w:rsidRPr="00C62DF2" w:rsidRDefault="00477238" w:rsidP="00FC0CB6">
      <w:pPr>
        <w:rPr>
          <w:rFonts w:ascii="Cambria" w:hAnsi="Cambria"/>
          <w:sz w:val="20"/>
          <w:szCs w:val="20"/>
        </w:rPr>
      </w:pPr>
    </w:p>
    <w:p w14:paraId="67E09FB9" w14:textId="77777777" w:rsidR="00477238" w:rsidRPr="00C62DF2" w:rsidRDefault="00477238" w:rsidP="00FC0CB6">
      <w:pPr>
        <w:rPr>
          <w:rFonts w:ascii="Cambria" w:hAnsi="Cambria"/>
          <w:sz w:val="20"/>
          <w:szCs w:val="20"/>
          <w:lang w:eastAsia="es-CL"/>
        </w:rPr>
      </w:pPr>
    </w:p>
    <w:p w14:paraId="2F5C6D5A" w14:textId="77777777" w:rsidR="00477238" w:rsidRPr="00C62DF2" w:rsidRDefault="00477238" w:rsidP="00FC0CB6">
      <w:pPr>
        <w:pStyle w:val="Heading1"/>
        <w:ind w:left="0" w:firstLine="0"/>
        <w:rPr>
          <w:lang w:val="pt-BR"/>
        </w:rPr>
      </w:pPr>
      <w:bookmarkStart w:id="41" w:name="_Toc55547108"/>
      <w:bookmarkStart w:id="42" w:name="_Toc78883136"/>
      <w:bookmarkStart w:id="43" w:name="_Toc85895019"/>
      <w:r w:rsidRPr="00C62DF2">
        <w:rPr>
          <w:lang w:val="pt-BR"/>
        </w:rPr>
        <w:t>CONCLUSÕES E RECOMENDAÇÕES</w:t>
      </w:r>
      <w:bookmarkEnd w:id="41"/>
      <w:bookmarkEnd w:id="42"/>
      <w:bookmarkEnd w:id="43"/>
      <w:r w:rsidRPr="00C62DF2">
        <w:rPr>
          <w:lang w:val="pt-BR"/>
        </w:rPr>
        <w:t xml:space="preserve"> </w:t>
      </w:r>
    </w:p>
    <w:p w14:paraId="07DBD3D1" w14:textId="77777777" w:rsidR="00477238" w:rsidRPr="00C62DF2" w:rsidRDefault="00477238" w:rsidP="00FC0CB6">
      <w:pPr>
        <w:pStyle w:val="Body"/>
        <w:suppressAutoHyphens/>
        <w:ind w:firstLine="0"/>
        <w:rPr>
          <w:b/>
          <w:bCs/>
          <w:lang w:val="pt-BR"/>
        </w:rPr>
      </w:pPr>
    </w:p>
    <w:p w14:paraId="17599C4B" w14:textId="77777777" w:rsidR="00477238" w:rsidRPr="00C62DF2" w:rsidRDefault="00477238" w:rsidP="00FC0CB6">
      <w:pPr>
        <w:numPr>
          <w:ilvl w:val="0"/>
          <w:numId w:val="2"/>
        </w:numPr>
        <w:tabs>
          <w:tab w:val="left" w:pos="0"/>
        </w:tabs>
        <w:jc w:val="both"/>
        <w:rPr>
          <w:rFonts w:ascii="Cambria" w:hAnsi="Cambria"/>
          <w:sz w:val="20"/>
          <w:szCs w:val="20"/>
        </w:rPr>
      </w:pPr>
      <w:r w:rsidRPr="00C62DF2">
        <w:rPr>
          <w:rFonts w:ascii="Cambria" w:hAnsi="Cambria" w:cs="Verdana"/>
          <w:sz w:val="20"/>
          <w:szCs w:val="20"/>
        </w:rPr>
        <w:t xml:space="preserve">Em conformidade com as considerações de fato e de direito vertidas no presente relatório de mérito, a Comissão conclui que o Estado brasileiro é responsável pela violação dos direitos </w:t>
      </w:r>
      <w:r w:rsidRPr="00C62DF2">
        <w:rPr>
          <w:rFonts w:ascii="Cambria" w:hAnsi="Cambria"/>
          <w:sz w:val="20"/>
          <w:szCs w:val="20"/>
        </w:rPr>
        <w:t>consagrados nos artigos I, VII, VIII, XVIII, XIX, XXII e XXV da Declaração Americana e dos direitos consagrados nos artigos 5.1, 8.1 e 25.1 da Convenção Americana, com relação aos artigos 1.1 e 2 do mesmo instrumento.</w:t>
      </w:r>
      <w:r w:rsidRPr="00C62DF2">
        <w:rPr>
          <w:rFonts w:ascii="Cambria" w:hAnsi="Cambria" w:cs="Verdana"/>
          <w:sz w:val="20"/>
          <w:szCs w:val="20"/>
        </w:rPr>
        <w:t xml:space="preserve"> </w:t>
      </w:r>
      <w:r w:rsidRPr="00C62DF2">
        <w:rPr>
          <w:rFonts w:ascii="Cambria" w:hAnsi="Cambria"/>
          <w:sz w:val="20"/>
          <w:szCs w:val="20"/>
        </w:rPr>
        <w:t>Além disso, conclui que o Estado é responsável pela violação dos artigos 1, 6 e 8 da Convenção Interamericana para Prevenir e Punir a Tortura e do Artigo 7.b da Convenção Interamericana para Prevenir, Punir e Erradicar a Violência contra a Mulher.</w:t>
      </w:r>
    </w:p>
    <w:p w14:paraId="63CDB8E5" w14:textId="77777777" w:rsidR="00477238" w:rsidRPr="00C62DF2" w:rsidRDefault="00477238" w:rsidP="00FC0CB6">
      <w:pPr>
        <w:tabs>
          <w:tab w:val="left" w:pos="0"/>
        </w:tabs>
        <w:ind w:left="567"/>
        <w:jc w:val="both"/>
        <w:rPr>
          <w:rFonts w:ascii="Cambria" w:hAnsi="Cambria"/>
          <w:sz w:val="20"/>
          <w:szCs w:val="20"/>
        </w:rPr>
      </w:pPr>
    </w:p>
    <w:p w14:paraId="663B0640" w14:textId="77777777" w:rsidR="00477238" w:rsidRPr="00C62DF2" w:rsidRDefault="00477238" w:rsidP="00FC0CB6">
      <w:pPr>
        <w:numPr>
          <w:ilvl w:val="0"/>
          <w:numId w:val="2"/>
        </w:numPr>
        <w:tabs>
          <w:tab w:val="left" w:pos="0"/>
        </w:tabs>
        <w:jc w:val="both"/>
        <w:rPr>
          <w:rStyle w:val="Emphasis"/>
          <w:rFonts w:ascii="Cambria" w:hAnsi="Cambria"/>
          <w:i w:val="0"/>
          <w:iCs w:val="0"/>
          <w:sz w:val="20"/>
          <w:szCs w:val="20"/>
        </w:rPr>
      </w:pPr>
      <w:r w:rsidRPr="00C62DF2">
        <w:rPr>
          <w:rFonts w:ascii="Cambria" w:hAnsi="Cambria"/>
          <w:sz w:val="20"/>
          <w:szCs w:val="20"/>
        </w:rPr>
        <w:t>A</w:t>
      </w:r>
      <w:r w:rsidRPr="00C62DF2">
        <w:rPr>
          <w:rStyle w:val="Emphasis"/>
          <w:rFonts w:ascii="Cambria" w:hAnsi="Cambria"/>
          <w:i w:val="0"/>
          <w:iCs w:val="0"/>
          <w:sz w:val="20"/>
          <w:szCs w:val="20"/>
        </w:rPr>
        <w:t xml:space="preserve"> Comissão observa que, devido aos fatos do presente caso, Denise Peres Crispim e Eduarda Crispim Leite realizaram diferentes procedimentos perante a Comissão de Anistia para que reconhecessem elas e Eduardo Collen Leite como “anistiados políticos”, e que o Estado desenvolveu procedimentos no âmbito da Comissão Especial sobre Mortos e Desparecidos Políticos e da Comissão da Verdade com relação aos fatos acontecidos contra Eduardo Collen. </w:t>
      </w:r>
    </w:p>
    <w:p w14:paraId="016BB605" w14:textId="77777777" w:rsidR="00477238" w:rsidRPr="00C62DF2" w:rsidRDefault="00477238" w:rsidP="00FC0CB6">
      <w:pPr>
        <w:tabs>
          <w:tab w:val="left" w:pos="0"/>
        </w:tabs>
        <w:ind w:left="567"/>
        <w:jc w:val="both"/>
        <w:rPr>
          <w:rStyle w:val="Emphasis"/>
          <w:rFonts w:ascii="Cambria" w:hAnsi="Cambria"/>
          <w:i w:val="0"/>
          <w:iCs w:val="0"/>
          <w:sz w:val="20"/>
          <w:szCs w:val="20"/>
        </w:rPr>
      </w:pPr>
    </w:p>
    <w:p w14:paraId="1C329F75" w14:textId="77777777" w:rsidR="00477238" w:rsidRPr="00C62DF2" w:rsidRDefault="00477238" w:rsidP="00FC0CB6">
      <w:pPr>
        <w:numPr>
          <w:ilvl w:val="0"/>
          <w:numId w:val="2"/>
        </w:numPr>
        <w:tabs>
          <w:tab w:val="left" w:pos="0"/>
        </w:tabs>
        <w:jc w:val="both"/>
        <w:rPr>
          <w:rStyle w:val="Emphasis"/>
          <w:rFonts w:ascii="Cambria" w:hAnsi="Cambria"/>
          <w:i w:val="0"/>
          <w:iCs w:val="0"/>
          <w:sz w:val="20"/>
          <w:szCs w:val="20"/>
        </w:rPr>
      </w:pPr>
      <w:r w:rsidRPr="00C62DF2">
        <w:rPr>
          <w:rStyle w:val="Emphasis"/>
          <w:rFonts w:ascii="Cambria" w:hAnsi="Cambria"/>
          <w:i w:val="0"/>
          <w:iCs w:val="0"/>
          <w:sz w:val="20"/>
          <w:szCs w:val="20"/>
        </w:rPr>
        <w:lastRenderedPageBreak/>
        <w:t>A</w:t>
      </w:r>
      <w:r w:rsidRPr="00C62DF2">
        <w:rPr>
          <w:rFonts w:ascii="Cambria" w:hAnsi="Cambria"/>
          <w:sz w:val="20"/>
          <w:szCs w:val="20"/>
        </w:rPr>
        <w:t xml:space="preserve"> Comissão assinala que, após a volta da democracia e a pedido dos familiares de Eduardo Collen Leite, Denise Peres Crispim e Eduarda Crispim Leite, o Estado brasileiro adotou medidas que contribuem ao esclarecimento da verdade histórica da detenção ilegal, tortura, morte e deslocamento que envolve a família. A esse respeito, observa: (a) o reconhecimento de responsabilidade sob a Lei 9.140/95, bem como o estabelecimento da Comissão Especial sobre Mortos e Desaparecidos Políticos</w:t>
      </w:r>
      <w:r w:rsidRPr="00C62DF2">
        <w:rPr>
          <w:rStyle w:val="FootnoteReference"/>
          <w:rFonts w:ascii="Cambria" w:hAnsi="Cambria"/>
          <w:sz w:val="20"/>
          <w:szCs w:val="20"/>
        </w:rPr>
        <w:footnoteReference w:id="252"/>
      </w:r>
      <w:r w:rsidRPr="00C62DF2">
        <w:rPr>
          <w:rFonts w:ascii="Cambria" w:hAnsi="Cambria"/>
          <w:sz w:val="20"/>
          <w:szCs w:val="20"/>
        </w:rPr>
        <w:t xml:space="preserve">; (b) o fato de que o caso de Eduardo Collen Leite foi o primeiro a ser avaliado pela CEMDP; (c) a inclusão do nome de Bacuri no </w:t>
      </w:r>
      <w:r w:rsidRPr="00AF31EC">
        <w:rPr>
          <w:rFonts w:ascii="Cambria" w:hAnsi="Cambria"/>
          <w:sz w:val="20"/>
          <w:szCs w:val="20"/>
        </w:rPr>
        <w:t>Dosier dictadura: muertos y desaparecidos políticos en Brasil</w:t>
      </w:r>
      <w:r w:rsidRPr="00C62DF2">
        <w:rPr>
          <w:rFonts w:ascii="Cambria" w:hAnsi="Cambria"/>
          <w:sz w:val="20"/>
          <w:szCs w:val="20"/>
        </w:rPr>
        <w:t xml:space="preserve"> (1964-1985), o batismo de duas ruas com seu nome e a concessão da medalha “Chico Mendes de Resistencia” a ele por parte do Grupo Tortura Nunca Mais no Rio. Igualmente, a Comissão reconhece o pagamento das indenizações concedidas pela Comissão Estadual de Ex-Presos Políticos e as ações da Comissão de Anistia</w:t>
      </w:r>
      <w:r w:rsidRPr="00C62DF2">
        <w:rPr>
          <w:rStyle w:val="FootnoteReference"/>
          <w:rFonts w:ascii="Cambria" w:hAnsi="Cambria"/>
          <w:sz w:val="20"/>
          <w:szCs w:val="20"/>
        </w:rPr>
        <w:footnoteReference w:id="253"/>
      </w:r>
      <w:r w:rsidRPr="00C62DF2">
        <w:rPr>
          <w:rFonts w:ascii="Cambria" w:hAnsi="Cambria"/>
          <w:sz w:val="20"/>
          <w:szCs w:val="20"/>
        </w:rPr>
        <w:t xml:space="preserve">. A CIDH também reconhece a importância fundamental do trabalho da Comissão Nacional da Verdade, que, após um </w:t>
      </w:r>
      <w:r w:rsidRPr="00C62DF2">
        <w:rPr>
          <w:rStyle w:val="Emphasis"/>
          <w:rFonts w:ascii="Cambria" w:hAnsi="Cambria" w:cs="Arial"/>
          <w:i w:val="0"/>
          <w:iCs w:val="0"/>
          <w:sz w:val="20"/>
          <w:szCs w:val="20"/>
        </w:rPr>
        <w:t>esforço de identificação de vítimas e de construção da verdade amplo e participativo,</w:t>
      </w:r>
      <w:r w:rsidRPr="00C62DF2">
        <w:rPr>
          <w:rFonts w:ascii="Cambria" w:hAnsi="Cambria"/>
          <w:sz w:val="20"/>
          <w:szCs w:val="20"/>
        </w:rPr>
        <w:t xml:space="preserve"> em seu Relatório Final publicado em dezembro de 2014 </w:t>
      </w:r>
      <w:r w:rsidRPr="00C62DF2">
        <w:rPr>
          <w:rStyle w:val="Emphasis"/>
          <w:rFonts w:ascii="Cambria" w:hAnsi="Cambria" w:cs="Arial"/>
          <w:i w:val="0"/>
          <w:iCs w:val="0"/>
          <w:sz w:val="20"/>
          <w:szCs w:val="20"/>
        </w:rPr>
        <w:t>abordou casos como o de Eduardo Collen Leite</w:t>
      </w:r>
      <w:r w:rsidRPr="00C62DF2">
        <w:rPr>
          <w:rStyle w:val="Emphasis"/>
          <w:rFonts w:ascii="Cambria" w:hAnsi="Cambria" w:cs="Arial"/>
          <w:sz w:val="20"/>
          <w:szCs w:val="20"/>
        </w:rPr>
        <w:t xml:space="preserve">. </w:t>
      </w:r>
    </w:p>
    <w:p w14:paraId="5D1C037A" w14:textId="77777777" w:rsidR="00477238" w:rsidRPr="00C62DF2" w:rsidRDefault="00477238" w:rsidP="00FC0CB6">
      <w:pPr>
        <w:tabs>
          <w:tab w:val="left" w:pos="0"/>
        </w:tabs>
        <w:jc w:val="both"/>
        <w:rPr>
          <w:rStyle w:val="Emphasis"/>
          <w:rFonts w:ascii="Cambria" w:hAnsi="Cambria"/>
          <w:i w:val="0"/>
          <w:iCs w:val="0"/>
          <w:sz w:val="20"/>
          <w:szCs w:val="20"/>
        </w:rPr>
      </w:pPr>
    </w:p>
    <w:p w14:paraId="16BE389A" w14:textId="77777777" w:rsidR="00477238" w:rsidRPr="00C62DF2" w:rsidRDefault="00477238" w:rsidP="00FC0CB6">
      <w:pPr>
        <w:numPr>
          <w:ilvl w:val="0"/>
          <w:numId w:val="2"/>
        </w:numPr>
        <w:tabs>
          <w:tab w:val="left" w:pos="0"/>
        </w:tabs>
        <w:jc w:val="both"/>
        <w:rPr>
          <w:rFonts w:ascii="Cambria" w:hAnsi="Cambria"/>
          <w:sz w:val="20"/>
          <w:szCs w:val="20"/>
        </w:rPr>
      </w:pPr>
      <w:r w:rsidRPr="00C62DF2">
        <w:rPr>
          <w:rFonts w:ascii="Cambria" w:hAnsi="Cambria"/>
          <w:sz w:val="20"/>
          <w:szCs w:val="20"/>
        </w:rPr>
        <w:t>A Comissão reconhece a importância das ações administrativas anteriormente mencionadas. Contudo, como indicaram os órgãos do sistema interamericano, a “verdade histórica” contida nos relatórios produzidos pelas comissões da verdade não atribui uma reparação integral nos termos dos padrões interamericanos, e tampouco completa ou substitui a obrigação do Estado de estabelecer a verdade e assegurar a determinação judicial de responsabilidades individuais ou estatais</w:t>
      </w:r>
      <w:r w:rsidRPr="00C62DF2">
        <w:rPr>
          <w:rStyle w:val="FootnoteReference"/>
          <w:rFonts w:ascii="Cambria" w:hAnsi="Cambria"/>
          <w:sz w:val="20"/>
          <w:szCs w:val="20"/>
        </w:rPr>
        <w:footnoteReference w:id="254"/>
      </w:r>
      <w:r w:rsidRPr="00C62DF2">
        <w:rPr>
          <w:rFonts w:ascii="Cambria" w:hAnsi="Cambria"/>
          <w:sz w:val="20"/>
          <w:szCs w:val="20"/>
        </w:rPr>
        <w:t>.</w:t>
      </w:r>
    </w:p>
    <w:p w14:paraId="1A8E1C80" w14:textId="77777777" w:rsidR="00477238" w:rsidRPr="00C62DF2" w:rsidRDefault="00477238" w:rsidP="00FC0CB6">
      <w:pPr>
        <w:tabs>
          <w:tab w:val="left" w:pos="0"/>
        </w:tabs>
        <w:ind w:left="567"/>
        <w:jc w:val="both"/>
        <w:rPr>
          <w:rStyle w:val="Emphasis"/>
          <w:rFonts w:ascii="Cambria" w:hAnsi="Cambria"/>
          <w:i w:val="0"/>
          <w:iCs w:val="0"/>
          <w:sz w:val="20"/>
          <w:szCs w:val="20"/>
        </w:rPr>
      </w:pPr>
    </w:p>
    <w:p w14:paraId="58E828F3" w14:textId="77777777" w:rsidR="00477238" w:rsidRPr="00C62DF2" w:rsidRDefault="00477238" w:rsidP="00FC0CB6">
      <w:pPr>
        <w:numPr>
          <w:ilvl w:val="0"/>
          <w:numId w:val="2"/>
        </w:numPr>
        <w:tabs>
          <w:tab w:val="left" w:pos="0"/>
        </w:tabs>
        <w:jc w:val="both"/>
        <w:rPr>
          <w:rStyle w:val="Emphasis"/>
          <w:rFonts w:ascii="Cambria" w:hAnsi="Cambria"/>
          <w:i w:val="0"/>
          <w:iCs w:val="0"/>
          <w:sz w:val="20"/>
          <w:szCs w:val="20"/>
        </w:rPr>
      </w:pPr>
      <w:r w:rsidRPr="00C62DF2">
        <w:rPr>
          <w:rStyle w:val="Emphasis"/>
          <w:rFonts w:ascii="Cambria" w:hAnsi="Cambria" w:cs="Arial"/>
          <w:i w:val="0"/>
          <w:iCs w:val="0"/>
          <w:sz w:val="20"/>
          <w:szCs w:val="20"/>
        </w:rPr>
        <w:t>Por outro lado, a Comissão observa que as indenizações cobertas pelo Estado seriam ainda parciais conforme as violações de direitos humanos que foram determinadas no presente relatório, mas devem ser levadas em conta no momento de determinar o alcance das indenizações e reparações complementares. A Comissão ressalta a importância de que tais medidas tenham uma perspectiva de gênero com relação a Denise Crispim e Eduarda Crispim Leite.</w:t>
      </w:r>
      <w:r w:rsidRPr="00C62DF2">
        <w:rPr>
          <w:rStyle w:val="Emphasis"/>
          <w:rFonts w:ascii="Cambria" w:hAnsi="Cambria"/>
          <w:i w:val="0"/>
          <w:iCs w:val="0"/>
          <w:sz w:val="20"/>
          <w:szCs w:val="20"/>
        </w:rPr>
        <w:t xml:space="preserve"> Sobre este ponto, a Comissão observa que, por exemplo, a </w:t>
      </w:r>
      <w:r w:rsidRPr="00C62DF2">
        <w:rPr>
          <w:rStyle w:val="Emphasis"/>
          <w:rFonts w:ascii="Cambria" w:hAnsi="Cambria" w:cs="Arial"/>
          <w:i w:val="0"/>
          <w:iCs w:val="0"/>
          <w:sz w:val="20"/>
          <w:szCs w:val="20"/>
        </w:rPr>
        <w:t xml:space="preserve">decisão da Comissão de Anistia de 9 de abril de 2009, que reconheceu a condição de anistiada política de Denise Peres Crispim, não menciona as torturas que sofreu enquanto estava grávida; tampouco faz referência ao fato de que o parto de Eduarda ocorreu enquanto Denise Crispim estava sob custódia do Estado brasileiro. Além disso, a Comissão assinala que Denise é representada como “filha” ou “esposa”, sem que fossem devidamente consideradas, para fins de tal reparação, as violações de que foi objeto no âmbito de suas ações contra a ditadura. </w:t>
      </w:r>
      <w:r w:rsidRPr="00C62DF2">
        <w:rPr>
          <w:rStyle w:val="Emphasis"/>
          <w:rFonts w:ascii="Cambria" w:hAnsi="Cambria"/>
          <w:i w:val="0"/>
          <w:iCs w:val="0"/>
          <w:sz w:val="20"/>
          <w:szCs w:val="20"/>
        </w:rPr>
        <w:t xml:space="preserve"> </w:t>
      </w:r>
    </w:p>
    <w:p w14:paraId="5D77D2EF" w14:textId="77777777" w:rsidR="00477238" w:rsidRPr="00C62DF2" w:rsidRDefault="00477238" w:rsidP="00FC0CB6">
      <w:pPr>
        <w:pStyle w:val="Body"/>
        <w:ind w:firstLine="0"/>
        <w:rPr>
          <w:rFonts w:cs="Verdana"/>
          <w:bdr w:val="none" w:sz="0" w:space="0" w:color="auto" w:frame="1"/>
          <w:lang w:val="pt-BR"/>
        </w:rPr>
      </w:pPr>
    </w:p>
    <w:p w14:paraId="58E400CD" w14:textId="77777777" w:rsidR="00477238" w:rsidRPr="00C62DF2" w:rsidRDefault="00477238" w:rsidP="00FC0CB6">
      <w:pPr>
        <w:pStyle w:val="Body"/>
        <w:ind w:firstLine="0"/>
        <w:rPr>
          <w:b/>
          <w:bCs/>
          <w:lang w:val="pt-BR"/>
        </w:rPr>
      </w:pPr>
      <w:r w:rsidRPr="00C62DF2">
        <w:rPr>
          <w:b/>
          <w:bCs/>
          <w:lang w:val="pt-BR"/>
        </w:rPr>
        <w:tab/>
        <w:t xml:space="preserve">A COMISSÃO INTERAMERICANA DE DIREITOS HUMANOS RECOMENDA AO ESTADO DO </w:t>
      </w:r>
      <w:r w:rsidRPr="00C62DF2">
        <w:rPr>
          <w:b/>
          <w:bCs/>
          <w:color w:val="auto"/>
          <w:u w:color="FF0000"/>
          <w:lang w:val="pt-BR"/>
        </w:rPr>
        <w:t>BRASIL:</w:t>
      </w:r>
    </w:p>
    <w:p w14:paraId="3DFF9A7B" w14:textId="77777777" w:rsidR="00477238" w:rsidRPr="00D05F11" w:rsidRDefault="00477238" w:rsidP="00FC0CB6">
      <w:pPr>
        <w:pStyle w:val="Body"/>
        <w:ind w:firstLine="0"/>
        <w:rPr>
          <w:b/>
          <w:bCs/>
          <w:sz w:val="18"/>
          <w:szCs w:val="18"/>
          <w:lang w:val="pt-BR"/>
        </w:rPr>
      </w:pPr>
    </w:p>
    <w:p w14:paraId="11D62AA4" w14:textId="77777777" w:rsidR="00477238" w:rsidRPr="00D05F11" w:rsidRDefault="00477238" w:rsidP="00FC0CB6">
      <w:pPr>
        <w:pStyle w:val="ListParagraph"/>
        <w:numPr>
          <w:ilvl w:val="0"/>
          <w:numId w:val="19"/>
        </w:numPr>
        <w:ind w:left="0" w:firstLine="0"/>
        <w:rPr>
          <w:sz w:val="18"/>
          <w:szCs w:val="18"/>
          <w:lang w:val="pt-BR"/>
        </w:rPr>
      </w:pPr>
      <w:r w:rsidRPr="00D05F11">
        <w:rPr>
          <w:sz w:val="18"/>
          <w:szCs w:val="18"/>
          <w:lang w:val="pt-BR"/>
        </w:rPr>
        <w:t xml:space="preserve">Reparar integralmente as violações de direitos humanos declaradas no presente relatório tanto no aspecto material como imaterial. O Estado deverá adotar medidas de compensação econômica e medidas de satisfação em concordância com as vítimas e seus representantes. </w:t>
      </w:r>
    </w:p>
    <w:p w14:paraId="602E93C4" w14:textId="77777777" w:rsidR="00477238" w:rsidRPr="00D05F11" w:rsidRDefault="00477238" w:rsidP="00FC0CB6">
      <w:pPr>
        <w:pStyle w:val="ListParagraph"/>
        <w:ind w:firstLine="0"/>
        <w:rPr>
          <w:sz w:val="18"/>
          <w:szCs w:val="18"/>
          <w:lang w:val="pt-BR"/>
        </w:rPr>
      </w:pPr>
    </w:p>
    <w:p w14:paraId="75E7BD43" w14:textId="77777777" w:rsidR="00477238" w:rsidRPr="00D05F11" w:rsidRDefault="00477238" w:rsidP="00FC0CB6">
      <w:pPr>
        <w:pStyle w:val="ListParagraph"/>
        <w:numPr>
          <w:ilvl w:val="0"/>
          <w:numId w:val="19"/>
        </w:numPr>
        <w:ind w:left="0" w:firstLine="0"/>
        <w:rPr>
          <w:sz w:val="18"/>
          <w:szCs w:val="18"/>
          <w:lang w:val="pt-BR"/>
        </w:rPr>
      </w:pPr>
      <w:r w:rsidRPr="00D05F11">
        <w:rPr>
          <w:sz w:val="18"/>
          <w:szCs w:val="18"/>
          <w:lang w:val="pt-BR"/>
        </w:rPr>
        <w:t>Dispor as medidas de atenção à saúde física e mental necessárias para a reabilitação dos familiares das vítimas, se for sua vontade e de maneira consensuada.</w:t>
      </w:r>
    </w:p>
    <w:p w14:paraId="5654A53B" w14:textId="77777777" w:rsidR="00477238" w:rsidRPr="00D05F11" w:rsidRDefault="00477238" w:rsidP="00FC0CB6">
      <w:pPr>
        <w:pStyle w:val="ListParagraph"/>
        <w:ind w:firstLine="0"/>
        <w:rPr>
          <w:rFonts w:cs="Univers"/>
          <w:sz w:val="18"/>
          <w:szCs w:val="18"/>
          <w:lang w:val="pt-BR" w:eastAsia="zh-CN"/>
        </w:rPr>
      </w:pPr>
    </w:p>
    <w:p w14:paraId="0853A5DF" w14:textId="77777777" w:rsidR="00477238" w:rsidRPr="00D05F11" w:rsidRDefault="00477238" w:rsidP="00FC0CB6">
      <w:pPr>
        <w:pStyle w:val="ListParagraph"/>
        <w:numPr>
          <w:ilvl w:val="0"/>
          <w:numId w:val="19"/>
        </w:numPr>
        <w:ind w:left="0" w:firstLine="0"/>
        <w:rPr>
          <w:rFonts w:cs="Univers"/>
          <w:sz w:val="18"/>
          <w:szCs w:val="18"/>
          <w:lang w:val="pt-BR" w:eastAsia="zh-CN"/>
        </w:rPr>
      </w:pPr>
      <w:r w:rsidRPr="00D05F11">
        <w:rPr>
          <w:rFonts w:cs="Univers"/>
          <w:sz w:val="18"/>
          <w:szCs w:val="18"/>
          <w:lang w:val="pt-BR" w:eastAsia="zh-CN"/>
        </w:rPr>
        <w:t xml:space="preserve">Investigar de maneira séria, diligente, efetiva e dentro de um prazo razoável os fatos relacionados com a detenção arbitrária, tortura e assassinato de Eduardo Collen Leite, bem como a detenção arbitrária e tortura de Denise Peres Crispim, </w:t>
      </w:r>
      <w:r w:rsidRPr="00D05F11">
        <w:rPr>
          <w:rFonts w:cs="Univers"/>
          <w:sz w:val="18"/>
          <w:szCs w:val="18"/>
          <w:lang w:val="pt-BR" w:eastAsia="zh-CN"/>
        </w:rPr>
        <w:lastRenderedPageBreak/>
        <w:t xml:space="preserve">a fim de identificar os responsáveis por essas violações e puni-los penalmente. Em particular: (a) essa investigação deverá ser reaberta e realizada na jurisdição ordinária penal; (b)  levará em conta o padrão de violações de direitos humanos existente na época para que o processo e as investigações pertinentes sejam conduzidos em consideração do contexto em que ocorreram; (c) ao se tratar de uma grave violação dos direitos humanos nos termos descritos no presente relatório, não poderá ser aplicada a Lei de Anistia em benefício dos autores, bem como qualquer outra disposição análoga, prescrição, coisa julgada, </w:t>
      </w:r>
      <w:r w:rsidRPr="00D05F11">
        <w:rPr>
          <w:rFonts w:cs="Univers"/>
          <w:i/>
          <w:iCs/>
          <w:sz w:val="18"/>
          <w:szCs w:val="18"/>
          <w:lang w:val="pt-BR" w:eastAsia="zh-CN"/>
        </w:rPr>
        <w:t>ne bis in idem</w:t>
      </w:r>
      <w:r w:rsidRPr="00D05F11">
        <w:rPr>
          <w:rFonts w:cs="Univers"/>
          <w:sz w:val="18"/>
          <w:szCs w:val="18"/>
          <w:lang w:val="pt-BR" w:eastAsia="zh-CN"/>
        </w:rPr>
        <w:t xml:space="preserve"> ou qualquer excludente similar de responsabilidade para escusar-se desta obrigação; (d) o Estado deverá assegurar que conta com todos os recursos logísticos e científicos necessários para recolher e processar as provas e, em particular, ter acesso à documentação e informação pertinente para investigar os fatos denunciados e realizar com prontidão as atuações e averiguações essenciais para esclarecer o ocorrido; (e) garantirá que os familiares que participarem da investigação e processo penal contem com as devidas garantias de segurança, as quais devem ser oportunamente acordadas com eles; além disso, assegurará o acesso e capacidade de participar nesses processos; (f) a investigação dos fatos ocorridos com a senhora Denise Peres Crispim deverá ser feita com enfoque de gênero e levando em conta que o ocorreu com ela constituiu uma forma de violência contra a mulher, especialmente agravada pelo fato de estar grávida na época dos fatos.</w:t>
      </w:r>
    </w:p>
    <w:p w14:paraId="0C0F22E6" w14:textId="77777777" w:rsidR="00477238" w:rsidRPr="00D05F11" w:rsidRDefault="00477238" w:rsidP="00FC0CB6">
      <w:pPr>
        <w:rPr>
          <w:rFonts w:ascii="Cambria" w:hAnsi="Cambria" w:cs="Univers"/>
          <w:sz w:val="18"/>
          <w:szCs w:val="18"/>
          <w:lang w:eastAsia="zh-CN"/>
        </w:rPr>
      </w:pPr>
    </w:p>
    <w:p w14:paraId="3BBA7E96" w14:textId="77777777" w:rsidR="00477238" w:rsidRPr="00D05F11" w:rsidRDefault="00477238" w:rsidP="00FC0CB6">
      <w:pPr>
        <w:pStyle w:val="ListParagraph"/>
        <w:numPr>
          <w:ilvl w:val="0"/>
          <w:numId w:val="19"/>
        </w:numPr>
        <w:ind w:left="0" w:firstLine="0"/>
        <w:rPr>
          <w:sz w:val="18"/>
          <w:szCs w:val="18"/>
          <w:lang w:val="pt-BR"/>
        </w:rPr>
      </w:pPr>
      <w:r w:rsidRPr="00D05F11">
        <w:rPr>
          <w:rFonts w:cs="Univers"/>
          <w:sz w:val="18"/>
          <w:szCs w:val="18"/>
          <w:lang w:val="pt-BR" w:eastAsia="zh-CN"/>
        </w:rPr>
        <w:t xml:space="preserve">Adotar todas as medidas que sejam necessárias a fim de assegurar que a Lei Nº 6.683/79 (Lei de Anistia), a figura da prescrição e a aplicação da justiça penal militar não continuem representando um obstáculo à persecução penal de graves violações de direitos humanos, como as do presente caso. </w:t>
      </w:r>
    </w:p>
    <w:p w14:paraId="7C9720B2" w14:textId="77777777" w:rsidR="00477238" w:rsidRPr="00D05F11" w:rsidRDefault="00477238" w:rsidP="00FC0CB6">
      <w:pPr>
        <w:pStyle w:val="ListParagraph"/>
        <w:ind w:firstLine="0"/>
        <w:rPr>
          <w:sz w:val="18"/>
          <w:szCs w:val="18"/>
          <w:lang w:val="pt-BR"/>
        </w:rPr>
      </w:pPr>
    </w:p>
    <w:p w14:paraId="1A1BA85E" w14:textId="77777777" w:rsidR="00477238" w:rsidRPr="00D05F11" w:rsidRDefault="00477238" w:rsidP="00FC0CB6">
      <w:pPr>
        <w:jc w:val="both"/>
        <w:rPr>
          <w:rFonts w:ascii="Cambria" w:hAnsi="Cambria"/>
          <w:sz w:val="20"/>
          <w:szCs w:val="20"/>
        </w:rPr>
      </w:pPr>
      <w:r w:rsidRPr="00D05F11">
        <w:rPr>
          <w:rFonts w:ascii="Cambria" w:hAnsi="Cambria"/>
          <w:sz w:val="20"/>
          <w:szCs w:val="20"/>
        </w:rPr>
        <w:t xml:space="preserve">Aprovado pela Comissão Interamericana de Direitos Humanos eletronicamente em 17 de setembro de 2021. (Assinado) </w:t>
      </w:r>
      <w:r w:rsidRPr="00D05F11">
        <w:rPr>
          <w:rFonts w:ascii="Cambria" w:hAnsi="Cambria"/>
          <w:noProof/>
          <w:sz w:val="20"/>
          <w:szCs w:val="20"/>
        </w:rPr>
        <w:t>Antonia Urrejola, Presidente; Julissa Mantilla Falcón, Primeira Vice-Presidente; Esmeralda Arosemena de Troitiño; Margarette May Macaulay; Stuardo Ralón Orellana</w:t>
      </w:r>
      <w:r w:rsidRPr="00D05F11">
        <w:rPr>
          <w:rFonts w:ascii="Cambria" w:hAnsi="Cambria"/>
          <w:sz w:val="20"/>
          <w:szCs w:val="20"/>
        </w:rPr>
        <w:t xml:space="preserve"> e Joel Hernandez, membros da CIDH.</w:t>
      </w:r>
    </w:p>
    <w:p w14:paraId="3216ED59" w14:textId="77777777" w:rsidR="00477238" w:rsidRPr="00D05F11" w:rsidRDefault="00477238" w:rsidP="00FC0CB6">
      <w:pPr>
        <w:jc w:val="both"/>
        <w:rPr>
          <w:rFonts w:ascii="Cambria" w:hAnsi="Cambria"/>
          <w:sz w:val="20"/>
          <w:szCs w:val="20"/>
        </w:rPr>
      </w:pPr>
      <w:r w:rsidRPr="00D05F11">
        <w:rPr>
          <w:rFonts w:ascii="Cambria" w:hAnsi="Cambria"/>
          <w:sz w:val="20"/>
          <w:szCs w:val="20"/>
        </w:rPr>
        <w:t xml:space="preserve">A abaixo-assinada, Marisol Blanchard, Secretária Executiva Adjunta, em conformidade com o artigo 49 do Regulamento da Comissão, certifica que é cópia fiel do original depositado nos arquivos da Secretaria da CIDH. </w:t>
      </w:r>
    </w:p>
    <w:p w14:paraId="0FB72A86" w14:textId="0396BF95" w:rsidR="00370F69" w:rsidRPr="00D05F11" w:rsidRDefault="00370F69" w:rsidP="00FC0CB6">
      <w:pPr>
        <w:spacing w:before="100" w:beforeAutospacing="1" w:after="100" w:afterAutospacing="1"/>
        <w:contextualSpacing/>
        <w:jc w:val="center"/>
        <w:rPr>
          <w:rFonts w:ascii="Cambria" w:hAnsi="Cambria"/>
          <w:sz w:val="20"/>
          <w:szCs w:val="20"/>
        </w:rPr>
      </w:pPr>
      <w:r w:rsidRPr="00D05F11">
        <w:rPr>
          <w:rFonts w:cs="Calibri"/>
          <w:noProof/>
          <w:sz w:val="20"/>
          <w:szCs w:val="20"/>
        </w:rPr>
        <w:drawing>
          <wp:inline distT="0" distB="0" distL="0" distR="0" wp14:anchorId="49406E5A" wp14:editId="47D64784">
            <wp:extent cx="1371600" cy="809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349C48F3" w14:textId="60D969A8" w:rsidR="00477238" w:rsidRPr="00D05F11" w:rsidRDefault="00477238" w:rsidP="00FC0CB6">
      <w:pPr>
        <w:spacing w:before="100" w:beforeAutospacing="1" w:after="100" w:afterAutospacing="1"/>
        <w:contextualSpacing/>
        <w:jc w:val="center"/>
        <w:rPr>
          <w:rFonts w:ascii="Cambria" w:hAnsi="Cambria"/>
          <w:sz w:val="20"/>
          <w:szCs w:val="20"/>
        </w:rPr>
      </w:pPr>
      <w:r w:rsidRPr="00D05F11">
        <w:rPr>
          <w:rFonts w:ascii="Cambria" w:hAnsi="Cambria"/>
          <w:sz w:val="20"/>
          <w:szCs w:val="20"/>
        </w:rPr>
        <w:t xml:space="preserve">Marisol Blanchard </w:t>
      </w:r>
    </w:p>
    <w:p w14:paraId="6AA74F0B" w14:textId="77777777" w:rsidR="00477238" w:rsidRPr="00D05F11" w:rsidRDefault="00477238" w:rsidP="00FC0CB6">
      <w:pPr>
        <w:spacing w:before="100" w:beforeAutospacing="1" w:after="100" w:afterAutospacing="1"/>
        <w:contextualSpacing/>
        <w:jc w:val="center"/>
        <w:rPr>
          <w:rFonts w:ascii="Cambria" w:hAnsi="Cambria"/>
          <w:sz w:val="20"/>
          <w:szCs w:val="20"/>
        </w:rPr>
      </w:pPr>
      <w:r w:rsidRPr="00D05F11">
        <w:rPr>
          <w:rFonts w:ascii="Cambria" w:hAnsi="Cambria"/>
          <w:sz w:val="20"/>
          <w:szCs w:val="20"/>
        </w:rPr>
        <w:t>Secretária Executiva Adjunta</w:t>
      </w:r>
    </w:p>
    <w:p w14:paraId="5CDE793D" w14:textId="77777777" w:rsidR="00F30BAF" w:rsidRPr="00D05F11" w:rsidRDefault="00F30BAF" w:rsidP="00FC0CB6">
      <w:pPr>
        <w:rPr>
          <w:sz w:val="20"/>
          <w:szCs w:val="20"/>
        </w:rPr>
      </w:pPr>
    </w:p>
    <w:sectPr w:rsidR="00F30BAF" w:rsidRPr="00D05F11" w:rsidSect="00F66B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7CF0" w14:textId="77777777" w:rsidR="00696C0B" w:rsidRDefault="00696C0B">
      <w:r>
        <w:separator/>
      </w:r>
    </w:p>
  </w:endnote>
  <w:endnote w:type="continuationSeparator" w:id="0">
    <w:p w14:paraId="28E88DD0" w14:textId="77777777" w:rsidR="00696C0B" w:rsidRDefault="0069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Pro-Bold-SC700">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GaramondPro-Italic-SC700">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BD4" w14:textId="77777777" w:rsidR="00DA5DAC" w:rsidRDefault="00DA5DAC">
    <w:pPr>
      <w:pStyle w:val="Footer"/>
      <w:jc w:val="center"/>
    </w:pPr>
    <w:r>
      <w:rPr>
        <w:sz w:val="16"/>
        <w:szCs w:val="16"/>
      </w:rPr>
      <w:fldChar w:fldCharType="begin"/>
    </w:r>
    <w:r>
      <w:rPr>
        <w:sz w:val="16"/>
        <w:szCs w:val="16"/>
      </w:rPr>
      <w:instrText xml:space="preserve"> PAGE </w:instrText>
    </w:r>
    <w:r>
      <w:rPr>
        <w:sz w:val="16"/>
        <w:szCs w:val="16"/>
      </w:rPr>
      <w:fldChar w:fldCharType="separate"/>
    </w:r>
    <w:r>
      <w:rPr>
        <w:noProof/>
        <w:sz w:val="16"/>
        <w:szCs w:val="16"/>
      </w:rPr>
      <w:t>29</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0D75" w14:textId="77777777" w:rsidR="00FC0CB6" w:rsidRDefault="00FC0CB6" w:rsidP="00FC0CB6">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E40B" w14:textId="77777777" w:rsidR="00696C0B" w:rsidRDefault="00696C0B">
      <w:r>
        <w:separator/>
      </w:r>
    </w:p>
  </w:footnote>
  <w:footnote w:type="continuationSeparator" w:id="0">
    <w:p w14:paraId="7758BEA9" w14:textId="77777777" w:rsidR="00696C0B" w:rsidRDefault="00696C0B">
      <w:r>
        <w:continuationSeparator/>
      </w:r>
    </w:p>
  </w:footnote>
  <w:footnote w:id="1">
    <w:p w14:paraId="5E3F8403" w14:textId="78B5FD5F"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Corte IDH. Caso Gomes Lund e outros (“Guerrilha do Araguaia”) vs. Brasil. Exceções Preliminares, </w:t>
      </w:r>
      <w:r w:rsidR="00884749">
        <w:rPr>
          <w:color w:val="auto"/>
          <w:lang w:val="pt-BR"/>
        </w:rPr>
        <w:t>Mérito</w:t>
      </w:r>
      <w:r w:rsidRPr="00566CD5">
        <w:rPr>
          <w:color w:val="auto"/>
          <w:lang w:val="pt-BR"/>
        </w:rPr>
        <w:t xml:space="preserve">, Reparações e </w:t>
      </w:r>
      <w:r w:rsidR="00922F53">
        <w:rPr>
          <w:color w:val="auto"/>
          <w:lang w:val="pt-BR"/>
        </w:rPr>
        <w:t>Custas</w:t>
      </w:r>
      <w:r w:rsidRPr="00566CD5">
        <w:rPr>
          <w:color w:val="auto"/>
          <w:lang w:val="pt-BR"/>
        </w:rPr>
        <w:t xml:space="preserve">. Sentença de 24 de novembro de 2010. Série C Nº 219, par. 2 e 85; </w:t>
      </w:r>
      <w:r w:rsidRPr="00566CD5">
        <w:rPr>
          <w:b/>
          <w:bCs/>
          <w:color w:val="auto"/>
          <w:lang w:val="pt-BR"/>
        </w:rPr>
        <w:t>Anexo 1</w:t>
      </w:r>
      <w:r w:rsidRPr="00566CD5">
        <w:rPr>
          <w:color w:val="auto"/>
          <w:lang w:val="pt-BR"/>
        </w:rPr>
        <w:t xml:space="preserve">. </w:t>
      </w:r>
      <w:r w:rsidRPr="00581E10">
        <w:rPr>
          <w:rStyle w:val="Emphasis"/>
          <w:rFonts w:cs="Arial"/>
          <w:i w:val="0"/>
          <w:iCs w:val="0"/>
          <w:color w:val="auto"/>
          <w:lang w:val="pt-BR"/>
        </w:rPr>
        <w:t>Brasil. Presidência da República. Secretaria Especial dos Direitos Humanos. Direito</w:t>
      </w:r>
      <w:r w:rsidRPr="00581E10">
        <w:rPr>
          <w:rStyle w:val="st1"/>
          <w:rFonts w:cs="Arial"/>
          <w:b/>
          <w:i/>
          <w:iCs/>
          <w:color w:val="auto"/>
          <w:lang w:val="pt-BR"/>
        </w:rPr>
        <w:t xml:space="preserve"> </w:t>
      </w:r>
      <w:r w:rsidRPr="00581E10">
        <w:rPr>
          <w:rStyle w:val="st1"/>
          <w:rFonts w:cs="Arial"/>
          <w:i/>
          <w:iCs/>
          <w:color w:val="auto"/>
          <w:lang w:val="pt-BR"/>
        </w:rPr>
        <w:t>à</w:t>
      </w:r>
      <w:r w:rsidRPr="00581E10">
        <w:rPr>
          <w:rStyle w:val="st1"/>
          <w:rFonts w:cs="Arial"/>
          <w:b/>
          <w:i/>
          <w:iCs/>
          <w:color w:val="auto"/>
          <w:lang w:val="pt-BR"/>
        </w:rPr>
        <w:t xml:space="preserve"> </w:t>
      </w:r>
      <w:r w:rsidRPr="00581E10">
        <w:rPr>
          <w:rStyle w:val="Emphasis"/>
          <w:rFonts w:cs="Arial"/>
          <w:i w:val="0"/>
          <w:iCs w:val="0"/>
          <w:color w:val="auto"/>
          <w:lang w:val="pt-BR"/>
        </w:rPr>
        <w:t>Memória e</w:t>
      </w:r>
      <w:r w:rsidRPr="00581E10">
        <w:rPr>
          <w:rStyle w:val="st1"/>
          <w:rFonts w:cs="Arial"/>
          <w:i/>
          <w:iCs/>
          <w:color w:val="auto"/>
          <w:lang w:val="pt-BR"/>
        </w:rPr>
        <w:t xml:space="preserve"> à</w:t>
      </w:r>
      <w:r w:rsidRPr="00581E10">
        <w:rPr>
          <w:rStyle w:val="st1"/>
          <w:rFonts w:cs="Arial"/>
          <w:b/>
          <w:i/>
          <w:iCs/>
          <w:color w:val="auto"/>
          <w:lang w:val="pt-BR"/>
        </w:rPr>
        <w:t xml:space="preserve"> </w:t>
      </w:r>
      <w:r w:rsidRPr="00581E10">
        <w:rPr>
          <w:rStyle w:val="Emphasis"/>
          <w:rFonts w:cs="Arial"/>
          <w:i w:val="0"/>
          <w:iCs w:val="0"/>
          <w:color w:val="auto"/>
          <w:lang w:val="pt-BR"/>
        </w:rPr>
        <w:t xml:space="preserve">Verdade: Comissão Especial sobre Mortos e Desaparecidos Políticos. Brasília, Secretaria Especial dos Direitos Humanos, 2007, p. 21. </w:t>
      </w:r>
      <w:r w:rsidRPr="00D90E5A">
        <w:rPr>
          <w:color w:val="auto"/>
          <w:lang w:val="pt-BR"/>
        </w:rPr>
        <w:t>Anexo à comunicação da parte peticionária de novembro de 2017</w:t>
      </w:r>
      <w:r w:rsidRPr="00581E10">
        <w:rPr>
          <w:rStyle w:val="Emphasis"/>
          <w:rFonts w:cs="Arial"/>
          <w:i w:val="0"/>
          <w:iCs w:val="0"/>
          <w:color w:val="auto"/>
          <w:lang w:val="pt-BR"/>
        </w:rPr>
        <w:t xml:space="preserve">; </w:t>
      </w:r>
      <w:r w:rsidRPr="00581E10">
        <w:rPr>
          <w:b/>
          <w:bCs/>
          <w:i/>
          <w:iCs/>
          <w:color w:val="auto"/>
          <w:lang w:val="pt-BR"/>
        </w:rPr>
        <w:t>Anexo 2</w:t>
      </w:r>
      <w:r w:rsidRPr="00581E10">
        <w:rPr>
          <w:i/>
          <w:iCs/>
          <w:color w:val="auto"/>
          <w:lang w:val="pt-BR"/>
        </w:rPr>
        <w:t>.</w:t>
      </w:r>
      <w:r w:rsidRPr="00581E10">
        <w:rPr>
          <w:rStyle w:val="Emphasis"/>
          <w:rFonts w:cs="Arial"/>
          <w:i w:val="0"/>
          <w:iCs w:val="0"/>
          <w:color w:val="auto"/>
          <w:lang w:val="pt-BR"/>
        </w:rPr>
        <w:t xml:space="preserve"> Relatório da</w:t>
      </w:r>
      <w:r w:rsidRPr="00581E10">
        <w:rPr>
          <w:rStyle w:val="st1"/>
          <w:rFonts w:cs="Arial"/>
          <w:b/>
          <w:i/>
          <w:iCs/>
          <w:color w:val="auto"/>
          <w:lang w:val="pt-BR"/>
        </w:rPr>
        <w:t xml:space="preserve"> </w:t>
      </w:r>
      <w:r w:rsidRPr="00581E10">
        <w:rPr>
          <w:rStyle w:val="Emphasis"/>
          <w:rFonts w:cs="Arial"/>
          <w:i w:val="0"/>
          <w:iCs w:val="0"/>
          <w:color w:val="auto"/>
          <w:lang w:val="pt-BR"/>
        </w:rPr>
        <w:t>Comissão Nacional da Verdade. Volume I. Parte I, “A Comissão Nacional da Verdade</w:t>
      </w:r>
      <w:r w:rsidRPr="00566CD5">
        <w:rPr>
          <w:rStyle w:val="Emphasis"/>
          <w:rFonts w:cs="Arial"/>
          <w:color w:val="auto"/>
          <w:lang w:val="pt-BR"/>
        </w:rPr>
        <w:t xml:space="preserve">”. </w:t>
      </w:r>
      <w:r w:rsidRPr="00566CD5">
        <w:rPr>
          <w:color w:val="auto"/>
          <w:lang w:val="pt-BR"/>
        </w:rPr>
        <w:t xml:space="preserve">Capítulo 1 – A criação da Comissão Nacional da Verdade (E) </w:t>
      </w:r>
      <w:r w:rsidRPr="00566CD5">
        <w:rPr>
          <w:rFonts w:cs="AGaramondPro-Bold-SC700"/>
          <w:bCs/>
          <w:color w:val="auto"/>
          <w:lang w:val="pt-BR" w:eastAsia="en-US"/>
        </w:rPr>
        <w:t>Comissões da verdade: a experiência internacional</w:t>
      </w:r>
      <w:r w:rsidRPr="00566CD5">
        <w:rPr>
          <w:color w:val="auto"/>
          <w:lang w:val="pt-BR"/>
        </w:rPr>
        <w:t>, p. 41, par. 77, de 10 de dezembro de 2014. Anexo à comunicação da parte peticionária de novembro de 2017.</w:t>
      </w:r>
    </w:p>
  </w:footnote>
  <w:footnote w:id="2">
    <w:p w14:paraId="45B85383" w14:textId="77777777"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w:t>
      </w:r>
      <w:r w:rsidRPr="00566CD5">
        <w:rPr>
          <w:b/>
          <w:bCs/>
          <w:color w:val="auto"/>
          <w:lang w:val="pt-BR"/>
        </w:rPr>
        <w:t>Anexo 3</w:t>
      </w:r>
      <w:r w:rsidRPr="00566CD5">
        <w:rPr>
          <w:color w:val="auto"/>
          <w:lang w:val="pt-BR"/>
        </w:rPr>
        <w:t xml:space="preserve">. </w:t>
      </w:r>
      <w:r w:rsidRPr="00581E10">
        <w:rPr>
          <w:rStyle w:val="Emphasis"/>
          <w:rFonts w:cs="Arial"/>
          <w:i w:val="0"/>
          <w:iCs w:val="0"/>
          <w:color w:val="auto"/>
          <w:lang w:val="pt-BR"/>
        </w:rPr>
        <w:t>Relatório da</w:t>
      </w:r>
      <w:r w:rsidRPr="00581E10">
        <w:rPr>
          <w:rStyle w:val="st1"/>
          <w:rFonts w:cs="Arial"/>
          <w:b/>
          <w:i/>
          <w:iCs/>
          <w:color w:val="auto"/>
          <w:lang w:val="pt-BR"/>
        </w:rPr>
        <w:t xml:space="preserve"> </w:t>
      </w:r>
      <w:r w:rsidRPr="00581E10">
        <w:rPr>
          <w:rStyle w:val="Emphasis"/>
          <w:rFonts w:cs="Arial"/>
          <w:i w:val="0"/>
          <w:iCs w:val="0"/>
          <w:color w:val="auto"/>
          <w:lang w:val="pt-BR"/>
        </w:rPr>
        <w:t>Comissão Nacional da Verdade. Volume I. Parte II</w:t>
      </w:r>
      <w:r w:rsidRPr="00566CD5">
        <w:rPr>
          <w:rStyle w:val="Emphasis"/>
          <w:rFonts w:cs="Arial"/>
          <w:color w:val="auto"/>
          <w:lang w:val="pt-BR"/>
        </w:rPr>
        <w:t>, “</w:t>
      </w:r>
      <w:r w:rsidRPr="00581E10">
        <w:rPr>
          <w:rStyle w:val="Strong"/>
          <w:b w:val="0"/>
          <w:bCs w:val="0"/>
          <w:color w:val="auto"/>
          <w:lang w:val="pt-BR"/>
        </w:rPr>
        <w:t>As estruturas do Estado e as graves violações de direitos humanos”.</w:t>
      </w:r>
      <w:r w:rsidRPr="00566CD5">
        <w:rPr>
          <w:rStyle w:val="Strong"/>
          <w:color w:val="auto"/>
          <w:lang w:val="pt-BR"/>
        </w:rPr>
        <w:t xml:space="preserve"> </w:t>
      </w:r>
      <w:r w:rsidRPr="00566CD5">
        <w:rPr>
          <w:color w:val="auto"/>
          <w:lang w:val="pt-BR"/>
        </w:rPr>
        <w:t xml:space="preserve">Capítulo 3 – Contexto histórico das graves violações entre 1946 e 1988 (E) </w:t>
      </w:r>
      <w:r w:rsidRPr="00566CD5">
        <w:rPr>
          <w:rFonts w:cs="AGaramondPro-Bold-SC700"/>
          <w:bCs/>
          <w:color w:val="auto"/>
          <w:lang w:val="pt-BR" w:eastAsia="en-US"/>
        </w:rPr>
        <w:t>O golpe de 1964</w:t>
      </w:r>
      <w:r w:rsidRPr="00566CD5">
        <w:rPr>
          <w:color w:val="auto"/>
          <w:lang w:val="pt-BR"/>
        </w:rPr>
        <w:t>, fls. 97, par. 62, de 10 de dezembro de 2014. Anexo à comunicação da parte peticionária de novembro de 2017</w:t>
      </w:r>
    </w:p>
  </w:footnote>
  <w:footnote w:id="3">
    <w:p w14:paraId="4B689C0F" w14:textId="424519E4"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Corte IDH. Caso Gomes Lund e outros (“Guerrilha do Araguaia”) vs. Brasil. Exceções Preliminares, </w:t>
      </w:r>
      <w:r w:rsidR="00884749">
        <w:rPr>
          <w:color w:val="auto"/>
          <w:lang w:val="pt-BR"/>
        </w:rPr>
        <w:t>Mérito</w:t>
      </w:r>
      <w:r w:rsidRPr="00566CD5">
        <w:rPr>
          <w:color w:val="auto"/>
          <w:lang w:val="pt-BR"/>
        </w:rPr>
        <w:t xml:space="preserve">, Reparações e </w:t>
      </w:r>
      <w:r w:rsidR="00922F53">
        <w:rPr>
          <w:color w:val="auto"/>
          <w:lang w:val="pt-BR"/>
        </w:rPr>
        <w:t>Custas</w:t>
      </w:r>
      <w:r w:rsidRPr="00566CD5">
        <w:rPr>
          <w:color w:val="auto"/>
          <w:lang w:val="pt-BR"/>
        </w:rPr>
        <w:t xml:space="preserve">. Sentença de 24 de novembro de 2010. Série C Nº 219, par. 87; Corte IDH. Caso Herzog e outros vs. Brasil. Exceções Preliminares, </w:t>
      </w:r>
      <w:r w:rsidR="00884749">
        <w:rPr>
          <w:color w:val="auto"/>
          <w:lang w:val="pt-BR"/>
        </w:rPr>
        <w:t>Mérito</w:t>
      </w:r>
      <w:r w:rsidRPr="00566CD5">
        <w:rPr>
          <w:color w:val="auto"/>
          <w:lang w:val="pt-BR"/>
        </w:rPr>
        <w:t xml:space="preserve">, Reparações e </w:t>
      </w:r>
      <w:r w:rsidR="00922F53">
        <w:rPr>
          <w:color w:val="auto"/>
          <w:lang w:val="pt-BR"/>
        </w:rPr>
        <w:t>Custas</w:t>
      </w:r>
      <w:r w:rsidRPr="00566CD5">
        <w:rPr>
          <w:color w:val="auto"/>
          <w:lang w:val="pt-BR"/>
        </w:rPr>
        <w:t>. Sentença de 15 de março de 2018. Série C Nº 353, par. 107</w:t>
      </w:r>
    </w:p>
  </w:footnote>
  <w:footnote w:id="4">
    <w:p w14:paraId="0737D2A1" w14:textId="77777777" w:rsidR="00DA5DAC" w:rsidRPr="00EF472D"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w:t>
      </w:r>
      <w:r w:rsidRPr="00566CD5">
        <w:rPr>
          <w:b/>
          <w:bCs/>
          <w:color w:val="auto"/>
          <w:lang w:val="pt-BR"/>
        </w:rPr>
        <w:t>Anexo 4</w:t>
      </w:r>
      <w:r w:rsidRPr="00566CD5">
        <w:rPr>
          <w:color w:val="auto"/>
          <w:lang w:val="pt-BR"/>
        </w:rPr>
        <w:t xml:space="preserve">. </w:t>
      </w:r>
      <w:r w:rsidRPr="00EF472D">
        <w:rPr>
          <w:rStyle w:val="Emphasis"/>
          <w:rFonts w:cs="Arial"/>
          <w:i w:val="0"/>
          <w:iCs w:val="0"/>
          <w:color w:val="auto"/>
          <w:lang w:val="pt-BR"/>
        </w:rPr>
        <w:t>Relatório da</w:t>
      </w:r>
      <w:r w:rsidRPr="00EF472D">
        <w:rPr>
          <w:rStyle w:val="st1"/>
          <w:rFonts w:cs="Arial"/>
          <w:b/>
          <w:color w:val="auto"/>
          <w:lang w:val="pt-BR"/>
        </w:rPr>
        <w:t xml:space="preserve"> </w:t>
      </w:r>
      <w:r w:rsidRPr="00EF472D">
        <w:rPr>
          <w:rStyle w:val="Emphasis"/>
          <w:rFonts w:cs="Arial"/>
          <w:i w:val="0"/>
          <w:iCs w:val="0"/>
          <w:color w:val="auto"/>
          <w:lang w:val="pt-BR"/>
        </w:rPr>
        <w:t>Comissão Nacional da Verdade. Volume III – Mortos e desaparecidos políticos. Introdução.</w:t>
      </w:r>
      <w:r w:rsidRPr="00EF472D">
        <w:rPr>
          <w:color w:val="auto"/>
          <w:lang w:val="pt-BR"/>
        </w:rPr>
        <w:t xml:space="preserve"> fls. 26, de 10 de dezembro de 2014. Anexo à comunicação da parte peticionária de novembro de 2017.</w:t>
      </w:r>
    </w:p>
  </w:footnote>
  <w:footnote w:id="5">
    <w:p w14:paraId="0398228A" w14:textId="2AD2EC69" w:rsidR="00DA5DAC" w:rsidRPr="00566CD5" w:rsidRDefault="00DA5DAC" w:rsidP="00155439">
      <w:pPr>
        <w:pStyle w:val="FootnoteText"/>
        <w:ind w:firstLine="0"/>
        <w:contextualSpacing/>
        <w:rPr>
          <w:color w:val="auto"/>
          <w:lang w:val="pt-BR"/>
        </w:rPr>
      </w:pPr>
      <w:r w:rsidRPr="00EF472D">
        <w:rPr>
          <w:rStyle w:val="FootnoteReference"/>
          <w:color w:val="auto"/>
          <w:lang w:val="pt-BR"/>
        </w:rPr>
        <w:footnoteRef/>
      </w:r>
      <w:r w:rsidRPr="00EF472D">
        <w:rPr>
          <w:color w:val="auto"/>
          <w:lang w:val="pt-BR"/>
        </w:rPr>
        <w:t xml:space="preserve"> Corte IDH. Caso Goiburú e outros vs. Paraguai. Sentença de 22 de setembro de 2006. Série C Nº 153; Corte IDH. </w:t>
      </w:r>
      <w:r w:rsidRPr="00EF472D">
        <w:rPr>
          <w:rStyle w:val="Emphasis"/>
          <w:rFonts w:cs="Arial"/>
          <w:i w:val="0"/>
          <w:iCs w:val="0"/>
          <w:color w:val="auto"/>
          <w:lang w:val="pt-BR"/>
        </w:rPr>
        <w:t>Caso Barrios Altos vs</w:t>
      </w:r>
      <w:r w:rsidRPr="00EF472D">
        <w:rPr>
          <w:rStyle w:val="st1"/>
          <w:rFonts w:cs="Arial"/>
          <w:color w:val="auto"/>
          <w:lang w:val="pt-BR"/>
        </w:rPr>
        <w:t>.</w:t>
      </w:r>
      <w:r w:rsidRPr="00EF472D">
        <w:rPr>
          <w:rStyle w:val="st1"/>
          <w:rFonts w:cs="Arial"/>
          <w:b/>
          <w:color w:val="auto"/>
          <w:lang w:val="pt-BR"/>
        </w:rPr>
        <w:t xml:space="preserve"> </w:t>
      </w:r>
      <w:r w:rsidRPr="00EF472D">
        <w:rPr>
          <w:rStyle w:val="Emphasis"/>
          <w:rFonts w:cs="Arial"/>
          <w:i w:val="0"/>
          <w:iCs w:val="0"/>
          <w:color w:val="auto"/>
          <w:lang w:val="pt-BR"/>
        </w:rPr>
        <w:t>Peru</w:t>
      </w:r>
      <w:r w:rsidRPr="00EF472D">
        <w:rPr>
          <w:rStyle w:val="st1"/>
          <w:rFonts w:cs="Arial"/>
          <w:b/>
          <w:color w:val="auto"/>
          <w:lang w:val="pt-BR"/>
        </w:rPr>
        <w:t xml:space="preserve">. </w:t>
      </w:r>
      <w:r w:rsidRPr="00EF472D">
        <w:rPr>
          <w:rStyle w:val="Emphasis"/>
          <w:rFonts w:cs="Arial"/>
          <w:i w:val="0"/>
          <w:iCs w:val="0"/>
          <w:color w:val="auto"/>
          <w:lang w:val="pt-BR"/>
        </w:rPr>
        <w:t>Sentença de 14 de março de 2001</w:t>
      </w:r>
      <w:r w:rsidRPr="00EF472D">
        <w:rPr>
          <w:rStyle w:val="st1"/>
          <w:rFonts w:cs="Arial"/>
          <w:b/>
          <w:color w:val="auto"/>
          <w:lang w:val="pt-BR"/>
        </w:rPr>
        <w:t xml:space="preserve">, </w:t>
      </w:r>
      <w:r w:rsidRPr="00EF472D">
        <w:rPr>
          <w:rStyle w:val="Emphasis"/>
          <w:rFonts w:cs="Arial"/>
          <w:i w:val="0"/>
          <w:iCs w:val="0"/>
          <w:color w:val="auto"/>
          <w:lang w:val="pt-BR"/>
        </w:rPr>
        <w:t>Série</w:t>
      </w:r>
      <w:r w:rsidRPr="00EF472D">
        <w:rPr>
          <w:rStyle w:val="st1"/>
          <w:rFonts w:cs="Arial"/>
          <w:b/>
          <w:color w:val="auto"/>
          <w:lang w:val="pt-BR"/>
        </w:rPr>
        <w:t xml:space="preserve"> </w:t>
      </w:r>
      <w:r w:rsidRPr="00EF472D">
        <w:rPr>
          <w:rStyle w:val="st1"/>
          <w:rFonts w:cs="Arial"/>
          <w:color w:val="auto"/>
          <w:lang w:val="pt-BR"/>
        </w:rPr>
        <w:t xml:space="preserve">C N° 75; Corte IDH. Caso Almonacid Arellano e outros Vs. Chile. Sentença de 26 de setembro de 2006 (Exceções Preliminares, </w:t>
      </w:r>
      <w:r w:rsidR="00884749" w:rsidRPr="00EF472D">
        <w:rPr>
          <w:rStyle w:val="st1"/>
          <w:rFonts w:cs="Arial"/>
          <w:color w:val="auto"/>
          <w:lang w:val="pt-BR"/>
        </w:rPr>
        <w:t>Mérito</w:t>
      </w:r>
      <w:r w:rsidRPr="00EF472D">
        <w:rPr>
          <w:rStyle w:val="st1"/>
          <w:rFonts w:cs="Arial"/>
          <w:color w:val="auto"/>
          <w:lang w:val="pt-BR"/>
        </w:rPr>
        <w:t xml:space="preserve">, Reparações e </w:t>
      </w:r>
      <w:r w:rsidR="00922F53" w:rsidRPr="00EF472D">
        <w:rPr>
          <w:rStyle w:val="st1"/>
          <w:rFonts w:cs="Arial"/>
          <w:color w:val="auto"/>
          <w:lang w:val="pt-BR"/>
        </w:rPr>
        <w:t>Custas</w:t>
      </w:r>
      <w:r w:rsidRPr="00EF472D">
        <w:rPr>
          <w:rStyle w:val="st1"/>
          <w:rFonts w:cs="Arial"/>
          <w:color w:val="auto"/>
          <w:lang w:val="pt-BR"/>
        </w:rPr>
        <w:t xml:space="preserve">). </w:t>
      </w:r>
      <w:r w:rsidRPr="00EF472D">
        <w:rPr>
          <w:rStyle w:val="Emphasis"/>
          <w:rFonts w:cs="Arial"/>
          <w:i w:val="0"/>
          <w:iCs w:val="0"/>
          <w:color w:val="auto"/>
          <w:lang w:val="pt-BR"/>
        </w:rPr>
        <w:t>Série</w:t>
      </w:r>
      <w:r w:rsidRPr="00EF472D">
        <w:rPr>
          <w:rStyle w:val="st1"/>
          <w:rFonts w:cs="Arial"/>
          <w:b/>
          <w:color w:val="auto"/>
          <w:lang w:val="pt-BR"/>
        </w:rPr>
        <w:t xml:space="preserve"> </w:t>
      </w:r>
      <w:r w:rsidRPr="00EF472D">
        <w:rPr>
          <w:rStyle w:val="st1"/>
          <w:rFonts w:cs="Arial"/>
          <w:color w:val="auto"/>
          <w:lang w:val="pt-BR"/>
        </w:rPr>
        <w:t xml:space="preserve">C, n° 154; Corte IDH, </w:t>
      </w:r>
      <w:r w:rsidRPr="00EF472D">
        <w:rPr>
          <w:rStyle w:val="Emphasis"/>
          <w:rFonts w:cs="Arial"/>
          <w:i w:val="0"/>
          <w:iCs w:val="0"/>
          <w:color w:val="auto"/>
          <w:lang w:val="pt-BR"/>
        </w:rPr>
        <w:t>Caso Gelman Vs</w:t>
      </w:r>
      <w:r w:rsidRPr="00EF472D">
        <w:rPr>
          <w:rStyle w:val="st1"/>
          <w:rFonts w:cs="Arial"/>
          <w:b/>
          <w:color w:val="auto"/>
          <w:lang w:val="pt-BR"/>
        </w:rPr>
        <w:t xml:space="preserve">. </w:t>
      </w:r>
      <w:r w:rsidR="00566CD5" w:rsidRPr="00EF472D">
        <w:rPr>
          <w:rStyle w:val="Emphasis"/>
          <w:rFonts w:cs="Arial"/>
          <w:i w:val="0"/>
          <w:iCs w:val="0"/>
          <w:color w:val="auto"/>
          <w:lang w:val="pt-BR"/>
        </w:rPr>
        <w:t>Uruguai</w:t>
      </w:r>
      <w:r w:rsidRPr="00EF472D">
        <w:rPr>
          <w:rStyle w:val="Emphasis"/>
          <w:rFonts w:cs="Arial"/>
          <w:i w:val="0"/>
          <w:iCs w:val="0"/>
          <w:color w:val="auto"/>
          <w:lang w:val="pt-BR"/>
        </w:rPr>
        <w:t>, Sentença de 24 de fevereiro de 2011.</w:t>
      </w:r>
      <w:r w:rsidRPr="00EF472D">
        <w:rPr>
          <w:rStyle w:val="st1"/>
          <w:rFonts w:cs="Arial"/>
          <w:b/>
          <w:color w:val="auto"/>
          <w:lang w:val="pt-BR"/>
        </w:rPr>
        <w:t xml:space="preserve"> (</w:t>
      </w:r>
      <w:r w:rsidR="00884749" w:rsidRPr="00EF472D">
        <w:rPr>
          <w:rStyle w:val="Emphasis"/>
          <w:rFonts w:cs="Arial"/>
          <w:i w:val="0"/>
          <w:iCs w:val="0"/>
          <w:color w:val="auto"/>
          <w:lang w:val="pt-BR"/>
        </w:rPr>
        <w:t>Mérito</w:t>
      </w:r>
      <w:r w:rsidRPr="00EF472D">
        <w:rPr>
          <w:rStyle w:val="Emphasis"/>
          <w:rFonts w:cs="Arial"/>
          <w:i w:val="0"/>
          <w:iCs w:val="0"/>
          <w:color w:val="auto"/>
          <w:lang w:val="pt-BR"/>
        </w:rPr>
        <w:t xml:space="preserve"> e Reparações)</w:t>
      </w:r>
      <w:r w:rsidRPr="00EF472D">
        <w:rPr>
          <w:rStyle w:val="st1"/>
          <w:rFonts w:cs="Arial"/>
          <w:b/>
          <w:color w:val="auto"/>
          <w:lang w:val="pt-BR"/>
        </w:rPr>
        <w:t xml:space="preserve">, </w:t>
      </w:r>
      <w:r w:rsidRPr="00EF472D">
        <w:rPr>
          <w:rStyle w:val="Emphasis"/>
          <w:rFonts w:cs="Arial"/>
          <w:i w:val="0"/>
          <w:iCs w:val="0"/>
          <w:color w:val="auto"/>
          <w:lang w:val="pt-BR"/>
        </w:rPr>
        <w:t>Série</w:t>
      </w:r>
      <w:r w:rsidRPr="00566CD5">
        <w:rPr>
          <w:rStyle w:val="st1"/>
          <w:rFonts w:cs="Arial"/>
          <w:color w:val="auto"/>
          <w:lang w:val="pt-BR"/>
        </w:rPr>
        <w:t xml:space="preserve"> C, n° 221.</w:t>
      </w:r>
    </w:p>
  </w:footnote>
  <w:footnote w:id="6">
    <w:p w14:paraId="7E71B683" w14:textId="77777777"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w:t>
      </w:r>
      <w:r w:rsidRPr="00566CD5">
        <w:rPr>
          <w:b/>
          <w:bCs/>
          <w:color w:val="auto"/>
          <w:lang w:val="pt-BR"/>
        </w:rPr>
        <w:t>Anexo 4</w:t>
      </w:r>
      <w:r w:rsidRPr="00566CD5">
        <w:rPr>
          <w:color w:val="auto"/>
          <w:lang w:val="pt-BR"/>
        </w:rPr>
        <w:t xml:space="preserve">. </w:t>
      </w:r>
      <w:r w:rsidRPr="00EF472D">
        <w:rPr>
          <w:rStyle w:val="Emphasis"/>
          <w:rFonts w:cs="Arial"/>
          <w:i w:val="0"/>
          <w:iCs w:val="0"/>
          <w:color w:val="auto"/>
          <w:lang w:val="pt-BR"/>
        </w:rPr>
        <w:t>Relatório da</w:t>
      </w:r>
      <w:r w:rsidRPr="00EF472D">
        <w:rPr>
          <w:rStyle w:val="st1"/>
          <w:rFonts w:cs="Arial"/>
          <w:b/>
          <w:i/>
          <w:iCs/>
          <w:color w:val="auto"/>
          <w:lang w:val="pt-BR"/>
        </w:rPr>
        <w:t xml:space="preserve"> </w:t>
      </w:r>
      <w:r w:rsidRPr="00EF472D">
        <w:rPr>
          <w:rStyle w:val="Emphasis"/>
          <w:rFonts w:cs="Arial"/>
          <w:i w:val="0"/>
          <w:iCs w:val="0"/>
          <w:color w:val="auto"/>
          <w:lang w:val="pt-BR"/>
        </w:rPr>
        <w:t>Comissão Nacional da Verdade. Volume III – Mortos e desaparecidos políticos. Introdução</w:t>
      </w:r>
      <w:r w:rsidRPr="00566CD5">
        <w:rPr>
          <w:rStyle w:val="Emphasis"/>
          <w:rFonts w:cs="Arial"/>
          <w:color w:val="auto"/>
          <w:lang w:val="pt-BR"/>
        </w:rPr>
        <w:t>.</w:t>
      </w:r>
      <w:r w:rsidR="00E86492" w:rsidRPr="00566CD5">
        <w:rPr>
          <w:color w:val="auto"/>
          <w:lang w:val="pt-BR"/>
        </w:rPr>
        <w:t xml:space="preserve"> p. 23, de</w:t>
      </w:r>
      <w:r w:rsidRPr="00566CD5">
        <w:rPr>
          <w:color w:val="auto"/>
          <w:lang w:val="pt-BR"/>
        </w:rPr>
        <w:t xml:space="preserve"> 10 de </w:t>
      </w:r>
      <w:r w:rsidR="00566CD5" w:rsidRPr="00566CD5">
        <w:rPr>
          <w:color w:val="auto"/>
          <w:lang w:val="pt-BR"/>
        </w:rPr>
        <w:t>dezembro</w:t>
      </w:r>
      <w:r w:rsidRPr="00566CD5">
        <w:rPr>
          <w:color w:val="auto"/>
          <w:lang w:val="pt-BR"/>
        </w:rPr>
        <w:t xml:space="preserve"> de 2014. Anexo </w:t>
      </w:r>
      <w:r w:rsidR="00E86492" w:rsidRPr="00566CD5">
        <w:rPr>
          <w:color w:val="auto"/>
          <w:lang w:val="pt-BR"/>
        </w:rPr>
        <w:t>à</w:t>
      </w:r>
      <w:r w:rsidRPr="00566CD5">
        <w:rPr>
          <w:color w:val="auto"/>
          <w:lang w:val="pt-BR"/>
        </w:rPr>
        <w:t xml:space="preserve"> comunicação da </w:t>
      </w:r>
      <w:r w:rsidR="00E86492" w:rsidRPr="00566CD5">
        <w:rPr>
          <w:color w:val="auto"/>
          <w:lang w:val="pt-BR"/>
        </w:rPr>
        <w:t>parte peticionária de novembro</w:t>
      </w:r>
      <w:r w:rsidRPr="00566CD5">
        <w:rPr>
          <w:color w:val="auto"/>
          <w:lang w:val="pt-BR"/>
        </w:rPr>
        <w:t xml:space="preserve"> de 2017.</w:t>
      </w:r>
    </w:p>
  </w:footnote>
  <w:footnote w:id="7">
    <w:p w14:paraId="6B73AA23" w14:textId="1EFCFD0C"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Corte IDH. Caso Gomes Lund e o</w:t>
      </w:r>
      <w:r w:rsidR="00E86492" w:rsidRPr="00566CD5">
        <w:rPr>
          <w:color w:val="auto"/>
          <w:lang w:val="pt-BR"/>
        </w:rPr>
        <w:t>utros (“Guerrilha do Araguaia”) v</w:t>
      </w:r>
      <w:r w:rsidRPr="00566CD5">
        <w:rPr>
          <w:color w:val="auto"/>
          <w:lang w:val="pt-BR"/>
        </w:rPr>
        <w:t>s. Brasil. Ex</w:t>
      </w:r>
      <w:r w:rsidR="00E86492" w:rsidRPr="00566CD5">
        <w:rPr>
          <w:color w:val="auto"/>
          <w:lang w:val="pt-BR"/>
        </w:rPr>
        <w:t>ce</w:t>
      </w:r>
      <w:r w:rsidRPr="00566CD5">
        <w:rPr>
          <w:color w:val="auto"/>
          <w:lang w:val="pt-BR"/>
        </w:rPr>
        <w:t>ções</w:t>
      </w:r>
      <w:r w:rsidR="00E86492" w:rsidRPr="00566CD5">
        <w:rPr>
          <w:color w:val="auto"/>
          <w:lang w:val="pt-BR"/>
        </w:rPr>
        <w:t xml:space="preserve"> Preliminares, </w:t>
      </w:r>
      <w:r w:rsidR="00884749">
        <w:rPr>
          <w:color w:val="auto"/>
          <w:lang w:val="pt-BR"/>
        </w:rPr>
        <w:t>Mérito</w:t>
      </w:r>
      <w:r w:rsidRPr="00566CD5">
        <w:rPr>
          <w:color w:val="auto"/>
          <w:lang w:val="pt-BR"/>
        </w:rPr>
        <w:t xml:space="preserve">, Reparações e </w:t>
      </w:r>
      <w:r w:rsidR="00922F53">
        <w:rPr>
          <w:color w:val="auto"/>
          <w:lang w:val="pt-BR"/>
        </w:rPr>
        <w:t>Custas</w:t>
      </w:r>
      <w:r w:rsidRPr="00566CD5">
        <w:rPr>
          <w:color w:val="auto"/>
          <w:lang w:val="pt-BR"/>
        </w:rPr>
        <w:t>. Sentença</w:t>
      </w:r>
      <w:r w:rsidR="00E86492" w:rsidRPr="00566CD5">
        <w:rPr>
          <w:color w:val="auto"/>
          <w:lang w:val="pt-BR"/>
        </w:rPr>
        <w:t xml:space="preserve"> de 24 de novembro</w:t>
      </w:r>
      <w:r w:rsidRPr="00566CD5">
        <w:rPr>
          <w:color w:val="auto"/>
          <w:lang w:val="pt-BR"/>
        </w:rPr>
        <w:t xml:space="preserve"> de 2010. Série</w:t>
      </w:r>
      <w:r w:rsidR="00E86492" w:rsidRPr="00566CD5">
        <w:rPr>
          <w:color w:val="auto"/>
          <w:lang w:val="pt-BR"/>
        </w:rPr>
        <w:t xml:space="preserve"> C Nº 219, pa</w:t>
      </w:r>
      <w:r w:rsidRPr="00566CD5">
        <w:rPr>
          <w:color w:val="auto"/>
          <w:lang w:val="pt-BR"/>
        </w:rPr>
        <w:t xml:space="preserve">r. 85; </w:t>
      </w:r>
      <w:r w:rsidRPr="00566CD5">
        <w:rPr>
          <w:b/>
          <w:bCs/>
          <w:color w:val="auto"/>
          <w:lang w:val="pt-BR"/>
        </w:rPr>
        <w:t>Anexo 1</w:t>
      </w:r>
      <w:r w:rsidRPr="00566CD5">
        <w:rPr>
          <w:color w:val="auto"/>
          <w:lang w:val="pt-BR"/>
        </w:rPr>
        <w:t xml:space="preserve">. </w:t>
      </w:r>
      <w:r w:rsidRPr="00EF472D">
        <w:rPr>
          <w:rStyle w:val="Emphasis"/>
          <w:rFonts w:cs="Arial"/>
          <w:i w:val="0"/>
          <w:iCs w:val="0"/>
          <w:color w:val="auto"/>
          <w:lang w:val="pt-BR"/>
        </w:rPr>
        <w:t>Brasil. Presidência da República. Secretaria Especial dos Direitos Humanos. Direito</w:t>
      </w:r>
      <w:r w:rsidRPr="00EF472D">
        <w:rPr>
          <w:rStyle w:val="st1"/>
          <w:rFonts w:cs="Arial"/>
          <w:b/>
          <w:i/>
          <w:iCs/>
          <w:color w:val="auto"/>
          <w:lang w:val="pt-BR"/>
        </w:rPr>
        <w:t xml:space="preserve"> </w:t>
      </w:r>
      <w:r w:rsidRPr="00EF472D">
        <w:rPr>
          <w:rStyle w:val="st1"/>
          <w:rFonts w:cs="Arial"/>
          <w:i/>
          <w:iCs/>
          <w:color w:val="auto"/>
          <w:lang w:val="pt-BR"/>
        </w:rPr>
        <w:t>à</w:t>
      </w:r>
      <w:r w:rsidRPr="00EF472D">
        <w:rPr>
          <w:rStyle w:val="st1"/>
          <w:rFonts w:cs="Arial"/>
          <w:b/>
          <w:i/>
          <w:iCs/>
          <w:color w:val="auto"/>
          <w:lang w:val="pt-BR"/>
        </w:rPr>
        <w:t xml:space="preserve"> </w:t>
      </w:r>
      <w:r w:rsidRPr="00EF472D">
        <w:rPr>
          <w:rStyle w:val="Emphasis"/>
          <w:rFonts w:cs="Arial"/>
          <w:i w:val="0"/>
          <w:iCs w:val="0"/>
          <w:color w:val="auto"/>
          <w:lang w:val="pt-BR"/>
        </w:rPr>
        <w:t>Mem</w:t>
      </w:r>
      <w:r w:rsidR="00E86492" w:rsidRPr="00EF472D">
        <w:rPr>
          <w:rStyle w:val="Emphasis"/>
          <w:rFonts w:cs="Arial"/>
          <w:i w:val="0"/>
          <w:iCs w:val="0"/>
          <w:color w:val="auto"/>
          <w:lang w:val="pt-BR"/>
        </w:rPr>
        <w:t>ó</w:t>
      </w:r>
      <w:r w:rsidRPr="00EF472D">
        <w:rPr>
          <w:rStyle w:val="Emphasis"/>
          <w:rFonts w:cs="Arial"/>
          <w:i w:val="0"/>
          <w:iCs w:val="0"/>
          <w:color w:val="auto"/>
          <w:lang w:val="pt-BR"/>
        </w:rPr>
        <w:t>ria e</w:t>
      </w:r>
      <w:r w:rsidRPr="00EF472D">
        <w:rPr>
          <w:rStyle w:val="st1"/>
          <w:rFonts w:cs="Arial"/>
          <w:b/>
          <w:i/>
          <w:iCs/>
          <w:color w:val="auto"/>
          <w:lang w:val="pt-BR"/>
        </w:rPr>
        <w:t xml:space="preserve"> </w:t>
      </w:r>
      <w:r w:rsidRPr="00EF472D">
        <w:rPr>
          <w:rStyle w:val="st1"/>
          <w:rFonts w:cs="Arial"/>
          <w:i/>
          <w:iCs/>
          <w:color w:val="auto"/>
          <w:lang w:val="pt-BR"/>
        </w:rPr>
        <w:t>à</w:t>
      </w:r>
      <w:r w:rsidRPr="00EF472D">
        <w:rPr>
          <w:rStyle w:val="st1"/>
          <w:rFonts w:cs="Arial"/>
          <w:b/>
          <w:i/>
          <w:iCs/>
          <w:color w:val="auto"/>
          <w:lang w:val="pt-BR"/>
        </w:rPr>
        <w:t xml:space="preserve"> </w:t>
      </w:r>
      <w:r w:rsidRPr="00EF472D">
        <w:rPr>
          <w:rStyle w:val="Emphasis"/>
          <w:rFonts w:cs="Arial"/>
          <w:i w:val="0"/>
          <w:iCs w:val="0"/>
          <w:color w:val="auto"/>
          <w:lang w:val="pt-BR"/>
        </w:rPr>
        <w:t>Verdade: Comissão Especial sobre Mortos e Desaparecidos Políticos. Brasília, Secretaria Especial dos Direitos Humanos, 2007</w:t>
      </w:r>
      <w:r w:rsidRPr="00566CD5">
        <w:rPr>
          <w:rStyle w:val="Emphasis"/>
          <w:rFonts w:cs="Arial"/>
          <w:color w:val="auto"/>
          <w:lang w:val="pt-BR"/>
        </w:rPr>
        <w:t>,</w:t>
      </w:r>
      <w:r w:rsidRPr="00EF472D">
        <w:rPr>
          <w:rStyle w:val="Emphasis"/>
          <w:rFonts w:cs="Arial"/>
          <w:i w:val="0"/>
          <w:iCs w:val="0"/>
          <w:color w:val="auto"/>
          <w:lang w:val="pt-BR"/>
        </w:rPr>
        <w:t xml:space="preserve"> p. 22</w:t>
      </w:r>
      <w:r w:rsidRPr="00566CD5">
        <w:rPr>
          <w:rStyle w:val="Emphasis"/>
          <w:rFonts w:cs="Arial"/>
          <w:color w:val="auto"/>
          <w:lang w:val="pt-BR"/>
        </w:rPr>
        <w:t xml:space="preserve">. </w:t>
      </w:r>
      <w:r w:rsidRPr="00566CD5">
        <w:rPr>
          <w:color w:val="auto"/>
          <w:lang w:val="pt-BR"/>
        </w:rPr>
        <w:t xml:space="preserve">Anexo </w:t>
      </w:r>
      <w:r w:rsidR="00E86492" w:rsidRPr="00566CD5">
        <w:rPr>
          <w:color w:val="auto"/>
          <w:lang w:val="pt-BR"/>
        </w:rPr>
        <w:t xml:space="preserve">à </w:t>
      </w:r>
      <w:r w:rsidRPr="00566CD5">
        <w:rPr>
          <w:color w:val="auto"/>
          <w:lang w:val="pt-BR"/>
        </w:rPr>
        <w:t xml:space="preserve">comunicação da </w:t>
      </w:r>
      <w:r w:rsidR="00E86492" w:rsidRPr="00566CD5">
        <w:rPr>
          <w:color w:val="auto"/>
          <w:lang w:val="pt-BR"/>
        </w:rPr>
        <w:t>parte peticionária de novembro</w:t>
      </w:r>
      <w:r w:rsidRPr="00566CD5">
        <w:rPr>
          <w:color w:val="auto"/>
          <w:lang w:val="pt-BR"/>
        </w:rPr>
        <w:t xml:space="preserve"> de 2017.</w:t>
      </w:r>
    </w:p>
  </w:footnote>
  <w:footnote w:id="8">
    <w:p w14:paraId="4F52E5F1" w14:textId="537093BB"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Demanda da Comissão Interamericana de Direito</w:t>
      </w:r>
      <w:r w:rsidR="00E86492" w:rsidRPr="00566CD5">
        <w:rPr>
          <w:color w:val="auto"/>
          <w:lang w:val="pt-BR"/>
        </w:rPr>
        <w:t xml:space="preserve">s Humanos </w:t>
      </w:r>
      <w:r w:rsidR="000113DA">
        <w:rPr>
          <w:color w:val="auto"/>
          <w:lang w:val="pt-BR"/>
        </w:rPr>
        <w:t>per</w:t>
      </w:r>
      <w:r w:rsidR="00E86492" w:rsidRPr="00566CD5">
        <w:rPr>
          <w:color w:val="auto"/>
          <w:lang w:val="pt-BR"/>
        </w:rPr>
        <w:t xml:space="preserve">ante </w:t>
      </w:r>
      <w:r w:rsidRPr="00566CD5">
        <w:rPr>
          <w:color w:val="auto"/>
          <w:lang w:val="pt-BR"/>
        </w:rPr>
        <w:t>a Corte Interamericana de Direito</w:t>
      </w:r>
      <w:r w:rsidR="00E86492" w:rsidRPr="00566CD5">
        <w:rPr>
          <w:color w:val="auto"/>
          <w:lang w:val="pt-BR"/>
        </w:rPr>
        <w:t>s Humanos contra a República Federativa do</w:t>
      </w:r>
      <w:r w:rsidRPr="00566CD5">
        <w:rPr>
          <w:color w:val="auto"/>
          <w:lang w:val="pt-BR"/>
        </w:rPr>
        <w:t xml:space="preserve"> Brasil. Caso 11,552 - Julia Gomes Lund e </w:t>
      </w:r>
      <w:r w:rsidR="00E86492" w:rsidRPr="00566CD5">
        <w:rPr>
          <w:color w:val="auto"/>
          <w:lang w:val="pt-BR"/>
        </w:rPr>
        <w:t>outros (Guerrilha do Araguaia), de 26 de março de 2009, pa</w:t>
      </w:r>
      <w:r w:rsidRPr="00566CD5">
        <w:rPr>
          <w:color w:val="auto"/>
          <w:lang w:val="pt-BR"/>
        </w:rPr>
        <w:t xml:space="preserve">r. 53.  </w:t>
      </w:r>
    </w:p>
  </w:footnote>
  <w:footnote w:id="9">
    <w:p w14:paraId="3A4C37AD" w14:textId="77777777"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Corte IDH. Caso Goiburú e o</w:t>
      </w:r>
      <w:r w:rsidR="00E86492" w:rsidRPr="00566CD5">
        <w:rPr>
          <w:color w:val="auto"/>
          <w:lang w:val="pt-BR"/>
        </w:rPr>
        <w:t>utros vs. Paraguai</w:t>
      </w:r>
      <w:r w:rsidRPr="00566CD5">
        <w:rPr>
          <w:color w:val="auto"/>
          <w:lang w:val="pt-BR"/>
        </w:rPr>
        <w:t>, Sentença de 22 de setembro de 2006. Série</w:t>
      </w:r>
      <w:r w:rsidR="00E86492" w:rsidRPr="00566CD5">
        <w:rPr>
          <w:color w:val="auto"/>
          <w:lang w:val="pt-BR"/>
        </w:rPr>
        <w:t xml:space="preserve"> C Nº</w:t>
      </w:r>
      <w:r w:rsidRPr="00566CD5">
        <w:rPr>
          <w:color w:val="auto"/>
          <w:lang w:val="pt-BR"/>
        </w:rPr>
        <w:t xml:space="preserve"> 15</w:t>
      </w:r>
      <w:r w:rsidR="00E86492" w:rsidRPr="00566CD5">
        <w:rPr>
          <w:color w:val="auto"/>
          <w:lang w:val="pt-BR"/>
        </w:rPr>
        <w:t>3, pa</w:t>
      </w:r>
      <w:r w:rsidRPr="00566CD5">
        <w:rPr>
          <w:color w:val="auto"/>
          <w:lang w:val="pt-BR"/>
        </w:rPr>
        <w:t xml:space="preserve">r. 61.5.  </w:t>
      </w:r>
    </w:p>
  </w:footnote>
  <w:footnote w:id="10">
    <w:p w14:paraId="1900BB9F" w14:textId="5A3EB9BD"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Demanda da Comissão Interamericana de Direito</w:t>
      </w:r>
      <w:r w:rsidR="00E86492" w:rsidRPr="00566CD5">
        <w:rPr>
          <w:color w:val="auto"/>
          <w:lang w:val="pt-BR"/>
        </w:rPr>
        <w:t xml:space="preserve">s Humanos </w:t>
      </w:r>
      <w:r w:rsidR="000113DA">
        <w:rPr>
          <w:color w:val="auto"/>
          <w:lang w:val="pt-BR"/>
        </w:rPr>
        <w:t>per</w:t>
      </w:r>
      <w:r w:rsidR="00E86492" w:rsidRPr="00566CD5">
        <w:rPr>
          <w:color w:val="auto"/>
          <w:lang w:val="pt-BR"/>
        </w:rPr>
        <w:t xml:space="preserve">ante </w:t>
      </w:r>
      <w:r w:rsidRPr="00566CD5">
        <w:rPr>
          <w:color w:val="auto"/>
          <w:lang w:val="pt-BR"/>
        </w:rPr>
        <w:t>a Corte Interamericana de Direito</w:t>
      </w:r>
      <w:r w:rsidR="00E86492" w:rsidRPr="00566CD5">
        <w:rPr>
          <w:color w:val="auto"/>
          <w:lang w:val="pt-BR"/>
        </w:rPr>
        <w:t>s Humanos contra a República Federativa do</w:t>
      </w:r>
      <w:r w:rsidRPr="00566CD5">
        <w:rPr>
          <w:color w:val="auto"/>
          <w:lang w:val="pt-BR"/>
        </w:rPr>
        <w:t xml:space="preserve"> Brasil. Caso 11,552 - Julia Gomes Lund e </w:t>
      </w:r>
      <w:r w:rsidR="00E86492" w:rsidRPr="00566CD5">
        <w:rPr>
          <w:color w:val="auto"/>
          <w:lang w:val="pt-BR"/>
        </w:rPr>
        <w:t>ou</w:t>
      </w:r>
      <w:r w:rsidRPr="00566CD5">
        <w:rPr>
          <w:color w:val="auto"/>
          <w:lang w:val="pt-BR"/>
        </w:rPr>
        <w:t>t</w:t>
      </w:r>
      <w:r w:rsidR="00E86492" w:rsidRPr="00566CD5">
        <w:rPr>
          <w:color w:val="auto"/>
          <w:lang w:val="pt-BR"/>
        </w:rPr>
        <w:t>ros (Guerrilha do Araguaia), de 26 de março de 2009, pa</w:t>
      </w:r>
      <w:r w:rsidRPr="00566CD5">
        <w:rPr>
          <w:color w:val="auto"/>
          <w:lang w:val="pt-BR"/>
        </w:rPr>
        <w:t xml:space="preserve">r. 54; </w:t>
      </w:r>
      <w:r w:rsidRPr="00566CD5">
        <w:rPr>
          <w:b/>
          <w:bCs/>
          <w:color w:val="auto"/>
          <w:lang w:val="pt-BR"/>
        </w:rPr>
        <w:t>Anexo 1</w:t>
      </w:r>
      <w:r w:rsidRPr="00566CD5">
        <w:rPr>
          <w:color w:val="auto"/>
          <w:lang w:val="pt-BR"/>
        </w:rPr>
        <w:t xml:space="preserve">. </w:t>
      </w:r>
      <w:r w:rsidRPr="00EF472D">
        <w:rPr>
          <w:rStyle w:val="Emphasis"/>
          <w:rFonts w:cs="Arial"/>
          <w:i w:val="0"/>
          <w:iCs w:val="0"/>
          <w:color w:val="auto"/>
          <w:lang w:val="pt-BR"/>
        </w:rPr>
        <w:t>Brasil. Presidência da República. Secretaria Especial dos Direitos Humanos. Direito</w:t>
      </w:r>
      <w:r w:rsidRPr="00EF472D">
        <w:rPr>
          <w:rStyle w:val="st1"/>
          <w:rFonts w:cs="Arial"/>
          <w:b/>
          <w:i/>
          <w:iCs/>
          <w:color w:val="auto"/>
          <w:lang w:val="pt-BR"/>
        </w:rPr>
        <w:t xml:space="preserve"> </w:t>
      </w:r>
      <w:r w:rsidRPr="00EF472D">
        <w:rPr>
          <w:rStyle w:val="st1"/>
          <w:rFonts w:cs="Arial"/>
          <w:i/>
          <w:iCs/>
          <w:color w:val="auto"/>
          <w:lang w:val="pt-BR"/>
        </w:rPr>
        <w:t>à</w:t>
      </w:r>
      <w:r w:rsidRPr="00EF472D">
        <w:rPr>
          <w:rStyle w:val="st1"/>
          <w:rFonts w:cs="Arial"/>
          <w:b/>
          <w:i/>
          <w:iCs/>
          <w:color w:val="auto"/>
          <w:lang w:val="pt-BR"/>
        </w:rPr>
        <w:t xml:space="preserve"> </w:t>
      </w:r>
      <w:r w:rsidRPr="00EF472D">
        <w:rPr>
          <w:rStyle w:val="Emphasis"/>
          <w:rFonts w:cs="Arial"/>
          <w:i w:val="0"/>
          <w:iCs w:val="0"/>
          <w:color w:val="auto"/>
          <w:lang w:val="pt-BR"/>
        </w:rPr>
        <w:t>Mem</w:t>
      </w:r>
      <w:r w:rsidR="00E86492" w:rsidRPr="00EF472D">
        <w:rPr>
          <w:rStyle w:val="Emphasis"/>
          <w:rFonts w:cs="Arial"/>
          <w:i w:val="0"/>
          <w:iCs w:val="0"/>
          <w:color w:val="auto"/>
          <w:lang w:val="pt-BR"/>
        </w:rPr>
        <w:t>ó</w:t>
      </w:r>
      <w:r w:rsidRPr="00EF472D">
        <w:rPr>
          <w:rStyle w:val="Emphasis"/>
          <w:rFonts w:cs="Arial"/>
          <w:i w:val="0"/>
          <w:iCs w:val="0"/>
          <w:color w:val="auto"/>
          <w:lang w:val="pt-BR"/>
        </w:rPr>
        <w:t>ria e</w:t>
      </w:r>
      <w:r w:rsidRPr="00EF472D">
        <w:rPr>
          <w:rStyle w:val="st1"/>
          <w:rFonts w:cs="Arial"/>
          <w:b/>
          <w:i/>
          <w:iCs/>
          <w:color w:val="auto"/>
          <w:lang w:val="pt-BR"/>
        </w:rPr>
        <w:t xml:space="preserve"> </w:t>
      </w:r>
      <w:r w:rsidRPr="00EF472D">
        <w:rPr>
          <w:rStyle w:val="st1"/>
          <w:rFonts w:cs="Arial"/>
          <w:i/>
          <w:iCs/>
          <w:color w:val="auto"/>
          <w:lang w:val="pt-BR"/>
        </w:rPr>
        <w:t>à</w:t>
      </w:r>
      <w:r w:rsidRPr="00EF472D">
        <w:rPr>
          <w:rStyle w:val="st1"/>
          <w:rFonts w:cs="Arial"/>
          <w:b/>
          <w:i/>
          <w:iCs/>
          <w:color w:val="auto"/>
          <w:lang w:val="pt-BR"/>
        </w:rPr>
        <w:t xml:space="preserve"> </w:t>
      </w:r>
      <w:r w:rsidRPr="00EF472D">
        <w:rPr>
          <w:rStyle w:val="Emphasis"/>
          <w:rFonts w:cs="Arial"/>
          <w:i w:val="0"/>
          <w:iCs w:val="0"/>
          <w:color w:val="auto"/>
          <w:lang w:val="pt-BR"/>
        </w:rPr>
        <w:t>Verdade: Comissão Especial sobre Mortos e Desaparecidos Políticos. Brasília, Secretaria Especial dos Direitos Humanos, 2007, p. 19</w:t>
      </w:r>
      <w:r w:rsidRPr="00566CD5">
        <w:rPr>
          <w:rStyle w:val="Emphasis"/>
          <w:rFonts w:cs="Arial"/>
          <w:color w:val="auto"/>
          <w:lang w:val="pt-BR"/>
        </w:rPr>
        <w:t xml:space="preserve">. </w:t>
      </w:r>
      <w:r w:rsidRPr="00566CD5">
        <w:rPr>
          <w:color w:val="auto"/>
          <w:lang w:val="pt-BR"/>
        </w:rPr>
        <w:t xml:space="preserve">Anexo </w:t>
      </w:r>
      <w:r w:rsidR="00E86492" w:rsidRPr="00566CD5">
        <w:rPr>
          <w:color w:val="auto"/>
          <w:lang w:val="pt-BR"/>
        </w:rPr>
        <w:t xml:space="preserve">à </w:t>
      </w:r>
      <w:r w:rsidRPr="00566CD5">
        <w:rPr>
          <w:color w:val="auto"/>
          <w:lang w:val="pt-BR"/>
        </w:rPr>
        <w:t xml:space="preserve">comunicação da </w:t>
      </w:r>
      <w:r w:rsidR="00E86492" w:rsidRPr="00566CD5">
        <w:rPr>
          <w:color w:val="auto"/>
          <w:lang w:val="pt-BR"/>
        </w:rPr>
        <w:t>parte peticionária de novembro</w:t>
      </w:r>
      <w:r w:rsidRPr="00566CD5">
        <w:rPr>
          <w:color w:val="auto"/>
          <w:lang w:val="pt-BR"/>
        </w:rPr>
        <w:t xml:space="preserve"> de 2017</w:t>
      </w:r>
    </w:p>
  </w:footnote>
  <w:footnote w:id="11">
    <w:p w14:paraId="4C2A7916" w14:textId="25C242BF"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00E86492" w:rsidRPr="00566CD5">
        <w:rPr>
          <w:color w:val="auto"/>
          <w:lang w:val="pt-BR"/>
        </w:rPr>
        <w:t xml:space="preserve"> Os A</w:t>
      </w:r>
      <w:r w:rsidRPr="00566CD5">
        <w:rPr>
          <w:color w:val="auto"/>
          <w:lang w:val="pt-BR"/>
        </w:rPr>
        <w:t>tos Institucionais</w:t>
      </w:r>
      <w:r w:rsidR="00E86492" w:rsidRPr="00566CD5">
        <w:rPr>
          <w:color w:val="auto"/>
          <w:lang w:val="pt-BR"/>
        </w:rPr>
        <w:t xml:space="preserve"> eram normas de exce</w:t>
      </w:r>
      <w:r w:rsidRPr="00566CD5">
        <w:rPr>
          <w:color w:val="auto"/>
          <w:lang w:val="pt-BR"/>
        </w:rPr>
        <w:t>ção</w:t>
      </w:r>
      <w:r w:rsidR="00E86492" w:rsidRPr="00566CD5">
        <w:rPr>
          <w:color w:val="auto"/>
          <w:lang w:val="pt-BR"/>
        </w:rPr>
        <w:t xml:space="preserve"> emitidas através de Decretos do Poder Ex</w:t>
      </w:r>
      <w:r w:rsidRPr="00566CD5">
        <w:rPr>
          <w:color w:val="auto"/>
          <w:lang w:val="pt-BR"/>
        </w:rPr>
        <w:t xml:space="preserve">ecutivo, </w:t>
      </w:r>
      <w:r w:rsidR="00E86492" w:rsidRPr="00566CD5">
        <w:rPr>
          <w:color w:val="auto"/>
          <w:lang w:val="pt-BR"/>
        </w:rPr>
        <w:t>isto é</w:t>
      </w:r>
      <w:r w:rsidRPr="00566CD5">
        <w:rPr>
          <w:color w:val="auto"/>
          <w:lang w:val="pt-BR"/>
        </w:rPr>
        <w:t xml:space="preserve">, </w:t>
      </w:r>
      <w:r w:rsidR="00E86492" w:rsidRPr="00566CD5">
        <w:rPr>
          <w:color w:val="auto"/>
          <w:lang w:val="pt-BR"/>
        </w:rPr>
        <w:t>do pró</w:t>
      </w:r>
      <w:r w:rsidRPr="00566CD5">
        <w:rPr>
          <w:color w:val="auto"/>
          <w:lang w:val="pt-BR"/>
        </w:rPr>
        <w:t>p</w:t>
      </w:r>
      <w:r w:rsidR="00E86492" w:rsidRPr="00566CD5">
        <w:rPr>
          <w:color w:val="auto"/>
          <w:lang w:val="pt-BR"/>
        </w:rPr>
        <w:t>rio gov</w:t>
      </w:r>
      <w:r w:rsidRPr="00566CD5">
        <w:rPr>
          <w:color w:val="auto"/>
          <w:lang w:val="pt-BR"/>
        </w:rPr>
        <w:t>erno militar, que pod</w:t>
      </w:r>
      <w:r w:rsidR="00E86492" w:rsidRPr="00566CD5">
        <w:rPr>
          <w:color w:val="auto"/>
          <w:lang w:val="pt-BR"/>
        </w:rPr>
        <w:t>iam inclusive reformar maté</w:t>
      </w:r>
      <w:r w:rsidRPr="00566CD5">
        <w:rPr>
          <w:color w:val="auto"/>
          <w:lang w:val="pt-BR"/>
        </w:rPr>
        <w:t xml:space="preserve">ria constitucional, </w:t>
      </w:r>
      <w:r w:rsidR="000113DA">
        <w:rPr>
          <w:color w:val="auto"/>
          <w:lang w:val="pt-BR"/>
        </w:rPr>
        <w:t>atribui</w:t>
      </w:r>
      <w:r w:rsidR="00E86492" w:rsidRPr="00566CD5">
        <w:rPr>
          <w:color w:val="auto"/>
          <w:lang w:val="pt-BR"/>
        </w:rPr>
        <w:t>ndo ao regime</w:t>
      </w:r>
      <w:r w:rsidRPr="00566CD5">
        <w:rPr>
          <w:color w:val="auto"/>
          <w:lang w:val="pt-BR"/>
        </w:rPr>
        <w:t xml:space="preserve"> total liberdade para </w:t>
      </w:r>
      <w:r w:rsidR="00E86492" w:rsidRPr="00566CD5">
        <w:rPr>
          <w:color w:val="auto"/>
          <w:lang w:val="pt-BR"/>
        </w:rPr>
        <w:t>mudar ou</w:t>
      </w:r>
      <w:r w:rsidRPr="00566CD5">
        <w:rPr>
          <w:color w:val="auto"/>
          <w:lang w:val="pt-BR"/>
        </w:rPr>
        <w:t xml:space="preserve"> suspender direitos estab</w:t>
      </w:r>
      <w:r w:rsidR="00E86492" w:rsidRPr="00566CD5">
        <w:rPr>
          <w:color w:val="auto"/>
          <w:lang w:val="pt-BR"/>
        </w:rPr>
        <w:t>e</w:t>
      </w:r>
      <w:r w:rsidRPr="00566CD5">
        <w:rPr>
          <w:color w:val="auto"/>
          <w:lang w:val="pt-BR"/>
        </w:rPr>
        <w:t xml:space="preserve">lecidos </w:t>
      </w:r>
      <w:r w:rsidR="00E86492" w:rsidRPr="00566CD5">
        <w:rPr>
          <w:color w:val="auto"/>
          <w:lang w:val="pt-BR"/>
        </w:rPr>
        <w:t>na</w:t>
      </w:r>
      <w:r w:rsidRPr="00566CD5">
        <w:rPr>
          <w:color w:val="auto"/>
          <w:lang w:val="pt-BR"/>
        </w:rPr>
        <w:t xml:space="preserve"> Constitu</w:t>
      </w:r>
      <w:r w:rsidR="00E86492" w:rsidRPr="00566CD5">
        <w:rPr>
          <w:color w:val="auto"/>
          <w:lang w:val="pt-BR"/>
        </w:rPr>
        <w:t>i</w:t>
      </w:r>
      <w:r w:rsidRPr="00566CD5">
        <w:rPr>
          <w:color w:val="auto"/>
          <w:lang w:val="pt-BR"/>
        </w:rPr>
        <w:t>ção de 1946. Demanda da Comissão Interamericana de Direito</w:t>
      </w:r>
      <w:r w:rsidR="00E86492" w:rsidRPr="00566CD5">
        <w:rPr>
          <w:color w:val="auto"/>
          <w:lang w:val="pt-BR"/>
        </w:rPr>
        <w:t xml:space="preserve">s Humanos </w:t>
      </w:r>
      <w:r w:rsidR="000113DA">
        <w:rPr>
          <w:color w:val="auto"/>
          <w:lang w:val="pt-BR"/>
        </w:rPr>
        <w:t>per</w:t>
      </w:r>
      <w:r w:rsidR="00E86492" w:rsidRPr="00566CD5">
        <w:rPr>
          <w:color w:val="auto"/>
          <w:lang w:val="pt-BR"/>
        </w:rPr>
        <w:t xml:space="preserve">ante </w:t>
      </w:r>
      <w:r w:rsidRPr="00566CD5">
        <w:rPr>
          <w:color w:val="auto"/>
          <w:lang w:val="pt-BR"/>
        </w:rPr>
        <w:t>a Corte Interamericana de Direito</w:t>
      </w:r>
      <w:r w:rsidR="00E86492" w:rsidRPr="00566CD5">
        <w:rPr>
          <w:color w:val="auto"/>
          <w:lang w:val="pt-BR"/>
        </w:rPr>
        <w:t>s Humanos contra a República Federativa do</w:t>
      </w:r>
      <w:r w:rsidRPr="00566CD5">
        <w:rPr>
          <w:color w:val="auto"/>
          <w:lang w:val="pt-BR"/>
        </w:rPr>
        <w:t xml:space="preserve"> Brasil. Caso 11,552 - Julia Gomes Lund e </w:t>
      </w:r>
      <w:r w:rsidR="00E86492" w:rsidRPr="00566CD5">
        <w:rPr>
          <w:color w:val="auto"/>
          <w:lang w:val="pt-BR"/>
        </w:rPr>
        <w:t>ou</w:t>
      </w:r>
      <w:r w:rsidRPr="00566CD5">
        <w:rPr>
          <w:color w:val="auto"/>
          <w:lang w:val="pt-BR"/>
        </w:rPr>
        <w:t>t</w:t>
      </w:r>
      <w:r w:rsidR="00E86492" w:rsidRPr="00566CD5">
        <w:rPr>
          <w:color w:val="auto"/>
          <w:lang w:val="pt-BR"/>
        </w:rPr>
        <w:t>ros (Guerrilha do Araguaia), de 26 de março de 2009, pa</w:t>
      </w:r>
      <w:r w:rsidRPr="00566CD5">
        <w:rPr>
          <w:color w:val="auto"/>
          <w:lang w:val="pt-BR"/>
        </w:rPr>
        <w:t>r. 54.</w:t>
      </w:r>
    </w:p>
  </w:footnote>
  <w:footnote w:id="12">
    <w:p w14:paraId="14740EEC" w14:textId="7C3B1082"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Demanda da Comissão Interamericana de Direito</w:t>
      </w:r>
      <w:r w:rsidR="00E86492" w:rsidRPr="00566CD5">
        <w:rPr>
          <w:color w:val="auto"/>
          <w:lang w:val="pt-BR"/>
        </w:rPr>
        <w:t xml:space="preserve">s Humanos </w:t>
      </w:r>
      <w:r w:rsidR="000113DA">
        <w:rPr>
          <w:color w:val="auto"/>
          <w:lang w:val="pt-BR"/>
        </w:rPr>
        <w:t>per</w:t>
      </w:r>
      <w:r w:rsidR="00E86492" w:rsidRPr="00566CD5">
        <w:rPr>
          <w:color w:val="auto"/>
          <w:lang w:val="pt-BR"/>
        </w:rPr>
        <w:t xml:space="preserve">ante </w:t>
      </w:r>
      <w:r w:rsidRPr="00566CD5">
        <w:rPr>
          <w:color w:val="auto"/>
          <w:lang w:val="pt-BR"/>
        </w:rPr>
        <w:t>a Corte Interamericana de Direito</w:t>
      </w:r>
      <w:r w:rsidR="00E86492" w:rsidRPr="00566CD5">
        <w:rPr>
          <w:color w:val="auto"/>
          <w:lang w:val="pt-BR"/>
        </w:rPr>
        <w:t>s Humanos contra a República Federativa do</w:t>
      </w:r>
      <w:r w:rsidRPr="00566CD5">
        <w:rPr>
          <w:color w:val="auto"/>
          <w:lang w:val="pt-BR"/>
        </w:rPr>
        <w:t xml:space="preserve"> Brasil. Caso 11,552 - Julia Gomes Lund e </w:t>
      </w:r>
      <w:r w:rsidR="00E86492" w:rsidRPr="00566CD5">
        <w:rPr>
          <w:color w:val="auto"/>
          <w:lang w:val="pt-BR"/>
        </w:rPr>
        <w:t>ou</w:t>
      </w:r>
      <w:r w:rsidRPr="00566CD5">
        <w:rPr>
          <w:color w:val="auto"/>
          <w:lang w:val="pt-BR"/>
        </w:rPr>
        <w:t>t</w:t>
      </w:r>
      <w:r w:rsidR="00E86492" w:rsidRPr="00566CD5">
        <w:rPr>
          <w:color w:val="auto"/>
          <w:lang w:val="pt-BR"/>
        </w:rPr>
        <w:t>ros (Guerrilha do Araguaia), de 26 de março de 2009, pa</w:t>
      </w:r>
      <w:r w:rsidRPr="00566CD5">
        <w:rPr>
          <w:color w:val="auto"/>
          <w:lang w:val="pt-BR"/>
        </w:rPr>
        <w:t xml:space="preserve">r. 59; </w:t>
      </w:r>
      <w:r w:rsidRPr="00566CD5">
        <w:rPr>
          <w:b/>
          <w:bCs/>
          <w:color w:val="auto"/>
          <w:lang w:val="pt-BR"/>
        </w:rPr>
        <w:t>Anexo 1</w:t>
      </w:r>
      <w:r w:rsidRPr="00566CD5">
        <w:rPr>
          <w:color w:val="auto"/>
          <w:lang w:val="pt-BR"/>
        </w:rPr>
        <w:t xml:space="preserve">. </w:t>
      </w:r>
      <w:r w:rsidRPr="00F8129C">
        <w:rPr>
          <w:rStyle w:val="Emphasis"/>
          <w:rFonts w:cs="Arial"/>
          <w:i w:val="0"/>
          <w:iCs w:val="0"/>
          <w:color w:val="auto"/>
          <w:lang w:val="pt-BR"/>
        </w:rPr>
        <w:t>Brasil. Presidência da República. Secretaria Especial dos Direitos Humanos. Direito</w:t>
      </w:r>
      <w:r w:rsidRPr="00F8129C">
        <w:rPr>
          <w:rStyle w:val="st1"/>
          <w:rFonts w:cs="Arial"/>
          <w:b/>
          <w:i/>
          <w:iCs/>
          <w:color w:val="auto"/>
          <w:lang w:val="pt-BR"/>
        </w:rPr>
        <w:t xml:space="preserve"> </w:t>
      </w:r>
      <w:r w:rsidRPr="00F8129C">
        <w:rPr>
          <w:rStyle w:val="st1"/>
          <w:rFonts w:cs="Arial"/>
          <w:i/>
          <w:iCs/>
          <w:color w:val="auto"/>
          <w:lang w:val="pt-BR"/>
        </w:rPr>
        <w:t>à</w:t>
      </w:r>
      <w:r w:rsidRPr="00F8129C">
        <w:rPr>
          <w:rStyle w:val="st1"/>
          <w:rFonts w:cs="Arial"/>
          <w:b/>
          <w:i/>
          <w:iCs/>
          <w:color w:val="auto"/>
          <w:lang w:val="pt-BR"/>
        </w:rPr>
        <w:t xml:space="preserve"> </w:t>
      </w:r>
      <w:r w:rsidRPr="00F8129C">
        <w:rPr>
          <w:rStyle w:val="Emphasis"/>
          <w:rFonts w:cs="Arial"/>
          <w:i w:val="0"/>
          <w:iCs w:val="0"/>
          <w:color w:val="auto"/>
          <w:lang w:val="pt-BR"/>
        </w:rPr>
        <w:t>Mem</w:t>
      </w:r>
      <w:r w:rsidR="00E86492" w:rsidRPr="00F8129C">
        <w:rPr>
          <w:rStyle w:val="Emphasis"/>
          <w:rFonts w:cs="Arial"/>
          <w:i w:val="0"/>
          <w:iCs w:val="0"/>
          <w:color w:val="auto"/>
          <w:lang w:val="pt-BR"/>
        </w:rPr>
        <w:t>ó</w:t>
      </w:r>
      <w:r w:rsidRPr="00F8129C">
        <w:rPr>
          <w:rStyle w:val="Emphasis"/>
          <w:rFonts w:cs="Arial"/>
          <w:i w:val="0"/>
          <w:iCs w:val="0"/>
          <w:color w:val="auto"/>
          <w:lang w:val="pt-BR"/>
        </w:rPr>
        <w:t>ria e</w:t>
      </w:r>
      <w:r w:rsidRPr="00F8129C">
        <w:rPr>
          <w:rStyle w:val="st1"/>
          <w:rFonts w:cs="Arial"/>
          <w:b/>
          <w:i/>
          <w:iCs/>
          <w:color w:val="auto"/>
          <w:lang w:val="pt-BR"/>
        </w:rPr>
        <w:t xml:space="preserve"> </w:t>
      </w:r>
      <w:r w:rsidRPr="00F8129C">
        <w:rPr>
          <w:rStyle w:val="st1"/>
          <w:rFonts w:cs="Arial"/>
          <w:i/>
          <w:iCs/>
          <w:color w:val="auto"/>
          <w:lang w:val="pt-BR"/>
        </w:rPr>
        <w:t>à</w:t>
      </w:r>
      <w:r w:rsidRPr="00F8129C">
        <w:rPr>
          <w:rStyle w:val="st1"/>
          <w:rFonts w:cs="Arial"/>
          <w:b/>
          <w:i/>
          <w:iCs/>
          <w:color w:val="auto"/>
          <w:lang w:val="pt-BR"/>
        </w:rPr>
        <w:t xml:space="preserve"> </w:t>
      </w:r>
      <w:r w:rsidRPr="00F8129C">
        <w:rPr>
          <w:rStyle w:val="Emphasis"/>
          <w:rFonts w:cs="Arial"/>
          <w:i w:val="0"/>
          <w:iCs w:val="0"/>
          <w:color w:val="auto"/>
          <w:lang w:val="pt-BR"/>
        </w:rPr>
        <w:t>Verdade: Comissão Especial sobre Mortos e Desaparecidos Políticos. Brasília, Secretaria Especial dos Direitos Humanos, 2007, p. 24 e 25</w:t>
      </w:r>
      <w:r w:rsidRPr="00566CD5">
        <w:rPr>
          <w:rStyle w:val="Emphasis"/>
          <w:rFonts w:cs="Arial"/>
          <w:color w:val="auto"/>
          <w:lang w:val="pt-BR"/>
        </w:rPr>
        <w:t xml:space="preserve">. </w:t>
      </w:r>
      <w:r w:rsidRPr="00566CD5">
        <w:rPr>
          <w:color w:val="auto"/>
          <w:lang w:val="pt-BR"/>
        </w:rPr>
        <w:t xml:space="preserve">Anexo </w:t>
      </w:r>
      <w:r w:rsidR="00E86492" w:rsidRPr="00566CD5">
        <w:rPr>
          <w:color w:val="auto"/>
          <w:lang w:val="pt-BR"/>
        </w:rPr>
        <w:t xml:space="preserve">à </w:t>
      </w:r>
      <w:r w:rsidRPr="00566CD5">
        <w:rPr>
          <w:color w:val="auto"/>
          <w:lang w:val="pt-BR"/>
        </w:rPr>
        <w:t xml:space="preserve">comunicação da </w:t>
      </w:r>
      <w:r w:rsidR="00E86492" w:rsidRPr="00566CD5">
        <w:rPr>
          <w:color w:val="auto"/>
          <w:lang w:val="pt-BR"/>
        </w:rPr>
        <w:t>parte peticionária de novembro</w:t>
      </w:r>
      <w:r w:rsidRPr="00566CD5">
        <w:rPr>
          <w:color w:val="auto"/>
          <w:lang w:val="pt-BR"/>
        </w:rPr>
        <w:t xml:space="preserve"> de 2017.</w:t>
      </w:r>
    </w:p>
  </w:footnote>
  <w:footnote w:id="13">
    <w:p w14:paraId="436D239D" w14:textId="46F7CF43"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Demanda da Comissão Interamericana de Direito</w:t>
      </w:r>
      <w:r w:rsidR="00E86492" w:rsidRPr="00566CD5">
        <w:rPr>
          <w:color w:val="auto"/>
          <w:lang w:val="pt-BR"/>
        </w:rPr>
        <w:t xml:space="preserve">s Humanos </w:t>
      </w:r>
      <w:r w:rsidR="000113DA">
        <w:rPr>
          <w:color w:val="auto"/>
          <w:lang w:val="pt-BR"/>
        </w:rPr>
        <w:t>per</w:t>
      </w:r>
      <w:r w:rsidR="00E86492" w:rsidRPr="00566CD5">
        <w:rPr>
          <w:color w:val="auto"/>
          <w:lang w:val="pt-BR"/>
        </w:rPr>
        <w:t xml:space="preserve">ante </w:t>
      </w:r>
      <w:r w:rsidRPr="00566CD5">
        <w:rPr>
          <w:color w:val="auto"/>
          <w:lang w:val="pt-BR"/>
        </w:rPr>
        <w:t>a Corte Interamericana de Direitos Humanos contra</w:t>
      </w:r>
      <w:r w:rsidR="00E86492" w:rsidRPr="00566CD5">
        <w:rPr>
          <w:color w:val="auto"/>
          <w:lang w:val="pt-BR"/>
        </w:rPr>
        <w:t xml:space="preserve"> a República Federativa do</w:t>
      </w:r>
      <w:r w:rsidRPr="00566CD5">
        <w:rPr>
          <w:color w:val="auto"/>
          <w:lang w:val="pt-BR"/>
        </w:rPr>
        <w:t xml:space="preserve"> Brasil. Caso 11,552 - Julia Gomes Lund e </w:t>
      </w:r>
      <w:r w:rsidR="00E86492" w:rsidRPr="00566CD5">
        <w:rPr>
          <w:color w:val="auto"/>
          <w:lang w:val="pt-BR"/>
        </w:rPr>
        <w:t>ou</w:t>
      </w:r>
      <w:r w:rsidRPr="00566CD5">
        <w:rPr>
          <w:color w:val="auto"/>
          <w:lang w:val="pt-BR"/>
        </w:rPr>
        <w:t>tr</w:t>
      </w:r>
      <w:r w:rsidR="00E86492" w:rsidRPr="00566CD5">
        <w:rPr>
          <w:color w:val="auto"/>
          <w:lang w:val="pt-BR"/>
        </w:rPr>
        <w:t>os (Guerrilha do Araguaia), de 26 de março de 2009, pa</w:t>
      </w:r>
      <w:r w:rsidRPr="00566CD5">
        <w:rPr>
          <w:color w:val="auto"/>
          <w:lang w:val="pt-BR"/>
        </w:rPr>
        <w:t xml:space="preserve">r. 60. </w:t>
      </w:r>
    </w:p>
  </w:footnote>
  <w:footnote w:id="14">
    <w:p w14:paraId="4CFC1A7F" w14:textId="38D47844"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Demanda da Comissão Interamericana de Direito</w:t>
      </w:r>
      <w:r w:rsidR="002A3A75" w:rsidRPr="00566CD5">
        <w:rPr>
          <w:color w:val="auto"/>
          <w:lang w:val="pt-BR"/>
        </w:rPr>
        <w:t xml:space="preserve">s Humanos </w:t>
      </w:r>
      <w:r w:rsidR="000113DA">
        <w:rPr>
          <w:color w:val="auto"/>
          <w:lang w:val="pt-BR"/>
        </w:rPr>
        <w:t>per</w:t>
      </w:r>
      <w:r w:rsidR="002A3A75" w:rsidRPr="00566CD5">
        <w:rPr>
          <w:color w:val="auto"/>
          <w:lang w:val="pt-BR"/>
        </w:rPr>
        <w:t xml:space="preserve">ante </w:t>
      </w:r>
      <w:r w:rsidRPr="00566CD5">
        <w:rPr>
          <w:color w:val="auto"/>
          <w:lang w:val="pt-BR"/>
        </w:rPr>
        <w:t>a Corte Interamericana de Direito</w:t>
      </w:r>
      <w:r w:rsidR="002A3A75" w:rsidRPr="00566CD5">
        <w:rPr>
          <w:color w:val="auto"/>
          <w:lang w:val="pt-BR"/>
        </w:rPr>
        <w:t xml:space="preserve">s Humanos contra </w:t>
      </w:r>
      <w:r w:rsidRPr="00566CD5">
        <w:rPr>
          <w:color w:val="auto"/>
          <w:lang w:val="pt-BR"/>
        </w:rPr>
        <w:t>a Repú</w:t>
      </w:r>
      <w:r w:rsidR="002A3A75" w:rsidRPr="00566CD5">
        <w:rPr>
          <w:color w:val="auto"/>
          <w:lang w:val="pt-BR"/>
        </w:rPr>
        <w:t>blica Federativa do</w:t>
      </w:r>
      <w:r w:rsidRPr="00566CD5">
        <w:rPr>
          <w:color w:val="auto"/>
          <w:lang w:val="pt-BR"/>
        </w:rPr>
        <w:t xml:space="preserve"> Brasil. Caso 11,552 - Julia Gomes Lund e </w:t>
      </w:r>
      <w:r w:rsidR="002A3A75" w:rsidRPr="00566CD5">
        <w:rPr>
          <w:color w:val="auto"/>
          <w:lang w:val="pt-BR"/>
        </w:rPr>
        <w:t>ou</w:t>
      </w:r>
      <w:r w:rsidRPr="00566CD5">
        <w:rPr>
          <w:color w:val="auto"/>
          <w:lang w:val="pt-BR"/>
        </w:rPr>
        <w:t>tr</w:t>
      </w:r>
      <w:r w:rsidR="002A3A75" w:rsidRPr="00566CD5">
        <w:rPr>
          <w:color w:val="auto"/>
          <w:lang w:val="pt-BR"/>
        </w:rPr>
        <w:t>os (Guerrilha do Araguaia), de 26 de março de 2009, pa</w:t>
      </w:r>
      <w:r w:rsidRPr="00566CD5">
        <w:rPr>
          <w:color w:val="auto"/>
          <w:lang w:val="pt-BR"/>
        </w:rPr>
        <w:t>r. 60; V</w:t>
      </w:r>
      <w:r w:rsidR="002A3A75" w:rsidRPr="00566CD5">
        <w:rPr>
          <w:color w:val="auto"/>
          <w:lang w:val="pt-BR"/>
        </w:rPr>
        <w:t>eja também</w:t>
      </w:r>
      <w:r w:rsidRPr="00566CD5">
        <w:rPr>
          <w:color w:val="auto"/>
          <w:lang w:val="pt-BR"/>
        </w:rPr>
        <w:t xml:space="preserve">: </w:t>
      </w:r>
      <w:r w:rsidRPr="00566CD5">
        <w:rPr>
          <w:b/>
          <w:bCs/>
          <w:color w:val="auto"/>
          <w:lang w:val="pt-BR"/>
        </w:rPr>
        <w:t>Anexo 1</w:t>
      </w:r>
      <w:r w:rsidRPr="00566CD5">
        <w:rPr>
          <w:color w:val="auto"/>
          <w:lang w:val="pt-BR"/>
        </w:rPr>
        <w:t xml:space="preserve">. </w:t>
      </w:r>
      <w:r w:rsidRPr="002A0195">
        <w:rPr>
          <w:rStyle w:val="Emphasis"/>
          <w:rFonts w:cs="Arial"/>
          <w:i w:val="0"/>
          <w:iCs w:val="0"/>
          <w:color w:val="auto"/>
          <w:lang w:val="pt-BR"/>
        </w:rPr>
        <w:t>Brasil. Presidência da República. Secretaria Especial dos Direitos Humanos. Direito</w:t>
      </w:r>
      <w:r w:rsidRPr="004E2344">
        <w:rPr>
          <w:rStyle w:val="st1"/>
          <w:rFonts w:cs="Arial"/>
          <w:b/>
          <w:color w:val="auto"/>
          <w:lang w:val="pt-BR"/>
        </w:rPr>
        <w:t xml:space="preserve"> </w:t>
      </w:r>
      <w:r w:rsidRPr="004E2344">
        <w:rPr>
          <w:rStyle w:val="st1"/>
          <w:rFonts w:cs="Arial"/>
          <w:color w:val="auto"/>
          <w:lang w:val="pt-BR"/>
        </w:rPr>
        <w:t>à</w:t>
      </w:r>
      <w:r w:rsidRPr="004E2344">
        <w:rPr>
          <w:rStyle w:val="st1"/>
          <w:rFonts w:cs="Arial"/>
          <w:b/>
          <w:i/>
          <w:iCs/>
          <w:color w:val="auto"/>
          <w:lang w:val="pt-BR"/>
        </w:rPr>
        <w:t xml:space="preserve"> </w:t>
      </w:r>
      <w:r w:rsidRPr="004E2344">
        <w:rPr>
          <w:rStyle w:val="Emphasis"/>
          <w:rFonts w:cs="Arial"/>
          <w:i w:val="0"/>
          <w:iCs w:val="0"/>
          <w:color w:val="auto"/>
          <w:lang w:val="pt-BR"/>
        </w:rPr>
        <w:t>Mem</w:t>
      </w:r>
      <w:r w:rsidR="002A3A75" w:rsidRPr="004E2344">
        <w:rPr>
          <w:rStyle w:val="Emphasis"/>
          <w:rFonts w:cs="Arial"/>
          <w:i w:val="0"/>
          <w:iCs w:val="0"/>
          <w:color w:val="auto"/>
          <w:lang w:val="pt-BR"/>
        </w:rPr>
        <w:t>ó</w:t>
      </w:r>
      <w:r w:rsidRPr="004E2344">
        <w:rPr>
          <w:rStyle w:val="Emphasis"/>
          <w:rFonts w:cs="Arial"/>
          <w:i w:val="0"/>
          <w:iCs w:val="0"/>
          <w:color w:val="auto"/>
          <w:lang w:val="pt-BR"/>
        </w:rPr>
        <w:t>ria e</w:t>
      </w:r>
      <w:r w:rsidRPr="004E2344">
        <w:rPr>
          <w:rStyle w:val="st1"/>
          <w:rFonts w:cs="Arial"/>
          <w:b/>
          <w:i/>
          <w:iCs/>
          <w:color w:val="auto"/>
          <w:lang w:val="pt-BR"/>
        </w:rPr>
        <w:t xml:space="preserve"> </w:t>
      </w:r>
      <w:r w:rsidRPr="004E2344">
        <w:rPr>
          <w:rStyle w:val="st1"/>
          <w:rFonts w:cs="Arial"/>
          <w:color w:val="auto"/>
          <w:lang w:val="pt-BR"/>
        </w:rPr>
        <w:t>à</w:t>
      </w:r>
      <w:r w:rsidRPr="002A0195">
        <w:rPr>
          <w:rStyle w:val="st1"/>
          <w:rFonts w:cs="Arial"/>
          <w:b/>
          <w:i/>
          <w:iCs/>
          <w:color w:val="auto"/>
          <w:lang w:val="pt-BR"/>
        </w:rPr>
        <w:t xml:space="preserve"> </w:t>
      </w:r>
      <w:r w:rsidRPr="002A0195">
        <w:rPr>
          <w:rStyle w:val="Emphasis"/>
          <w:rFonts w:cs="Arial"/>
          <w:i w:val="0"/>
          <w:iCs w:val="0"/>
          <w:color w:val="auto"/>
          <w:lang w:val="pt-BR"/>
        </w:rPr>
        <w:t>Verdade: Comissão Especial sobre Mortos e Desaparecidos Políticos. Brasília, Secretaria Especial dos Direitos Humanos</w:t>
      </w:r>
      <w:r w:rsidRPr="00566CD5">
        <w:rPr>
          <w:rStyle w:val="Emphasis"/>
          <w:rFonts w:cs="Arial"/>
          <w:color w:val="auto"/>
          <w:lang w:val="pt-BR"/>
        </w:rPr>
        <w:t xml:space="preserve">, </w:t>
      </w:r>
      <w:r w:rsidRPr="00CC74FA">
        <w:rPr>
          <w:rStyle w:val="Emphasis"/>
          <w:rFonts w:cs="Arial"/>
          <w:i w:val="0"/>
          <w:iCs w:val="0"/>
          <w:color w:val="auto"/>
          <w:lang w:val="pt-BR"/>
        </w:rPr>
        <w:t>2007, p.</w:t>
      </w:r>
      <w:r w:rsidRPr="00566CD5">
        <w:rPr>
          <w:color w:val="auto"/>
          <w:lang w:val="pt-BR"/>
        </w:rPr>
        <w:t xml:space="preserve"> 26. Anexo </w:t>
      </w:r>
      <w:r w:rsidR="002A3A75" w:rsidRPr="00566CD5">
        <w:rPr>
          <w:color w:val="auto"/>
          <w:lang w:val="pt-BR"/>
        </w:rPr>
        <w:t>à</w:t>
      </w:r>
      <w:r w:rsidRPr="00566CD5">
        <w:rPr>
          <w:color w:val="auto"/>
          <w:lang w:val="pt-BR"/>
        </w:rPr>
        <w:t xml:space="preserve"> comunicação da </w:t>
      </w:r>
      <w:r w:rsidR="002A3A75" w:rsidRPr="00566CD5">
        <w:rPr>
          <w:color w:val="auto"/>
          <w:lang w:val="pt-BR"/>
        </w:rPr>
        <w:t>parte peticionária de novembro</w:t>
      </w:r>
      <w:r w:rsidRPr="00566CD5">
        <w:rPr>
          <w:color w:val="auto"/>
          <w:lang w:val="pt-BR"/>
        </w:rPr>
        <w:t xml:space="preserve"> de 2017.</w:t>
      </w:r>
    </w:p>
  </w:footnote>
  <w:footnote w:id="15">
    <w:p w14:paraId="7E915984" w14:textId="09DDE3A4"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Demanda da Comissão Interamericana de Direito</w:t>
      </w:r>
      <w:r w:rsidR="002A3A75" w:rsidRPr="00566CD5">
        <w:rPr>
          <w:color w:val="auto"/>
          <w:lang w:val="pt-BR"/>
        </w:rPr>
        <w:t xml:space="preserve">s Humanos </w:t>
      </w:r>
      <w:r w:rsidR="00CC74FA">
        <w:rPr>
          <w:color w:val="auto"/>
          <w:lang w:val="pt-BR"/>
        </w:rPr>
        <w:t>per</w:t>
      </w:r>
      <w:r w:rsidR="002A3A75" w:rsidRPr="00566CD5">
        <w:rPr>
          <w:color w:val="auto"/>
          <w:lang w:val="pt-BR"/>
        </w:rPr>
        <w:t xml:space="preserve">ante </w:t>
      </w:r>
      <w:r w:rsidRPr="00566CD5">
        <w:rPr>
          <w:color w:val="auto"/>
          <w:lang w:val="pt-BR"/>
        </w:rPr>
        <w:t>a Corte Interamericana de Direito</w:t>
      </w:r>
      <w:r w:rsidR="002A3A75" w:rsidRPr="00566CD5">
        <w:rPr>
          <w:color w:val="auto"/>
          <w:lang w:val="pt-BR"/>
        </w:rPr>
        <w:t>s Humanos contra a República Federativa do</w:t>
      </w:r>
      <w:r w:rsidRPr="00566CD5">
        <w:rPr>
          <w:color w:val="auto"/>
          <w:lang w:val="pt-BR"/>
        </w:rPr>
        <w:t xml:space="preserve"> Brasil. Caso 11,552 - Julia Gomes Lund e </w:t>
      </w:r>
      <w:r w:rsidR="002A3A75" w:rsidRPr="00566CD5">
        <w:rPr>
          <w:color w:val="auto"/>
          <w:lang w:val="pt-BR"/>
        </w:rPr>
        <w:t>ou</w:t>
      </w:r>
      <w:r w:rsidRPr="00566CD5">
        <w:rPr>
          <w:color w:val="auto"/>
          <w:lang w:val="pt-BR"/>
        </w:rPr>
        <w:t>t</w:t>
      </w:r>
      <w:r w:rsidR="002A3A75" w:rsidRPr="00566CD5">
        <w:rPr>
          <w:color w:val="auto"/>
          <w:lang w:val="pt-BR"/>
        </w:rPr>
        <w:t>ros (Guerrilha do Araguaia), de 26 de março de 2009, pa</w:t>
      </w:r>
      <w:r w:rsidRPr="00566CD5">
        <w:rPr>
          <w:color w:val="auto"/>
          <w:lang w:val="pt-BR"/>
        </w:rPr>
        <w:t xml:space="preserve">r. 63. </w:t>
      </w:r>
    </w:p>
  </w:footnote>
  <w:footnote w:id="16">
    <w:p w14:paraId="292425EC" w14:textId="77777777"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w:t>
      </w:r>
      <w:r w:rsidRPr="00566CD5">
        <w:rPr>
          <w:b/>
          <w:bCs/>
          <w:color w:val="auto"/>
          <w:lang w:val="pt-BR"/>
        </w:rPr>
        <w:t>Anexo 3</w:t>
      </w:r>
      <w:r w:rsidRPr="00566CD5">
        <w:rPr>
          <w:color w:val="auto"/>
          <w:lang w:val="pt-BR"/>
        </w:rPr>
        <w:t xml:space="preserve">. </w:t>
      </w:r>
      <w:r w:rsidRPr="002A0195">
        <w:rPr>
          <w:rStyle w:val="Emphasis"/>
          <w:rFonts w:cs="Arial"/>
          <w:i w:val="0"/>
          <w:iCs w:val="0"/>
          <w:color w:val="auto"/>
          <w:lang w:val="pt-BR"/>
        </w:rPr>
        <w:t>Relat</w:t>
      </w:r>
      <w:r w:rsidR="002A3A75" w:rsidRPr="002A0195">
        <w:rPr>
          <w:rStyle w:val="Emphasis"/>
          <w:rFonts w:cs="Arial"/>
          <w:i w:val="0"/>
          <w:iCs w:val="0"/>
          <w:color w:val="auto"/>
          <w:lang w:val="pt-BR"/>
        </w:rPr>
        <w:t>ó</w:t>
      </w:r>
      <w:r w:rsidRPr="002A0195">
        <w:rPr>
          <w:rStyle w:val="Emphasis"/>
          <w:rFonts w:cs="Arial"/>
          <w:i w:val="0"/>
          <w:iCs w:val="0"/>
          <w:color w:val="auto"/>
          <w:lang w:val="pt-BR"/>
        </w:rPr>
        <w:t>rio da</w:t>
      </w:r>
      <w:r w:rsidRPr="002A0195">
        <w:rPr>
          <w:rStyle w:val="st1"/>
          <w:rFonts w:cs="Arial"/>
          <w:b/>
          <w:i/>
          <w:iCs/>
          <w:color w:val="auto"/>
          <w:lang w:val="pt-BR"/>
        </w:rPr>
        <w:t xml:space="preserve"> </w:t>
      </w:r>
      <w:r w:rsidRPr="002A0195">
        <w:rPr>
          <w:rStyle w:val="Emphasis"/>
          <w:rFonts w:cs="Arial"/>
          <w:i w:val="0"/>
          <w:iCs w:val="0"/>
          <w:color w:val="auto"/>
          <w:lang w:val="pt-BR"/>
        </w:rPr>
        <w:t>Comissão Nacional da Verdade. Volume I. Parte II</w:t>
      </w:r>
      <w:r w:rsidRPr="00566CD5">
        <w:rPr>
          <w:rStyle w:val="Emphasis"/>
          <w:rFonts w:cs="Arial"/>
          <w:color w:val="auto"/>
          <w:lang w:val="pt-BR"/>
        </w:rPr>
        <w:t>, “</w:t>
      </w:r>
      <w:r w:rsidRPr="002A0195">
        <w:rPr>
          <w:rStyle w:val="Strong"/>
          <w:b w:val="0"/>
          <w:bCs w:val="0"/>
          <w:color w:val="auto"/>
          <w:lang w:val="pt-BR"/>
        </w:rPr>
        <w:t>As estruturas do Estado e as graves violações de direitos humanos</w:t>
      </w:r>
      <w:r w:rsidRPr="00566CD5">
        <w:rPr>
          <w:rStyle w:val="Strong"/>
          <w:color w:val="auto"/>
          <w:lang w:val="pt-BR"/>
        </w:rPr>
        <w:t xml:space="preserve">”, </w:t>
      </w:r>
      <w:r w:rsidRPr="00566CD5">
        <w:rPr>
          <w:color w:val="auto"/>
          <w:lang w:val="pt-BR"/>
        </w:rPr>
        <w:t xml:space="preserve">Capítulo 4 – </w:t>
      </w:r>
      <w:r w:rsidR="002A3A75" w:rsidRPr="00566CD5">
        <w:rPr>
          <w:color w:val="auto"/>
          <w:lang w:val="pt-BR"/>
        </w:rPr>
        <w:t>Ó</w:t>
      </w:r>
      <w:r w:rsidRPr="00566CD5">
        <w:rPr>
          <w:color w:val="auto"/>
          <w:lang w:val="pt-BR"/>
        </w:rPr>
        <w:t>rgãos e procedimentos da repressão política.</w:t>
      </w:r>
      <w:r w:rsidRPr="00566CD5">
        <w:rPr>
          <w:rStyle w:val="Emphasis"/>
          <w:rFonts w:cs="Arial"/>
          <w:color w:val="auto"/>
          <w:lang w:val="pt-BR"/>
        </w:rPr>
        <w:t xml:space="preserve"> </w:t>
      </w:r>
      <w:r w:rsidRPr="00566CD5">
        <w:rPr>
          <w:rFonts w:cs="AGaramondPro-Italic-SC700"/>
          <w:color w:val="auto"/>
          <w:lang w:val="pt-BR" w:eastAsia="en-US"/>
        </w:rPr>
        <w:t xml:space="preserve">p. </w:t>
      </w:r>
      <w:r w:rsidR="002A3A75" w:rsidRPr="00566CD5">
        <w:rPr>
          <w:color w:val="auto"/>
          <w:lang w:val="pt-BR"/>
        </w:rPr>
        <w:t>112, par. 1, de</w:t>
      </w:r>
      <w:r w:rsidRPr="00566CD5">
        <w:rPr>
          <w:color w:val="auto"/>
          <w:lang w:val="pt-BR"/>
        </w:rPr>
        <w:t xml:space="preserve"> 10 de d</w:t>
      </w:r>
      <w:r w:rsidR="002A3A75" w:rsidRPr="00566CD5">
        <w:rPr>
          <w:color w:val="auto"/>
          <w:lang w:val="pt-BR"/>
        </w:rPr>
        <w:t>ezembro</w:t>
      </w:r>
      <w:r w:rsidRPr="00566CD5">
        <w:rPr>
          <w:color w:val="auto"/>
          <w:lang w:val="pt-BR"/>
        </w:rPr>
        <w:t xml:space="preserve"> de 2014. Anexo </w:t>
      </w:r>
      <w:r w:rsidR="002A3A75" w:rsidRPr="00566CD5">
        <w:rPr>
          <w:color w:val="auto"/>
          <w:lang w:val="pt-BR"/>
        </w:rPr>
        <w:t>à</w:t>
      </w:r>
      <w:r w:rsidRPr="00566CD5">
        <w:rPr>
          <w:color w:val="auto"/>
          <w:lang w:val="pt-BR"/>
        </w:rPr>
        <w:t xml:space="preserve"> comunicação da </w:t>
      </w:r>
      <w:r w:rsidR="002A3A75" w:rsidRPr="00566CD5">
        <w:rPr>
          <w:color w:val="auto"/>
          <w:lang w:val="pt-BR"/>
        </w:rPr>
        <w:t>parte peticionária de novembro</w:t>
      </w:r>
      <w:r w:rsidRPr="00566CD5">
        <w:rPr>
          <w:color w:val="auto"/>
          <w:lang w:val="pt-BR"/>
        </w:rPr>
        <w:t xml:space="preserve"> de 2017</w:t>
      </w:r>
    </w:p>
  </w:footnote>
  <w:footnote w:id="17">
    <w:p w14:paraId="6ACFAA12" w14:textId="77777777" w:rsidR="00DA5DAC" w:rsidRPr="00566CD5" w:rsidRDefault="00DA5DAC" w:rsidP="00155439">
      <w:pPr>
        <w:autoSpaceDE w:val="0"/>
        <w:autoSpaceDN w:val="0"/>
        <w:adjustRightInd w:val="0"/>
        <w:contextualSpacing/>
        <w:jc w:val="both"/>
        <w:rPr>
          <w:rFonts w:ascii="Cambria" w:eastAsia="Calibri" w:hAnsi="Cambria" w:cs="AGaramondPro-Regular"/>
          <w:sz w:val="16"/>
          <w:szCs w:val="16"/>
        </w:rPr>
      </w:pPr>
      <w:r w:rsidRPr="00566CD5">
        <w:rPr>
          <w:rStyle w:val="FootnoteReference"/>
          <w:rFonts w:ascii="Cambria" w:hAnsi="Cambria"/>
          <w:sz w:val="16"/>
          <w:szCs w:val="16"/>
        </w:rPr>
        <w:footnoteRef/>
      </w:r>
      <w:r w:rsidRPr="00566CD5">
        <w:rPr>
          <w:rFonts w:ascii="Cambria" w:hAnsi="Cambria"/>
          <w:sz w:val="16"/>
          <w:szCs w:val="16"/>
        </w:rPr>
        <w:t xml:space="preserve"> </w:t>
      </w:r>
      <w:r w:rsidRPr="00566CD5">
        <w:rPr>
          <w:rFonts w:ascii="Cambria" w:hAnsi="Cambria"/>
          <w:b/>
          <w:bCs/>
          <w:sz w:val="16"/>
          <w:szCs w:val="16"/>
        </w:rPr>
        <w:t>Anexo 3</w:t>
      </w:r>
      <w:r w:rsidRPr="00566CD5">
        <w:rPr>
          <w:rFonts w:ascii="Cambria" w:hAnsi="Cambria"/>
          <w:sz w:val="16"/>
          <w:szCs w:val="16"/>
        </w:rPr>
        <w:t xml:space="preserve">. </w:t>
      </w:r>
      <w:r w:rsidRPr="004E2344">
        <w:rPr>
          <w:rStyle w:val="Emphasis"/>
          <w:rFonts w:ascii="Cambria" w:hAnsi="Cambria" w:cs="Arial"/>
          <w:i w:val="0"/>
          <w:iCs w:val="0"/>
          <w:sz w:val="16"/>
          <w:szCs w:val="16"/>
        </w:rPr>
        <w:t>Relat</w:t>
      </w:r>
      <w:r w:rsidR="002A3A75" w:rsidRPr="004E2344">
        <w:rPr>
          <w:rStyle w:val="Emphasis"/>
          <w:rFonts w:ascii="Cambria" w:hAnsi="Cambria" w:cs="Arial"/>
          <w:i w:val="0"/>
          <w:iCs w:val="0"/>
          <w:sz w:val="16"/>
          <w:szCs w:val="16"/>
        </w:rPr>
        <w:t>ó</w:t>
      </w:r>
      <w:r w:rsidRPr="004E2344">
        <w:rPr>
          <w:rStyle w:val="Emphasis"/>
          <w:rFonts w:ascii="Cambria" w:hAnsi="Cambria" w:cs="Arial"/>
          <w:i w:val="0"/>
          <w:iCs w:val="0"/>
          <w:sz w:val="16"/>
          <w:szCs w:val="16"/>
        </w:rPr>
        <w:t>rio da</w:t>
      </w:r>
      <w:r w:rsidRPr="004E2344">
        <w:rPr>
          <w:rStyle w:val="st1"/>
          <w:rFonts w:ascii="Cambria" w:hAnsi="Cambria" w:cs="Arial"/>
          <w:b/>
          <w:i/>
          <w:iCs/>
          <w:sz w:val="16"/>
          <w:szCs w:val="16"/>
        </w:rPr>
        <w:t xml:space="preserve"> </w:t>
      </w:r>
      <w:r w:rsidRPr="004E2344">
        <w:rPr>
          <w:rStyle w:val="Emphasis"/>
          <w:rFonts w:ascii="Cambria" w:hAnsi="Cambria" w:cs="Arial"/>
          <w:i w:val="0"/>
          <w:iCs w:val="0"/>
          <w:sz w:val="16"/>
          <w:szCs w:val="16"/>
        </w:rPr>
        <w:t>Comissão Nacional da Verdade. Volume I. Parte II</w:t>
      </w:r>
      <w:r w:rsidRPr="00566CD5">
        <w:rPr>
          <w:rStyle w:val="Emphasis"/>
          <w:rFonts w:ascii="Cambria" w:hAnsi="Cambria" w:cs="Arial"/>
          <w:sz w:val="16"/>
          <w:szCs w:val="16"/>
        </w:rPr>
        <w:t>, “</w:t>
      </w:r>
      <w:r w:rsidRPr="004E2344">
        <w:rPr>
          <w:rStyle w:val="Strong"/>
          <w:rFonts w:ascii="Cambria" w:hAnsi="Cambria"/>
          <w:b w:val="0"/>
          <w:bCs w:val="0"/>
          <w:sz w:val="16"/>
          <w:szCs w:val="16"/>
        </w:rPr>
        <w:t>As estruturas do Estado e as graves violações de direitos humanos</w:t>
      </w:r>
      <w:r w:rsidRPr="00566CD5">
        <w:rPr>
          <w:rStyle w:val="Strong"/>
          <w:rFonts w:ascii="Cambria" w:hAnsi="Cambria"/>
          <w:sz w:val="16"/>
          <w:szCs w:val="16"/>
        </w:rPr>
        <w:t xml:space="preserve">”, </w:t>
      </w:r>
      <w:r w:rsidRPr="00566CD5">
        <w:rPr>
          <w:rFonts w:ascii="Cambria" w:hAnsi="Cambria"/>
          <w:sz w:val="16"/>
          <w:szCs w:val="16"/>
        </w:rPr>
        <w:t xml:space="preserve">Capítulo 4 – </w:t>
      </w:r>
      <w:r w:rsidR="002A3A75" w:rsidRPr="00566CD5">
        <w:rPr>
          <w:rFonts w:ascii="Cambria" w:hAnsi="Cambria"/>
          <w:sz w:val="16"/>
          <w:szCs w:val="16"/>
        </w:rPr>
        <w:t>Ó</w:t>
      </w:r>
      <w:r w:rsidRPr="00566CD5">
        <w:rPr>
          <w:rFonts w:ascii="Cambria" w:hAnsi="Cambria"/>
          <w:sz w:val="16"/>
          <w:szCs w:val="16"/>
        </w:rPr>
        <w:t xml:space="preserve">rgãos e procedimentos da repressão política, (B) </w:t>
      </w:r>
      <w:r w:rsidR="002A3A75" w:rsidRPr="00566CD5">
        <w:rPr>
          <w:rFonts w:ascii="Cambria" w:eastAsia="Calibri" w:hAnsi="Cambria" w:cs="AGaramondPro-Bold-SC700"/>
          <w:bCs/>
          <w:sz w:val="16"/>
          <w:szCs w:val="16"/>
        </w:rPr>
        <w:t>Ó</w:t>
      </w:r>
      <w:r w:rsidRPr="00566CD5">
        <w:rPr>
          <w:rFonts w:ascii="Cambria" w:eastAsia="Calibri" w:hAnsi="Cambria" w:cs="AGaramondPro-Bold-SC700"/>
          <w:bCs/>
          <w:sz w:val="16"/>
          <w:szCs w:val="16"/>
        </w:rPr>
        <w:t xml:space="preserve">rgãos de repressão do Exército, </w:t>
      </w:r>
      <w:r w:rsidRPr="00566CD5">
        <w:rPr>
          <w:rFonts w:ascii="Cambria" w:eastAsia="Calibri" w:hAnsi="Cambria" w:cs="AGaramondPro-Italic-SC700"/>
          <w:sz w:val="16"/>
          <w:szCs w:val="16"/>
        </w:rPr>
        <w:t xml:space="preserve">fls </w:t>
      </w:r>
      <w:r w:rsidR="002A3A75" w:rsidRPr="00566CD5">
        <w:rPr>
          <w:rFonts w:ascii="Cambria" w:hAnsi="Cambria"/>
          <w:sz w:val="16"/>
          <w:szCs w:val="16"/>
        </w:rPr>
        <w:t>138, par. 101, de</w:t>
      </w:r>
      <w:r w:rsidRPr="00566CD5">
        <w:rPr>
          <w:rFonts w:ascii="Cambria" w:hAnsi="Cambria"/>
          <w:sz w:val="16"/>
          <w:szCs w:val="16"/>
        </w:rPr>
        <w:t xml:space="preserve"> 10 de d</w:t>
      </w:r>
      <w:r w:rsidR="002A3A75" w:rsidRPr="00566CD5">
        <w:rPr>
          <w:rFonts w:ascii="Cambria" w:hAnsi="Cambria"/>
          <w:sz w:val="16"/>
          <w:szCs w:val="16"/>
        </w:rPr>
        <w:t>ezembro</w:t>
      </w:r>
      <w:r w:rsidRPr="00566CD5">
        <w:rPr>
          <w:rFonts w:ascii="Cambria" w:hAnsi="Cambria"/>
          <w:sz w:val="16"/>
          <w:szCs w:val="16"/>
        </w:rPr>
        <w:t xml:space="preserve"> de 2014. Anexo </w:t>
      </w:r>
      <w:r w:rsidR="002A3A75" w:rsidRPr="00566CD5">
        <w:rPr>
          <w:rFonts w:ascii="Cambria" w:hAnsi="Cambria"/>
          <w:sz w:val="16"/>
          <w:szCs w:val="16"/>
        </w:rPr>
        <w:t>à</w:t>
      </w:r>
      <w:r w:rsidRPr="00566CD5">
        <w:rPr>
          <w:rFonts w:ascii="Cambria" w:hAnsi="Cambria"/>
          <w:sz w:val="16"/>
          <w:szCs w:val="16"/>
        </w:rPr>
        <w:t xml:space="preserve"> comunicação da </w:t>
      </w:r>
      <w:r w:rsidR="002A3A75" w:rsidRPr="00566CD5">
        <w:rPr>
          <w:rFonts w:ascii="Cambria" w:hAnsi="Cambria"/>
          <w:sz w:val="16"/>
          <w:szCs w:val="16"/>
        </w:rPr>
        <w:t>parte peticionária de novembro</w:t>
      </w:r>
      <w:r w:rsidRPr="00566CD5">
        <w:rPr>
          <w:rFonts w:ascii="Cambria" w:hAnsi="Cambria"/>
          <w:sz w:val="16"/>
          <w:szCs w:val="16"/>
        </w:rPr>
        <w:t xml:space="preserve"> de 2017</w:t>
      </w:r>
    </w:p>
  </w:footnote>
  <w:footnote w:id="18">
    <w:p w14:paraId="3BBC5E7D" w14:textId="012D7D1A"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w:t>
      </w:r>
      <w:r w:rsidRPr="00566CD5">
        <w:rPr>
          <w:b/>
          <w:bCs/>
          <w:color w:val="auto"/>
          <w:lang w:val="pt-BR"/>
        </w:rPr>
        <w:t>Anexo 1</w:t>
      </w:r>
      <w:r w:rsidRPr="00566CD5">
        <w:rPr>
          <w:color w:val="auto"/>
          <w:lang w:val="pt-BR"/>
        </w:rPr>
        <w:t xml:space="preserve">. </w:t>
      </w:r>
      <w:r w:rsidRPr="009976BC">
        <w:rPr>
          <w:rStyle w:val="Emphasis"/>
          <w:rFonts w:cs="Arial"/>
          <w:i w:val="0"/>
          <w:iCs w:val="0"/>
          <w:color w:val="auto"/>
          <w:lang w:val="pt-BR"/>
        </w:rPr>
        <w:t>Brasil. Presidência da República. Secretaria Especial dos Direitos Humanos. Direito</w:t>
      </w:r>
      <w:r w:rsidRPr="009976BC">
        <w:rPr>
          <w:rStyle w:val="st1"/>
          <w:rFonts w:cs="Arial"/>
          <w:b/>
          <w:i/>
          <w:iCs/>
          <w:color w:val="auto"/>
          <w:lang w:val="pt-BR"/>
        </w:rPr>
        <w:t xml:space="preserve"> </w:t>
      </w:r>
      <w:r w:rsidR="00DA3AB9" w:rsidRPr="00DA3AB9">
        <w:rPr>
          <w:rStyle w:val="st1"/>
          <w:rFonts w:cs="Arial"/>
          <w:bCs/>
          <w:color w:val="auto"/>
          <w:lang w:val="pt-BR"/>
        </w:rPr>
        <w:t>à</w:t>
      </w:r>
      <w:r w:rsidRPr="009976BC">
        <w:rPr>
          <w:rStyle w:val="st1"/>
          <w:rFonts w:cs="Arial"/>
          <w:b/>
          <w:i/>
          <w:iCs/>
          <w:color w:val="auto"/>
          <w:lang w:val="pt-BR"/>
        </w:rPr>
        <w:t xml:space="preserve"> </w:t>
      </w:r>
      <w:r w:rsidRPr="009976BC">
        <w:rPr>
          <w:rStyle w:val="Emphasis"/>
          <w:rFonts w:cs="Arial"/>
          <w:i w:val="0"/>
          <w:iCs w:val="0"/>
          <w:color w:val="auto"/>
          <w:lang w:val="pt-BR"/>
        </w:rPr>
        <w:t>Mem</w:t>
      </w:r>
      <w:r w:rsidR="002A3A75" w:rsidRPr="009976BC">
        <w:rPr>
          <w:rStyle w:val="Emphasis"/>
          <w:rFonts w:cs="Arial"/>
          <w:i w:val="0"/>
          <w:iCs w:val="0"/>
          <w:color w:val="auto"/>
          <w:lang w:val="pt-BR"/>
        </w:rPr>
        <w:t>ó</w:t>
      </w:r>
      <w:r w:rsidRPr="009976BC">
        <w:rPr>
          <w:rStyle w:val="Emphasis"/>
          <w:rFonts w:cs="Arial"/>
          <w:i w:val="0"/>
          <w:iCs w:val="0"/>
          <w:color w:val="auto"/>
          <w:lang w:val="pt-BR"/>
        </w:rPr>
        <w:t>ria e</w:t>
      </w:r>
      <w:r w:rsidRPr="009976BC">
        <w:rPr>
          <w:rStyle w:val="st1"/>
          <w:rFonts w:cs="Arial"/>
          <w:b/>
          <w:i/>
          <w:iCs/>
          <w:color w:val="auto"/>
          <w:lang w:val="pt-BR"/>
        </w:rPr>
        <w:t xml:space="preserve"> </w:t>
      </w:r>
      <w:r w:rsidRPr="00DA3AB9">
        <w:rPr>
          <w:rStyle w:val="st1"/>
          <w:rFonts w:cs="Arial"/>
          <w:color w:val="auto"/>
          <w:lang w:val="pt-BR"/>
        </w:rPr>
        <w:t>à</w:t>
      </w:r>
      <w:r w:rsidRPr="009976BC">
        <w:rPr>
          <w:rStyle w:val="st1"/>
          <w:rFonts w:cs="Arial"/>
          <w:b/>
          <w:i/>
          <w:iCs/>
          <w:color w:val="auto"/>
          <w:lang w:val="pt-BR"/>
        </w:rPr>
        <w:t xml:space="preserve"> </w:t>
      </w:r>
      <w:r w:rsidRPr="009976BC">
        <w:rPr>
          <w:rStyle w:val="Emphasis"/>
          <w:rFonts w:cs="Arial"/>
          <w:i w:val="0"/>
          <w:iCs w:val="0"/>
          <w:color w:val="auto"/>
          <w:lang w:val="pt-BR"/>
        </w:rPr>
        <w:t>Verdade: Comissão Especial sobre Mortos e Desaparecidos Políticos. Brasília, Secretaria Especial dos Direitos Humanos, 2007, p. 23</w:t>
      </w:r>
      <w:r w:rsidRPr="00566CD5">
        <w:rPr>
          <w:rStyle w:val="Emphasis"/>
          <w:rFonts w:cs="Arial"/>
          <w:color w:val="auto"/>
          <w:lang w:val="pt-BR"/>
        </w:rPr>
        <w:t xml:space="preserve">. </w:t>
      </w:r>
      <w:r w:rsidRPr="00566CD5">
        <w:rPr>
          <w:color w:val="auto"/>
          <w:lang w:val="pt-BR"/>
        </w:rPr>
        <w:t xml:space="preserve">Anexo </w:t>
      </w:r>
      <w:r w:rsidR="002A3A75" w:rsidRPr="00566CD5">
        <w:rPr>
          <w:color w:val="auto"/>
          <w:lang w:val="pt-BR"/>
        </w:rPr>
        <w:t>à</w:t>
      </w:r>
      <w:r w:rsidRPr="00566CD5">
        <w:rPr>
          <w:color w:val="auto"/>
          <w:lang w:val="pt-BR"/>
        </w:rPr>
        <w:t xml:space="preserve"> comunicação da </w:t>
      </w:r>
      <w:r w:rsidR="002A3A75" w:rsidRPr="00566CD5">
        <w:rPr>
          <w:color w:val="auto"/>
          <w:lang w:val="pt-BR"/>
        </w:rPr>
        <w:t>parte peticionária de novembro</w:t>
      </w:r>
      <w:r w:rsidRPr="00566CD5">
        <w:rPr>
          <w:color w:val="auto"/>
          <w:lang w:val="pt-BR"/>
        </w:rPr>
        <w:t xml:space="preserve"> de 2017.</w:t>
      </w:r>
    </w:p>
  </w:footnote>
  <w:footnote w:id="19">
    <w:p w14:paraId="4481B541" w14:textId="416FA313"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Demanda da Comissão Interamericana de Direito</w:t>
      </w:r>
      <w:r w:rsidR="002A3A75" w:rsidRPr="00566CD5">
        <w:rPr>
          <w:color w:val="auto"/>
          <w:lang w:val="pt-BR"/>
        </w:rPr>
        <w:t xml:space="preserve">s Humanos </w:t>
      </w:r>
      <w:r w:rsidR="00CC74FA">
        <w:rPr>
          <w:color w:val="auto"/>
          <w:lang w:val="pt-BR"/>
        </w:rPr>
        <w:t>per</w:t>
      </w:r>
      <w:r w:rsidR="002A3A75" w:rsidRPr="00566CD5">
        <w:rPr>
          <w:color w:val="auto"/>
          <w:lang w:val="pt-BR"/>
        </w:rPr>
        <w:t xml:space="preserve">ante </w:t>
      </w:r>
      <w:r w:rsidRPr="00566CD5">
        <w:rPr>
          <w:color w:val="auto"/>
          <w:lang w:val="pt-BR"/>
        </w:rPr>
        <w:t xml:space="preserve">a Corte Interamericana de Direitos Humanos contra a República Federativa de Brasil. Caso 11,552 - Julia Gomes Lund e </w:t>
      </w:r>
      <w:r w:rsidR="002A3A75" w:rsidRPr="00566CD5">
        <w:rPr>
          <w:color w:val="auto"/>
          <w:lang w:val="pt-BR"/>
        </w:rPr>
        <w:t>ou</w:t>
      </w:r>
      <w:r w:rsidRPr="00566CD5">
        <w:rPr>
          <w:color w:val="auto"/>
          <w:lang w:val="pt-BR"/>
        </w:rPr>
        <w:t xml:space="preserve">tros (Guerrilha do Araguaia), </w:t>
      </w:r>
      <w:r w:rsidR="00566CD5" w:rsidRPr="00566CD5">
        <w:rPr>
          <w:color w:val="auto"/>
          <w:lang w:val="pt-BR"/>
        </w:rPr>
        <w:t>de</w:t>
      </w:r>
      <w:r w:rsidRPr="00566CD5">
        <w:rPr>
          <w:color w:val="auto"/>
          <w:lang w:val="pt-BR"/>
        </w:rPr>
        <w:t xml:space="preserve"> 26 de </w:t>
      </w:r>
      <w:r w:rsidR="00566CD5" w:rsidRPr="00566CD5">
        <w:rPr>
          <w:color w:val="auto"/>
          <w:lang w:val="pt-BR"/>
        </w:rPr>
        <w:t>março</w:t>
      </w:r>
      <w:r w:rsidRPr="00566CD5">
        <w:rPr>
          <w:color w:val="auto"/>
          <w:lang w:val="pt-BR"/>
        </w:rPr>
        <w:t xml:space="preserve"> de 2009, </w:t>
      </w:r>
      <w:r w:rsidR="00566CD5" w:rsidRPr="00566CD5">
        <w:rPr>
          <w:color w:val="auto"/>
          <w:lang w:val="pt-BR"/>
        </w:rPr>
        <w:t>par</w:t>
      </w:r>
      <w:r w:rsidRPr="00566CD5">
        <w:rPr>
          <w:color w:val="auto"/>
          <w:lang w:val="pt-BR"/>
        </w:rPr>
        <w:t>. 71; V</w:t>
      </w:r>
      <w:r w:rsidR="002A3A75" w:rsidRPr="00566CD5">
        <w:rPr>
          <w:color w:val="auto"/>
          <w:lang w:val="pt-BR"/>
        </w:rPr>
        <w:t>eja também</w:t>
      </w:r>
      <w:r w:rsidRPr="00566CD5">
        <w:rPr>
          <w:color w:val="auto"/>
          <w:lang w:val="pt-BR"/>
        </w:rPr>
        <w:t xml:space="preserve">: </w:t>
      </w:r>
      <w:r w:rsidRPr="00566CD5">
        <w:rPr>
          <w:b/>
          <w:bCs/>
          <w:color w:val="auto"/>
          <w:lang w:val="pt-BR"/>
        </w:rPr>
        <w:t>Anexo 1</w:t>
      </w:r>
      <w:r w:rsidRPr="00566CD5">
        <w:rPr>
          <w:color w:val="auto"/>
          <w:lang w:val="pt-BR"/>
        </w:rPr>
        <w:t xml:space="preserve">. </w:t>
      </w:r>
      <w:r w:rsidRPr="00695183">
        <w:rPr>
          <w:rStyle w:val="Emphasis"/>
          <w:rFonts w:cs="Arial"/>
          <w:i w:val="0"/>
          <w:iCs w:val="0"/>
          <w:color w:val="auto"/>
          <w:lang w:val="pt-BR"/>
        </w:rPr>
        <w:t>Brasil. Presidência da República. Secretaria Especial dos Direitos Humanos. Direito</w:t>
      </w:r>
      <w:r w:rsidRPr="00695183">
        <w:rPr>
          <w:rStyle w:val="st1"/>
          <w:rFonts w:cs="Arial"/>
          <w:b/>
          <w:i/>
          <w:iCs/>
          <w:color w:val="auto"/>
          <w:lang w:val="pt-BR"/>
        </w:rPr>
        <w:t xml:space="preserve"> </w:t>
      </w:r>
      <w:r w:rsidRPr="00DA3AB9">
        <w:rPr>
          <w:rStyle w:val="st1"/>
          <w:rFonts w:cs="Arial"/>
          <w:color w:val="auto"/>
          <w:lang w:val="pt-BR"/>
        </w:rPr>
        <w:t>à</w:t>
      </w:r>
      <w:r w:rsidRPr="00695183">
        <w:rPr>
          <w:rStyle w:val="st1"/>
          <w:rFonts w:cs="Arial"/>
          <w:b/>
          <w:i/>
          <w:iCs/>
          <w:color w:val="auto"/>
          <w:lang w:val="pt-BR"/>
        </w:rPr>
        <w:t xml:space="preserve"> </w:t>
      </w:r>
      <w:r w:rsidRPr="00695183">
        <w:rPr>
          <w:rStyle w:val="Emphasis"/>
          <w:rFonts w:cs="Arial"/>
          <w:i w:val="0"/>
          <w:iCs w:val="0"/>
          <w:color w:val="auto"/>
          <w:lang w:val="pt-BR"/>
        </w:rPr>
        <w:t>Mem</w:t>
      </w:r>
      <w:r w:rsidR="002A3A75" w:rsidRPr="00695183">
        <w:rPr>
          <w:rStyle w:val="Emphasis"/>
          <w:rFonts w:cs="Arial"/>
          <w:i w:val="0"/>
          <w:iCs w:val="0"/>
          <w:color w:val="auto"/>
          <w:lang w:val="pt-BR"/>
        </w:rPr>
        <w:t>ó</w:t>
      </w:r>
      <w:r w:rsidRPr="00695183">
        <w:rPr>
          <w:rStyle w:val="Emphasis"/>
          <w:rFonts w:cs="Arial"/>
          <w:i w:val="0"/>
          <w:iCs w:val="0"/>
          <w:color w:val="auto"/>
          <w:lang w:val="pt-BR"/>
        </w:rPr>
        <w:t>ria e</w:t>
      </w:r>
      <w:r w:rsidRPr="00695183">
        <w:rPr>
          <w:rStyle w:val="st1"/>
          <w:rFonts w:cs="Arial"/>
          <w:b/>
          <w:i/>
          <w:iCs/>
          <w:color w:val="auto"/>
          <w:lang w:val="pt-BR"/>
        </w:rPr>
        <w:t xml:space="preserve"> </w:t>
      </w:r>
      <w:r w:rsidRPr="00DA3AB9">
        <w:rPr>
          <w:rStyle w:val="st1"/>
          <w:rFonts w:cs="Arial"/>
          <w:color w:val="auto"/>
          <w:lang w:val="pt-BR"/>
        </w:rPr>
        <w:t>à</w:t>
      </w:r>
      <w:r w:rsidRPr="00695183">
        <w:rPr>
          <w:rStyle w:val="st1"/>
          <w:rFonts w:cs="Arial"/>
          <w:b/>
          <w:i/>
          <w:iCs/>
          <w:color w:val="auto"/>
          <w:lang w:val="pt-BR"/>
        </w:rPr>
        <w:t xml:space="preserve"> </w:t>
      </w:r>
      <w:r w:rsidRPr="00695183">
        <w:rPr>
          <w:rStyle w:val="Emphasis"/>
          <w:rFonts w:cs="Arial"/>
          <w:i w:val="0"/>
          <w:iCs w:val="0"/>
          <w:color w:val="auto"/>
          <w:lang w:val="pt-BR"/>
        </w:rPr>
        <w:t>Verdade: Comissão Especial sobre Mortos e Desaparecidos Políticos. Brasília, Secretaria Especial dos Direitos Humanos, 2007, p</w:t>
      </w:r>
      <w:r w:rsidRPr="00695183">
        <w:rPr>
          <w:i/>
          <w:iCs/>
          <w:color w:val="auto"/>
          <w:lang w:val="pt-BR"/>
        </w:rPr>
        <w:t>. 27</w:t>
      </w:r>
      <w:r w:rsidRPr="00566CD5">
        <w:rPr>
          <w:color w:val="auto"/>
          <w:lang w:val="pt-BR"/>
        </w:rPr>
        <w:t xml:space="preserve">.  Anexo </w:t>
      </w:r>
      <w:r w:rsidR="002A3A75" w:rsidRPr="00566CD5">
        <w:rPr>
          <w:color w:val="auto"/>
          <w:lang w:val="pt-BR"/>
        </w:rPr>
        <w:t xml:space="preserve">à </w:t>
      </w:r>
      <w:r w:rsidRPr="00566CD5">
        <w:rPr>
          <w:color w:val="auto"/>
          <w:lang w:val="pt-BR"/>
        </w:rPr>
        <w:t xml:space="preserve">comunicação da </w:t>
      </w:r>
      <w:r w:rsidR="002A3A75" w:rsidRPr="00566CD5">
        <w:rPr>
          <w:color w:val="auto"/>
          <w:lang w:val="pt-BR"/>
        </w:rPr>
        <w:t>parte peticionária de novembro</w:t>
      </w:r>
      <w:r w:rsidRPr="00566CD5">
        <w:rPr>
          <w:color w:val="auto"/>
          <w:lang w:val="pt-BR"/>
        </w:rPr>
        <w:t xml:space="preserve"> de 2017.</w:t>
      </w:r>
    </w:p>
  </w:footnote>
  <w:footnote w:id="20">
    <w:p w14:paraId="3F136245" w14:textId="439DBB3C"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Demanda da Comissão Interamericana de Direitos Humano</w:t>
      </w:r>
      <w:r w:rsidR="002A3A75" w:rsidRPr="00566CD5">
        <w:rPr>
          <w:color w:val="auto"/>
          <w:lang w:val="pt-BR"/>
        </w:rPr>
        <w:t xml:space="preserve">s </w:t>
      </w:r>
      <w:r w:rsidR="00CC74FA">
        <w:rPr>
          <w:color w:val="auto"/>
          <w:lang w:val="pt-BR"/>
        </w:rPr>
        <w:t>per</w:t>
      </w:r>
      <w:r w:rsidR="002A3A75" w:rsidRPr="00566CD5">
        <w:rPr>
          <w:color w:val="auto"/>
          <w:lang w:val="pt-BR"/>
        </w:rPr>
        <w:t xml:space="preserve">ante </w:t>
      </w:r>
      <w:r w:rsidRPr="00566CD5">
        <w:rPr>
          <w:color w:val="auto"/>
          <w:lang w:val="pt-BR"/>
        </w:rPr>
        <w:t>a Corte Interamericana de Direito</w:t>
      </w:r>
      <w:r w:rsidR="002A3A75" w:rsidRPr="00566CD5">
        <w:rPr>
          <w:color w:val="auto"/>
          <w:lang w:val="pt-BR"/>
        </w:rPr>
        <w:t>s Humanos contra a República Federativa do</w:t>
      </w:r>
      <w:r w:rsidRPr="00566CD5">
        <w:rPr>
          <w:color w:val="auto"/>
          <w:lang w:val="pt-BR"/>
        </w:rPr>
        <w:t xml:space="preserve"> Brasil. Caso 11,552 - Julia Gomes Lund e </w:t>
      </w:r>
      <w:r w:rsidR="002A3A75" w:rsidRPr="00566CD5">
        <w:rPr>
          <w:color w:val="auto"/>
          <w:lang w:val="pt-BR"/>
        </w:rPr>
        <w:t>ou</w:t>
      </w:r>
      <w:r w:rsidRPr="00566CD5">
        <w:rPr>
          <w:color w:val="auto"/>
          <w:lang w:val="pt-BR"/>
        </w:rPr>
        <w:t>t</w:t>
      </w:r>
      <w:r w:rsidR="002A3A75" w:rsidRPr="00566CD5">
        <w:rPr>
          <w:color w:val="auto"/>
          <w:lang w:val="pt-BR"/>
        </w:rPr>
        <w:t>ros (Guerrilha do Araguaia), de 26 de março de 2009, pa</w:t>
      </w:r>
      <w:r w:rsidRPr="00566CD5">
        <w:rPr>
          <w:color w:val="auto"/>
          <w:lang w:val="pt-BR"/>
        </w:rPr>
        <w:t>r. 71; V</w:t>
      </w:r>
      <w:r w:rsidR="002A3A75" w:rsidRPr="00566CD5">
        <w:rPr>
          <w:color w:val="auto"/>
          <w:lang w:val="pt-BR"/>
        </w:rPr>
        <w:t>eja também</w:t>
      </w:r>
      <w:r w:rsidRPr="00566CD5">
        <w:rPr>
          <w:color w:val="auto"/>
          <w:lang w:val="pt-BR"/>
        </w:rPr>
        <w:t xml:space="preserve">: </w:t>
      </w:r>
      <w:r w:rsidRPr="00566CD5">
        <w:rPr>
          <w:b/>
          <w:bCs/>
          <w:color w:val="auto"/>
          <w:lang w:val="pt-BR"/>
        </w:rPr>
        <w:t>Anexo 1</w:t>
      </w:r>
      <w:r w:rsidRPr="00566CD5">
        <w:rPr>
          <w:color w:val="auto"/>
          <w:lang w:val="pt-BR"/>
        </w:rPr>
        <w:t xml:space="preserve">. </w:t>
      </w:r>
      <w:r w:rsidRPr="007C5BE3">
        <w:rPr>
          <w:rStyle w:val="Emphasis"/>
          <w:rFonts w:cs="Arial"/>
          <w:i w:val="0"/>
          <w:iCs w:val="0"/>
          <w:color w:val="auto"/>
          <w:lang w:val="pt-BR"/>
        </w:rPr>
        <w:t xml:space="preserve">Brasil. Presidência da República. Secretaria Especial dos Direitos Humanos. </w:t>
      </w:r>
      <w:r w:rsidRPr="00CC74FA">
        <w:rPr>
          <w:rStyle w:val="Emphasis"/>
          <w:rFonts w:cs="Arial"/>
          <w:i w:val="0"/>
          <w:iCs w:val="0"/>
          <w:color w:val="auto"/>
          <w:lang w:val="pt-BR"/>
        </w:rPr>
        <w:t>Direito</w:t>
      </w:r>
      <w:r w:rsidRPr="00CC74FA">
        <w:rPr>
          <w:rStyle w:val="st1"/>
          <w:rFonts w:cs="Arial"/>
          <w:b/>
          <w:i/>
          <w:iCs/>
          <w:color w:val="auto"/>
          <w:lang w:val="pt-BR"/>
        </w:rPr>
        <w:t xml:space="preserve"> </w:t>
      </w:r>
      <w:r w:rsidRPr="00CC74FA">
        <w:rPr>
          <w:rStyle w:val="st1"/>
          <w:rFonts w:cs="Arial"/>
          <w:color w:val="auto"/>
          <w:lang w:val="pt-BR"/>
        </w:rPr>
        <w:t>à</w:t>
      </w:r>
      <w:r w:rsidRPr="00CC74FA">
        <w:rPr>
          <w:rStyle w:val="st1"/>
          <w:rFonts w:cs="Arial"/>
          <w:b/>
          <w:i/>
          <w:iCs/>
          <w:color w:val="auto"/>
          <w:lang w:val="pt-BR"/>
        </w:rPr>
        <w:t xml:space="preserve"> </w:t>
      </w:r>
      <w:r w:rsidR="00566CD5" w:rsidRPr="00CC74FA">
        <w:rPr>
          <w:rStyle w:val="Emphasis"/>
          <w:rFonts w:cs="Arial"/>
          <w:i w:val="0"/>
          <w:iCs w:val="0"/>
          <w:color w:val="auto"/>
          <w:lang w:val="pt-BR"/>
        </w:rPr>
        <w:t>Memória</w:t>
      </w:r>
      <w:r w:rsidRPr="00CC74FA">
        <w:rPr>
          <w:rStyle w:val="Emphasis"/>
          <w:rFonts w:cs="Arial"/>
          <w:i w:val="0"/>
          <w:iCs w:val="0"/>
          <w:color w:val="auto"/>
          <w:lang w:val="pt-BR"/>
        </w:rPr>
        <w:t xml:space="preserve"> e</w:t>
      </w:r>
      <w:r w:rsidRPr="00CC74FA">
        <w:rPr>
          <w:rStyle w:val="st1"/>
          <w:rFonts w:cs="Arial"/>
          <w:b/>
          <w:i/>
          <w:iCs/>
          <w:color w:val="auto"/>
          <w:lang w:val="pt-BR"/>
        </w:rPr>
        <w:t xml:space="preserve"> </w:t>
      </w:r>
      <w:r w:rsidRPr="00CC74FA">
        <w:rPr>
          <w:rStyle w:val="st1"/>
          <w:rFonts w:cs="Arial"/>
          <w:color w:val="auto"/>
          <w:lang w:val="pt-BR"/>
        </w:rPr>
        <w:t>à</w:t>
      </w:r>
      <w:r w:rsidRPr="00CC74FA">
        <w:rPr>
          <w:rStyle w:val="st1"/>
          <w:rFonts w:cs="Arial"/>
          <w:b/>
          <w:i/>
          <w:iCs/>
          <w:color w:val="auto"/>
          <w:lang w:val="pt-BR"/>
        </w:rPr>
        <w:t xml:space="preserve"> </w:t>
      </w:r>
      <w:r w:rsidRPr="00CC74FA">
        <w:rPr>
          <w:rStyle w:val="Emphasis"/>
          <w:rFonts w:cs="Arial"/>
          <w:i w:val="0"/>
          <w:iCs w:val="0"/>
          <w:color w:val="auto"/>
          <w:lang w:val="pt-BR"/>
        </w:rPr>
        <w:t>Verdade</w:t>
      </w:r>
      <w:r w:rsidRPr="007C5BE3">
        <w:rPr>
          <w:rStyle w:val="Emphasis"/>
          <w:rFonts w:cs="Arial"/>
          <w:i w:val="0"/>
          <w:iCs w:val="0"/>
          <w:color w:val="auto"/>
          <w:lang w:val="pt-BR"/>
        </w:rPr>
        <w:t>: Comissão Especial sobre Mortos e Desaparecidos Políticos. Brasília, Secretaria Especial dos Direitos Humanos, 2007, p</w:t>
      </w:r>
      <w:r w:rsidRPr="007C5BE3">
        <w:rPr>
          <w:i/>
          <w:iCs/>
          <w:color w:val="auto"/>
          <w:lang w:val="pt-BR"/>
        </w:rPr>
        <w:t>. 27</w:t>
      </w:r>
      <w:r w:rsidRPr="00566CD5">
        <w:rPr>
          <w:color w:val="auto"/>
          <w:lang w:val="pt-BR"/>
        </w:rPr>
        <w:t xml:space="preserve">. Anexo </w:t>
      </w:r>
      <w:r w:rsidR="002A3A75" w:rsidRPr="00566CD5">
        <w:rPr>
          <w:color w:val="auto"/>
          <w:lang w:val="pt-BR"/>
        </w:rPr>
        <w:t>à</w:t>
      </w:r>
      <w:r w:rsidRPr="00566CD5">
        <w:rPr>
          <w:color w:val="auto"/>
          <w:lang w:val="pt-BR"/>
        </w:rPr>
        <w:t xml:space="preserve"> comunicação da </w:t>
      </w:r>
      <w:r w:rsidR="002A3A75" w:rsidRPr="00566CD5">
        <w:rPr>
          <w:color w:val="auto"/>
          <w:lang w:val="pt-BR"/>
        </w:rPr>
        <w:t>parte peticionária de novembro</w:t>
      </w:r>
      <w:r w:rsidRPr="00566CD5">
        <w:rPr>
          <w:color w:val="auto"/>
          <w:lang w:val="pt-BR"/>
        </w:rPr>
        <w:t xml:space="preserve"> de 2017.</w:t>
      </w:r>
    </w:p>
  </w:footnote>
  <w:footnote w:id="21">
    <w:p w14:paraId="65ADBADE" w14:textId="77777777"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w:t>
      </w:r>
      <w:r w:rsidRPr="00566CD5">
        <w:rPr>
          <w:rStyle w:val="Emphasis"/>
          <w:rFonts w:cs="Arial"/>
          <w:b/>
          <w:bCs/>
          <w:color w:val="auto"/>
          <w:lang w:val="pt-BR"/>
        </w:rPr>
        <w:t>Anexo 3</w:t>
      </w:r>
      <w:r w:rsidRPr="00566CD5">
        <w:rPr>
          <w:rStyle w:val="Emphasis"/>
          <w:rFonts w:cs="Arial"/>
          <w:color w:val="auto"/>
          <w:lang w:val="pt-BR"/>
        </w:rPr>
        <w:t xml:space="preserve">. </w:t>
      </w:r>
      <w:r w:rsidRPr="003033BC">
        <w:rPr>
          <w:rStyle w:val="Emphasis"/>
          <w:rFonts w:cs="Arial"/>
          <w:i w:val="0"/>
          <w:iCs w:val="0"/>
          <w:color w:val="auto"/>
          <w:lang w:val="pt-BR"/>
        </w:rPr>
        <w:t>Relat</w:t>
      </w:r>
      <w:r w:rsidR="006F662C" w:rsidRPr="003033BC">
        <w:rPr>
          <w:rStyle w:val="Emphasis"/>
          <w:rFonts w:cs="Arial"/>
          <w:i w:val="0"/>
          <w:iCs w:val="0"/>
          <w:color w:val="auto"/>
          <w:lang w:val="pt-BR"/>
        </w:rPr>
        <w:t>ó</w:t>
      </w:r>
      <w:r w:rsidRPr="003033BC">
        <w:rPr>
          <w:rStyle w:val="Emphasis"/>
          <w:rFonts w:cs="Arial"/>
          <w:i w:val="0"/>
          <w:iCs w:val="0"/>
          <w:color w:val="auto"/>
          <w:lang w:val="pt-BR"/>
        </w:rPr>
        <w:t>rio da</w:t>
      </w:r>
      <w:r w:rsidRPr="003033BC">
        <w:rPr>
          <w:rStyle w:val="st1"/>
          <w:rFonts w:cs="Arial"/>
          <w:b/>
          <w:i/>
          <w:iCs/>
          <w:color w:val="auto"/>
          <w:lang w:val="pt-BR"/>
        </w:rPr>
        <w:t xml:space="preserve"> </w:t>
      </w:r>
      <w:r w:rsidRPr="003033BC">
        <w:rPr>
          <w:rStyle w:val="Emphasis"/>
          <w:rFonts w:cs="Arial"/>
          <w:i w:val="0"/>
          <w:iCs w:val="0"/>
          <w:color w:val="auto"/>
          <w:lang w:val="pt-BR"/>
        </w:rPr>
        <w:t xml:space="preserve">Comissão Nacional da Verdade. Volume I. Parte II, “As estruturas do Estado e as graves violações de direitos humanos”. </w:t>
      </w:r>
      <w:r w:rsidRPr="004839E6">
        <w:rPr>
          <w:color w:val="auto"/>
          <w:lang w:val="pt-BR"/>
        </w:rPr>
        <w:t>Capítulo 3</w:t>
      </w:r>
      <w:r w:rsidRPr="003033BC">
        <w:rPr>
          <w:i/>
          <w:iCs/>
          <w:color w:val="auto"/>
          <w:lang w:val="pt-BR"/>
        </w:rPr>
        <w:t xml:space="preserve"> </w:t>
      </w:r>
      <w:r w:rsidRPr="00566CD5">
        <w:rPr>
          <w:color w:val="auto"/>
          <w:lang w:val="pt-BR"/>
        </w:rPr>
        <w:t>– (J) O c</w:t>
      </w:r>
      <w:r w:rsidR="006F662C" w:rsidRPr="00566CD5">
        <w:rPr>
          <w:color w:val="auto"/>
          <w:lang w:val="pt-BR"/>
        </w:rPr>
        <w:t>ontrole da política, p. 105, de</w:t>
      </w:r>
      <w:r w:rsidRPr="00566CD5">
        <w:rPr>
          <w:color w:val="auto"/>
          <w:lang w:val="pt-BR"/>
        </w:rPr>
        <w:t xml:space="preserve"> 10 de d</w:t>
      </w:r>
      <w:r w:rsidR="006F662C" w:rsidRPr="00566CD5">
        <w:rPr>
          <w:color w:val="auto"/>
          <w:lang w:val="pt-BR"/>
        </w:rPr>
        <w:t>ezembro</w:t>
      </w:r>
      <w:r w:rsidRPr="00566CD5">
        <w:rPr>
          <w:color w:val="auto"/>
          <w:lang w:val="pt-BR"/>
        </w:rPr>
        <w:t xml:space="preserve"> de 2014. Anexo </w:t>
      </w:r>
      <w:r w:rsidR="006F662C" w:rsidRPr="00566CD5">
        <w:rPr>
          <w:color w:val="auto"/>
          <w:lang w:val="pt-BR"/>
        </w:rPr>
        <w:t xml:space="preserve">à </w:t>
      </w:r>
      <w:r w:rsidRPr="00566CD5">
        <w:rPr>
          <w:color w:val="auto"/>
          <w:lang w:val="pt-BR"/>
        </w:rPr>
        <w:t xml:space="preserve">comunicação da parte </w:t>
      </w:r>
      <w:r w:rsidR="006F662C" w:rsidRPr="00566CD5">
        <w:rPr>
          <w:color w:val="auto"/>
          <w:lang w:val="pt-BR"/>
        </w:rPr>
        <w:t>peticionária de novembro</w:t>
      </w:r>
      <w:r w:rsidRPr="00566CD5">
        <w:rPr>
          <w:color w:val="auto"/>
          <w:lang w:val="pt-BR"/>
        </w:rPr>
        <w:t xml:space="preserve"> de 2017</w:t>
      </w:r>
    </w:p>
  </w:footnote>
  <w:footnote w:id="22">
    <w:p w14:paraId="54E6D3A1" w14:textId="77777777"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w:t>
      </w:r>
      <w:r w:rsidRPr="00566CD5">
        <w:rPr>
          <w:b/>
          <w:bCs/>
          <w:color w:val="auto"/>
          <w:lang w:val="pt-BR"/>
        </w:rPr>
        <w:t>Anexo 5</w:t>
      </w:r>
      <w:r w:rsidRPr="00566CD5">
        <w:rPr>
          <w:color w:val="auto"/>
          <w:lang w:val="pt-BR"/>
        </w:rPr>
        <w:t xml:space="preserve">. Arquidiocese de São Paulo. Projeto “Brasil: Nunca Mais”, tomo I – O Regime Militar. </w:t>
      </w:r>
      <w:r w:rsidR="00566CD5" w:rsidRPr="00566CD5">
        <w:rPr>
          <w:color w:val="auto"/>
          <w:lang w:val="pt-BR"/>
        </w:rPr>
        <w:t>Petrópolis</w:t>
      </w:r>
      <w:r w:rsidRPr="00566CD5">
        <w:rPr>
          <w:color w:val="auto"/>
          <w:lang w:val="pt-BR"/>
        </w:rPr>
        <w:t>: Editora Vozes, 1985, p. 34</w:t>
      </w:r>
    </w:p>
  </w:footnote>
  <w:footnote w:id="23">
    <w:p w14:paraId="3651A06E" w14:textId="77777777"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w:t>
      </w:r>
      <w:r w:rsidRPr="00566CD5">
        <w:rPr>
          <w:b/>
          <w:bCs/>
          <w:color w:val="auto"/>
          <w:lang w:val="pt-BR"/>
        </w:rPr>
        <w:t>Anexo 5</w:t>
      </w:r>
      <w:r w:rsidRPr="00566CD5">
        <w:rPr>
          <w:color w:val="auto"/>
          <w:lang w:val="pt-BR"/>
        </w:rPr>
        <w:t xml:space="preserve">. Arquidiocese de São Paulo. Projeto “Brasil: Nunca Mais”, tomo I – O Regime Militar. </w:t>
      </w:r>
      <w:r w:rsidR="00566CD5" w:rsidRPr="00566CD5">
        <w:rPr>
          <w:color w:val="auto"/>
          <w:lang w:val="pt-BR"/>
        </w:rPr>
        <w:t>Petrópolis</w:t>
      </w:r>
      <w:r w:rsidRPr="00566CD5">
        <w:rPr>
          <w:color w:val="auto"/>
          <w:lang w:val="pt-BR"/>
        </w:rPr>
        <w:t>: Editora Vozes, 1985, p. 34.</w:t>
      </w:r>
    </w:p>
  </w:footnote>
  <w:footnote w:id="24">
    <w:p w14:paraId="748466BD" w14:textId="77777777"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w:t>
      </w:r>
      <w:r w:rsidRPr="00566CD5">
        <w:rPr>
          <w:b/>
          <w:bCs/>
          <w:color w:val="auto"/>
          <w:lang w:val="pt-BR"/>
        </w:rPr>
        <w:t>Anexo 6</w:t>
      </w:r>
      <w:r w:rsidRPr="00566CD5">
        <w:rPr>
          <w:color w:val="auto"/>
          <w:lang w:val="pt-BR"/>
        </w:rPr>
        <w:t xml:space="preserve">. Arquidiocese de São Paulo. Projeto “Brasil: Nunca Mais”, tomo IV – As Leis Repressivas. </w:t>
      </w:r>
      <w:r w:rsidR="00566CD5" w:rsidRPr="00566CD5">
        <w:rPr>
          <w:color w:val="auto"/>
          <w:lang w:val="pt-BR"/>
        </w:rPr>
        <w:t>Petrópolis</w:t>
      </w:r>
      <w:r w:rsidRPr="00566CD5">
        <w:rPr>
          <w:color w:val="auto"/>
          <w:lang w:val="pt-BR"/>
        </w:rPr>
        <w:t xml:space="preserve">: Editora Vozes, 1985, p. 20. </w:t>
      </w:r>
    </w:p>
  </w:footnote>
  <w:footnote w:id="25">
    <w:p w14:paraId="16664524" w14:textId="4B45A1E1" w:rsidR="00DA5DAC" w:rsidRPr="00566CD5" w:rsidRDefault="00DA5DAC" w:rsidP="00155439">
      <w:pPr>
        <w:autoSpaceDE w:val="0"/>
        <w:autoSpaceDN w:val="0"/>
        <w:adjustRightInd w:val="0"/>
        <w:contextualSpacing/>
        <w:jc w:val="both"/>
        <w:rPr>
          <w:rFonts w:ascii="Cambria" w:hAnsi="Cambria"/>
          <w:sz w:val="16"/>
          <w:szCs w:val="16"/>
        </w:rPr>
      </w:pPr>
      <w:r w:rsidRPr="00566CD5">
        <w:rPr>
          <w:rStyle w:val="FootnoteReference"/>
          <w:rFonts w:ascii="Cambria" w:hAnsi="Cambria"/>
          <w:sz w:val="16"/>
          <w:szCs w:val="16"/>
        </w:rPr>
        <w:footnoteRef/>
      </w:r>
      <w:r w:rsidRPr="00566CD5">
        <w:rPr>
          <w:rFonts w:ascii="Cambria" w:hAnsi="Cambria"/>
          <w:sz w:val="16"/>
          <w:szCs w:val="16"/>
        </w:rPr>
        <w:t xml:space="preserve"> </w:t>
      </w:r>
      <w:r w:rsidRPr="00566CD5">
        <w:rPr>
          <w:rFonts w:ascii="Cambria" w:hAnsi="Cambria"/>
          <w:b/>
          <w:bCs/>
          <w:sz w:val="16"/>
          <w:szCs w:val="16"/>
        </w:rPr>
        <w:t>Anexo 7</w:t>
      </w:r>
      <w:r w:rsidRPr="00566CD5">
        <w:rPr>
          <w:rFonts w:ascii="Cambria" w:hAnsi="Cambria"/>
          <w:sz w:val="16"/>
          <w:szCs w:val="16"/>
        </w:rPr>
        <w:t xml:space="preserve">. </w:t>
      </w:r>
      <w:r w:rsidRPr="003033BC">
        <w:rPr>
          <w:rStyle w:val="Emphasis"/>
          <w:rFonts w:ascii="Cambria" w:hAnsi="Cambria" w:cs="Arial"/>
          <w:i w:val="0"/>
          <w:iCs w:val="0"/>
          <w:sz w:val="16"/>
          <w:szCs w:val="16"/>
        </w:rPr>
        <w:t>Relat</w:t>
      </w:r>
      <w:r w:rsidR="006F662C" w:rsidRPr="003033BC">
        <w:rPr>
          <w:rStyle w:val="Emphasis"/>
          <w:rFonts w:ascii="Cambria" w:hAnsi="Cambria" w:cs="Arial"/>
          <w:i w:val="0"/>
          <w:iCs w:val="0"/>
          <w:sz w:val="16"/>
          <w:szCs w:val="16"/>
        </w:rPr>
        <w:t>ó</w:t>
      </w:r>
      <w:r w:rsidRPr="003033BC">
        <w:rPr>
          <w:rStyle w:val="Emphasis"/>
          <w:rFonts w:ascii="Cambria" w:hAnsi="Cambria" w:cs="Arial"/>
          <w:i w:val="0"/>
          <w:iCs w:val="0"/>
          <w:sz w:val="16"/>
          <w:szCs w:val="16"/>
        </w:rPr>
        <w:t>rio da</w:t>
      </w:r>
      <w:r w:rsidRPr="003033BC">
        <w:rPr>
          <w:rStyle w:val="st1"/>
          <w:rFonts w:ascii="Cambria" w:hAnsi="Cambria" w:cs="Arial"/>
          <w:b/>
          <w:i/>
          <w:iCs/>
          <w:sz w:val="16"/>
          <w:szCs w:val="16"/>
        </w:rPr>
        <w:t xml:space="preserve"> </w:t>
      </w:r>
      <w:r w:rsidRPr="003033BC">
        <w:rPr>
          <w:rStyle w:val="Emphasis"/>
          <w:rFonts w:ascii="Cambria" w:hAnsi="Cambria" w:cs="Arial"/>
          <w:i w:val="0"/>
          <w:iCs w:val="0"/>
          <w:sz w:val="16"/>
          <w:szCs w:val="16"/>
        </w:rPr>
        <w:t>Comissão Nacional da Verdade. Volume I.</w:t>
      </w:r>
      <w:r w:rsidRPr="00307176">
        <w:rPr>
          <w:rStyle w:val="Emphasis"/>
          <w:rFonts w:ascii="Cambria" w:hAnsi="Cambria" w:cs="Arial"/>
          <w:sz w:val="16"/>
          <w:szCs w:val="16"/>
        </w:rPr>
        <w:t xml:space="preserve"> </w:t>
      </w:r>
      <w:r w:rsidRPr="00307176">
        <w:rPr>
          <w:rStyle w:val="Strong"/>
          <w:rFonts w:ascii="Cambria" w:hAnsi="Cambria"/>
          <w:b w:val="0"/>
          <w:bCs w:val="0"/>
          <w:sz w:val="16"/>
          <w:szCs w:val="16"/>
        </w:rPr>
        <w:t>Parte IV – “Dinâmica das graves violações de direitos humanos: casos emblemáticos, locais e autores</w:t>
      </w:r>
      <w:r w:rsidR="00307176">
        <w:rPr>
          <w:rStyle w:val="Strong"/>
          <w:rFonts w:ascii="Cambria" w:hAnsi="Cambria"/>
          <w:b w:val="0"/>
          <w:bCs w:val="0"/>
          <w:sz w:val="16"/>
          <w:szCs w:val="16"/>
        </w:rPr>
        <w:t>.</w:t>
      </w:r>
      <w:r w:rsidRPr="00307176">
        <w:rPr>
          <w:rStyle w:val="Strong"/>
          <w:rFonts w:ascii="Cambria" w:hAnsi="Cambria"/>
          <w:b w:val="0"/>
          <w:bCs w:val="0"/>
          <w:sz w:val="16"/>
          <w:szCs w:val="16"/>
        </w:rPr>
        <w:t xml:space="preserve"> O Judiciário</w:t>
      </w:r>
      <w:r w:rsidRPr="00566CD5">
        <w:rPr>
          <w:rStyle w:val="Strong"/>
          <w:rFonts w:ascii="Cambria" w:hAnsi="Cambria"/>
          <w:sz w:val="16"/>
          <w:szCs w:val="16"/>
        </w:rPr>
        <w:t>”</w:t>
      </w:r>
      <w:r w:rsidRPr="00566CD5">
        <w:rPr>
          <w:rFonts w:ascii="Cambria" w:hAnsi="Cambria"/>
          <w:sz w:val="16"/>
          <w:szCs w:val="16"/>
        </w:rPr>
        <w:t xml:space="preserve"> Capítulo 17 – O Judiciário na ditadura (D) </w:t>
      </w:r>
      <w:r w:rsidRPr="00566CD5">
        <w:rPr>
          <w:rFonts w:ascii="Cambria" w:eastAsia="Calibri" w:hAnsi="Cambria" w:cs="AGaramondPro-Bold-SC700"/>
          <w:bCs/>
          <w:sz w:val="16"/>
          <w:szCs w:val="16"/>
        </w:rPr>
        <w:t>Considerações finais sobre a apreciação judicial acerca de graves violações de direitos humanos</w:t>
      </w:r>
      <w:r w:rsidRPr="00566CD5">
        <w:rPr>
          <w:rFonts w:ascii="Cambria" w:hAnsi="Cambria"/>
          <w:sz w:val="16"/>
          <w:szCs w:val="16"/>
        </w:rPr>
        <w:t xml:space="preserve"> p. 41, </w:t>
      </w:r>
      <w:r w:rsidR="007076A6">
        <w:rPr>
          <w:rFonts w:ascii="Cambria" w:hAnsi="Cambria"/>
          <w:sz w:val="16"/>
          <w:szCs w:val="16"/>
        </w:rPr>
        <w:t>par.</w:t>
      </w:r>
      <w:r w:rsidR="006F662C" w:rsidRPr="00566CD5">
        <w:rPr>
          <w:rFonts w:ascii="Cambria" w:hAnsi="Cambria"/>
          <w:sz w:val="16"/>
          <w:szCs w:val="16"/>
        </w:rPr>
        <w:t xml:space="preserve"> 68-70, de</w:t>
      </w:r>
      <w:r w:rsidRPr="00566CD5">
        <w:rPr>
          <w:rFonts w:ascii="Cambria" w:hAnsi="Cambria"/>
          <w:sz w:val="16"/>
          <w:szCs w:val="16"/>
        </w:rPr>
        <w:t xml:space="preserve"> 10 de d</w:t>
      </w:r>
      <w:r w:rsidR="006F662C" w:rsidRPr="00566CD5">
        <w:rPr>
          <w:rFonts w:ascii="Cambria" w:hAnsi="Cambria"/>
          <w:sz w:val="16"/>
          <w:szCs w:val="16"/>
        </w:rPr>
        <w:t xml:space="preserve">ezembro </w:t>
      </w:r>
      <w:r w:rsidRPr="00566CD5">
        <w:rPr>
          <w:rFonts w:ascii="Cambria" w:hAnsi="Cambria"/>
          <w:sz w:val="16"/>
          <w:szCs w:val="16"/>
        </w:rPr>
        <w:t xml:space="preserve">de 2014. Anexo </w:t>
      </w:r>
      <w:r w:rsidR="006F662C" w:rsidRPr="00566CD5">
        <w:rPr>
          <w:rFonts w:ascii="Cambria" w:hAnsi="Cambria"/>
          <w:sz w:val="16"/>
          <w:szCs w:val="16"/>
        </w:rPr>
        <w:t>à</w:t>
      </w:r>
      <w:r w:rsidRPr="00566CD5">
        <w:rPr>
          <w:rFonts w:ascii="Cambria" w:hAnsi="Cambria"/>
          <w:sz w:val="16"/>
          <w:szCs w:val="16"/>
        </w:rPr>
        <w:t xml:space="preserve"> comunicação da </w:t>
      </w:r>
      <w:r w:rsidR="006F662C" w:rsidRPr="00566CD5">
        <w:rPr>
          <w:rFonts w:ascii="Cambria" w:hAnsi="Cambria"/>
          <w:sz w:val="16"/>
          <w:szCs w:val="16"/>
        </w:rPr>
        <w:t>parte peticionária de novembro</w:t>
      </w:r>
      <w:r w:rsidRPr="00566CD5">
        <w:rPr>
          <w:rFonts w:ascii="Cambria" w:hAnsi="Cambria"/>
          <w:sz w:val="16"/>
          <w:szCs w:val="16"/>
        </w:rPr>
        <w:t xml:space="preserve"> de 2017.</w:t>
      </w:r>
    </w:p>
  </w:footnote>
  <w:footnote w:id="26">
    <w:p w14:paraId="6C773FE1" w14:textId="2F409128"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Demanda da Comissão Interamericana de Direito</w:t>
      </w:r>
      <w:r w:rsidR="006F662C" w:rsidRPr="00566CD5">
        <w:rPr>
          <w:color w:val="auto"/>
          <w:lang w:val="pt-BR"/>
        </w:rPr>
        <w:t xml:space="preserve">s Humanos </w:t>
      </w:r>
      <w:r w:rsidR="007F5904">
        <w:rPr>
          <w:color w:val="auto"/>
          <w:lang w:val="pt-BR"/>
        </w:rPr>
        <w:t>per</w:t>
      </w:r>
      <w:r w:rsidR="006F662C" w:rsidRPr="00566CD5">
        <w:rPr>
          <w:color w:val="auto"/>
          <w:lang w:val="pt-BR"/>
        </w:rPr>
        <w:t xml:space="preserve">ante </w:t>
      </w:r>
      <w:r w:rsidRPr="00566CD5">
        <w:rPr>
          <w:color w:val="auto"/>
          <w:lang w:val="pt-BR"/>
        </w:rPr>
        <w:t>a Corte Interamericana de Direito</w:t>
      </w:r>
      <w:r w:rsidR="006F662C" w:rsidRPr="00566CD5">
        <w:rPr>
          <w:color w:val="auto"/>
          <w:lang w:val="pt-BR"/>
        </w:rPr>
        <w:t xml:space="preserve">s Humanos contra a República Federativa do </w:t>
      </w:r>
      <w:r w:rsidRPr="00566CD5">
        <w:rPr>
          <w:color w:val="auto"/>
          <w:lang w:val="pt-BR"/>
        </w:rPr>
        <w:t xml:space="preserve">Brasil. Caso 11,552 - Julia Gomes Lund e </w:t>
      </w:r>
      <w:r w:rsidR="006F662C" w:rsidRPr="00566CD5">
        <w:rPr>
          <w:color w:val="auto"/>
          <w:lang w:val="pt-BR"/>
        </w:rPr>
        <w:t>ou</w:t>
      </w:r>
      <w:r w:rsidRPr="00566CD5">
        <w:rPr>
          <w:color w:val="auto"/>
          <w:lang w:val="pt-BR"/>
        </w:rPr>
        <w:t>t</w:t>
      </w:r>
      <w:r w:rsidR="006F662C" w:rsidRPr="00566CD5">
        <w:rPr>
          <w:color w:val="auto"/>
          <w:lang w:val="pt-BR"/>
        </w:rPr>
        <w:t>ros (Guerrilha do Araguaia), de 26 de março de 2009, pa</w:t>
      </w:r>
      <w:r w:rsidRPr="00566CD5">
        <w:rPr>
          <w:color w:val="auto"/>
          <w:lang w:val="pt-BR"/>
        </w:rPr>
        <w:t>r. 109.</w:t>
      </w:r>
    </w:p>
  </w:footnote>
  <w:footnote w:id="27">
    <w:p w14:paraId="35DA97B8" w14:textId="77777777"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Brasil. </w:t>
      </w:r>
      <w:r w:rsidRPr="007F5904">
        <w:rPr>
          <w:rStyle w:val="Strong"/>
          <w:rFonts w:cs="Arial"/>
          <w:b w:val="0"/>
          <w:bCs w:val="0"/>
          <w:color w:val="auto"/>
          <w:lang w:val="pt-BR"/>
        </w:rPr>
        <w:t>Presidência</w:t>
      </w:r>
      <w:r w:rsidR="006F662C" w:rsidRPr="00566CD5">
        <w:rPr>
          <w:color w:val="auto"/>
          <w:lang w:val="pt-BR"/>
        </w:rPr>
        <w:t xml:space="preserve"> da República. Lei Nº</w:t>
      </w:r>
      <w:r w:rsidRPr="00566CD5">
        <w:rPr>
          <w:color w:val="auto"/>
          <w:lang w:val="pt-BR"/>
        </w:rPr>
        <w:t xml:space="preserve"> 6.683, de 28 de agosto de 1979. Dispon</w:t>
      </w:r>
      <w:r w:rsidR="006F662C" w:rsidRPr="00566CD5">
        <w:rPr>
          <w:color w:val="auto"/>
          <w:lang w:val="pt-BR"/>
        </w:rPr>
        <w:t>ível em</w:t>
      </w:r>
      <w:r w:rsidRPr="00566CD5">
        <w:rPr>
          <w:color w:val="auto"/>
          <w:lang w:val="pt-BR"/>
        </w:rPr>
        <w:t xml:space="preserve">: </w:t>
      </w:r>
      <w:hyperlink r:id="rId1" w:history="1">
        <w:r w:rsidRPr="00566CD5">
          <w:rPr>
            <w:rStyle w:val="Hyperlink"/>
            <w:color w:val="auto"/>
            <w:lang w:val="pt-BR"/>
          </w:rPr>
          <w:t>http://www.planalto.gov.br/ccivil_03/leis/L6683.htm</w:t>
        </w:r>
      </w:hyperlink>
      <w:r w:rsidRPr="00566CD5">
        <w:rPr>
          <w:color w:val="auto"/>
          <w:lang w:val="pt-BR"/>
        </w:rPr>
        <w:t xml:space="preserve"> </w:t>
      </w:r>
    </w:p>
  </w:footnote>
  <w:footnote w:id="28">
    <w:p w14:paraId="1DFB46C9" w14:textId="6F06D868"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Demanda da Comissão Interamericana de Direito</w:t>
      </w:r>
      <w:r w:rsidR="006F662C" w:rsidRPr="00566CD5">
        <w:rPr>
          <w:color w:val="auto"/>
          <w:lang w:val="pt-BR"/>
        </w:rPr>
        <w:t xml:space="preserve">s Humanos </w:t>
      </w:r>
      <w:r w:rsidR="00041BA3">
        <w:rPr>
          <w:color w:val="auto"/>
          <w:lang w:val="pt-BR"/>
        </w:rPr>
        <w:t>per</w:t>
      </w:r>
      <w:r w:rsidR="006F662C" w:rsidRPr="00566CD5">
        <w:rPr>
          <w:color w:val="auto"/>
          <w:lang w:val="pt-BR"/>
        </w:rPr>
        <w:t xml:space="preserve">ante </w:t>
      </w:r>
      <w:r w:rsidRPr="00566CD5">
        <w:rPr>
          <w:color w:val="auto"/>
          <w:lang w:val="pt-BR"/>
        </w:rPr>
        <w:t>a Corte Interamericana de Direito</w:t>
      </w:r>
      <w:r w:rsidR="006F662C" w:rsidRPr="00566CD5">
        <w:rPr>
          <w:color w:val="auto"/>
          <w:lang w:val="pt-BR"/>
        </w:rPr>
        <w:t>s Humanos contra a República Federativa do</w:t>
      </w:r>
      <w:r w:rsidRPr="00566CD5">
        <w:rPr>
          <w:color w:val="auto"/>
          <w:lang w:val="pt-BR"/>
        </w:rPr>
        <w:t xml:space="preserve"> Brasil. Caso 11,552 - Julia Gomes Lund e </w:t>
      </w:r>
      <w:r w:rsidR="006F662C" w:rsidRPr="00566CD5">
        <w:rPr>
          <w:color w:val="auto"/>
          <w:lang w:val="pt-BR"/>
        </w:rPr>
        <w:t>ou</w:t>
      </w:r>
      <w:r w:rsidRPr="00566CD5">
        <w:rPr>
          <w:color w:val="auto"/>
          <w:lang w:val="pt-BR"/>
        </w:rPr>
        <w:t>tros (Guerrilha d</w:t>
      </w:r>
      <w:r w:rsidR="006F662C" w:rsidRPr="00566CD5">
        <w:rPr>
          <w:color w:val="auto"/>
          <w:lang w:val="pt-BR"/>
        </w:rPr>
        <w:t>o Araguaia), de 26 de março de 2009, pa</w:t>
      </w:r>
      <w:r w:rsidRPr="00566CD5">
        <w:rPr>
          <w:color w:val="auto"/>
          <w:lang w:val="pt-BR"/>
        </w:rPr>
        <w:t>r. 110; V</w:t>
      </w:r>
      <w:r w:rsidR="006F662C" w:rsidRPr="00566CD5">
        <w:rPr>
          <w:color w:val="auto"/>
          <w:lang w:val="pt-BR"/>
        </w:rPr>
        <w:t>eja também</w:t>
      </w:r>
      <w:r w:rsidRPr="00566CD5">
        <w:rPr>
          <w:color w:val="auto"/>
          <w:lang w:val="pt-BR"/>
        </w:rPr>
        <w:t xml:space="preserve">: </w:t>
      </w:r>
      <w:r w:rsidRPr="00566CD5">
        <w:rPr>
          <w:b/>
          <w:bCs/>
          <w:color w:val="auto"/>
          <w:lang w:val="pt-BR"/>
        </w:rPr>
        <w:t>Anexo 1</w:t>
      </w:r>
      <w:r w:rsidRPr="00566CD5">
        <w:rPr>
          <w:color w:val="auto"/>
          <w:lang w:val="pt-BR"/>
        </w:rPr>
        <w:t xml:space="preserve">. </w:t>
      </w:r>
      <w:r w:rsidRPr="00041BA3">
        <w:rPr>
          <w:rStyle w:val="Emphasis"/>
          <w:rFonts w:cs="Arial"/>
          <w:i w:val="0"/>
          <w:iCs w:val="0"/>
          <w:color w:val="auto"/>
          <w:lang w:val="pt-BR"/>
        </w:rPr>
        <w:t>Brasil. Presidência da República. Secretaria Especial dos Direitos Humanos. Direito</w:t>
      </w:r>
      <w:r w:rsidRPr="00041BA3">
        <w:rPr>
          <w:rStyle w:val="st1"/>
          <w:rFonts w:cs="Arial"/>
          <w:b/>
          <w:i/>
          <w:iCs/>
          <w:color w:val="auto"/>
          <w:lang w:val="pt-BR"/>
        </w:rPr>
        <w:t xml:space="preserve"> </w:t>
      </w:r>
      <w:r w:rsidRPr="00041BA3">
        <w:rPr>
          <w:rStyle w:val="st1"/>
          <w:rFonts w:cs="Arial"/>
          <w:i/>
          <w:iCs/>
          <w:color w:val="auto"/>
          <w:lang w:val="pt-BR"/>
        </w:rPr>
        <w:t>à</w:t>
      </w:r>
      <w:r w:rsidRPr="00041BA3">
        <w:rPr>
          <w:rStyle w:val="st1"/>
          <w:rFonts w:cs="Arial"/>
          <w:b/>
          <w:i/>
          <w:iCs/>
          <w:color w:val="auto"/>
          <w:lang w:val="pt-BR"/>
        </w:rPr>
        <w:t xml:space="preserve"> </w:t>
      </w:r>
      <w:r w:rsidRPr="00041BA3">
        <w:rPr>
          <w:rStyle w:val="Emphasis"/>
          <w:rFonts w:cs="Arial"/>
          <w:i w:val="0"/>
          <w:iCs w:val="0"/>
          <w:color w:val="auto"/>
          <w:lang w:val="pt-BR"/>
        </w:rPr>
        <w:t>Mem</w:t>
      </w:r>
      <w:r w:rsidR="006F662C" w:rsidRPr="00041BA3">
        <w:rPr>
          <w:rStyle w:val="Emphasis"/>
          <w:rFonts w:cs="Arial"/>
          <w:i w:val="0"/>
          <w:iCs w:val="0"/>
          <w:color w:val="auto"/>
          <w:lang w:val="pt-BR"/>
        </w:rPr>
        <w:t>ó</w:t>
      </w:r>
      <w:r w:rsidRPr="00041BA3">
        <w:rPr>
          <w:rStyle w:val="Emphasis"/>
          <w:rFonts w:cs="Arial"/>
          <w:i w:val="0"/>
          <w:iCs w:val="0"/>
          <w:color w:val="auto"/>
          <w:lang w:val="pt-BR"/>
        </w:rPr>
        <w:t>ria e</w:t>
      </w:r>
      <w:r w:rsidRPr="00041BA3">
        <w:rPr>
          <w:rStyle w:val="st1"/>
          <w:rFonts w:cs="Arial"/>
          <w:b/>
          <w:i/>
          <w:iCs/>
          <w:color w:val="auto"/>
          <w:lang w:val="pt-BR"/>
        </w:rPr>
        <w:t xml:space="preserve"> </w:t>
      </w:r>
      <w:r w:rsidRPr="00041BA3">
        <w:rPr>
          <w:rStyle w:val="st1"/>
          <w:rFonts w:cs="Arial"/>
          <w:i/>
          <w:iCs/>
          <w:color w:val="auto"/>
          <w:lang w:val="pt-BR"/>
        </w:rPr>
        <w:t>à</w:t>
      </w:r>
      <w:r w:rsidRPr="00041BA3">
        <w:rPr>
          <w:rStyle w:val="st1"/>
          <w:rFonts w:cs="Arial"/>
          <w:b/>
          <w:i/>
          <w:iCs/>
          <w:color w:val="auto"/>
          <w:lang w:val="pt-BR"/>
        </w:rPr>
        <w:t xml:space="preserve"> </w:t>
      </w:r>
      <w:r w:rsidRPr="00041BA3">
        <w:rPr>
          <w:rStyle w:val="Emphasis"/>
          <w:rFonts w:cs="Arial"/>
          <w:i w:val="0"/>
          <w:iCs w:val="0"/>
          <w:color w:val="auto"/>
          <w:lang w:val="pt-BR"/>
        </w:rPr>
        <w:t>Verdade: Comissão Especial sobre Mortos e Desaparecidos Políticos. Brasília, Secretaria Especial dos Direitos Humanos, 2007, p</w:t>
      </w:r>
      <w:r w:rsidRPr="00566CD5">
        <w:rPr>
          <w:color w:val="auto"/>
          <w:lang w:val="pt-BR"/>
        </w:rPr>
        <w:t xml:space="preserve">. 28. Anexo </w:t>
      </w:r>
      <w:r w:rsidR="00566CD5" w:rsidRPr="00566CD5">
        <w:rPr>
          <w:color w:val="auto"/>
          <w:lang w:val="pt-BR"/>
        </w:rPr>
        <w:t>à comunicação</w:t>
      </w:r>
      <w:r w:rsidRPr="00566CD5">
        <w:rPr>
          <w:color w:val="auto"/>
          <w:lang w:val="pt-BR"/>
        </w:rPr>
        <w:t xml:space="preserve"> da </w:t>
      </w:r>
      <w:r w:rsidR="006F662C" w:rsidRPr="00566CD5">
        <w:rPr>
          <w:color w:val="auto"/>
          <w:lang w:val="pt-BR"/>
        </w:rPr>
        <w:t>parte peticionária de novembro</w:t>
      </w:r>
      <w:r w:rsidRPr="00566CD5">
        <w:rPr>
          <w:color w:val="auto"/>
          <w:lang w:val="pt-BR"/>
        </w:rPr>
        <w:t xml:space="preserve"> de 2017.</w:t>
      </w:r>
    </w:p>
  </w:footnote>
  <w:footnote w:id="29">
    <w:p w14:paraId="4BD757CC" w14:textId="77777777" w:rsidR="00DA5DAC" w:rsidRPr="00566CD5" w:rsidRDefault="00DA5DAC" w:rsidP="00155439">
      <w:pPr>
        <w:pStyle w:val="FootnoteText"/>
        <w:ind w:firstLine="0"/>
        <w:contextualSpacing/>
        <w:rPr>
          <w:color w:val="auto"/>
          <w:lang w:val="pt-BR"/>
        </w:rPr>
      </w:pPr>
      <w:r w:rsidRPr="00566CD5">
        <w:rPr>
          <w:rStyle w:val="FootnoteReference"/>
          <w:color w:val="auto"/>
          <w:lang w:val="pt-BR"/>
        </w:rPr>
        <w:footnoteRef/>
      </w:r>
      <w:r w:rsidRPr="00566CD5">
        <w:rPr>
          <w:color w:val="auto"/>
          <w:lang w:val="pt-BR"/>
        </w:rPr>
        <w:t xml:space="preserve"> </w:t>
      </w:r>
      <w:r w:rsidRPr="00566CD5">
        <w:rPr>
          <w:b/>
          <w:bCs/>
          <w:color w:val="auto"/>
          <w:lang w:val="pt-BR"/>
        </w:rPr>
        <w:t>Anexo 1</w:t>
      </w:r>
      <w:r w:rsidRPr="00566CD5">
        <w:rPr>
          <w:color w:val="auto"/>
          <w:lang w:val="pt-BR"/>
        </w:rPr>
        <w:t xml:space="preserve">. </w:t>
      </w:r>
      <w:r w:rsidRPr="00836B20">
        <w:rPr>
          <w:rStyle w:val="Emphasis"/>
          <w:rFonts w:cs="Arial"/>
          <w:i w:val="0"/>
          <w:iCs w:val="0"/>
          <w:color w:val="auto"/>
          <w:lang w:val="pt-BR"/>
        </w:rPr>
        <w:t>Brasil. Presidência da República. Secretaria Especial dos Direitos Humanos. Direito</w:t>
      </w:r>
      <w:r w:rsidRPr="00836B20">
        <w:rPr>
          <w:rStyle w:val="st1"/>
          <w:rFonts w:cs="Arial"/>
          <w:b/>
          <w:i/>
          <w:iCs/>
          <w:color w:val="auto"/>
          <w:lang w:val="pt-BR"/>
        </w:rPr>
        <w:t xml:space="preserve"> </w:t>
      </w:r>
      <w:r w:rsidRPr="004839E6">
        <w:rPr>
          <w:rStyle w:val="st1"/>
          <w:rFonts w:cs="Arial"/>
          <w:color w:val="auto"/>
          <w:lang w:val="pt-BR"/>
        </w:rPr>
        <w:t>à</w:t>
      </w:r>
      <w:r w:rsidRPr="00836B20">
        <w:rPr>
          <w:rStyle w:val="st1"/>
          <w:rFonts w:cs="Arial"/>
          <w:b/>
          <w:i/>
          <w:iCs/>
          <w:color w:val="auto"/>
          <w:lang w:val="pt-BR"/>
        </w:rPr>
        <w:t xml:space="preserve"> </w:t>
      </w:r>
      <w:r w:rsidRPr="00836B20">
        <w:rPr>
          <w:rStyle w:val="Emphasis"/>
          <w:rFonts w:cs="Arial"/>
          <w:i w:val="0"/>
          <w:iCs w:val="0"/>
          <w:color w:val="auto"/>
          <w:lang w:val="pt-BR"/>
        </w:rPr>
        <w:t>Mem</w:t>
      </w:r>
      <w:r w:rsidR="006F662C" w:rsidRPr="00836B20">
        <w:rPr>
          <w:rStyle w:val="Emphasis"/>
          <w:rFonts w:cs="Arial"/>
          <w:i w:val="0"/>
          <w:iCs w:val="0"/>
          <w:color w:val="auto"/>
          <w:lang w:val="pt-BR"/>
        </w:rPr>
        <w:t>ó</w:t>
      </w:r>
      <w:r w:rsidRPr="00836B20">
        <w:rPr>
          <w:rStyle w:val="Emphasis"/>
          <w:rFonts w:cs="Arial"/>
          <w:i w:val="0"/>
          <w:iCs w:val="0"/>
          <w:color w:val="auto"/>
          <w:lang w:val="pt-BR"/>
        </w:rPr>
        <w:t>ria e</w:t>
      </w:r>
      <w:r w:rsidRPr="00836B20">
        <w:rPr>
          <w:rStyle w:val="st1"/>
          <w:rFonts w:cs="Arial"/>
          <w:b/>
          <w:i/>
          <w:iCs/>
          <w:color w:val="auto"/>
          <w:lang w:val="pt-BR"/>
        </w:rPr>
        <w:t xml:space="preserve"> </w:t>
      </w:r>
      <w:r w:rsidRPr="004839E6">
        <w:rPr>
          <w:rStyle w:val="st1"/>
          <w:rFonts w:cs="Arial"/>
          <w:color w:val="auto"/>
          <w:lang w:val="pt-BR"/>
        </w:rPr>
        <w:t>à</w:t>
      </w:r>
      <w:r w:rsidRPr="00836B20">
        <w:rPr>
          <w:rStyle w:val="st1"/>
          <w:rFonts w:cs="Arial"/>
          <w:b/>
          <w:i/>
          <w:iCs/>
          <w:color w:val="auto"/>
          <w:lang w:val="pt-BR"/>
        </w:rPr>
        <w:t xml:space="preserve"> </w:t>
      </w:r>
      <w:r w:rsidRPr="00836B20">
        <w:rPr>
          <w:rStyle w:val="Emphasis"/>
          <w:rFonts w:cs="Arial"/>
          <w:i w:val="0"/>
          <w:iCs w:val="0"/>
          <w:color w:val="auto"/>
          <w:lang w:val="pt-BR"/>
        </w:rPr>
        <w:t>Verdade: Comissão Especial sobre Mortos e Desaparecidos Políticos. Brasília, Secretaria Especial dos Direitos Humanos, 2007, p.35</w:t>
      </w:r>
      <w:r w:rsidRPr="00566CD5">
        <w:rPr>
          <w:rStyle w:val="Emphasis"/>
          <w:rFonts w:cs="Arial"/>
          <w:color w:val="auto"/>
          <w:lang w:val="pt-BR"/>
        </w:rPr>
        <w:t xml:space="preserve">. </w:t>
      </w:r>
      <w:r w:rsidRPr="00566CD5">
        <w:rPr>
          <w:color w:val="auto"/>
          <w:lang w:val="pt-BR"/>
        </w:rPr>
        <w:t xml:space="preserve">Anexo </w:t>
      </w:r>
      <w:r w:rsidR="006F662C" w:rsidRPr="00566CD5">
        <w:rPr>
          <w:color w:val="auto"/>
          <w:lang w:val="pt-BR"/>
        </w:rPr>
        <w:t xml:space="preserve">à </w:t>
      </w:r>
      <w:r w:rsidRPr="00566CD5">
        <w:rPr>
          <w:color w:val="auto"/>
          <w:lang w:val="pt-BR"/>
        </w:rPr>
        <w:t xml:space="preserve">comunicação da </w:t>
      </w:r>
      <w:r w:rsidR="006F662C" w:rsidRPr="00566CD5">
        <w:rPr>
          <w:color w:val="auto"/>
          <w:lang w:val="pt-BR"/>
        </w:rPr>
        <w:t>parte peticionária de novembro</w:t>
      </w:r>
      <w:r w:rsidRPr="00566CD5">
        <w:rPr>
          <w:color w:val="auto"/>
          <w:lang w:val="pt-BR"/>
        </w:rPr>
        <w:t xml:space="preserve"> de 2017.</w:t>
      </w:r>
    </w:p>
  </w:footnote>
  <w:footnote w:id="30">
    <w:p w14:paraId="1F501197" w14:textId="62D331DD" w:rsidR="00DA5DAC" w:rsidRPr="00566CD5" w:rsidRDefault="00DA5DAC" w:rsidP="00155439">
      <w:pPr>
        <w:autoSpaceDE w:val="0"/>
        <w:autoSpaceDN w:val="0"/>
        <w:adjustRightInd w:val="0"/>
        <w:contextualSpacing/>
        <w:jc w:val="both"/>
        <w:rPr>
          <w:rFonts w:ascii="Cambria" w:eastAsia="Calibri" w:hAnsi="Cambria" w:cs="AGaramondPro-Regular"/>
          <w:sz w:val="16"/>
          <w:szCs w:val="16"/>
        </w:rPr>
      </w:pPr>
      <w:r w:rsidRPr="00566CD5">
        <w:rPr>
          <w:rStyle w:val="FootnoteReference"/>
          <w:rFonts w:ascii="Cambria" w:hAnsi="Cambria"/>
          <w:sz w:val="16"/>
          <w:szCs w:val="16"/>
        </w:rPr>
        <w:footnoteRef/>
      </w:r>
      <w:r w:rsidRPr="00566CD5">
        <w:rPr>
          <w:rFonts w:ascii="Cambria" w:hAnsi="Cambria"/>
          <w:sz w:val="16"/>
          <w:szCs w:val="16"/>
        </w:rPr>
        <w:t xml:space="preserve"> </w:t>
      </w:r>
      <w:r w:rsidRPr="00566CD5">
        <w:rPr>
          <w:rFonts w:ascii="Cambria" w:hAnsi="Cambria"/>
          <w:b/>
          <w:bCs/>
          <w:sz w:val="16"/>
          <w:szCs w:val="16"/>
        </w:rPr>
        <w:t>Anexo 7</w:t>
      </w:r>
      <w:r w:rsidRPr="00566CD5">
        <w:rPr>
          <w:rFonts w:ascii="Cambria" w:hAnsi="Cambria"/>
          <w:sz w:val="16"/>
          <w:szCs w:val="16"/>
        </w:rPr>
        <w:t xml:space="preserve">. </w:t>
      </w:r>
      <w:r w:rsidRPr="007D61AB">
        <w:rPr>
          <w:rStyle w:val="Emphasis"/>
          <w:rFonts w:ascii="Cambria" w:hAnsi="Cambria" w:cs="Arial"/>
          <w:i w:val="0"/>
          <w:iCs w:val="0"/>
          <w:sz w:val="16"/>
          <w:szCs w:val="16"/>
        </w:rPr>
        <w:t>Relat</w:t>
      </w:r>
      <w:r w:rsidR="006F662C" w:rsidRPr="007D61AB">
        <w:rPr>
          <w:rStyle w:val="Emphasis"/>
          <w:rFonts w:ascii="Cambria" w:hAnsi="Cambria" w:cs="Arial"/>
          <w:i w:val="0"/>
          <w:iCs w:val="0"/>
          <w:sz w:val="16"/>
          <w:szCs w:val="16"/>
        </w:rPr>
        <w:t>ó</w:t>
      </w:r>
      <w:r w:rsidRPr="007D61AB">
        <w:rPr>
          <w:rStyle w:val="Emphasis"/>
          <w:rFonts w:ascii="Cambria" w:hAnsi="Cambria" w:cs="Arial"/>
          <w:i w:val="0"/>
          <w:iCs w:val="0"/>
          <w:sz w:val="16"/>
          <w:szCs w:val="16"/>
        </w:rPr>
        <w:t>rio da</w:t>
      </w:r>
      <w:r w:rsidRPr="007D61AB">
        <w:rPr>
          <w:rStyle w:val="st1"/>
          <w:rFonts w:ascii="Cambria" w:hAnsi="Cambria" w:cs="Arial"/>
          <w:b/>
          <w:i/>
          <w:iCs/>
          <w:sz w:val="16"/>
          <w:szCs w:val="16"/>
        </w:rPr>
        <w:t xml:space="preserve"> </w:t>
      </w:r>
      <w:r w:rsidRPr="007D61AB">
        <w:rPr>
          <w:rStyle w:val="Emphasis"/>
          <w:rFonts w:ascii="Cambria" w:hAnsi="Cambria" w:cs="Arial"/>
          <w:i w:val="0"/>
          <w:iCs w:val="0"/>
          <w:sz w:val="16"/>
          <w:szCs w:val="16"/>
        </w:rPr>
        <w:t>Comissão Nacional da Verdade. Volume I.</w:t>
      </w:r>
      <w:r w:rsidRPr="00566CD5">
        <w:rPr>
          <w:rStyle w:val="Emphasis"/>
          <w:rFonts w:ascii="Cambria" w:hAnsi="Cambria" w:cs="Arial"/>
          <w:sz w:val="16"/>
          <w:szCs w:val="16"/>
        </w:rPr>
        <w:t xml:space="preserve"> </w:t>
      </w:r>
      <w:r w:rsidRPr="007D61AB">
        <w:rPr>
          <w:rStyle w:val="Strong"/>
          <w:rFonts w:ascii="Cambria" w:hAnsi="Cambria"/>
          <w:b w:val="0"/>
          <w:bCs w:val="0"/>
          <w:sz w:val="16"/>
          <w:szCs w:val="16"/>
        </w:rPr>
        <w:t>Parte IV – “Dinâmica das graves violações de direitos humanos: casos emblemáticos, locais e autores</w:t>
      </w:r>
      <w:r w:rsidR="00BC08E6">
        <w:rPr>
          <w:rStyle w:val="Strong"/>
          <w:rFonts w:ascii="Cambria" w:hAnsi="Cambria"/>
          <w:b w:val="0"/>
          <w:bCs w:val="0"/>
          <w:sz w:val="16"/>
          <w:szCs w:val="16"/>
        </w:rPr>
        <w:t>.</w:t>
      </w:r>
      <w:r w:rsidRPr="007D61AB">
        <w:rPr>
          <w:rStyle w:val="Strong"/>
          <w:rFonts w:ascii="Cambria" w:hAnsi="Cambria"/>
          <w:b w:val="0"/>
          <w:bCs w:val="0"/>
          <w:sz w:val="16"/>
          <w:szCs w:val="16"/>
        </w:rPr>
        <w:t xml:space="preserve"> O Judiciário</w:t>
      </w:r>
      <w:r w:rsidRPr="00566CD5">
        <w:rPr>
          <w:rStyle w:val="Strong"/>
          <w:rFonts w:ascii="Cambria" w:hAnsi="Cambria"/>
          <w:sz w:val="16"/>
          <w:szCs w:val="16"/>
        </w:rPr>
        <w:t>”</w:t>
      </w:r>
      <w:r w:rsidRPr="00566CD5">
        <w:rPr>
          <w:rFonts w:ascii="Cambria" w:hAnsi="Cambria"/>
          <w:sz w:val="16"/>
          <w:szCs w:val="16"/>
        </w:rPr>
        <w:t xml:space="preserve"> Capítulo 17 – O Judiciário na ditadura (D) </w:t>
      </w:r>
      <w:r w:rsidRPr="00566CD5">
        <w:rPr>
          <w:rFonts w:ascii="Cambria" w:eastAsia="Calibri" w:hAnsi="Cambria" w:cs="AGaramondPro-Bold-SC700"/>
          <w:bCs/>
          <w:sz w:val="16"/>
          <w:szCs w:val="16"/>
        </w:rPr>
        <w:t>Considerações finais sobre a apreciação judicial acerca de graves violações de direitos humanos</w:t>
      </w:r>
      <w:r w:rsidR="00BC08E6">
        <w:rPr>
          <w:rFonts w:ascii="Cambria" w:eastAsia="Calibri" w:hAnsi="Cambria" w:cs="AGaramondPro-Bold-SC700"/>
          <w:bCs/>
          <w:sz w:val="16"/>
          <w:szCs w:val="16"/>
        </w:rPr>
        <w:t>,</w:t>
      </w:r>
      <w:r w:rsidR="006F662C" w:rsidRPr="00566CD5">
        <w:rPr>
          <w:rFonts w:ascii="Cambria" w:hAnsi="Cambria"/>
          <w:sz w:val="16"/>
          <w:szCs w:val="16"/>
        </w:rPr>
        <w:t xml:space="preserve"> p. 41, par. 68-70, de</w:t>
      </w:r>
      <w:r w:rsidRPr="00566CD5">
        <w:rPr>
          <w:rFonts w:ascii="Cambria" w:hAnsi="Cambria"/>
          <w:sz w:val="16"/>
          <w:szCs w:val="16"/>
        </w:rPr>
        <w:t xml:space="preserve"> 10 de d</w:t>
      </w:r>
      <w:r w:rsidR="006F662C" w:rsidRPr="00566CD5">
        <w:rPr>
          <w:rFonts w:ascii="Cambria" w:hAnsi="Cambria"/>
          <w:sz w:val="16"/>
          <w:szCs w:val="16"/>
        </w:rPr>
        <w:t xml:space="preserve">ezembro </w:t>
      </w:r>
      <w:r w:rsidRPr="00566CD5">
        <w:rPr>
          <w:rFonts w:ascii="Cambria" w:hAnsi="Cambria"/>
          <w:sz w:val="16"/>
          <w:szCs w:val="16"/>
        </w:rPr>
        <w:t xml:space="preserve">de 2014. Anexo </w:t>
      </w:r>
      <w:r w:rsidR="00566CD5" w:rsidRPr="00566CD5">
        <w:rPr>
          <w:rFonts w:ascii="Cambria" w:hAnsi="Cambria"/>
          <w:sz w:val="16"/>
          <w:szCs w:val="16"/>
        </w:rPr>
        <w:t>à comunicação</w:t>
      </w:r>
      <w:r w:rsidRPr="00566CD5">
        <w:rPr>
          <w:rFonts w:ascii="Cambria" w:hAnsi="Cambria"/>
          <w:sz w:val="16"/>
          <w:szCs w:val="16"/>
        </w:rPr>
        <w:t xml:space="preserve"> da </w:t>
      </w:r>
      <w:r w:rsidR="006F662C" w:rsidRPr="00566CD5">
        <w:rPr>
          <w:rFonts w:ascii="Cambria" w:hAnsi="Cambria"/>
          <w:sz w:val="16"/>
          <w:szCs w:val="16"/>
        </w:rPr>
        <w:t>parte peticion</w:t>
      </w:r>
      <w:r w:rsidR="007D61AB">
        <w:rPr>
          <w:rFonts w:ascii="Cambria" w:hAnsi="Cambria"/>
          <w:sz w:val="16"/>
          <w:szCs w:val="16"/>
        </w:rPr>
        <w:t>á</w:t>
      </w:r>
      <w:r w:rsidR="006F662C" w:rsidRPr="00566CD5">
        <w:rPr>
          <w:rFonts w:ascii="Cambria" w:hAnsi="Cambria"/>
          <w:sz w:val="16"/>
          <w:szCs w:val="16"/>
        </w:rPr>
        <w:t>ria de novembro</w:t>
      </w:r>
      <w:r w:rsidRPr="00566CD5">
        <w:rPr>
          <w:rFonts w:ascii="Cambria" w:hAnsi="Cambria"/>
          <w:sz w:val="16"/>
          <w:szCs w:val="16"/>
        </w:rPr>
        <w:t xml:space="preserve"> de 2017</w:t>
      </w:r>
    </w:p>
  </w:footnote>
  <w:footnote w:id="31">
    <w:p w14:paraId="5DBF9795" w14:textId="77777777" w:rsidR="00DA5DAC" w:rsidRPr="007D61AB" w:rsidRDefault="00DA5DAC" w:rsidP="00155439">
      <w:pPr>
        <w:pStyle w:val="FootnoteText"/>
        <w:ind w:firstLine="0"/>
        <w:rPr>
          <w:color w:val="auto"/>
          <w:lang w:val="pt-BR"/>
        </w:rPr>
      </w:pPr>
      <w:r w:rsidRPr="00566CD5">
        <w:rPr>
          <w:rStyle w:val="FootnoteReference"/>
          <w:color w:val="auto"/>
          <w:lang w:val="pt-BR"/>
        </w:rPr>
        <w:footnoteRef/>
      </w:r>
      <w:r w:rsidRPr="00566CD5">
        <w:rPr>
          <w:color w:val="auto"/>
          <w:lang w:val="pt-BR"/>
        </w:rPr>
        <w:t xml:space="preserve"> </w:t>
      </w:r>
      <w:r w:rsidRPr="00566CD5">
        <w:rPr>
          <w:b/>
          <w:bCs/>
          <w:color w:val="auto"/>
          <w:lang w:val="pt-BR"/>
        </w:rPr>
        <w:t>Anexo 8</w:t>
      </w:r>
      <w:r w:rsidRPr="00566CD5">
        <w:rPr>
          <w:color w:val="auto"/>
          <w:lang w:val="pt-BR"/>
        </w:rPr>
        <w:t xml:space="preserve">. </w:t>
      </w:r>
      <w:r w:rsidRPr="007D61AB">
        <w:rPr>
          <w:rStyle w:val="Emphasis"/>
          <w:rFonts w:cs="Arial"/>
          <w:i w:val="0"/>
          <w:iCs w:val="0"/>
          <w:color w:val="auto"/>
          <w:lang w:val="pt-BR"/>
        </w:rPr>
        <w:t>Relat</w:t>
      </w:r>
      <w:r w:rsidR="006F662C" w:rsidRPr="007D61AB">
        <w:rPr>
          <w:rStyle w:val="Emphasis"/>
          <w:rFonts w:cs="Arial"/>
          <w:i w:val="0"/>
          <w:iCs w:val="0"/>
          <w:color w:val="auto"/>
          <w:lang w:val="pt-BR"/>
        </w:rPr>
        <w:t>ó</w:t>
      </w:r>
      <w:r w:rsidRPr="007D61AB">
        <w:rPr>
          <w:rStyle w:val="Emphasis"/>
          <w:rFonts w:cs="Arial"/>
          <w:i w:val="0"/>
          <w:iCs w:val="0"/>
          <w:color w:val="auto"/>
          <w:lang w:val="pt-BR"/>
        </w:rPr>
        <w:t>rio da</w:t>
      </w:r>
      <w:r w:rsidRPr="007D61AB">
        <w:rPr>
          <w:rStyle w:val="st1"/>
          <w:rFonts w:cs="Arial"/>
          <w:b/>
          <w:color w:val="auto"/>
          <w:lang w:val="pt-BR"/>
        </w:rPr>
        <w:t xml:space="preserve"> </w:t>
      </w:r>
      <w:r w:rsidRPr="007D61AB">
        <w:rPr>
          <w:rStyle w:val="Emphasis"/>
          <w:rFonts w:cs="Arial"/>
          <w:i w:val="0"/>
          <w:iCs w:val="0"/>
          <w:color w:val="auto"/>
          <w:lang w:val="pt-BR"/>
        </w:rPr>
        <w:t>Comissão Nacional da Verdade. Volume I, 2014</w:t>
      </w:r>
      <w:r w:rsidRPr="007D61AB">
        <w:rPr>
          <w:color w:val="auto"/>
          <w:lang w:val="pt-BR"/>
        </w:rPr>
        <w:t xml:space="preserve">, p. 444. Anexo </w:t>
      </w:r>
      <w:r w:rsidR="006F662C" w:rsidRPr="007D61AB">
        <w:rPr>
          <w:color w:val="auto"/>
          <w:lang w:val="pt-BR"/>
        </w:rPr>
        <w:t xml:space="preserve">à </w:t>
      </w:r>
      <w:r w:rsidRPr="007D61AB">
        <w:rPr>
          <w:color w:val="auto"/>
          <w:lang w:val="pt-BR"/>
        </w:rPr>
        <w:t xml:space="preserve">comunicação da </w:t>
      </w:r>
      <w:r w:rsidR="006F662C" w:rsidRPr="007D61AB">
        <w:rPr>
          <w:color w:val="auto"/>
          <w:lang w:val="pt-BR"/>
        </w:rPr>
        <w:t>parte peticionária de novembro</w:t>
      </w:r>
      <w:r w:rsidRPr="007D61AB">
        <w:rPr>
          <w:color w:val="auto"/>
          <w:lang w:val="pt-BR"/>
        </w:rPr>
        <w:t xml:space="preserve"> de 2017</w:t>
      </w:r>
    </w:p>
  </w:footnote>
  <w:footnote w:id="32">
    <w:p w14:paraId="1A272525" w14:textId="77777777" w:rsidR="00DA5DAC" w:rsidRPr="007D61AB" w:rsidRDefault="00DA5DAC" w:rsidP="00155439">
      <w:pPr>
        <w:pStyle w:val="FootnoteText"/>
        <w:ind w:firstLine="0"/>
        <w:rPr>
          <w:color w:val="auto"/>
          <w:lang w:val="pt-BR"/>
        </w:rPr>
      </w:pPr>
      <w:r w:rsidRPr="007D61AB">
        <w:rPr>
          <w:rStyle w:val="FootnoteReference"/>
          <w:color w:val="auto"/>
          <w:lang w:val="pt-BR"/>
        </w:rPr>
        <w:footnoteRef/>
      </w:r>
      <w:r w:rsidRPr="007D61AB">
        <w:rPr>
          <w:color w:val="auto"/>
          <w:lang w:val="pt-BR"/>
        </w:rPr>
        <w:t xml:space="preserve"> </w:t>
      </w:r>
      <w:r w:rsidRPr="007D61AB">
        <w:rPr>
          <w:b/>
          <w:bCs/>
          <w:color w:val="auto"/>
          <w:lang w:val="pt-BR"/>
        </w:rPr>
        <w:t>Anexo 8.</w:t>
      </w:r>
      <w:r w:rsidRPr="007D61AB">
        <w:rPr>
          <w:color w:val="auto"/>
          <w:lang w:val="pt-BR"/>
        </w:rPr>
        <w:t xml:space="preserve"> </w:t>
      </w:r>
      <w:r w:rsidRPr="007D61AB">
        <w:rPr>
          <w:rStyle w:val="Emphasis"/>
          <w:rFonts w:cs="Arial"/>
          <w:i w:val="0"/>
          <w:iCs w:val="0"/>
          <w:color w:val="auto"/>
          <w:lang w:val="pt-BR"/>
        </w:rPr>
        <w:t>Relat</w:t>
      </w:r>
      <w:r w:rsidR="006F662C" w:rsidRPr="007D61AB">
        <w:rPr>
          <w:rStyle w:val="Emphasis"/>
          <w:rFonts w:cs="Arial"/>
          <w:i w:val="0"/>
          <w:iCs w:val="0"/>
          <w:color w:val="auto"/>
          <w:lang w:val="pt-BR"/>
        </w:rPr>
        <w:t>ó</w:t>
      </w:r>
      <w:r w:rsidRPr="007D61AB">
        <w:rPr>
          <w:rStyle w:val="Emphasis"/>
          <w:rFonts w:cs="Arial"/>
          <w:i w:val="0"/>
          <w:iCs w:val="0"/>
          <w:color w:val="auto"/>
          <w:lang w:val="pt-BR"/>
        </w:rPr>
        <w:t>rio da</w:t>
      </w:r>
      <w:r w:rsidRPr="007D61AB">
        <w:rPr>
          <w:rStyle w:val="st1"/>
          <w:rFonts w:cs="Arial"/>
          <w:b/>
          <w:color w:val="auto"/>
          <w:lang w:val="pt-BR"/>
        </w:rPr>
        <w:t xml:space="preserve"> </w:t>
      </w:r>
      <w:r w:rsidRPr="007D61AB">
        <w:rPr>
          <w:rStyle w:val="Emphasis"/>
          <w:rFonts w:cs="Arial"/>
          <w:i w:val="0"/>
          <w:iCs w:val="0"/>
          <w:color w:val="auto"/>
          <w:lang w:val="pt-BR"/>
        </w:rPr>
        <w:t>Comissão Nacional da Verdade. Volume I, 2014</w:t>
      </w:r>
      <w:r w:rsidRPr="007D61AB">
        <w:rPr>
          <w:color w:val="auto"/>
          <w:lang w:val="pt-BR"/>
        </w:rPr>
        <w:t xml:space="preserve">, p. 440. Anexo </w:t>
      </w:r>
      <w:r w:rsidR="006F662C" w:rsidRPr="007D61AB">
        <w:rPr>
          <w:color w:val="auto"/>
          <w:lang w:val="pt-BR"/>
        </w:rPr>
        <w:t xml:space="preserve">à </w:t>
      </w:r>
      <w:r w:rsidRPr="007D61AB">
        <w:rPr>
          <w:color w:val="auto"/>
          <w:lang w:val="pt-BR"/>
        </w:rPr>
        <w:t xml:space="preserve">comunicação da </w:t>
      </w:r>
      <w:r w:rsidR="006F662C" w:rsidRPr="007D61AB">
        <w:rPr>
          <w:color w:val="auto"/>
          <w:lang w:val="pt-BR"/>
        </w:rPr>
        <w:t>parte peticionária de novembro</w:t>
      </w:r>
      <w:r w:rsidRPr="007D61AB">
        <w:rPr>
          <w:color w:val="auto"/>
          <w:lang w:val="pt-BR"/>
        </w:rPr>
        <w:t xml:space="preserve"> de 2017</w:t>
      </w:r>
    </w:p>
  </w:footnote>
  <w:footnote w:id="33">
    <w:p w14:paraId="6AC8B323" w14:textId="77777777" w:rsidR="00DA5DAC" w:rsidRPr="00566CD5" w:rsidRDefault="00DA5DAC" w:rsidP="00155439">
      <w:pPr>
        <w:pStyle w:val="FootnoteText"/>
        <w:ind w:firstLine="0"/>
        <w:rPr>
          <w:color w:val="auto"/>
          <w:lang w:val="pt-BR"/>
        </w:rPr>
      </w:pPr>
      <w:r w:rsidRPr="007D61AB">
        <w:rPr>
          <w:rStyle w:val="FootnoteReference"/>
          <w:color w:val="auto"/>
          <w:lang w:val="pt-BR"/>
        </w:rPr>
        <w:footnoteRef/>
      </w:r>
      <w:r w:rsidRPr="007D61AB">
        <w:rPr>
          <w:color w:val="auto"/>
          <w:lang w:val="pt-BR"/>
        </w:rPr>
        <w:t xml:space="preserve"> </w:t>
      </w:r>
      <w:r w:rsidRPr="007D61AB">
        <w:rPr>
          <w:b/>
          <w:bCs/>
          <w:color w:val="auto"/>
          <w:lang w:val="pt-BR"/>
        </w:rPr>
        <w:t>Anexo 8</w:t>
      </w:r>
      <w:r w:rsidRPr="007D61AB">
        <w:rPr>
          <w:color w:val="auto"/>
          <w:lang w:val="pt-BR"/>
        </w:rPr>
        <w:t xml:space="preserve">. </w:t>
      </w:r>
      <w:r w:rsidRPr="007D61AB">
        <w:rPr>
          <w:rStyle w:val="Emphasis"/>
          <w:rFonts w:cs="Arial"/>
          <w:i w:val="0"/>
          <w:iCs w:val="0"/>
          <w:color w:val="auto"/>
          <w:lang w:val="pt-BR"/>
        </w:rPr>
        <w:t>Relat</w:t>
      </w:r>
      <w:r w:rsidR="006F662C" w:rsidRPr="007D61AB">
        <w:rPr>
          <w:rStyle w:val="Emphasis"/>
          <w:rFonts w:cs="Arial"/>
          <w:i w:val="0"/>
          <w:iCs w:val="0"/>
          <w:color w:val="auto"/>
          <w:lang w:val="pt-BR"/>
        </w:rPr>
        <w:t>ó</w:t>
      </w:r>
      <w:r w:rsidRPr="007D61AB">
        <w:rPr>
          <w:rStyle w:val="Emphasis"/>
          <w:rFonts w:cs="Arial"/>
          <w:i w:val="0"/>
          <w:iCs w:val="0"/>
          <w:color w:val="auto"/>
          <w:lang w:val="pt-BR"/>
        </w:rPr>
        <w:t>rio da</w:t>
      </w:r>
      <w:r w:rsidRPr="007D61AB">
        <w:rPr>
          <w:rStyle w:val="st1"/>
          <w:rFonts w:cs="Arial"/>
          <w:b/>
          <w:color w:val="auto"/>
          <w:lang w:val="pt-BR"/>
        </w:rPr>
        <w:t xml:space="preserve"> </w:t>
      </w:r>
      <w:r w:rsidRPr="007D61AB">
        <w:rPr>
          <w:rStyle w:val="Emphasis"/>
          <w:rFonts w:cs="Arial"/>
          <w:i w:val="0"/>
          <w:iCs w:val="0"/>
          <w:color w:val="auto"/>
          <w:lang w:val="pt-BR"/>
        </w:rPr>
        <w:t>Comissão Nacional da Verdade. Volume I, 2014</w:t>
      </w:r>
      <w:r w:rsidRPr="00566CD5">
        <w:rPr>
          <w:color w:val="auto"/>
          <w:lang w:val="pt-BR"/>
        </w:rPr>
        <w:t xml:space="preserve">, p. 447-449. Anexo </w:t>
      </w:r>
      <w:r w:rsidR="006F662C" w:rsidRPr="00566CD5">
        <w:rPr>
          <w:color w:val="auto"/>
          <w:lang w:val="pt-BR"/>
        </w:rPr>
        <w:t xml:space="preserve">à </w:t>
      </w:r>
      <w:r w:rsidRPr="00566CD5">
        <w:rPr>
          <w:color w:val="auto"/>
          <w:lang w:val="pt-BR"/>
        </w:rPr>
        <w:t xml:space="preserve">comunicação da </w:t>
      </w:r>
      <w:r w:rsidR="006F662C" w:rsidRPr="00566CD5">
        <w:rPr>
          <w:color w:val="auto"/>
          <w:lang w:val="pt-BR"/>
        </w:rPr>
        <w:t>parte peticioná</w:t>
      </w:r>
      <w:r w:rsidRPr="00566CD5">
        <w:rPr>
          <w:color w:val="auto"/>
          <w:lang w:val="pt-BR"/>
        </w:rPr>
        <w:t>ria de no</w:t>
      </w:r>
      <w:r w:rsidR="006F662C" w:rsidRPr="00566CD5">
        <w:rPr>
          <w:color w:val="auto"/>
          <w:lang w:val="pt-BR"/>
        </w:rPr>
        <w:t>vembro</w:t>
      </w:r>
      <w:r w:rsidRPr="00566CD5">
        <w:rPr>
          <w:color w:val="auto"/>
          <w:lang w:val="pt-BR"/>
        </w:rPr>
        <w:t xml:space="preserve"> de 2017</w:t>
      </w:r>
    </w:p>
  </w:footnote>
  <w:footnote w:id="34">
    <w:p w14:paraId="585AA529"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sidRPr="00D30EFA">
        <w:rPr>
          <w:rStyle w:val="Emphasis"/>
          <w:rFonts w:cs="Arial"/>
          <w:i w:val="0"/>
          <w:iCs w:val="0"/>
          <w:noProof/>
          <w:color w:val="auto"/>
          <w:lang w:val="pt-BR"/>
        </w:rPr>
        <w:t>Relat</w:t>
      </w:r>
      <w:r>
        <w:rPr>
          <w:rStyle w:val="Emphasis"/>
          <w:rFonts w:cs="Arial"/>
          <w:i w:val="0"/>
          <w:iCs w:val="0"/>
          <w:noProof/>
          <w:color w:val="auto"/>
          <w:lang w:val="pt-BR"/>
        </w:rPr>
        <w:t>ó</w:t>
      </w:r>
      <w:r w:rsidRPr="00D30EFA">
        <w:rPr>
          <w:rStyle w:val="Emphasis"/>
          <w:rFonts w:cs="Arial"/>
          <w:i w:val="0"/>
          <w:iCs w:val="0"/>
          <w:noProof/>
          <w:color w:val="auto"/>
          <w:lang w:val="pt-BR"/>
        </w:rPr>
        <w:t>rio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xml:space="preserve">, p. 489.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da parte peticioná</w:t>
      </w:r>
      <w:r w:rsidRPr="00D30EFA">
        <w:rPr>
          <w:noProof/>
          <w:color w:val="auto"/>
          <w:lang w:val="pt-BR"/>
        </w:rPr>
        <w:t xml:space="preserve">ria de </w:t>
      </w:r>
      <w:r>
        <w:rPr>
          <w:noProof/>
          <w:color w:val="auto"/>
          <w:lang w:val="pt-BR"/>
        </w:rPr>
        <w:t>novembro</w:t>
      </w:r>
      <w:r w:rsidRPr="00D30EFA">
        <w:rPr>
          <w:noProof/>
          <w:color w:val="auto"/>
          <w:lang w:val="pt-BR"/>
        </w:rPr>
        <w:t xml:space="preserve"> de 2017</w:t>
      </w:r>
    </w:p>
  </w:footnote>
  <w:footnote w:id="35">
    <w:p w14:paraId="287EFC06"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9</w:t>
      </w:r>
      <w:r w:rsidRPr="00D30EFA">
        <w:rPr>
          <w:noProof/>
          <w:color w:val="auto"/>
          <w:lang w:val="pt-BR"/>
        </w:rPr>
        <w:t xml:space="preserve">. Ministério da Justiça. Comissão de Anistia. Requerimento de Anistia no. 2008.01.63086.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36">
    <w:p w14:paraId="2A973BC3"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Pr>
          <w:noProof/>
          <w:color w:val="auto"/>
          <w:lang w:val="pt-BR"/>
        </w:rPr>
        <w:t xml:space="preserve">, p. 489. Anexo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37">
    <w:p w14:paraId="06DC698E"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10</w:t>
      </w:r>
      <w:r w:rsidRPr="00D30EFA">
        <w:rPr>
          <w:noProof/>
          <w:color w:val="auto"/>
          <w:lang w:val="pt-BR"/>
        </w:rPr>
        <w:t xml:space="preserve">. Gonçalves, Vanessa. Eduardo Leite “Bacuri”. São Paulo: Plena Editorial, 2011, p. 37.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38">
    <w:p w14:paraId="50CA2B86"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9</w:t>
      </w:r>
      <w:r w:rsidRPr="00D30EFA">
        <w:rPr>
          <w:noProof/>
          <w:color w:val="auto"/>
          <w:lang w:val="pt-BR"/>
        </w:rPr>
        <w:t>. Ministério da Justiça. Comissão de Ani</w:t>
      </w:r>
      <w:r>
        <w:rPr>
          <w:noProof/>
          <w:color w:val="auto"/>
          <w:lang w:val="pt-BR"/>
        </w:rPr>
        <w:t>stia. Requerimento de Anistia nº</w:t>
      </w:r>
      <w:r w:rsidRPr="00D30EFA">
        <w:rPr>
          <w:noProof/>
          <w:color w:val="auto"/>
          <w:lang w:val="pt-BR"/>
        </w:rPr>
        <w:t xml:space="preserve"> 2008.01.63086.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11</w:t>
      </w:r>
      <w:r>
        <w:rPr>
          <w:noProof/>
          <w:color w:val="auto"/>
          <w:lang w:val="pt-BR"/>
        </w:rPr>
        <w:t>. Relató</w:t>
      </w:r>
      <w:r w:rsidRPr="00D30EFA">
        <w:rPr>
          <w:noProof/>
          <w:color w:val="auto"/>
          <w:lang w:val="pt-BR"/>
        </w:rPr>
        <w:t xml:space="preserve">rio Preliminar a respeito das atividades de Eduardo Leite.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39">
    <w:p w14:paraId="76F4A3B2"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Pr>
          <w:noProof/>
          <w:color w:val="auto"/>
          <w:lang w:val="pt-BR"/>
        </w:rPr>
        <w:t>. Requerimento de Anistia nº</w:t>
      </w:r>
      <w:r w:rsidRPr="00D30EFA">
        <w:rPr>
          <w:noProof/>
          <w:color w:val="auto"/>
          <w:lang w:val="pt-BR"/>
        </w:rPr>
        <w:t xml:space="preserve">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40">
    <w:p w14:paraId="2238D2B6"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10</w:t>
      </w:r>
      <w:r w:rsidRPr="00D30EFA">
        <w:rPr>
          <w:noProof/>
          <w:color w:val="auto"/>
          <w:lang w:val="pt-BR"/>
        </w:rPr>
        <w:t xml:space="preserve">. Gonçalves, Vanessa. Eduardo Leite “Bacuri”. São Paulo: Plena Editorial, 2011, p. 104.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41">
    <w:p w14:paraId="78F84B15"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10</w:t>
      </w:r>
      <w:r w:rsidRPr="00D30EFA">
        <w:rPr>
          <w:noProof/>
          <w:color w:val="auto"/>
          <w:lang w:val="pt-BR"/>
        </w:rPr>
        <w:t xml:space="preserve">. Gonçalves, Vanessa. Eduardo Leite “Bacuri”. São Paulo: Plena Editorial, 2011, p. 104.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42">
    <w:p w14:paraId="686562F5"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sidRPr="00D30EFA">
        <w:rPr>
          <w:noProof/>
          <w:color w:val="auto"/>
          <w:lang w:val="pt-BR"/>
        </w:rPr>
        <w:t xml:space="preserve">. Requerimento de Anistia no.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43">
    <w:p w14:paraId="14923470" w14:textId="5BAC19E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13</w:t>
      </w:r>
      <w:r w:rsidRPr="00D30EFA">
        <w:rPr>
          <w:noProof/>
          <w:color w:val="auto"/>
          <w:lang w:val="pt-BR"/>
        </w:rPr>
        <w:t>. 1ª Auditoria da 2ª Circunscrição Judici</w:t>
      </w:r>
      <w:r w:rsidR="00F131BD">
        <w:rPr>
          <w:noProof/>
          <w:color w:val="auto"/>
          <w:lang w:val="pt-BR"/>
        </w:rPr>
        <w:t>á</w:t>
      </w:r>
      <w:r w:rsidRPr="00D30EFA">
        <w:rPr>
          <w:noProof/>
          <w:color w:val="auto"/>
          <w:lang w:val="pt-BR"/>
        </w:rPr>
        <w:t>ri</w:t>
      </w:r>
      <w:r>
        <w:rPr>
          <w:noProof/>
          <w:color w:val="auto"/>
          <w:lang w:val="pt-BR"/>
        </w:rPr>
        <w:t>a Militar. São Paulo. Ofício nº</w:t>
      </w:r>
      <w:r w:rsidRPr="00D30EFA">
        <w:rPr>
          <w:noProof/>
          <w:color w:val="auto"/>
          <w:lang w:val="pt-BR"/>
        </w:rPr>
        <w:t xml:space="preserve"> /70-6.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12</w:t>
      </w:r>
      <w:r w:rsidRPr="00D30EFA">
        <w:rPr>
          <w:noProof/>
          <w:color w:val="auto"/>
          <w:lang w:val="pt-BR"/>
        </w:rPr>
        <w:t xml:space="preserve">. Requerimento de Anistia no.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44">
    <w:p w14:paraId="47F26196" w14:textId="785F92EF"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13</w:t>
      </w:r>
      <w:r w:rsidRPr="00D30EFA">
        <w:rPr>
          <w:noProof/>
          <w:color w:val="auto"/>
          <w:lang w:val="pt-BR"/>
        </w:rPr>
        <w:t>. 1ª Auditoria da 2ª Circunscrição Judici</w:t>
      </w:r>
      <w:r w:rsidR="00276135">
        <w:rPr>
          <w:noProof/>
          <w:color w:val="auto"/>
          <w:lang w:val="pt-BR"/>
        </w:rPr>
        <w:t>á</w:t>
      </w:r>
      <w:r w:rsidRPr="00D30EFA">
        <w:rPr>
          <w:noProof/>
          <w:color w:val="auto"/>
          <w:lang w:val="pt-BR"/>
        </w:rPr>
        <w:t>ri</w:t>
      </w:r>
      <w:r>
        <w:rPr>
          <w:noProof/>
          <w:color w:val="auto"/>
          <w:lang w:val="pt-BR"/>
        </w:rPr>
        <w:t>a Militar. São Paulo. Ofício nº</w:t>
      </w:r>
      <w:r w:rsidRPr="00D30EFA">
        <w:rPr>
          <w:noProof/>
          <w:color w:val="auto"/>
          <w:lang w:val="pt-BR"/>
        </w:rPr>
        <w:t xml:space="preserve"> /70-6.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45">
    <w:p w14:paraId="38969A79" w14:textId="3910FF65"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13</w:t>
      </w:r>
      <w:r w:rsidRPr="00D30EFA">
        <w:rPr>
          <w:noProof/>
          <w:color w:val="auto"/>
          <w:lang w:val="pt-BR"/>
        </w:rPr>
        <w:t>. 1ª Auditoria da 2ª Circunscrição Judici</w:t>
      </w:r>
      <w:r w:rsidR="00276135">
        <w:rPr>
          <w:noProof/>
          <w:color w:val="auto"/>
          <w:lang w:val="pt-BR"/>
        </w:rPr>
        <w:t>á</w:t>
      </w:r>
      <w:r w:rsidRPr="00D30EFA">
        <w:rPr>
          <w:noProof/>
          <w:color w:val="auto"/>
          <w:lang w:val="pt-BR"/>
        </w:rPr>
        <w:t>ri</w:t>
      </w:r>
      <w:r>
        <w:rPr>
          <w:noProof/>
          <w:color w:val="auto"/>
          <w:lang w:val="pt-BR"/>
        </w:rPr>
        <w:t>a Militar. São Paulo. Ofício nº</w:t>
      </w:r>
      <w:r w:rsidRPr="00D30EFA">
        <w:rPr>
          <w:noProof/>
          <w:color w:val="auto"/>
          <w:lang w:val="pt-BR"/>
        </w:rPr>
        <w:t xml:space="preserve"> /70-6.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12</w:t>
      </w:r>
      <w:r w:rsidRPr="00D30EFA">
        <w:rPr>
          <w:noProof/>
          <w:color w:val="auto"/>
          <w:lang w:val="pt-BR"/>
        </w:rPr>
        <w:t>. Requerimento de An</w:t>
      </w:r>
      <w:r>
        <w:rPr>
          <w:noProof/>
          <w:color w:val="auto"/>
          <w:lang w:val="pt-BR"/>
        </w:rPr>
        <w:t>istia nº</w:t>
      </w:r>
      <w:r w:rsidRPr="00D30EFA">
        <w:rPr>
          <w:noProof/>
          <w:color w:val="auto"/>
          <w:lang w:val="pt-BR"/>
        </w:rPr>
        <w:t xml:space="preserve">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14</w:t>
      </w:r>
      <w:r>
        <w:rPr>
          <w:noProof/>
          <w:color w:val="auto"/>
          <w:lang w:val="pt-BR"/>
        </w:rPr>
        <w:t>. Có</w:t>
      </w:r>
      <w:r w:rsidRPr="00D30EFA">
        <w:rPr>
          <w:noProof/>
          <w:color w:val="auto"/>
          <w:lang w:val="pt-BR"/>
        </w:rPr>
        <w:t>pia de decla</w:t>
      </w:r>
      <w:r>
        <w:rPr>
          <w:noProof/>
          <w:color w:val="auto"/>
          <w:lang w:val="pt-BR"/>
        </w:rPr>
        <w:t>ração prestada por Denise de pró</w:t>
      </w:r>
      <w:r w:rsidRPr="00D30EFA">
        <w:rPr>
          <w:noProof/>
          <w:color w:val="auto"/>
          <w:lang w:val="pt-BR"/>
        </w:rPr>
        <w:t>p</w:t>
      </w:r>
      <w:r>
        <w:rPr>
          <w:noProof/>
          <w:color w:val="auto"/>
          <w:lang w:val="pt-BR"/>
        </w:rPr>
        <w:t>r</w:t>
      </w:r>
      <w:r w:rsidRPr="00D30EFA">
        <w:rPr>
          <w:noProof/>
          <w:color w:val="auto"/>
          <w:lang w:val="pt-BR"/>
        </w:rPr>
        <w:t xml:space="preserve">io punho por Denize Perez Crispim. 30 de julho de 1970.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15</w:t>
      </w:r>
      <w:r w:rsidRPr="00D30EFA">
        <w:rPr>
          <w:noProof/>
          <w:color w:val="auto"/>
          <w:lang w:val="pt-BR"/>
        </w:rPr>
        <w:t xml:space="preserve">. Resumo de declarações prestadas por Denize Perez Crispim. 23 de julho de 1970.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46">
    <w:p w14:paraId="04B0EBC7"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10</w:t>
      </w:r>
      <w:r w:rsidRPr="00D30EFA">
        <w:rPr>
          <w:noProof/>
          <w:color w:val="auto"/>
          <w:lang w:val="pt-BR"/>
        </w:rPr>
        <w:t>. Gonçalves, Vanessa. Eduardo Leite “Bacuri”. São Paulo: Plena Edit</w:t>
      </w:r>
      <w:r>
        <w:rPr>
          <w:noProof/>
          <w:color w:val="auto"/>
          <w:lang w:val="pt-BR"/>
        </w:rPr>
        <w:t>orial, 2011, p. 135-136. Anexo à</w:t>
      </w:r>
      <w:r w:rsidRPr="00D30EFA">
        <w:rPr>
          <w:noProof/>
          <w:color w:val="auto"/>
          <w:lang w:val="pt-BR"/>
        </w:rPr>
        <w:t xml:space="preserve"> 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47">
    <w:p w14:paraId="1251E047"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9</w:t>
      </w:r>
      <w:r w:rsidRPr="00D30EFA">
        <w:rPr>
          <w:noProof/>
          <w:color w:val="auto"/>
          <w:lang w:val="pt-BR"/>
        </w:rPr>
        <w:t>. Ministério da Justiça. Comissão de Anis</w:t>
      </w:r>
      <w:r>
        <w:rPr>
          <w:noProof/>
          <w:color w:val="auto"/>
          <w:lang w:val="pt-BR"/>
        </w:rPr>
        <w:t>tia. Requerimento de Anistia nº</w:t>
      </w:r>
      <w:r w:rsidRPr="00D30EFA">
        <w:rPr>
          <w:noProof/>
          <w:color w:val="auto"/>
          <w:lang w:val="pt-BR"/>
        </w:rPr>
        <w:t xml:space="preserve"> 2008.01.63086.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48">
    <w:p w14:paraId="6A15B2FF"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13</w:t>
      </w:r>
      <w:r w:rsidRPr="00D30EFA">
        <w:rPr>
          <w:noProof/>
          <w:color w:val="auto"/>
          <w:lang w:val="pt-BR"/>
        </w:rPr>
        <w:t>. 1ª Audit</w:t>
      </w:r>
      <w:r>
        <w:rPr>
          <w:noProof/>
          <w:color w:val="auto"/>
          <w:lang w:val="pt-BR"/>
        </w:rPr>
        <w:t>oria da 2ª Circunscrição Judiciá</w:t>
      </w:r>
      <w:r w:rsidRPr="00D30EFA">
        <w:rPr>
          <w:noProof/>
          <w:color w:val="auto"/>
          <w:lang w:val="pt-BR"/>
        </w:rPr>
        <w:t>ria Militar. S</w:t>
      </w:r>
      <w:r>
        <w:rPr>
          <w:noProof/>
          <w:color w:val="auto"/>
          <w:lang w:val="pt-BR"/>
        </w:rPr>
        <w:t>ão Paulo. Ofício nº</w:t>
      </w:r>
      <w:r w:rsidRPr="00D30EFA">
        <w:rPr>
          <w:noProof/>
          <w:color w:val="auto"/>
          <w:lang w:val="pt-BR"/>
        </w:rPr>
        <w:t xml:space="preserve"> /70-6.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12.</w:t>
      </w:r>
      <w:r>
        <w:rPr>
          <w:noProof/>
          <w:color w:val="auto"/>
          <w:lang w:val="pt-BR"/>
        </w:rPr>
        <w:t xml:space="preserve"> Requerimento de Anistia nº</w:t>
      </w:r>
      <w:r w:rsidRPr="00D30EFA">
        <w:rPr>
          <w:noProof/>
          <w:color w:val="auto"/>
          <w:lang w:val="pt-BR"/>
        </w:rPr>
        <w:t xml:space="preserve">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p>
  </w:footnote>
  <w:footnote w:id="49">
    <w:p w14:paraId="5D80CB1C" w14:textId="77777777"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10</w:t>
      </w:r>
      <w:r w:rsidRPr="00D30EFA">
        <w:rPr>
          <w:noProof/>
          <w:color w:val="auto"/>
          <w:lang w:val="pt-BR"/>
        </w:rPr>
        <w:t xml:space="preserve">. Gonçalves, Vanessa. Eduardo Leite “Bacuri”. São Paulo: Plena Editorial, 2011, p. 37.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p. 132-134</w:t>
      </w:r>
    </w:p>
  </w:footnote>
  <w:footnote w:id="50">
    <w:p w14:paraId="30FCCF48" w14:textId="3882883E"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13</w:t>
      </w:r>
      <w:r w:rsidRPr="00D30EFA">
        <w:rPr>
          <w:noProof/>
          <w:color w:val="auto"/>
          <w:lang w:val="pt-BR"/>
        </w:rPr>
        <w:t>. 1ª Audit</w:t>
      </w:r>
      <w:r>
        <w:rPr>
          <w:noProof/>
          <w:color w:val="auto"/>
          <w:lang w:val="pt-BR"/>
        </w:rPr>
        <w:t>oria da 2ª Circunscrição Judiciá</w:t>
      </w:r>
      <w:r w:rsidRPr="00D30EFA">
        <w:rPr>
          <w:noProof/>
          <w:color w:val="auto"/>
          <w:lang w:val="pt-BR"/>
        </w:rPr>
        <w:t>ri</w:t>
      </w:r>
      <w:r>
        <w:rPr>
          <w:noProof/>
          <w:color w:val="auto"/>
          <w:lang w:val="pt-BR"/>
        </w:rPr>
        <w:t>a Militar. São Paulo. Ofício nº</w:t>
      </w:r>
      <w:r w:rsidRPr="00D30EFA">
        <w:rPr>
          <w:noProof/>
          <w:color w:val="auto"/>
          <w:lang w:val="pt-BR"/>
        </w:rPr>
        <w:t xml:space="preserve"> /70-6.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12</w:t>
      </w:r>
      <w:r w:rsidRPr="00D30EFA">
        <w:rPr>
          <w:noProof/>
          <w:color w:val="auto"/>
          <w:lang w:val="pt-BR"/>
        </w:rPr>
        <w:t xml:space="preserve">. Requerimento de Anistia no.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16</w:t>
      </w:r>
      <w:r w:rsidRPr="00D30EFA">
        <w:rPr>
          <w:noProof/>
          <w:color w:val="auto"/>
          <w:lang w:val="pt-BR"/>
        </w:rPr>
        <w:t>. Certidão. Gabinete da Presid</w:t>
      </w:r>
      <w:r w:rsidR="00276135">
        <w:rPr>
          <w:noProof/>
          <w:color w:val="auto"/>
          <w:lang w:val="pt-BR"/>
        </w:rPr>
        <w:t>ê</w:t>
      </w:r>
      <w:r w:rsidRPr="00D30EFA">
        <w:rPr>
          <w:noProof/>
          <w:color w:val="auto"/>
          <w:lang w:val="pt-BR"/>
        </w:rPr>
        <w:t xml:space="preserve">ncia.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17</w:t>
      </w:r>
      <w:r w:rsidRPr="00D30EFA">
        <w:rPr>
          <w:noProof/>
          <w:color w:val="auto"/>
          <w:lang w:val="pt-BR"/>
        </w:rPr>
        <w:t xml:space="preserve">. Secretaria de Segurança Pública. Sequestro do Consul Japonês.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51">
    <w:p w14:paraId="6DA8DC63"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sidRPr="00D30EFA">
        <w:rPr>
          <w:noProof/>
          <w:color w:val="auto"/>
          <w:lang w:val="pt-BR"/>
        </w:rPr>
        <w:t xml:space="preserve">. Requerimento de Anistia no.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52">
    <w:p w14:paraId="021BBD00" w14:textId="7EE940BD"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14</w:t>
      </w:r>
      <w:r w:rsidRPr="00D30EFA">
        <w:rPr>
          <w:noProof/>
          <w:color w:val="auto"/>
          <w:lang w:val="pt-BR"/>
        </w:rPr>
        <w:t>. C</w:t>
      </w:r>
      <w:r>
        <w:rPr>
          <w:noProof/>
          <w:color w:val="auto"/>
          <w:lang w:val="pt-BR"/>
        </w:rPr>
        <w:t>ó</w:t>
      </w:r>
      <w:r w:rsidRPr="00D30EFA">
        <w:rPr>
          <w:noProof/>
          <w:color w:val="auto"/>
          <w:lang w:val="pt-BR"/>
        </w:rPr>
        <w:t>pia de Declaração prestada de pr</w:t>
      </w:r>
      <w:r w:rsidR="00735E8B">
        <w:rPr>
          <w:noProof/>
          <w:color w:val="auto"/>
          <w:lang w:val="pt-BR"/>
        </w:rPr>
        <w:t>ó</w:t>
      </w:r>
      <w:r w:rsidRPr="00D30EFA">
        <w:rPr>
          <w:noProof/>
          <w:color w:val="auto"/>
          <w:lang w:val="pt-BR"/>
        </w:rPr>
        <w:t xml:space="preserve">prio punho por Denize Peres Crispim. 30 de julho de 1970.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Anexo </w:t>
      </w:r>
      <w:r w:rsidRPr="00D30EFA">
        <w:rPr>
          <w:b/>
          <w:bCs/>
          <w:noProof/>
          <w:color w:val="auto"/>
          <w:lang w:val="pt-BR"/>
        </w:rPr>
        <w:t>15</w:t>
      </w:r>
      <w:r w:rsidRPr="00D30EFA">
        <w:rPr>
          <w:noProof/>
          <w:color w:val="auto"/>
          <w:lang w:val="pt-BR"/>
        </w:rPr>
        <w:t xml:space="preserve">. Resumo das declarações prestadas por Denize Peres Crispim. 23 de julho de 1970.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18</w:t>
      </w:r>
      <w:r w:rsidRPr="00D30EFA">
        <w:rPr>
          <w:noProof/>
          <w:color w:val="auto"/>
          <w:lang w:val="pt-BR"/>
        </w:rPr>
        <w:t xml:space="preserve">. Continuação de declarações prestadas por Denize Peres Crispim. 23 de julho de 1970.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19</w:t>
      </w:r>
      <w:r w:rsidRPr="00D30EFA">
        <w:rPr>
          <w:noProof/>
          <w:color w:val="auto"/>
          <w:lang w:val="pt-BR"/>
        </w:rPr>
        <w:t xml:space="preserve">. Resumo das declarações prestadas por Denize Peres Crispim. 24 de julho de 1970.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20</w:t>
      </w:r>
      <w:r w:rsidRPr="00D30EFA">
        <w:rPr>
          <w:noProof/>
          <w:color w:val="auto"/>
          <w:lang w:val="pt-BR"/>
        </w:rPr>
        <w:t xml:space="preserve">. Resumo das declarações prestadas por Denize Peres Crispim. 25 de julho de 1970.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21</w:t>
      </w:r>
      <w:r w:rsidRPr="00D30EFA">
        <w:rPr>
          <w:noProof/>
          <w:color w:val="auto"/>
          <w:lang w:val="pt-BR"/>
        </w:rPr>
        <w:t>. Resumo das declarações prestadas por Denize Peres Crispim. 28 de julho de 1970 das 4</w:t>
      </w:r>
      <w:r>
        <w:rPr>
          <w:noProof/>
          <w:color w:val="auto"/>
          <w:lang w:val="pt-BR"/>
        </w:rPr>
        <w:t>h</w:t>
      </w:r>
      <w:r w:rsidRPr="00D30EFA">
        <w:rPr>
          <w:noProof/>
          <w:color w:val="auto"/>
          <w:lang w:val="pt-BR"/>
        </w:rPr>
        <w:t xml:space="preserve"> às 6</w:t>
      </w:r>
      <w:r>
        <w:rPr>
          <w:noProof/>
          <w:color w:val="auto"/>
          <w:lang w:val="pt-BR"/>
        </w:rPr>
        <w:t>h</w:t>
      </w:r>
      <w:r w:rsidRPr="00D30EFA">
        <w:rPr>
          <w:noProof/>
          <w:color w:val="auto"/>
          <w:lang w:val="pt-BR"/>
        </w:rPr>
        <w:t xml:space="preserve">.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22</w:t>
      </w:r>
      <w:r w:rsidRPr="00D30EFA">
        <w:rPr>
          <w:noProof/>
          <w:color w:val="auto"/>
          <w:lang w:val="pt-BR"/>
        </w:rPr>
        <w:t>. Resumo das declarações prestadas por Denize Peres Crispim. 28 de julho de 1970 das 14</w:t>
      </w:r>
      <w:r>
        <w:rPr>
          <w:noProof/>
          <w:color w:val="auto"/>
          <w:lang w:val="pt-BR"/>
        </w:rPr>
        <w:t>h</w:t>
      </w:r>
      <w:r w:rsidRPr="00D30EFA">
        <w:rPr>
          <w:noProof/>
          <w:color w:val="auto"/>
          <w:lang w:val="pt-BR"/>
        </w:rPr>
        <w:t xml:space="preserve">30 </w:t>
      </w:r>
      <w:r w:rsidR="00735E8B">
        <w:rPr>
          <w:noProof/>
          <w:color w:val="auto"/>
          <w:lang w:val="pt-BR"/>
        </w:rPr>
        <w:t>à</w:t>
      </w:r>
      <w:r w:rsidRPr="00D30EFA">
        <w:rPr>
          <w:noProof/>
          <w:color w:val="auto"/>
          <w:lang w:val="pt-BR"/>
        </w:rPr>
        <w:t>s 15</w:t>
      </w:r>
      <w:r>
        <w:rPr>
          <w:noProof/>
          <w:color w:val="auto"/>
          <w:lang w:val="pt-BR"/>
        </w:rPr>
        <w:t>h</w:t>
      </w:r>
      <w:r w:rsidRPr="00D30EFA">
        <w:rPr>
          <w:noProof/>
          <w:color w:val="auto"/>
          <w:lang w:val="pt-BR"/>
        </w:rPr>
        <w:t xml:space="preserve">.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23</w:t>
      </w:r>
      <w:r w:rsidRPr="00D30EFA">
        <w:rPr>
          <w:noProof/>
          <w:color w:val="auto"/>
          <w:lang w:val="pt-BR"/>
        </w:rPr>
        <w:t>. Resumo das declarações prestadas por Denize Peres Crispim. 28 de julho de 1970 das 21</w:t>
      </w:r>
      <w:r>
        <w:rPr>
          <w:noProof/>
          <w:color w:val="auto"/>
          <w:lang w:val="pt-BR"/>
        </w:rPr>
        <w:t>h</w:t>
      </w:r>
      <w:r w:rsidRPr="00D30EFA">
        <w:rPr>
          <w:noProof/>
          <w:color w:val="auto"/>
          <w:lang w:val="pt-BR"/>
        </w:rPr>
        <w:t xml:space="preserve"> às 23</w:t>
      </w:r>
      <w:r>
        <w:rPr>
          <w:noProof/>
          <w:color w:val="auto"/>
          <w:lang w:val="pt-BR"/>
        </w:rPr>
        <w:t>h</w:t>
      </w:r>
      <w:r w:rsidRPr="00D30EFA">
        <w:rPr>
          <w:noProof/>
          <w:color w:val="auto"/>
          <w:lang w:val="pt-BR"/>
        </w:rPr>
        <w:t xml:space="preserve">.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53">
    <w:p w14:paraId="7D2E665D" w14:textId="35BFCE73" w:rsidR="00E13122" w:rsidRPr="00D30EFA" w:rsidRDefault="00E13122" w:rsidP="00E13122">
      <w:pPr>
        <w:pStyle w:val="FootnoteText"/>
        <w:ind w:firstLine="0"/>
        <w:contextualSpacing/>
        <w:rPr>
          <w:b/>
          <w:bCs/>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24</w:t>
      </w:r>
      <w:r w:rsidRPr="00D30EFA">
        <w:rPr>
          <w:noProof/>
          <w:color w:val="auto"/>
          <w:lang w:val="pt-BR"/>
        </w:rPr>
        <w:t>. Mandados de prisão expedidos pela 2ª Audiotira da 2ª Regi</w:t>
      </w:r>
      <w:r w:rsidR="00735E8B">
        <w:rPr>
          <w:noProof/>
          <w:color w:val="auto"/>
          <w:lang w:val="pt-BR"/>
        </w:rPr>
        <w:t>ã</w:t>
      </w:r>
      <w:r w:rsidRPr="00D30EFA">
        <w:rPr>
          <w:noProof/>
          <w:color w:val="auto"/>
          <w:lang w:val="pt-BR"/>
        </w:rPr>
        <w:t xml:space="preserve">o Militar.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54">
    <w:p w14:paraId="7819F4EC" w14:textId="77777777" w:rsidR="00E13122" w:rsidRPr="00D30EFA" w:rsidRDefault="00E13122" w:rsidP="00E13122">
      <w:pPr>
        <w:pStyle w:val="FootnoteText"/>
        <w:ind w:firstLine="0"/>
        <w:contextualSpacing/>
        <w:rPr>
          <w:b/>
          <w:bCs/>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sidRPr="00D30EFA">
        <w:rPr>
          <w:noProof/>
          <w:color w:val="auto"/>
          <w:lang w:val="pt-BR"/>
        </w:rPr>
        <w:t>. Requer</w:t>
      </w:r>
      <w:r>
        <w:rPr>
          <w:noProof/>
          <w:color w:val="auto"/>
          <w:lang w:val="pt-BR"/>
        </w:rPr>
        <w:t>imento de Anistia nº</w:t>
      </w:r>
      <w:r w:rsidRPr="00D30EFA">
        <w:rPr>
          <w:noProof/>
          <w:color w:val="auto"/>
          <w:lang w:val="pt-BR"/>
        </w:rPr>
        <w:t xml:space="preserve">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25</w:t>
      </w:r>
      <w:r w:rsidRPr="00D30EFA">
        <w:rPr>
          <w:noProof/>
          <w:color w:val="auto"/>
          <w:lang w:val="pt-BR"/>
        </w:rPr>
        <w:t xml:space="preserve">. 1ª Auditoria da 2ª Circunscrição </w:t>
      </w:r>
      <w:r>
        <w:rPr>
          <w:noProof/>
          <w:color w:val="auto"/>
          <w:lang w:val="pt-BR"/>
        </w:rPr>
        <w:t>Judiciária Militar. Despacho nº</w:t>
      </w:r>
      <w:r w:rsidRPr="00D30EFA">
        <w:rPr>
          <w:noProof/>
          <w:color w:val="auto"/>
          <w:lang w:val="pt-BR"/>
        </w:rPr>
        <w:t xml:space="preserve"> 121/70-.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8</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 2014</w:t>
      </w:r>
      <w:r w:rsidRPr="00D30EFA">
        <w:rPr>
          <w:noProof/>
          <w:color w:val="auto"/>
          <w:lang w:val="pt-BR"/>
        </w:rPr>
        <w:t xml:space="preserve">, p. 428.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55">
    <w:p w14:paraId="16D5EB50" w14:textId="0662FFF8"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sidRPr="00D30EFA">
        <w:rPr>
          <w:noProof/>
          <w:color w:val="auto"/>
          <w:lang w:val="pt-BR"/>
        </w:rPr>
        <w:t>. Requerimento de Anistia n</w:t>
      </w:r>
      <w:r w:rsidR="00735E8B">
        <w:rPr>
          <w:noProof/>
          <w:color w:val="auto"/>
          <w:lang w:val="pt-BR"/>
        </w:rPr>
        <w:t>º</w:t>
      </w:r>
      <w:r w:rsidRPr="00D30EFA">
        <w:rPr>
          <w:noProof/>
          <w:color w:val="auto"/>
          <w:lang w:val="pt-BR"/>
        </w:rPr>
        <w:t xml:space="preserve">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56">
    <w:p w14:paraId="27B10CFE"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26</w:t>
      </w:r>
      <w:r w:rsidRPr="00D30EFA">
        <w:rPr>
          <w:noProof/>
          <w:color w:val="auto"/>
          <w:lang w:val="pt-BR"/>
        </w:rPr>
        <w:t xml:space="preserve">. Of. N. 2.350/70. Justiça Militar – São Paulo.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57">
    <w:p w14:paraId="4E4C3734"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sidRPr="00D30EFA">
        <w:rPr>
          <w:noProof/>
          <w:color w:val="auto"/>
          <w:lang w:val="pt-BR"/>
        </w:rPr>
        <w:t xml:space="preserve">. Requerimento de Anistia no.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26</w:t>
      </w:r>
      <w:r w:rsidRPr="00D30EFA">
        <w:rPr>
          <w:noProof/>
          <w:color w:val="auto"/>
          <w:lang w:val="pt-BR"/>
        </w:rPr>
        <w:t xml:space="preserve">. Of. N. 2.350/70. Justiça Militar – São Paulo.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58">
    <w:p w14:paraId="5CEE91F1" w14:textId="77777777"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27</w:t>
      </w:r>
      <w:r w:rsidRPr="00D30EFA">
        <w:rPr>
          <w:noProof/>
          <w:color w:val="auto"/>
          <w:lang w:val="pt-BR"/>
        </w:rPr>
        <w:t xml:space="preserve">. Serviço de informações – DOPS. Relação de presos solicitados pelos sequestradores do Embaixador Suiço.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59">
    <w:p w14:paraId="4761B267"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28</w:t>
      </w:r>
      <w:r w:rsidRPr="00D30EFA">
        <w:rPr>
          <w:noProof/>
          <w:color w:val="auto"/>
          <w:lang w:val="pt-BR"/>
        </w:rPr>
        <w:t>. SJDC – 271978/2008. Procuradoria Geral do Estado. Comissão Estadual de Ex</w:t>
      </w:r>
      <w:r>
        <w:rPr>
          <w:noProof/>
          <w:color w:val="auto"/>
          <w:lang w:val="pt-BR"/>
        </w:rPr>
        <w:t>-</w:t>
      </w:r>
      <w:r w:rsidRPr="00D30EFA">
        <w:rPr>
          <w:noProof/>
          <w:color w:val="auto"/>
          <w:lang w:val="pt-BR"/>
        </w:rPr>
        <w:t xml:space="preserve">Presos Políticos.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12</w:t>
      </w:r>
      <w:r w:rsidRPr="00D30EFA">
        <w:rPr>
          <w:noProof/>
          <w:color w:val="auto"/>
          <w:lang w:val="pt-BR"/>
        </w:rPr>
        <w:t>. Requerime</w:t>
      </w:r>
      <w:r>
        <w:rPr>
          <w:noProof/>
          <w:color w:val="auto"/>
          <w:lang w:val="pt-BR"/>
        </w:rPr>
        <w:t>nto de Anistia nº</w:t>
      </w:r>
      <w:r w:rsidRPr="00D30EFA">
        <w:rPr>
          <w:noProof/>
          <w:color w:val="auto"/>
          <w:lang w:val="pt-BR"/>
        </w:rPr>
        <w:t xml:space="preserve"> 2007.01.57501.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60">
    <w:p w14:paraId="0A05E9D2" w14:textId="6DD87F8A"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13</w:t>
      </w:r>
      <w:r w:rsidRPr="00D30EFA">
        <w:rPr>
          <w:noProof/>
          <w:color w:val="auto"/>
          <w:lang w:val="pt-BR"/>
        </w:rPr>
        <w:t>. 1ª Auditoria da 2ª Circunscrição Judici</w:t>
      </w:r>
      <w:r w:rsidR="00A547E9">
        <w:rPr>
          <w:noProof/>
          <w:color w:val="auto"/>
          <w:lang w:val="pt-BR"/>
        </w:rPr>
        <w:t>á</w:t>
      </w:r>
      <w:r w:rsidRPr="00D30EFA">
        <w:rPr>
          <w:noProof/>
          <w:color w:val="auto"/>
          <w:lang w:val="pt-BR"/>
        </w:rPr>
        <w:t>ri</w:t>
      </w:r>
      <w:r>
        <w:rPr>
          <w:noProof/>
          <w:color w:val="auto"/>
          <w:lang w:val="pt-BR"/>
        </w:rPr>
        <w:t>a Militar. São Paulo. Ofício nº</w:t>
      </w:r>
      <w:r w:rsidRPr="00D30EFA">
        <w:rPr>
          <w:noProof/>
          <w:color w:val="auto"/>
          <w:lang w:val="pt-BR"/>
        </w:rPr>
        <w:t xml:space="preserve"> /70-6.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29</w:t>
      </w:r>
      <w:r w:rsidRPr="00D30EFA">
        <w:rPr>
          <w:noProof/>
          <w:color w:val="auto"/>
          <w:lang w:val="pt-BR"/>
        </w:rPr>
        <w:t>. Mandado de prisão. 1ª Audit</w:t>
      </w:r>
      <w:r>
        <w:rPr>
          <w:noProof/>
          <w:color w:val="auto"/>
          <w:lang w:val="pt-BR"/>
        </w:rPr>
        <w:t>oria da 2ª Circunscrição Judiciá</w:t>
      </w:r>
      <w:r w:rsidRPr="00D30EFA">
        <w:rPr>
          <w:noProof/>
          <w:color w:val="auto"/>
          <w:lang w:val="pt-BR"/>
        </w:rPr>
        <w:t xml:space="preserve">ria Militar.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30</w:t>
      </w:r>
      <w:r>
        <w:rPr>
          <w:noProof/>
          <w:color w:val="auto"/>
          <w:lang w:val="pt-BR"/>
        </w:rPr>
        <w:t>. Certidã</w:t>
      </w:r>
      <w:r w:rsidRPr="00D30EFA">
        <w:rPr>
          <w:noProof/>
          <w:color w:val="auto"/>
          <w:lang w:val="pt-BR"/>
        </w:rPr>
        <w:t>o. O Dr. Armando Sobral Junior (...). 1ª Auditoria da 2ª Circunscrição Judici</w:t>
      </w:r>
      <w:r w:rsidR="00A547E9">
        <w:rPr>
          <w:noProof/>
          <w:color w:val="auto"/>
          <w:lang w:val="pt-BR"/>
        </w:rPr>
        <w:t>á</w:t>
      </w:r>
      <w:r w:rsidRPr="00D30EFA">
        <w:rPr>
          <w:noProof/>
          <w:color w:val="auto"/>
          <w:lang w:val="pt-BR"/>
        </w:rPr>
        <w:t xml:space="preserve">ria Militar.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61">
    <w:p w14:paraId="1FE7CCF2"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b/>
          <w:bCs/>
          <w:noProof/>
          <w:color w:val="auto"/>
          <w:lang w:val="pt-BR"/>
        </w:rPr>
        <w:t xml:space="preserve"> Anexo 8</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 2014</w:t>
      </w:r>
      <w:r w:rsidRPr="00D30EFA">
        <w:rPr>
          <w:noProof/>
          <w:color w:val="auto"/>
          <w:lang w:val="pt-BR"/>
        </w:rPr>
        <w:t xml:space="preserve">, p. 112.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xml:space="preserve">, p. 489.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62">
    <w:p w14:paraId="1AAE2779" w14:textId="62F90EC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b/>
          <w:bCs/>
          <w:noProof/>
          <w:color w:val="auto"/>
          <w:lang w:val="pt-BR"/>
        </w:rPr>
        <w:t xml:space="preserve"> Anexo 8</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 2014</w:t>
      </w:r>
      <w:r w:rsidRPr="00D30EFA">
        <w:rPr>
          <w:noProof/>
          <w:color w:val="auto"/>
          <w:lang w:val="pt-BR"/>
        </w:rPr>
        <w:t xml:space="preserve">, p. 112. Anexo </w:t>
      </w:r>
      <w:r>
        <w:rPr>
          <w:noProof/>
          <w:color w:val="auto"/>
          <w:lang w:val="pt-BR"/>
        </w:rPr>
        <w:t xml:space="preserve">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 </w:t>
      </w:r>
      <w:r w:rsidRPr="00D30EFA">
        <w:rPr>
          <w:b/>
          <w:bCs/>
          <w:noProof/>
          <w:color w:val="auto"/>
          <w:lang w:val="pt-BR"/>
        </w:rPr>
        <w:t>Anexo 31</w:t>
      </w:r>
      <w:r w:rsidRPr="00D30EFA">
        <w:rPr>
          <w:noProof/>
          <w:color w:val="auto"/>
          <w:lang w:val="pt-BR"/>
        </w:rPr>
        <w:t>. Termo de declaração presta</w:t>
      </w:r>
      <w:r w:rsidR="00A547E9">
        <w:rPr>
          <w:noProof/>
          <w:color w:val="auto"/>
          <w:lang w:val="pt-BR"/>
        </w:rPr>
        <w:t>da</w:t>
      </w:r>
      <w:r w:rsidRPr="00D30EFA">
        <w:rPr>
          <w:noProof/>
          <w:color w:val="auto"/>
          <w:lang w:val="pt-BR"/>
        </w:rPr>
        <w:t xml:space="preserve"> </w:t>
      </w:r>
      <w:r w:rsidR="00A547E9">
        <w:rPr>
          <w:noProof/>
          <w:color w:val="auto"/>
          <w:lang w:val="pt-BR"/>
        </w:rPr>
        <w:t>pel</w:t>
      </w:r>
      <w:r w:rsidRPr="00D30EFA">
        <w:rPr>
          <w:noProof/>
          <w:color w:val="auto"/>
          <w:lang w:val="pt-BR"/>
        </w:rPr>
        <w:t>a Sra. Cecília Maria Coimbra.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63">
    <w:p w14:paraId="262D1258"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9</w:t>
      </w:r>
      <w:r w:rsidRPr="00D30EFA">
        <w:rPr>
          <w:noProof/>
          <w:color w:val="auto"/>
          <w:lang w:val="pt-BR"/>
        </w:rPr>
        <w:t>. Ministério da Justiça. Comissão de Anis</w:t>
      </w:r>
      <w:r>
        <w:rPr>
          <w:noProof/>
          <w:color w:val="auto"/>
          <w:lang w:val="pt-BR"/>
        </w:rPr>
        <w:t>tia. Requerimento de Anistia nº</w:t>
      </w:r>
      <w:r w:rsidRPr="00D30EFA">
        <w:rPr>
          <w:noProof/>
          <w:color w:val="auto"/>
          <w:lang w:val="pt-BR"/>
        </w:rPr>
        <w:t xml:space="preserve"> 2008.01.63086.</w:t>
      </w:r>
    </w:p>
  </w:footnote>
  <w:footnote w:id="64">
    <w:p w14:paraId="2A257517"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8</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 2014</w:t>
      </w:r>
      <w:r w:rsidRPr="00D30EFA">
        <w:rPr>
          <w:noProof/>
          <w:color w:val="auto"/>
          <w:lang w:val="pt-BR"/>
        </w:rPr>
        <w:t>, p. 112.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65">
    <w:p w14:paraId="7A09B2E4" w14:textId="32153C58"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8.</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 2014</w:t>
      </w:r>
      <w:r w:rsidRPr="00D30EFA">
        <w:rPr>
          <w:noProof/>
          <w:color w:val="auto"/>
          <w:lang w:val="pt-BR"/>
        </w:rPr>
        <w:t>, p. 112.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r w:rsidR="007B0ED7">
        <w:rPr>
          <w:noProof/>
          <w:color w:val="auto"/>
          <w:lang w:val="pt-BR"/>
        </w:rPr>
        <w:t>.</w:t>
      </w:r>
    </w:p>
  </w:footnote>
  <w:footnote w:id="66">
    <w:p w14:paraId="6120D63A" w14:textId="777A838A"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8</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 2014</w:t>
      </w:r>
      <w:r w:rsidRPr="00D30EFA">
        <w:rPr>
          <w:noProof/>
          <w:color w:val="auto"/>
          <w:lang w:val="pt-BR"/>
        </w:rPr>
        <w:t>, p. 112.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r w:rsidR="007B0ED7">
        <w:rPr>
          <w:noProof/>
          <w:color w:val="auto"/>
          <w:lang w:val="pt-BR"/>
        </w:rPr>
        <w:t>.</w:t>
      </w:r>
    </w:p>
  </w:footnote>
  <w:footnote w:id="67">
    <w:p w14:paraId="43C76395" w14:textId="7DB0820F"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489-500, 501.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r w:rsidR="007B0ED7">
        <w:rPr>
          <w:noProof/>
          <w:color w:val="auto"/>
          <w:lang w:val="pt-BR"/>
        </w:rPr>
        <w:t>.</w:t>
      </w:r>
    </w:p>
  </w:footnote>
  <w:footnote w:id="68">
    <w:p w14:paraId="53443647" w14:textId="7B44139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9</w:t>
      </w:r>
      <w:r w:rsidRPr="00D30EFA">
        <w:rPr>
          <w:noProof/>
          <w:color w:val="auto"/>
          <w:lang w:val="pt-BR"/>
        </w:rPr>
        <w:t>. Ministério da Justiça. Comissão de Anis</w:t>
      </w:r>
      <w:r>
        <w:rPr>
          <w:noProof/>
          <w:color w:val="auto"/>
          <w:lang w:val="pt-BR"/>
        </w:rPr>
        <w:t>tia. Requerimento de Anistia nº</w:t>
      </w:r>
      <w:r w:rsidRPr="00D30EFA">
        <w:rPr>
          <w:noProof/>
          <w:color w:val="auto"/>
          <w:lang w:val="pt-BR"/>
        </w:rPr>
        <w:t xml:space="preserve"> 2008.01.63086.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r w:rsidR="007B0ED7">
        <w:rPr>
          <w:noProof/>
          <w:color w:val="auto"/>
          <w:lang w:val="pt-BR"/>
        </w:rPr>
        <w:t>.</w:t>
      </w:r>
    </w:p>
  </w:footnote>
  <w:footnote w:id="69">
    <w:p w14:paraId="7AE311E3" w14:textId="6FED3CD8"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9.</w:t>
      </w:r>
      <w:r w:rsidRPr="00D30EFA">
        <w:rPr>
          <w:noProof/>
          <w:color w:val="auto"/>
          <w:lang w:val="pt-BR"/>
        </w:rPr>
        <w:t xml:space="preserve"> Ministério da Justiça. Comissão de Anis</w:t>
      </w:r>
      <w:r>
        <w:rPr>
          <w:noProof/>
          <w:color w:val="auto"/>
          <w:lang w:val="pt-BR"/>
        </w:rPr>
        <w:t>tia. Requerimento de Anistia nº</w:t>
      </w:r>
      <w:r w:rsidRPr="00D30EFA">
        <w:rPr>
          <w:noProof/>
          <w:color w:val="auto"/>
          <w:lang w:val="pt-BR"/>
        </w:rPr>
        <w:t xml:space="preserve"> 2008.01.63086.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r w:rsidR="007B0ED7">
        <w:rPr>
          <w:noProof/>
          <w:color w:val="auto"/>
          <w:lang w:val="pt-BR"/>
        </w:rPr>
        <w:t>.</w:t>
      </w:r>
    </w:p>
  </w:footnote>
  <w:footnote w:id="70">
    <w:p w14:paraId="74323855" w14:textId="7F0B4F46"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8</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 2014</w:t>
      </w:r>
      <w:r w:rsidRPr="00D30EFA">
        <w:rPr>
          <w:noProof/>
          <w:color w:val="auto"/>
          <w:lang w:val="pt-BR"/>
        </w:rPr>
        <w:t>, p. 112.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r w:rsidR="007B0ED7">
        <w:rPr>
          <w:noProof/>
          <w:color w:val="auto"/>
          <w:lang w:val="pt-BR"/>
        </w:rPr>
        <w:t>.</w:t>
      </w:r>
    </w:p>
  </w:footnote>
  <w:footnote w:id="71">
    <w:p w14:paraId="45A81348"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32</w:t>
      </w:r>
      <w:r w:rsidRPr="00D30EFA">
        <w:rPr>
          <w:noProof/>
          <w:color w:val="auto"/>
          <w:lang w:val="pt-BR"/>
        </w:rPr>
        <w:t xml:space="preserve">. </w:t>
      </w:r>
      <w:r w:rsidRPr="00D30EFA">
        <w:rPr>
          <w:rStyle w:val="Emphasis"/>
          <w:rFonts w:cs="Arial"/>
          <w:i w:val="0"/>
          <w:iCs w:val="0"/>
          <w:noProof/>
          <w:color w:val="auto"/>
          <w:lang w:val="pt-BR"/>
        </w:rPr>
        <w:t>Mandado de prisão preventiva. 16 de novembro de 1970</w:t>
      </w:r>
      <w:r w:rsidRPr="00D30EFA">
        <w:rPr>
          <w:noProof/>
          <w:color w:val="auto"/>
          <w:lang w:val="pt-BR"/>
        </w:rPr>
        <w:t>.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72">
    <w:p w14:paraId="5BF89B7A" w14:textId="11388F8F"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489-500, 501.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r w:rsidR="007B0ED7">
        <w:rPr>
          <w:noProof/>
          <w:color w:val="auto"/>
          <w:lang w:val="pt-BR"/>
        </w:rPr>
        <w:t>.</w:t>
      </w:r>
    </w:p>
  </w:footnote>
  <w:footnote w:id="73">
    <w:p w14:paraId="6B718DDB" w14:textId="15524BF4"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9</w:t>
      </w:r>
      <w:r w:rsidRPr="00D30EFA">
        <w:rPr>
          <w:noProof/>
          <w:color w:val="auto"/>
          <w:lang w:val="pt-BR"/>
        </w:rPr>
        <w:t>. Ministério da Justiça. Comissão de Anistia. Requerimento de Anistia n</w:t>
      </w:r>
      <w:r w:rsidR="007B0ED7">
        <w:rPr>
          <w:noProof/>
          <w:color w:val="auto"/>
          <w:lang w:val="pt-BR"/>
        </w:rPr>
        <w:t>º</w:t>
      </w:r>
      <w:r w:rsidRPr="00D30EFA">
        <w:rPr>
          <w:noProof/>
          <w:color w:val="auto"/>
          <w:lang w:val="pt-BR"/>
        </w:rPr>
        <w:t xml:space="preserve"> 2008.01.63086.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74">
    <w:p w14:paraId="7E5BF208" w14:textId="41E8121A"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489-500.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r w:rsidR="007B0ED7">
        <w:rPr>
          <w:noProof/>
          <w:color w:val="auto"/>
          <w:lang w:val="pt-BR"/>
        </w:rPr>
        <w:t>.</w:t>
      </w:r>
    </w:p>
  </w:footnote>
  <w:footnote w:id="75">
    <w:p w14:paraId="28611744" w14:textId="0853A97E"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500.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r w:rsidR="005445BB">
        <w:rPr>
          <w:noProof/>
          <w:color w:val="auto"/>
          <w:lang w:val="pt-BR"/>
        </w:rPr>
        <w:t>.</w:t>
      </w:r>
      <w:r w:rsidRPr="00D30EFA">
        <w:rPr>
          <w:noProof/>
          <w:color w:val="auto"/>
          <w:lang w:val="pt-BR"/>
        </w:rPr>
        <w:t xml:space="preserve"> </w:t>
      </w:r>
    </w:p>
  </w:footnote>
  <w:footnote w:id="76">
    <w:p w14:paraId="2FC65702" w14:textId="3A086DAF"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33</w:t>
      </w:r>
      <w:r w:rsidRPr="00D30EFA">
        <w:rPr>
          <w:noProof/>
          <w:color w:val="auto"/>
          <w:lang w:val="pt-BR"/>
        </w:rPr>
        <w:t>. Exame necrosc</w:t>
      </w:r>
      <w:r w:rsidR="005445BB">
        <w:rPr>
          <w:noProof/>
          <w:color w:val="auto"/>
          <w:lang w:val="pt-BR"/>
        </w:rPr>
        <w:t>ó</w:t>
      </w:r>
      <w:r w:rsidRPr="00D30EFA">
        <w:rPr>
          <w:noProof/>
          <w:color w:val="auto"/>
          <w:lang w:val="pt-BR"/>
        </w:rPr>
        <w:t>pico</w:t>
      </w:r>
      <w:r w:rsidR="005445BB">
        <w:rPr>
          <w:noProof/>
          <w:color w:val="auto"/>
          <w:lang w:val="pt-BR"/>
        </w:rPr>
        <w:t>,</w:t>
      </w:r>
      <w:r w:rsidRPr="00D30EFA">
        <w:rPr>
          <w:noProof/>
          <w:color w:val="auto"/>
          <w:lang w:val="pt-BR"/>
        </w:rPr>
        <w:t xml:space="preserve"> </w:t>
      </w:r>
      <w:r>
        <w:rPr>
          <w:noProof/>
          <w:color w:val="auto"/>
          <w:lang w:val="pt-BR"/>
        </w:rPr>
        <w:t>Eduardo Collen Leite</w:t>
      </w:r>
      <w:r w:rsidR="005445BB">
        <w:rPr>
          <w:noProof/>
          <w:color w:val="auto"/>
          <w:lang w:val="pt-BR"/>
        </w:rPr>
        <w:t>.</w:t>
      </w:r>
      <w:r>
        <w:rPr>
          <w:noProof/>
          <w:color w:val="auto"/>
          <w:lang w:val="pt-BR"/>
        </w:rPr>
        <w:t xml:space="preserve"> Instituto Médico </w:t>
      </w:r>
      <w:r w:rsidRPr="00D30EFA">
        <w:rPr>
          <w:noProof/>
          <w:color w:val="auto"/>
          <w:lang w:val="pt-BR"/>
        </w:rPr>
        <w:t>Legal. Secretaria de Segurança Pública. Departamento Estadual d</w:t>
      </w:r>
      <w:r w:rsidR="007157BA">
        <w:rPr>
          <w:noProof/>
          <w:color w:val="auto"/>
          <w:lang w:val="pt-BR"/>
        </w:rPr>
        <w:t>e</w:t>
      </w:r>
      <w:r w:rsidRPr="00D30EFA">
        <w:rPr>
          <w:noProof/>
          <w:color w:val="auto"/>
          <w:lang w:val="pt-BR"/>
        </w:rPr>
        <w:t xml:space="preserve"> Polícia Científica.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77">
    <w:p w14:paraId="6704B041" w14:textId="0F354304"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34</w:t>
      </w:r>
      <w:r w:rsidRPr="00D30EFA">
        <w:rPr>
          <w:noProof/>
          <w:color w:val="auto"/>
          <w:lang w:val="pt-BR"/>
        </w:rPr>
        <w:t xml:space="preserve">. Secretaria de Direitos Humanos da Presidência da República. </w:t>
      </w:r>
      <w:r w:rsidRPr="00D30EFA">
        <w:rPr>
          <w:rStyle w:val="Emphasis"/>
          <w:rFonts w:cs="Arial"/>
          <w:i w:val="0"/>
          <w:iCs w:val="0"/>
          <w:noProof/>
          <w:color w:val="auto"/>
          <w:lang w:val="pt-BR"/>
        </w:rPr>
        <w:t>Habeas Corpus: que se apresente o corpo. A busca dos desaparecidos políticos no Brasil, 2010</w:t>
      </w:r>
      <w:r w:rsidRPr="00D30EFA">
        <w:rPr>
          <w:noProof/>
          <w:color w:val="auto"/>
          <w:lang w:val="pt-BR"/>
        </w:rPr>
        <w:t>, p. 129.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35</w:t>
      </w:r>
      <w:r w:rsidRPr="00D30EFA">
        <w:rPr>
          <w:noProof/>
          <w:color w:val="auto"/>
          <w:lang w:val="pt-BR"/>
        </w:rPr>
        <w:t>. Programa Lugares de Mem</w:t>
      </w:r>
      <w:r w:rsidR="007157BA">
        <w:rPr>
          <w:noProof/>
          <w:color w:val="auto"/>
          <w:lang w:val="pt-BR"/>
        </w:rPr>
        <w:t>ó</w:t>
      </w:r>
      <w:r w:rsidRPr="00D30EFA">
        <w:rPr>
          <w:noProof/>
          <w:color w:val="auto"/>
          <w:lang w:val="pt-BR"/>
        </w:rPr>
        <w:t>ria. Cemitério de Areia Branca</w:t>
      </w:r>
    </w:p>
  </w:footnote>
  <w:footnote w:id="78">
    <w:p w14:paraId="39EAA739" w14:textId="7A597C39"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500.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 </w:t>
      </w:r>
      <w:r w:rsidRPr="00D30EFA">
        <w:rPr>
          <w:b/>
          <w:bCs/>
          <w:noProof/>
          <w:color w:val="auto"/>
          <w:lang w:val="pt-BR"/>
        </w:rPr>
        <w:t>Anexo 33</w:t>
      </w:r>
      <w:r w:rsidRPr="00D30EFA">
        <w:rPr>
          <w:noProof/>
          <w:color w:val="auto"/>
          <w:lang w:val="pt-BR"/>
        </w:rPr>
        <w:t>. Exame necrosc</w:t>
      </w:r>
      <w:r w:rsidR="00A56A2A">
        <w:rPr>
          <w:noProof/>
          <w:color w:val="auto"/>
          <w:lang w:val="pt-BR"/>
        </w:rPr>
        <w:t>ó</w:t>
      </w:r>
      <w:r w:rsidRPr="00D30EFA">
        <w:rPr>
          <w:noProof/>
          <w:color w:val="auto"/>
          <w:lang w:val="pt-BR"/>
        </w:rPr>
        <w:t xml:space="preserve">pico. </w:t>
      </w:r>
      <w:r>
        <w:rPr>
          <w:noProof/>
          <w:color w:val="auto"/>
          <w:lang w:val="pt-BR"/>
        </w:rPr>
        <w:t>Eduardo Collen Leite</w:t>
      </w:r>
      <w:r w:rsidR="007157BA">
        <w:rPr>
          <w:noProof/>
          <w:color w:val="auto"/>
          <w:lang w:val="pt-BR"/>
        </w:rPr>
        <w:t>.</w:t>
      </w:r>
      <w:r>
        <w:rPr>
          <w:noProof/>
          <w:color w:val="auto"/>
          <w:lang w:val="pt-BR"/>
        </w:rPr>
        <w:t xml:space="preserve"> Instituto Médico </w:t>
      </w:r>
      <w:r w:rsidRPr="00D30EFA">
        <w:rPr>
          <w:noProof/>
          <w:color w:val="auto"/>
          <w:lang w:val="pt-BR"/>
        </w:rPr>
        <w:t>Legal. Secretaria de Segurança Pública. Departamento Estadual d</w:t>
      </w:r>
      <w:r w:rsidR="007157BA">
        <w:rPr>
          <w:noProof/>
          <w:color w:val="auto"/>
          <w:lang w:val="pt-BR"/>
        </w:rPr>
        <w:t>e</w:t>
      </w:r>
      <w:r w:rsidRPr="00D30EFA">
        <w:rPr>
          <w:noProof/>
          <w:color w:val="auto"/>
          <w:lang w:val="pt-BR"/>
        </w:rPr>
        <w:t xml:space="preserve"> Polícia Científica.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79">
    <w:p w14:paraId="7A1E07FA"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Pr>
          <w:noProof/>
          <w:color w:val="auto"/>
          <w:lang w:val="pt-BR"/>
        </w:rPr>
        <w:t>. Requerimento de Anistia nº</w:t>
      </w:r>
      <w:r w:rsidRPr="00D30EFA">
        <w:rPr>
          <w:noProof/>
          <w:color w:val="auto"/>
          <w:lang w:val="pt-BR"/>
        </w:rPr>
        <w:t xml:space="preserve"> 2007.01.57501.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80">
    <w:p w14:paraId="6D24EC97" w14:textId="4A89F1C4"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36</w:t>
      </w:r>
      <w:r w:rsidRPr="00D30EFA">
        <w:rPr>
          <w:noProof/>
          <w:color w:val="auto"/>
          <w:lang w:val="pt-BR"/>
        </w:rPr>
        <w:t xml:space="preserve">. 1ª Auditoria da 2ª Circunscrição </w:t>
      </w:r>
      <w:r w:rsidR="00A547E9">
        <w:rPr>
          <w:noProof/>
          <w:color w:val="auto"/>
          <w:lang w:val="pt-BR"/>
        </w:rPr>
        <w:t>Judiciária</w:t>
      </w:r>
      <w:r>
        <w:rPr>
          <w:noProof/>
          <w:color w:val="auto"/>
          <w:lang w:val="pt-BR"/>
        </w:rPr>
        <w:t xml:space="preserve"> Militar. São Paulo. Ofício nº</w:t>
      </w:r>
      <w:r w:rsidRPr="00D30EFA">
        <w:rPr>
          <w:noProof/>
          <w:color w:val="auto"/>
          <w:lang w:val="pt-BR"/>
        </w:rPr>
        <w:t xml:space="preserve"> 881. 29 de maio de 1972.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81">
    <w:p w14:paraId="3C9556EA" w14:textId="77777777"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37</w:t>
      </w:r>
      <w:r w:rsidRPr="00D30EFA">
        <w:rPr>
          <w:noProof/>
          <w:color w:val="auto"/>
          <w:lang w:val="pt-BR"/>
        </w:rPr>
        <w:t>. Mandado de prisão. 22 de maio de 1972.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82">
    <w:p w14:paraId="483424CD"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Pr>
          <w:noProof/>
          <w:color w:val="auto"/>
          <w:lang w:val="pt-BR"/>
        </w:rPr>
        <w:t>. Requerimento de Anistia nº</w:t>
      </w:r>
      <w:r w:rsidRPr="00D30EFA">
        <w:rPr>
          <w:noProof/>
          <w:color w:val="auto"/>
          <w:lang w:val="pt-BR"/>
        </w:rPr>
        <w:t xml:space="preserve"> 2007.01.57501.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83">
    <w:p w14:paraId="1374A57E" w14:textId="66F9FFC9"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38</w:t>
      </w:r>
      <w:r w:rsidRPr="00D30EFA">
        <w:rPr>
          <w:noProof/>
          <w:color w:val="auto"/>
          <w:lang w:val="pt-BR"/>
        </w:rPr>
        <w:t xml:space="preserve">. Relação dos brasileiros que se encontravam no Chile por ocasião dos acontecimentos de 11 </w:t>
      </w:r>
      <w:r w:rsidR="007157BA">
        <w:rPr>
          <w:noProof/>
          <w:color w:val="auto"/>
          <w:lang w:val="pt-BR"/>
        </w:rPr>
        <w:t xml:space="preserve">de </w:t>
      </w:r>
      <w:r w:rsidRPr="00D30EFA">
        <w:rPr>
          <w:noProof/>
          <w:color w:val="auto"/>
          <w:lang w:val="pt-BR"/>
        </w:rPr>
        <w:t>set</w:t>
      </w:r>
      <w:r w:rsidR="007157BA">
        <w:rPr>
          <w:noProof/>
          <w:color w:val="auto"/>
          <w:lang w:val="pt-BR"/>
        </w:rPr>
        <w:t>embro de</w:t>
      </w:r>
      <w:r w:rsidRPr="00D30EFA">
        <w:rPr>
          <w:noProof/>
          <w:color w:val="auto"/>
          <w:lang w:val="pt-BR"/>
        </w:rPr>
        <w:t xml:space="preserve"> 73.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39</w:t>
      </w:r>
      <w:r w:rsidRPr="00D30EFA">
        <w:rPr>
          <w:noProof/>
          <w:color w:val="auto"/>
          <w:lang w:val="pt-BR"/>
        </w:rPr>
        <w:t>. Ministério da Aeronáutica. 15 de agosto de 1972. Assunto Denize Peres Crispim.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84">
    <w:p w14:paraId="7CFD7E27" w14:textId="6CC77A4A"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40</w:t>
      </w:r>
      <w:r w:rsidRPr="00D30EFA">
        <w:rPr>
          <w:noProof/>
          <w:color w:val="auto"/>
          <w:lang w:val="pt-BR"/>
        </w:rPr>
        <w:t xml:space="preserve">. Commissione Parietitica Eleggibilità. Governo Italiano – Alto Commissariato dele N.U per </w:t>
      </w:r>
      <w:r w:rsidR="007157BA">
        <w:rPr>
          <w:noProof/>
          <w:color w:val="auto"/>
          <w:lang w:val="pt-BR"/>
        </w:rPr>
        <w:t>i</w:t>
      </w:r>
      <w:r w:rsidRPr="00D30EFA">
        <w:rPr>
          <w:noProof/>
          <w:color w:val="auto"/>
          <w:lang w:val="pt-BR"/>
        </w:rPr>
        <w:t xml:space="preserve"> Refugiati. Riferiment 4708.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85">
    <w:p w14:paraId="23DDA4E4" w14:textId="7C806050"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sidRPr="00D30EFA">
        <w:rPr>
          <w:noProof/>
          <w:color w:val="auto"/>
          <w:lang w:val="pt-BR"/>
        </w:rPr>
        <w:t>. Requerimento de Anistia n</w:t>
      </w:r>
      <w:r w:rsidR="007157BA">
        <w:rPr>
          <w:noProof/>
          <w:color w:val="auto"/>
          <w:lang w:val="pt-BR"/>
        </w:rPr>
        <w:t>º</w:t>
      </w:r>
      <w:r w:rsidRPr="00D30EFA">
        <w:rPr>
          <w:noProof/>
          <w:color w:val="auto"/>
          <w:lang w:val="pt-BR"/>
        </w:rPr>
        <w:t xml:space="preserve"> 2007.01.57501.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86">
    <w:p w14:paraId="090B8916" w14:textId="4ECC1DD0"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41</w:t>
      </w:r>
      <w:r w:rsidRPr="00D30EFA">
        <w:rPr>
          <w:noProof/>
          <w:color w:val="auto"/>
          <w:lang w:val="pt-BR"/>
        </w:rPr>
        <w:t>. Documento</w:t>
      </w:r>
      <w:r>
        <w:rPr>
          <w:noProof/>
          <w:color w:val="auto"/>
          <w:lang w:val="pt-BR"/>
        </w:rPr>
        <w:t xml:space="preserve"> di viaggio. Titre de vo</w:t>
      </w:r>
      <w:r w:rsidR="007157BA">
        <w:rPr>
          <w:noProof/>
          <w:color w:val="auto"/>
          <w:lang w:val="pt-BR"/>
        </w:rPr>
        <w:t>y</w:t>
      </w:r>
      <w:r>
        <w:rPr>
          <w:noProof/>
          <w:color w:val="auto"/>
          <w:lang w:val="pt-BR"/>
        </w:rPr>
        <w:t>age nº</w:t>
      </w:r>
      <w:r w:rsidRPr="00D30EFA">
        <w:rPr>
          <w:noProof/>
          <w:color w:val="auto"/>
          <w:lang w:val="pt-BR"/>
        </w:rPr>
        <w:t xml:space="preserve"> 02065.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87">
    <w:p w14:paraId="1A96C4B2" w14:textId="178F2906"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42</w:t>
      </w:r>
      <w:r w:rsidRPr="00D30EFA">
        <w:rPr>
          <w:noProof/>
          <w:color w:val="auto"/>
          <w:lang w:val="pt-BR"/>
        </w:rPr>
        <w:t xml:space="preserve">. Depoimento </w:t>
      </w:r>
      <w:r w:rsidR="007157BA">
        <w:rPr>
          <w:noProof/>
          <w:color w:val="auto"/>
          <w:lang w:val="pt-BR"/>
        </w:rPr>
        <w:t xml:space="preserve">de </w:t>
      </w:r>
      <w:r w:rsidRPr="00D30EFA">
        <w:rPr>
          <w:noProof/>
          <w:color w:val="auto"/>
          <w:lang w:val="pt-BR"/>
        </w:rPr>
        <w:t>Leonardo Ditta.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88">
    <w:p w14:paraId="2504A0E1" w14:textId="2544250F"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sidRPr="00D30EFA">
        <w:rPr>
          <w:noProof/>
          <w:color w:val="auto"/>
          <w:lang w:val="pt-BR"/>
        </w:rPr>
        <w:t>. Requerimento de Anistia n</w:t>
      </w:r>
      <w:r w:rsidR="007157BA">
        <w:rPr>
          <w:noProof/>
          <w:color w:val="auto"/>
          <w:lang w:val="pt-BR"/>
        </w:rPr>
        <w:t>º</w:t>
      </w:r>
      <w:r w:rsidRPr="00D30EFA">
        <w:rPr>
          <w:noProof/>
          <w:color w:val="auto"/>
          <w:lang w:val="pt-BR"/>
        </w:rPr>
        <w:t xml:space="preserve"> 2007.01.57501.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89">
    <w:p w14:paraId="3D9CA4C4" w14:textId="53B90554"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42</w:t>
      </w:r>
      <w:r w:rsidRPr="00D30EFA">
        <w:rPr>
          <w:noProof/>
          <w:color w:val="auto"/>
          <w:lang w:val="pt-BR"/>
        </w:rPr>
        <w:t xml:space="preserve">. Depoimento </w:t>
      </w:r>
      <w:r w:rsidR="007157BA">
        <w:rPr>
          <w:noProof/>
          <w:color w:val="auto"/>
          <w:lang w:val="pt-BR"/>
        </w:rPr>
        <w:t xml:space="preserve">de </w:t>
      </w:r>
      <w:r w:rsidRPr="00D30EFA">
        <w:rPr>
          <w:noProof/>
          <w:color w:val="auto"/>
          <w:lang w:val="pt-BR"/>
        </w:rPr>
        <w:t>Leonardo Ditta.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90">
    <w:p w14:paraId="3D69C28D"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Pr>
          <w:noProof/>
          <w:color w:val="auto"/>
          <w:lang w:val="pt-BR"/>
        </w:rPr>
        <w:t>. Requerimento de Anistia nº</w:t>
      </w:r>
      <w:r w:rsidRPr="00D30EFA">
        <w:rPr>
          <w:noProof/>
          <w:color w:val="auto"/>
          <w:lang w:val="pt-BR"/>
        </w:rPr>
        <w:t xml:space="preserve"> 2007.01.57501.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91">
    <w:p w14:paraId="1D5982C7" w14:textId="085031FD"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43</w:t>
      </w:r>
      <w:r w:rsidRPr="00D30EFA">
        <w:rPr>
          <w:noProof/>
          <w:color w:val="auto"/>
          <w:lang w:val="pt-BR"/>
        </w:rPr>
        <w:t>. Consulado Geral da República Federativa do Brasil em Roma e seu Distrito. Certidão de Nascimento.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 </w:t>
      </w:r>
      <w:r w:rsidRPr="00D30EFA">
        <w:rPr>
          <w:b/>
          <w:bCs/>
          <w:noProof/>
          <w:color w:val="auto"/>
          <w:lang w:val="pt-BR"/>
        </w:rPr>
        <w:t>Anexo 44</w:t>
      </w:r>
      <w:r w:rsidRPr="00D30EFA">
        <w:rPr>
          <w:noProof/>
          <w:color w:val="auto"/>
          <w:lang w:val="pt-BR"/>
        </w:rPr>
        <w:t>. Passaporte brasileiro de Eduarda Crispim Leite.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92">
    <w:p w14:paraId="0DFAC0D2" w14:textId="66F6D689"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45</w:t>
      </w:r>
      <w:r w:rsidRPr="00D30EFA">
        <w:rPr>
          <w:noProof/>
          <w:color w:val="auto"/>
          <w:lang w:val="pt-BR"/>
        </w:rPr>
        <w:t>. Ministério da Justiça. Comissão da Anistia. Requerimento de anistia n</w:t>
      </w:r>
      <w:r w:rsidR="007F409A">
        <w:rPr>
          <w:noProof/>
          <w:color w:val="auto"/>
          <w:lang w:val="pt-BR"/>
        </w:rPr>
        <w:t>º</w:t>
      </w:r>
      <w:r w:rsidRPr="00D30EFA">
        <w:rPr>
          <w:noProof/>
          <w:color w:val="auto"/>
          <w:lang w:val="pt-BR"/>
        </w:rPr>
        <w:t xml:space="preserve"> 2009.01.65877.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93">
    <w:p w14:paraId="67C3F86D" w14:textId="77777777"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500.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94">
    <w:p w14:paraId="641E5A04" w14:textId="77777777"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46</w:t>
      </w:r>
      <w:r w:rsidRPr="00D30EFA">
        <w:rPr>
          <w:noProof/>
          <w:color w:val="auto"/>
          <w:lang w:val="pt-BR"/>
        </w:rPr>
        <w:t xml:space="preserve">. </w:t>
      </w:r>
      <w:r w:rsidRPr="00D30EFA">
        <w:rPr>
          <w:i/>
          <w:iCs/>
          <w:noProof/>
          <w:color w:val="auto"/>
          <w:lang w:val="pt-BR"/>
        </w:rPr>
        <w:t xml:space="preserve">Delatio criminis </w:t>
      </w:r>
      <w:r w:rsidRPr="00D30EFA">
        <w:rPr>
          <w:noProof/>
          <w:color w:val="auto"/>
          <w:lang w:val="pt-BR"/>
        </w:rPr>
        <w:t>ao Ministér</w:t>
      </w:r>
      <w:r>
        <w:rPr>
          <w:noProof/>
          <w:color w:val="auto"/>
          <w:lang w:val="pt-BR"/>
        </w:rPr>
        <w:t>io Público Federal. Processo nº</w:t>
      </w:r>
      <w:r w:rsidRPr="00D30EFA">
        <w:rPr>
          <w:noProof/>
          <w:color w:val="auto"/>
          <w:lang w:val="pt-BR"/>
        </w:rPr>
        <w:t xml:space="preserve"> 0001082-11.2012.103.6181.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21 de agosto de 2012</w:t>
      </w:r>
    </w:p>
  </w:footnote>
  <w:footnote w:id="95">
    <w:p w14:paraId="7B704549" w14:textId="77777777"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47</w:t>
      </w:r>
      <w:r w:rsidRPr="00D30EFA">
        <w:rPr>
          <w:noProof/>
          <w:color w:val="auto"/>
          <w:lang w:val="pt-BR"/>
        </w:rPr>
        <w:t>. Promoção de arquivamento. Processo 0001082-11.2012.403.6181.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21 de agosto de 2012</w:t>
      </w:r>
    </w:p>
  </w:footnote>
  <w:footnote w:id="96">
    <w:p w14:paraId="1D1EE8B3" w14:textId="77777777"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48</w:t>
      </w:r>
      <w:r w:rsidRPr="00D30EFA">
        <w:rPr>
          <w:noProof/>
          <w:color w:val="auto"/>
          <w:lang w:val="pt-BR"/>
        </w:rPr>
        <w:t>. Decisão de arquivamento. Processo 0001082-11.2012.403.6181.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21 de agosto de 2012</w:t>
      </w:r>
    </w:p>
  </w:footnote>
  <w:footnote w:id="97">
    <w:p w14:paraId="45D1D326" w14:textId="3CD88583"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9</w:t>
      </w:r>
      <w:r w:rsidRPr="00D30EFA">
        <w:rPr>
          <w:noProof/>
          <w:color w:val="auto"/>
          <w:lang w:val="pt-BR"/>
        </w:rPr>
        <w:t>. Ministério da Justiça. Comissão de Anis</w:t>
      </w:r>
      <w:r>
        <w:rPr>
          <w:noProof/>
          <w:color w:val="auto"/>
          <w:lang w:val="pt-BR"/>
        </w:rPr>
        <w:t>tia. Requerimento de Anistia nº</w:t>
      </w:r>
      <w:r w:rsidRPr="00D30EFA">
        <w:rPr>
          <w:noProof/>
          <w:color w:val="auto"/>
          <w:lang w:val="pt-BR"/>
        </w:rPr>
        <w:t xml:space="preserve"> 2008.01.63086. 6 de março de 2009.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98">
    <w:p w14:paraId="1D9E3485"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49</w:t>
      </w:r>
      <w:r w:rsidRPr="00D30EFA">
        <w:rPr>
          <w:noProof/>
          <w:color w:val="auto"/>
          <w:lang w:val="pt-BR"/>
        </w:rPr>
        <w:t>. Ministério da Justiça. Gabinete do Mi</w:t>
      </w:r>
      <w:r>
        <w:rPr>
          <w:noProof/>
          <w:color w:val="auto"/>
          <w:lang w:val="pt-BR"/>
        </w:rPr>
        <w:t>nistro. Portaria nº</w:t>
      </w:r>
      <w:r w:rsidRPr="00D30EFA">
        <w:rPr>
          <w:noProof/>
          <w:color w:val="auto"/>
          <w:lang w:val="pt-BR"/>
        </w:rPr>
        <w:t xml:space="preserve"> 1625 de 21 de maio de 2009.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99">
    <w:p w14:paraId="59519261"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50</w:t>
      </w:r>
      <w:r w:rsidRPr="00D30EFA">
        <w:rPr>
          <w:noProof/>
          <w:color w:val="auto"/>
          <w:lang w:val="pt-BR"/>
        </w:rPr>
        <w:t>. Petição de Concessão de Anistia. 13 de abril de 2007.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100">
    <w:p w14:paraId="296978B1" w14:textId="7401D6D3"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12</w:t>
      </w:r>
      <w:r w:rsidRPr="00D30EFA">
        <w:rPr>
          <w:noProof/>
          <w:color w:val="auto"/>
          <w:lang w:val="pt-BR"/>
        </w:rPr>
        <w:t>. Comissão de Anistia. Requerimento de Anistia n</w:t>
      </w:r>
      <w:r w:rsidR="005E3532">
        <w:rPr>
          <w:noProof/>
          <w:color w:val="auto"/>
          <w:lang w:val="pt-BR"/>
        </w:rPr>
        <w:t>º</w:t>
      </w:r>
      <w:r w:rsidRPr="00D30EFA">
        <w:rPr>
          <w:noProof/>
          <w:color w:val="auto"/>
          <w:lang w:val="pt-BR"/>
        </w:rPr>
        <w:t xml:space="preserve"> 2007.01.57501.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101">
    <w:p w14:paraId="4E47F5E4"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51</w:t>
      </w:r>
      <w:r w:rsidRPr="00D30EFA">
        <w:rPr>
          <w:noProof/>
          <w:color w:val="auto"/>
          <w:lang w:val="pt-BR"/>
        </w:rPr>
        <w:t>. Ministério da Justiça. Ga</w:t>
      </w:r>
      <w:r>
        <w:rPr>
          <w:noProof/>
          <w:color w:val="auto"/>
          <w:lang w:val="pt-BR"/>
        </w:rPr>
        <w:t>binete do Ministro. Portaria nº</w:t>
      </w:r>
      <w:r w:rsidRPr="00D30EFA">
        <w:rPr>
          <w:noProof/>
          <w:color w:val="auto"/>
          <w:lang w:val="pt-BR"/>
        </w:rPr>
        <w:t xml:space="preserve"> 0969 de 27 de maio de 2009.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102">
    <w:p w14:paraId="39B112A1" w14:textId="77777777" w:rsidR="00E13122" w:rsidRPr="00D30EFA" w:rsidRDefault="00E13122" w:rsidP="00E13122">
      <w:pPr>
        <w:pStyle w:val="FootnoteText"/>
        <w:ind w:firstLine="0"/>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52</w:t>
      </w:r>
      <w:r w:rsidRPr="00D30EFA">
        <w:rPr>
          <w:noProof/>
          <w:color w:val="auto"/>
          <w:lang w:val="pt-BR"/>
        </w:rPr>
        <w:t>. Petição de Concessão de Anistia. Eduarda Crispim Leite. 16 de dezembro de 2009.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103">
    <w:p w14:paraId="59248C6B"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51</w:t>
      </w:r>
      <w:r w:rsidRPr="00D30EFA">
        <w:rPr>
          <w:noProof/>
          <w:color w:val="auto"/>
          <w:lang w:val="pt-BR"/>
        </w:rPr>
        <w:t xml:space="preserve">. Ministério da Justiça. Gabinete do Ministro. </w:t>
      </w:r>
      <w:r>
        <w:rPr>
          <w:noProof/>
          <w:color w:val="auto"/>
          <w:lang w:val="pt-BR"/>
        </w:rPr>
        <w:t>Portaria nº</w:t>
      </w:r>
      <w:r w:rsidRPr="00D30EFA">
        <w:rPr>
          <w:noProof/>
          <w:color w:val="auto"/>
          <w:lang w:val="pt-BR"/>
        </w:rPr>
        <w:t xml:space="preserve"> 0969 de 27 de maio de 2009.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104">
    <w:p w14:paraId="6A2BCE38" w14:textId="658FFA6F"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45</w:t>
      </w:r>
      <w:r w:rsidRPr="00D30EFA">
        <w:rPr>
          <w:noProof/>
          <w:color w:val="auto"/>
          <w:lang w:val="pt-BR"/>
        </w:rPr>
        <w:t>. Ministério da Justiça. Comissão da Anistia. Requerimento de anistia n</w:t>
      </w:r>
      <w:r w:rsidR="005E3532">
        <w:rPr>
          <w:noProof/>
          <w:color w:val="auto"/>
          <w:lang w:val="pt-BR"/>
        </w:rPr>
        <w:t>º</w:t>
      </w:r>
      <w:r w:rsidRPr="00D30EFA">
        <w:rPr>
          <w:noProof/>
          <w:color w:val="auto"/>
          <w:lang w:val="pt-BR"/>
        </w:rPr>
        <w:t xml:space="preserve"> 2009.01.65877.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105">
    <w:p w14:paraId="2D932305" w14:textId="11C63A95"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53</w:t>
      </w:r>
      <w:r w:rsidRPr="00D30EFA">
        <w:rPr>
          <w:noProof/>
          <w:color w:val="auto"/>
          <w:lang w:val="pt-BR"/>
        </w:rPr>
        <w:t>. Ministério da Justiça. Comissão de Anistia. Requerimento de Anistia n</w:t>
      </w:r>
      <w:r w:rsidR="005E3532">
        <w:rPr>
          <w:noProof/>
          <w:color w:val="auto"/>
          <w:lang w:val="pt-BR"/>
        </w:rPr>
        <w:t>º</w:t>
      </w:r>
      <w:r w:rsidRPr="00D30EFA">
        <w:rPr>
          <w:noProof/>
          <w:color w:val="auto"/>
          <w:lang w:val="pt-BR"/>
        </w:rPr>
        <w:t xml:space="preserve"> 2008.01.63109.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29 de agosto de 2019</w:t>
      </w:r>
    </w:p>
  </w:footnote>
  <w:footnote w:id="106">
    <w:p w14:paraId="00B34725"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107">
    <w:p w14:paraId="78BCFF20" w14:textId="4F4DF69F"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Brasi</w:t>
      </w:r>
      <w:r>
        <w:rPr>
          <w:noProof/>
          <w:color w:val="auto"/>
          <w:lang w:val="pt-BR"/>
        </w:rPr>
        <w:t>l. Presidência da República. Lei Nº</w:t>
      </w:r>
      <w:r w:rsidRPr="00D30EFA">
        <w:rPr>
          <w:noProof/>
          <w:color w:val="auto"/>
          <w:lang w:val="pt-BR"/>
        </w:rPr>
        <w:t xml:space="preserve"> 9.140, </w:t>
      </w:r>
      <w:r>
        <w:rPr>
          <w:noProof/>
          <w:color w:val="auto"/>
          <w:lang w:val="pt-BR"/>
        </w:rPr>
        <w:t>artigo</w:t>
      </w:r>
      <w:r w:rsidRPr="00D30EFA">
        <w:rPr>
          <w:noProof/>
          <w:color w:val="auto"/>
          <w:lang w:val="pt-BR"/>
        </w:rPr>
        <w:t xml:space="preserve"> 4</w:t>
      </w:r>
      <w:r w:rsidRPr="00D30EFA">
        <w:rPr>
          <w:rFonts w:cs="Arial"/>
          <w:noProof/>
          <w:color w:val="auto"/>
          <w:lang w:val="pt-BR"/>
        </w:rPr>
        <w:t>º</w:t>
      </w:r>
      <w:r w:rsidRPr="00D30EFA">
        <w:rPr>
          <w:noProof/>
          <w:color w:val="auto"/>
          <w:lang w:val="pt-BR"/>
        </w:rPr>
        <w:t>, I, b</w:t>
      </w:r>
      <w:r>
        <w:rPr>
          <w:noProof/>
          <w:color w:val="auto"/>
          <w:lang w:val="pt-BR"/>
        </w:rPr>
        <w:t>, de 4 de dezembro de 1995. É</w:t>
      </w:r>
      <w:r w:rsidRPr="00D30EFA">
        <w:rPr>
          <w:noProof/>
          <w:color w:val="auto"/>
          <w:lang w:val="pt-BR"/>
        </w:rPr>
        <w:t xml:space="preserve"> pertinente mencionar que</w:t>
      </w:r>
      <w:r>
        <w:rPr>
          <w:noProof/>
          <w:color w:val="auto"/>
          <w:lang w:val="pt-BR"/>
        </w:rPr>
        <w:t xml:space="preserve"> </w:t>
      </w:r>
      <w:r w:rsidR="005E3532">
        <w:rPr>
          <w:noProof/>
          <w:color w:val="auto"/>
          <w:lang w:val="pt-BR"/>
        </w:rPr>
        <w:t>ess</w:t>
      </w:r>
      <w:r>
        <w:rPr>
          <w:noProof/>
          <w:color w:val="auto"/>
          <w:lang w:val="pt-BR"/>
        </w:rPr>
        <w:t>a Lei posteriormente foi modificada pela Lei</w:t>
      </w:r>
      <w:r w:rsidRPr="00D30EFA">
        <w:rPr>
          <w:noProof/>
          <w:color w:val="auto"/>
          <w:lang w:val="pt-BR"/>
        </w:rPr>
        <w:t xml:space="preserve"> 10.536/2002</w:t>
      </w:r>
      <w:r>
        <w:rPr>
          <w:noProof/>
          <w:color w:val="auto"/>
          <w:lang w:val="pt-BR"/>
        </w:rPr>
        <w:t xml:space="preserve"> e </w:t>
      </w:r>
      <w:r w:rsidRPr="00D30EFA">
        <w:rPr>
          <w:noProof/>
          <w:color w:val="auto"/>
          <w:lang w:val="pt-BR"/>
        </w:rPr>
        <w:t>p</w:t>
      </w:r>
      <w:r>
        <w:rPr>
          <w:noProof/>
          <w:color w:val="auto"/>
          <w:lang w:val="pt-BR"/>
        </w:rPr>
        <w:t>ela Lei</w:t>
      </w:r>
      <w:r w:rsidRPr="00D30EFA">
        <w:rPr>
          <w:noProof/>
          <w:color w:val="auto"/>
          <w:lang w:val="pt-BR"/>
        </w:rPr>
        <w:t xml:space="preserve"> 10.875/2004. </w:t>
      </w:r>
    </w:p>
  </w:footnote>
  <w:footnote w:id="108">
    <w:p w14:paraId="059460AC"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109">
    <w:p w14:paraId="284D50AC"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4</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Comissão Nacional da Verdade. Volume III. Mortos e Desaparecidos Políticos, 2014</w:t>
      </w:r>
      <w:r w:rsidRPr="00D30EFA">
        <w:rPr>
          <w:noProof/>
          <w:color w:val="auto"/>
          <w:lang w:val="pt-BR"/>
        </w:rPr>
        <w:t>, p. 489.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110">
    <w:p w14:paraId="391C9414" w14:textId="77777777" w:rsidR="00E13122" w:rsidRPr="00D30EFA" w:rsidRDefault="00E13122" w:rsidP="00E13122">
      <w:pPr>
        <w:contextualSpacing/>
        <w:jc w:val="both"/>
        <w:rPr>
          <w:rFonts w:ascii="Cambria" w:hAnsi="Cambria"/>
          <w:noProof/>
          <w:sz w:val="16"/>
          <w:szCs w:val="16"/>
        </w:rPr>
      </w:pPr>
    </w:p>
  </w:footnote>
  <w:footnote w:id="111">
    <w:p w14:paraId="18698295"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1</w:t>
      </w:r>
      <w:r w:rsidRPr="00D30EFA">
        <w:rPr>
          <w:noProof/>
          <w:color w:val="auto"/>
          <w:lang w:val="pt-BR"/>
        </w:rPr>
        <w:t xml:space="preserve">. </w:t>
      </w:r>
      <w:r w:rsidRPr="00D30EFA">
        <w:rPr>
          <w:rStyle w:val="Emphasis"/>
          <w:rFonts w:cs="Arial"/>
          <w:i w:val="0"/>
          <w:iCs w:val="0"/>
          <w:noProof/>
          <w:color w:val="auto"/>
          <w:lang w:val="pt-BR"/>
        </w:rPr>
        <w:t>Brasil. Presidência da República. Secretaria Especial dos Direitos Humanos. Direito</w:t>
      </w:r>
      <w:r w:rsidRPr="00D30EFA">
        <w:rPr>
          <w:rStyle w:val="st1"/>
          <w:rFonts w:cs="Arial"/>
          <w:b/>
          <w:noProof/>
          <w:color w:val="auto"/>
          <w:lang w:val="pt-BR"/>
        </w:rPr>
        <w:t xml:space="preserve"> </w:t>
      </w:r>
      <w:r w:rsidRPr="00D30EFA">
        <w:rPr>
          <w:rStyle w:val="st1"/>
          <w:rFonts w:cs="Arial"/>
          <w:noProof/>
          <w:color w:val="auto"/>
          <w:lang w:val="pt-BR"/>
        </w:rPr>
        <w:t>à</w:t>
      </w:r>
      <w:r w:rsidRPr="00D30EFA">
        <w:rPr>
          <w:rStyle w:val="st1"/>
          <w:rFonts w:cs="Arial"/>
          <w:b/>
          <w:noProof/>
          <w:color w:val="auto"/>
          <w:lang w:val="pt-BR"/>
        </w:rPr>
        <w:t xml:space="preserve"> </w:t>
      </w:r>
      <w:r w:rsidRPr="00D30EFA">
        <w:rPr>
          <w:rStyle w:val="Emphasis"/>
          <w:rFonts w:cs="Arial"/>
          <w:i w:val="0"/>
          <w:iCs w:val="0"/>
          <w:noProof/>
          <w:color w:val="auto"/>
          <w:lang w:val="pt-BR"/>
        </w:rPr>
        <w:t>Mem</w:t>
      </w:r>
      <w:r>
        <w:rPr>
          <w:rStyle w:val="Emphasis"/>
          <w:rFonts w:cs="Arial"/>
          <w:i w:val="0"/>
          <w:iCs w:val="0"/>
          <w:noProof/>
          <w:color w:val="auto"/>
          <w:lang w:val="pt-BR"/>
        </w:rPr>
        <w:t>ó</w:t>
      </w:r>
      <w:r w:rsidRPr="00D30EFA">
        <w:rPr>
          <w:rStyle w:val="Emphasis"/>
          <w:rFonts w:cs="Arial"/>
          <w:i w:val="0"/>
          <w:iCs w:val="0"/>
          <w:noProof/>
          <w:color w:val="auto"/>
          <w:lang w:val="pt-BR"/>
        </w:rPr>
        <w:t>ria e</w:t>
      </w:r>
      <w:r w:rsidRPr="00D30EFA">
        <w:rPr>
          <w:rStyle w:val="st1"/>
          <w:rFonts w:cs="Arial"/>
          <w:b/>
          <w:noProof/>
          <w:color w:val="auto"/>
          <w:lang w:val="pt-BR"/>
        </w:rPr>
        <w:t xml:space="preserve"> </w:t>
      </w:r>
      <w:r w:rsidRPr="00D30EFA">
        <w:rPr>
          <w:rStyle w:val="st1"/>
          <w:rFonts w:cs="Arial"/>
          <w:noProof/>
          <w:color w:val="auto"/>
          <w:lang w:val="pt-BR"/>
        </w:rPr>
        <w:t>à</w:t>
      </w:r>
      <w:r w:rsidRPr="00D30EFA">
        <w:rPr>
          <w:rStyle w:val="st1"/>
          <w:rFonts w:cs="Arial"/>
          <w:b/>
          <w:noProof/>
          <w:color w:val="auto"/>
          <w:lang w:val="pt-BR"/>
        </w:rPr>
        <w:t xml:space="preserve"> </w:t>
      </w:r>
      <w:r w:rsidRPr="00D30EFA">
        <w:rPr>
          <w:rStyle w:val="Emphasis"/>
          <w:rFonts w:cs="Arial"/>
          <w:i w:val="0"/>
          <w:iCs w:val="0"/>
          <w:noProof/>
          <w:color w:val="auto"/>
          <w:lang w:val="pt-BR"/>
        </w:rPr>
        <w:t xml:space="preserve">Verdade: Comissão Especial sobre Mortos e Desaparecidos Políticos. Brasília, Secretaria Especial dos Direitos Humanos, 2007, </w:t>
      </w:r>
      <w:r w:rsidRPr="00D30EFA">
        <w:rPr>
          <w:noProof/>
          <w:color w:val="auto"/>
          <w:lang w:val="pt-BR"/>
        </w:rPr>
        <w:t>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112">
    <w:p w14:paraId="22C35444"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Brasi</w:t>
      </w:r>
      <w:r>
        <w:rPr>
          <w:noProof/>
          <w:color w:val="auto"/>
          <w:lang w:val="pt-BR"/>
        </w:rPr>
        <w:t>l. Presidência da República. Lei Nº 12.528, de</w:t>
      </w:r>
      <w:r w:rsidRPr="00D30EFA">
        <w:rPr>
          <w:noProof/>
          <w:color w:val="auto"/>
          <w:lang w:val="pt-BR"/>
        </w:rPr>
        <w:t xml:space="preserve"> 18 de </w:t>
      </w:r>
      <w:r>
        <w:rPr>
          <w:noProof/>
          <w:color w:val="auto"/>
          <w:lang w:val="pt-BR"/>
        </w:rPr>
        <w:t>novembro</w:t>
      </w:r>
      <w:r w:rsidRPr="00D30EFA">
        <w:rPr>
          <w:noProof/>
          <w:color w:val="auto"/>
          <w:lang w:val="pt-BR"/>
        </w:rPr>
        <w:t xml:space="preserve"> de 2011.</w:t>
      </w:r>
    </w:p>
  </w:footnote>
  <w:footnote w:id="113">
    <w:p w14:paraId="3A8468C7" w14:textId="17DA5C53" w:rsidR="00E13122" w:rsidRPr="00D30EFA" w:rsidRDefault="00E13122" w:rsidP="00E13122">
      <w:pPr>
        <w:contextualSpacing/>
        <w:jc w:val="both"/>
        <w:rPr>
          <w:rFonts w:ascii="Cambria" w:hAnsi="Cambria"/>
          <w:noProof/>
          <w:sz w:val="16"/>
          <w:szCs w:val="16"/>
        </w:rPr>
      </w:pPr>
      <w:r w:rsidRPr="00D30EFA">
        <w:rPr>
          <w:rStyle w:val="FootnoteReference"/>
          <w:rFonts w:ascii="Cambria" w:hAnsi="Cambria"/>
          <w:noProof/>
          <w:sz w:val="16"/>
          <w:szCs w:val="16"/>
        </w:rPr>
        <w:footnoteRef/>
      </w:r>
      <w:r>
        <w:rPr>
          <w:rFonts w:ascii="Cambria" w:hAnsi="Cambria"/>
          <w:noProof/>
          <w:sz w:val="16"/>
          <w:szCs w:val="16"/>
        </w:rPr>
        <w:t xml:space="preserve"> De acordo com</w:t>
      </w:r>
      <w:r w:rsidRPr="00D30EFA">
        <w:rPr>
          <w:rFonts w:ascii="Cambria" w:hAnsi="Cambria"/>
          <w:noProof/>
          <w:sz w:val="16"/>
          <w:szCs w:val="16"/>
        </w:rPr>
        <w:t xml:space="preserve"> </w:t>
      </w:r>
      <w:r>
        <w:rPr>
          <w:rFonts w:ascii="Cambria" w:hAnsi="Cambria"/>
          <w:noProof/>
          <w:sz w:val="16"/>
          <w:szCs w:val="16"/>
        </w:rPr>
        <w:t>o</w:t>
      </w:r>
      <w:r w:rsidRPr="00D30EFA">
        <w:rPr>
          <w:rFonts w:ascii="Cambria" w:hAnsi="Cambria"/>
          <w:noProof/>
          <w:sz w:val="16"/>
          <w:szCs w:val="16"/>
        </w:rPr>
        <w:t xml:space="preserve"> </w:t>
      </w:r>
      <w:r>
        <w:rPr>
          <w:rFonts w:ascii="Cambria" w:hAnsi="Cambria"/>
          <w:noProof/>
          <w:sz w:val="16"/>
          <w:szCs w:val="16"/>
        </w:rPr>
        <w:t>artigo</w:t>
      </w:r>
      <w:r w:rsidRPr="00D30EFA">
        <w:rPr>
          <w:rFonts w:ascii="Cambria" w:hAnsi="Cambria"/>
          <w:noProof/>
          <w:sz w:val="16"/>
          <w:szCs w:val="16"/>
        </w:rPr>
        <w:t xml:space="preserve"> 3 </w:t>
      </w:r>
      <w:r>
        <w:rPr>
          <w:rFonts w:ascii="Cambria" w:hAnsi="Cambria"/>
          <w:noProof/>
          <w:sz w:val="16"/>
          <w:szCs w:val="16"/>
        </w:rPr>
        <w:t>da Lei Nº 12.528/2011</w:t>
      </w:r>
      <w:r w:rsidR="00325266">
        <w:rPr>
          <w:rFonts w:ascii="Cambria" w:hAnsi="Cambria"/>
          <w:noProof/>
          <w:sz w:val="16"/>
          <w:szCs w:val="16"/>
        </w:rPr>
        <w:t>,</w:t>
      </w:r>
      <w:r>
        <w:rPr>
          <w:rFonts w:ascii="Cambria" w:hAnsi="Cambria"/>
          <w:noProof/>
          <w:sz w:val="16"/>
          <w:szCs w:val="16"/>
        </w:rPr>
        <w:t xml:space="preserve"> </w:t>
      </w:r>
      <w:r w:rsidRPr="00D30EFA">
        <w:rPr>
          <w:rFonts w:ascii="Cambria" w:hAnsi="Cambria"/>
          <w:noProof/>
          <w:sz w:val="16"/>
          <w:szCs w:val="16"/>
        </w:rPr>
        <w:t>os objetivos de s</w:t>
      </w:r>
      <w:r>
        <w:rPr>
          <w:rFonts w:ascii="Cambria" w:hAnsi="Cambria"/>
          <w:noProof/>
          <w:sz w:val="16"/>
          <w:szCs w:val="16"/>
        </w:rPr>
        <w:t>eu trabalh</w:t>
      </w:r>
      <w:r w:rsidRPr="00D30EFA">
        <w:rPr>
          <w:rFonts w:ascii="Cambria" w:hAnsi="Cambria"/>
          <w:noProof/>
          <w:sz w:val="16"/>
          <w:szCs w:val="16"/>
        </w:rPr>
        <w:t>o f</w:t>
      </w:r>
      <w:r>
        <w:rPr>
          <w:rFonts w:ascii="Cambria" w:hAnsi="Cambria"/>
          <w:noProof/>
          <w:sz w:val="16"/>
          <w:szCs w:val="16"/>
        </w:rPr>
        <w:t>oram</w:t>
      </w:r>
      <w:r w:rsidRPr="00D30EFA">
        <w:rPr>
          <w:rFonts w:ascii="Cambria" w:hAnsi="Cambria"/>
          <w:noProof/>
          <w:sz w:val="16"/>
          <w:szCs w:val="16"/>
        </w:rPr>
        <w:t xml:space="preserve">: i) </w:t>
      </w:r>
      <w:r>
        <w:rPr>
          <w:rFonts w:ascii="Cambria" w:hAnsi="Cambria"/>
          <w:noProof/>
          <w:sz w:val="16"/>
          <w:szCs w:val="16"/>
        </w:rPr>
        <w:t>esclarecer os fatos e as circunstâ</w:t>
      </w:r>
      <w:r w:rsidRPr="00D30EFA">
        <w:rPr>
          <w:rFonts w:ascii="Cambria" w:hAnsi="Cambria"/>
          <w:noProof/>
          <w:sz w:val="16"/>
          <w:szCs w:val="16"/>
        </w:rPr>
        <w:t>ncias de graves viola</w:t>
      </w:r>
      <w:r>
        <w:rPr>
          <w:rFonts w:ascii="Cambria" w:hAnsi="Cambria"/>
          <w:noProof/>
          <w:sz w:val="16"/>
          <w:szCs w:val="16"/>
        </w:rPr>
        <w:t>ções</w:t>
      </w:r>
      <w:r w:rsidRPr="00D30EFA">
        <w:rPr>
          <w:rFonts w:ascii="Cambria" w:hAnsi="Cambria"/>
          <w:noProof/>
          <w:sz w:val="16"/>
          <w:szCs w:val="16"/>
        </w:rPr>
        <w:t xml:space="preserve"> de </w:t>
      </w:r>
      <w:r>
        <w:rPr>
          <w:rFonts w:ascii="Cambria" w:hAnsi="Cambria"/>
          <w:noProof/>
          <w:sz w:val="16"/>
          <w:szCs w:val="16"/>
        </w:rPr>
        <w:t>direito</w:t>
      </w:r>
      <w:r w:rsidRPr="00D30EFA">
        <w:rPr>
          <w:rFonts w:ascii="Cambria" w:hAnsi="Cambria"/>
          <w:noProof/>
          <w:sz w:val="16"/>
          <w:szCs w:val="16"/>
        </w:rPr>
        <w:t>s humanos</w:t>
      </w:r>
      <w:r>
        <w:rPr>
          <w:rFonts w:ascii="Cambria" w:hAnsi="Cambria"/>
          <w:noProof/>
          <w:sz w:val="16"/>
          <w:szCs w:val="16"/>
        </w:rPr>
        <w:t xml:space="preserve"> no perí</w:t>
      </w:r>
      <w:r w:rsidRPr="00D30EFA">
        <w:rPr>
          <w:rFonts w:ascii="Cambria" w:hAnsi="Cambria"/>
          <w:noProof/>
          <w:sz w:val="16"/>
          <w:szCs w:val="16"/>
        </w:rPr>
        <w:t>odo delimitado por s</w:t>
      </w:r>
      <w:r>
        <w:rPr>
          <w:rFonts w:ascii="Cambria" w:hAnsi="Cambria"/>
          <w:noProof/>
          <w:sz w:val="16"/>
          <w:szCs w:val="16"/>
        </w:rPr>
        <w:t>e</w:t>
      </w:r>
      <w:r w:rsidRPr="00D30EFA">
        <w:rPr>
          <w:rFonts w:ascii="Cambria" w:hAnsi="Cambria"/>
          <w:noProof/>
          <w:sz w:val="16"/>
          <w:szCs w:val="16"/>
        </w:rPr>
        <w:t xml:space="preserve">u </w:t>
      </w:r>
      <w:r>
        <w:rPr>
          <w:rFonts w:ascii="Cambria" w:hAnsi="Cambria"/>
          <w:noProof/>
          <w:sz w:val="16"/>
          <w:szCs w:val="16"/>
        </w:rPr>
        <w:t>artigo 1; ii) promover o</w:t>
      </w:r>
      <w:r w:rsidRPr="00D30EFA">
        <w:rPr>
          <w:rFonts w:ascii="Cambria" w:hAnsi="Cambria"/>
          <w:noProof/>
          <w:sz w:val="16"/>
          <w:szCs w:val="16"/>
        </w:rPr>
        <w:t xml:space="preserve"> esclareci</w:t>
      </w:r>
      <w:r>
        <w:rPr>
          <w:rFonts w:ascii="Cambria" w:hAnsi="Cambria"/>
          <w:noProof/>
          <w:sz w:val="16"/>
          <w:szCs w:val="16"/>
        </w:rPr>
        <w:t>mento</w:t>
      </w:r>
      <w:r w:rsidRPr="00D30EFA">
        <w:rPr>
          <w:rFonts w:ascii="Cambria" w:hAnsi="Cambria"/>
          <w:noProof/>
          <w:sz w:val="16"/>
          <w:szCs w:val="16"/>
        </w:rPr>
        <w:t xml:space="preserve"> circunstanciado </w:t>
      </w:r>
      <w:r>
        <w:rPr>
          <w:rFonts w:ascii="Cambria" w:hAnsi="Cambria"/>
          <w:noProof/>
          <w:sz w:val="16"/>
          <w:szCs w:val="16"/>
        </w:rPr>
        <w:t>dos casos de torturas, mo</w:t>
      </w:r>
      <w:r w:rsidRPr="00D30EFA">
        <w:rPr>
          <w:rFonts w:ascii="Cambria" w:hAnsi="Cambria"/>
          <w:noProof/>
          <w:sz w:val="16"/>
          <w:szCs w:val="16"/>
        </w:rPr>
        <w:t>rtes, desapari</w:t>
      </w:r>
      <w:r>
        <w:rPr>
          <w:rFonts w:ascii="Cambria" w:hAnsi="Cambria"/>
          <w:noProof/>
          <w:sz w:val="16"/>
          <w:szCs w:val="16"/>
        </w:rPr>
        <w:t>mentos forçado</w:t>
      </w:r>
      <w:r w:rsidRPr="00D30EFA">
        <w:rPr>
          <w:rFonts w:ascii="Cambria" w:hAnsi="Cambria"/>
          <w:noProof/>
          <w:sz w:val="16"/>
          <w:szCs w:val="16"/>
        </w:rPr>
        <w:t>s, oculta</w:t>
      </w:r>
      <w:r>
        <w:rPr>
          <w:rFonts w:ascii="Cambria" w:hAnsi="Cambria"/>
          <w:noProof/>
          <w:sz w:val="16"/>
          <w:szCs w:val="16"/>
        </w:rPr>
        <w:t>ção</w:t>
      </w:r>
      <w:r w:rsidRPr="00D30EFA">
        <w:rPr>
          <w:rFonts w:ascii="Cambria" w:hAnsi="Cambria"/>
          <w:noProof/>
          <w:sz w:val="16"/>
          <w:szCs w:val="16"/>
        </w:rPr>
        <w:t xml:space="preserve"> de cadáveres</w:t>
      </w:r>
      <w:r>
        <w:rPr>
          <w:rFonts w:ascii="Cambria" w:hAnsi="Cambria"/>
          <w:noProof/>
          <w:sz w:val="16"/>
          <w:szCs w:val="16"/>
        </w:rPr>
        <w:t xml:space="preserve"> e </w:t>
      </w:r>
      <w:r w:rsidRPr="00D30EFA">
        <w:rPr>
          <w:rFonts w:ascii="Cambria" w:hAnsi="Cambria"/>
          <w:noProof/>
          <w:sz w:val="16"/>
          <w:szCs w:val="16"/>
        </w:rPr>
        <w:t>su</w:t>
      </w:r>
      <w:r>
        <w:rPr>
          <w:rFonts w:ascii="Cambria" w:hAnsi="Cambria"/>
          <w:noProof/>
          <w:sz w:val="16"/>
          <w:szCs w:val="16"/>
        </w:rPr>
        <w:t>a autoria, ai</w:t>
      </w:r>
      <w:r w:rsidRPr="00D30EFA">
        <w:rPr>
          <w:rFonts w:ascii="Cambria" w:hAnsi="Cambria"/>
          <w:noProof/>
          <w:sz w:val="16"/>
          <w:szCs w:val="16"/>
        </w:rPr>
        <w:t>n</w:t>
      </w:r>
      <w:r>
        <w:rPr>
          <w:rFonts w:ascii="Cambria" w:hAnsi="Cambria"/>
          <w:noProof/>
          <w:sz w:val="16"/>
          <w:szCs w:val="16"/>
        </w:rPr>
        <w:t>da que oco</w:t>
      </w:r>
      <w:r w:rsidRPr="00D30EFA">
        <w:rPr>
          <w:rFonts w:ascii="Cambria" w:hAnsi="Cambria"/>
          <w:noProof/>
          <w:sz w:val="16"/>
          <w:szCs w:val="16"/>
        </w:rPr>
        <w:t>rridos</w:t>
      </w:r>
      <w:r>
        <w:rPr>
          <w:rFonts w:ascii="Cambria" w:hAnsi="Cambria"/>
          <w:noProof/>
          <w:sz w:val="16"/>
          <w:szCs w:val="16"/>
        </w:rPr>
        <w:t xml:space="preserve"> no </w:t>
      </w:r>
      <w:r w:rsidRPr="00D30EFA">
        <w:rPr>
          <w:rFonts w:ascii="Cambria" w:hAnsi="Cambria"/>
          <w:noProof/>
          <w:sz w:val="16"/>
          <w:szCs w:val="16"/>
        </w:rPr>
        <w:t>exterior; iii) identificar</w:t>
      </w:r>
      <w:r>
        <w:rPr>
          <w:rFonts w:ascii="Cambria" w:hAnsi="Cambria"/>
          <w:noProof/>
          <w:sz w:val="16"/>
          <w:szCs w:val="16"/>
        </w:rPr>
        <w:t xml:space="preserve"> e tornar público</w:t>
      </w:r>
      <w:r w:rsidR="00325266">
        <w:rPr>
          <w:rFonts w:ascii="Cambria" w:hAnsi="Cambria"/>
          <w:noProof/>
          <w:sz w:val="16"/>
          <w:szCs w:val="16"/>
        </w:rPr>
        <w:t>s</w:t>
      </w:r>
      <w:r>
        <w:rPr>
          <w:rFonts w:ascii="Cambria" w:hAnsi="Cambria"/>
          <w:noProof/>
          <w:sz w:val="16"/>
          <w:szCs w:val="16"/>
        </w:rPr>
        <w:t xml:space="preserve"> as estru</w:t>
      </w:r>
      <w:r w:rsidRPr="00D30EFA">
        <w:rPr>
          <w:rFonts w:ascii="Cambria" w:hAnsi="Cambria"/>
          <w:noProof/>
          <w:sz w:val="16"/>
          <w:szCs w:val="16"/>
        </w:rPr>
        <w:t>turas, lugares, institu</w:t>
      </w:r>
      <w:r>
        <w:rPr>
          <w:rFonts w:ascii="Cambria" w:hAnsi="Cambria"/>
          <w:noProof/>
          <w:sz w:val="16"/>
          <w:szCs w:val="16"/>
        </w:rPr>
        <w:t>ições e circunstâncias relacionadas com a prá</w:t>
      </w:r>
      <w:r w:rsidRPr="00D30EFA">
        <w:rPr>
          <w:rFonts w:ascii="Cambria" w:hAnsi="Cambria"/>
          <w:noProof/>
          <w:sz w:val="16"/>
          <w:szCs w:val="16"/>
        </w:rPr>
        <w:t>tica de viola</w:t>
      </w:r>
      <w:r>
        <w:rPr>
          <w:rFonts w:ascii="Cambria" w:hAnsi="Cambria"/>
          <w:noProof/>
          <w:sz w:val="16"/>
          <w:szCs w:val="16"/>
        </w:rPr>
        <w:t>ções</w:t>
      </w:r>
      <w:r w:rsidRPr="00D30EFA">
        <w:rPr>
          <w:rFonts w:ascii="Cambria" w:hAnsi="Cambria"/>
          <w:noProof/>
          <w:sz w:val="16"/>
          <w:szCs w:val="16"/>
        </w:rPr>
        <w:t xml:space="preserve"> de </w:t>
      </w:r>
      <w:r>
        <w:rPr>
          <w:rFonts w:ascii="Cambria" w:hAnsi="Cambria"/>
          <w:noProof/>
          <w:sz w:val="16"/>
          <w:szCs w:val="16"/>
        </w:rPr>
        <w:t>direito</w:t>
      </w:r>
      <w:r w:rsidRPr="00D30EFA">
        <w:rPr>
          <w:rFonts w:ascii="Cambria" w:hAnsi="Cambria"/>
          <w:noProof/>
          <w:sz w:val="16"/>
          <w:szCs w:val="16"/>
        </w:rPr>
        <w:t>s humanos mencionados</w:t>
      </w:r>
      <w:r>
        <w:rPr>
          <w:rFonts w:ascii="Cambria" w:hAnsi="Cambria"/>
          <w:noProof/>
          <w:sz w:val="16"/>
          <w:szCs w:val="16"/>
        </w:rPr>
        <w:t xml:space="preserve"> no caput do</w:t>
      </w:r>
      <w:r w:rsidRPr="00D30EFA">
        <w:rPr>
          <w:rFonts w:ascii="Cambria" w:hAnsi="Cambria"/>
          <w:noProof/>
          <w:sz w:val="16"/>
          <w:szCs w:val="16"/>
        </w:rPr>
        <w:t xml:space="preserve"> art. 1</w:t>
      </w:r>
      <w:r>
        <w:rPr>
          <w:rFonts w:ascii="Cambria" w:hAnsi="Cambria"/>
          <w:noProof/>
          <w:sz w:val="16"/>
          <w:szCs w:val="16"/>
        </w:rPr>
        <w:t xml:space="preserve"> e </w:t>
      </w:r>
      <w:r w:rsidRPr="00D30EFA">
        <w:rPr>
          <w:rFonts w:ascii="Cambria" w:hAnsi="Cambria"/>
          <w:noProof/>
          <w:sz w:val="16"/>
          <w:szCs w:val="16"/>
        </w:rPr>
        <w:t>su</w:t>
      </w:r>
      <w:r>
        <w:rPr>
          <w:rFonts w:ascii="Cambria" w:hAnsi="Cambria"/>
          <w:noProof/>
          <w:sz w:val="16"/>
          <w:szCs w:val="16"/>
        </w:rPr>
        <w:t>a</w:t>
      </w:r>
      <w:r w:rsidRPr="00D30EFA">
        <w:rPr>
          <w:rFonts w:ascii="Cambria" w:hAnsi="Cambria"/>
          <w:noProof/>
          <w:sz w:val="16"/>
          <w:szCs w:val="16"/>
        </w:rPr>
        <w:t>s pos</w:t>
      </w:r>
      <w:r>
        <w:rPr>
          <w:rFonts w:ascii="Cambria" w:hAnsi="Cambria"/>
          <w:noProof/>
          <w:sz w:val="16"/>
          <w:szCs w:val="16"/>
        </w:rPr>
        <w:t>síveis</w:t>
      </w:r>
      <w:r w:rsidRPr="00D30EFA">
        <w:rPr>
          <w:rFonts w:ascii="Cambria" w:hAnsi="Cambria"/>
          <w:noProof/>
          <w:sz w:val="16"/>
          <w:szCs w:val="16"/>
        </w:rPr>
        <w:t xml:space="preserve"> ramifica</w:t>
      </w:r>
      <w:r>
        <w:rPr>
          <w:rFonts w:ascii="Cambria" w:hAnsi="Cambria"/>
          <w:noProof/>
          <w:sz w:val="16"/>
          <w:szCs w:val="16"/>
        </w:rPr>
        <w:t>ções</w:t>
      </w:r>
      <w:r w:rsidRPr="00D30EFA">
        <w:rPr>
          <w:rFonts w:ascii="Cambria" w:hAnsi="Cambria"/>
          <w:noProof/>
          <w:sz w:val="16"/>
          <w:szCs w:val="16"/>
        </w:rPr>
        <w:t xml:space="preserve"> </w:t>
      </w:r>
      <w:r>
        <w:rPr>
          <w:rFonts w:ascii="Cambria" w:hAnsi="Cambria"/>
          <w:noProof/>
          <w:sz w:val="16"/>
          <w:szCs w:val="16"/>
        </w:rPr>
        <w:t>nos</w:t>
      </w:r>
      <w:r w:rsidRPr="00D30EFA">
        <w:rPr>
          <w:rFonts w:ascii="Cambria" w:hAnsi="Cambria"/>
          <w:noProof/>
          <w:sz w:val="16"/>
          <w:szCs w:val="16"/>
        </w:rPr>
        <w:t xml:space="preserve"> diversos apar</w:t>
      </w:r>
      <w:r w:rsidR="00325266">
        <w:rPr>
          <w:rFonts w:ascii="Cambria" w:hAnsi="Cambria"/>
          <w:noProof/>
          <w:sz w:val="16"/>
          <w:szCs w:val="16"/>
        </w:rPr>
        <w:t>elh</w:t>
      </w:r>
      <w:r w:rsidRPr="00D30EFA">
        <w:rPr>
          <w:rFonts w:ascii="Cambria" w:hAnsi="Cambria"/>
          <w:noProof/>
          <w:sz w:val="16"/>
          <w:szCs w:val="16"/>
        </w:rPr>
        <w:t>os estat</w:t>
      </w:r>
      <w:r>
        <w:rPr>
          <w:rFonts w:ascii="Cambria" w:hAnsi="Cambria"/>
          <w:noProof/>
          <w:sz w:val="16"/>
          <w:szCs w:val="16"/>
        </w:rPr>
        <w:t>ais e na</w:t>
      </w:r>
      <w:r w:rsidRPr="00D30EFA">
        <w:rPr>
          <w:rFonts w:ascii="Cambria" w:hAnsi="Cambria"/>
          <w:noProof/>
          <w:sz w:val="16"/>
          <w:szCs w:val="16"/>
        </w:rPr>
        <w:t xml:space="preserve"> sociedad</w:t>
      </w:r>
      <w:r>
        <w:rPr>
          <w:rFonts w:ascii="Cambria" w:hAnsi="Cambria"/>
          <w:noProof/>
          <w:sz w:val="16"/>
          <w:szCs w:val="16"/>
        </w:rPr>
        <w:t>e</w:t>
      </w:r>
      <w:r w:rsidRPr="00D30EFA">
        <w:rPr>
          <w:rFonts w:ascii="Cambria" w:hAnsi="Cambria"/>
          <w:noProof/>
          <w:sz w:val="16"/>
          <w:szCs w:val="16"/>
        </w:rPr>
        <w:t xml:space="preserve">; iv) transmitir </w:t>
      </w:r>
      <w:r>
        <w:rPr>
          <w:rFonts w:ascii="Cambria" w:hAnsi="Cambria"/>
          <w:noProof/>
          <w:sz w:val="16"/>
          <w:szCs w:val="16"/>
        </w:rPr>
        <w:t>par</w:t>
      </w:r>
      <w:r w:rsidRPr="00D30EFA">
        <w:rPr>
          <w:rFonts w:ascii="Cambria" w:hAnsi="Cambria"/>
          <w:noProof/>
          <w:sz w:val="16"/>
          <w:szCs w:val="16"/>
        </w:rPr>
        <w:t xml:space="preserve">a </w:t>
      </w:r>
      <w:r>
        <w:rPr>
          <w:rFonts w:ascii="Cambria" w:hAnsi="Cambria"/>
          <w:noProof/>
          <w:sz w:val="16"/>
          <w:szCs w:val="16"/>
        </w:rPr>
        <w:t>a</w:t>
      </w:r>
      <w:r w:rsidRPr="00D30EFA">
        <w:rPr>
          <w:rFonts w:ascii="Cambria" w:hAnsi="Cambria"/>
          <w:noProof/>
          <w:sz w:val="16"/>
          <w:szCs w:val="16"/>
        </w:rPr>
        <w:t>s autoridades públicas toda</w:t>
      </w:r>
      <w:r>
        <w:rPr>
          <w:rFonts w:ascii="Cambria" w:hAnsi="Cambria"/>
          <w:noProof/>
          <w:sz w:val="16"/>
          <w:szCs w:val="16"/>
        </w:rPr>
        <w:t xml:space="preserve"> e qualqu</w:t>
      </w:r>
      <w:r w:rsidRPr="00D30EFA">
        <w:rPr>
          <w:rFonts w:ascii="Cambria" w:hAnsi="Cambria"/>
          <w:noProof/>
          <w:sz w:val="16"/>
          <w:szCs w:val="16"/>
        </w:rPr>
        <w:t>er informa</w:t>
      </w:r>
      <w:r>
        <w:rPr>
          <w:rFonts w:ascii="Cambria" w:hAnsi="Cambria"/>
          <w:noProof/>
          <w:sz w:val="16"/>
          <w:szCs w:val="16"/>
        </w:rPr>
        <w:t>ção obt</w:t>
      </w:r>
      <w:r w:rsidRPr="00D30EFA">
        <w:rPr>
          <w:rFonts w:ascii="Cambria" w:hAnsi="Cambria"/>
          <w:noProof/>
          <w:sz w:val="16"/>
          <w:szCs w:val="16"/>
        </w:rPr>
        <w:t>ida que p</w:t>
      </w:r>
      <w:r>
        <w:rPr>
          <w:rFonts w:ascii="Cambria" w:hAnsi="Cambria"/>
          <w:noProof/>
          <w:sz w:val="16"/>
          <w:szCs w:val="16"/>
        </w:rPr>
        <w:t xml:space="preserve">ossa </w:t>
      </w:r>
      <w:r w:rsidRPr="00D30EFA">
        <w:rPr>
          <w:rFonts w:ascii="Cambria" w:hAnsi="Cambria"/>
          <w:noProof/>
          <w:sz w:val="16"/>
          <w:szCs w:val="16"/>
        </w:rPr>
        <w:t xml:space="preserve">auxiliar </w:t>
      </w:r>
      <w:r>
        <w:rPr>
          <w:rFonts w:ascii="Cambria" w:hAnsi="Cambria"/>
          <w:noProof/>
          <w:sz w:val="16"/>
          <w:szCs w:val="16"/>
        </w:rPr>
        <w:t>na</w:t>
      </w:r>
      <w:r w:rsidRPr="00D30EFA">
        <w:rPr>
          <w:rFonts w:ascii="Cambria" w:hAnsi="Cambria"/>
          <w:noProof/>
          <w:sz w:val="16"/>
          <w:szCs w:val="16"/>
        </w:rPr>
        <w:t xml:space="preserve"> localiza</w:t>
      </w:r>
      <w:r>
        <w:rPr>
          <w:rFonts w:ascii="Cambria" w:hAnsi="Cambria"/>
          <w:noProof/>
          <w:sz w:val="16"/>
          <w:szCs w:val="16"/>
        </w:rPr>
        <w:t>ção</w:t>
      </w:r>
      <w:r w:rsidRPr="00D30EFA">
        <w:rPr>
          <w:rFonts w:ascii="Cambria" w:hAnsi="Cambria"/>
          <w:noProof/>
          <w:sz w:val="16"/>
          <w:szCs w:val="16"/>
        </w:rPr>
        <w:t xml:space="preserve"> e identifica</w:t>
      </w:r>
      <w:r>
        <w:rPr>
          <w:rFonts w:ascii="Cambria" w:hAnsi="Cambria"/>
          <w:noProof/>
          <w:sz w:val="16"/>
          <w:szCs w:val="16"/>
        </w:rPr>
        <w:t>ção</w:t>
      </w:r>
      <w:r w:rsidRPr="00D30EFA">
        <w:rPr>
          <w:rFonts w:ascii="Cambria" w:hAnsi="Cambria"/>
          <w:noProof/>
          <w:sz w:val="16"/>
          <w:szCs w:val="16"/>
        </w:rPr>
        <w:t xml:space="preserve"> de cadáveres</w:t>
      </w:r>
      <w:r>
        <w:rPr>
          <w:rFonts w:ascii="Cambria" w:hAnsi="Cambria"/>
          <w:noProof/>
          <w:sz w:val="16"/>
          <w:szCs w:val="16"/>
        </w:rPr>
        <w:t xml:space="preserve"> e </w:t>
      </w:r>
      <w:r w:rsidRPr="00D30EFA">
        <w:rPr>
          <w:rFonts w:ascii="Cambria" w:hAnsi="Cambria"/>
          <w:noProof/>
          <w:sz w:val="16"/>
          <w:szCs w:val="16"/>
        </w:rPr>
        <w:t xml:space="preserve">restos </w:t>
      </w:r>
      <w:r>
        <w:rPr>
          <w:rFonts w:ascii="Cambria" w:hAnsi="Cambria"/>
          <w:noProof/>
          <w:sz w:val="16"/>
          <w:szCs w:val="16"/>
        </w:rPr>
        <w:t xml:space="preserve">dos </w:t>
      </w:r>
      <w:r w:rsidRPr="00D30EFA">
        <w:rPr>
          <w:rFonts w:ascii="Cambria" w:hAnsi="Cambria"/>
          <w:noProof/>
          <w:sz w:val="16"/>
          <w:szCs w:val="16"/>
        </w:rPr>
        <w:t>desaparecidos e</w:t>
      </w:r>
      <w:r w:rsidR="00325266">
        <w:rPr>
          <w:rFonts w:ascii="Cambria" w:hAnsi="Cambria"/>
          <w:noProof/>
          <w:sz w:val="16"/>
          <w:szCs w:val="16"/>
        </w:rPr>
        <w:t>m</w:t>
      </w:r>
      <w:r w:rsidRPr="00D30EFA">
        <w:rPr>
          <w:rFonts w:ascii="Cambria" w:hAnsi="Cambria"/>
          <w:noProof/>
          <w:sz w:val="16"/>
          <w:szCs w:val="16"/>
        </w:rPr>
        <w:t xml:space="preserve"> conformidad</w:t>
      </w:r>
      <w:r>
        <w:rPr>
          <w:rFonts w:ascii="Cambria" w:hAnsi="Cambria"/>
          <w:noProof/>
          <w:sz w:val="16"/>
          <w:szCs w:val="16"/>
        </w:rPr>
        <w:t>e com o artigo</w:t>
      </w:r>
      <w:r w:rsidRPr="00D30EFA">
        <w:rPr>
          <w:rFonts w:ascii="Cambria" w:hAnsi="Cambria"/>
          <w:noProof/>
          <w:sz w:val="16"/>
          <w:szCs w:val="16"/>
        </w:rPr>
        <w:t xml:space="preserve"> 1 </w:t>
      </w:r>
      <w:r>
        <w:rPr>
          <w:rFonts w:ascii="Cambria" w:hAnsi="Cambria"/>
          <w:noProof/>
          <w:sz w:val="16"/>
          <w:szCs w:val="16"/>
        </w:rPr>
        <w:t xml:space="preserve">da Lei Nº 9.140/95; v) colaborar com todas as instâncias do poder público para </w:t>
      </w:r>
      <w:r w:rsidRPr="00D30EFA">
        <w:rPr>
          <w:rFonts w:ascii="Cambria" w:hAnsi="Cambria"/>
          <w:noProof/>
          <w:sz w:val="16"/>
          <w:szCs w:val="16"/>
        </w:rPr>
        <w:t>a investiga</w:t>
      </w:r>
      <w:r>
        <w:rPr>
          <w:rFonts w:ascii="Cambria" w:hAnsi="Cambria"/>
          <w:noProof/>
          <w:sz w:val="16"/>
          <w:szCs w:val="16"/>
        </w:rPr>
        <w:t>ção</w:t>
      </w:r>
      <w:r w:rsidRPr="00D30EFA">
        <w:rPr>
          <w:rFonts w:ascii="Cambria" w:hAnsi="Cambria"/>
          <w:noProof/>
          <w:sz w:val="16"/>
          <w:szCs w:val="16"/>
        </w:rPr>
        <w:t xml:space="preserve"> d</w:t>
      </w:r>
      <w:r w:rsidR="00325266">
        <w:rPr>
          <w:rFonts w:ascii="Cambria" w:hAnsi="Cambria"/>
          <w:noProof/>
          <w:sz w:val="16"/>
          <w:szCs w:val="16"/>
        </w:rPr>
        <w:t>a</w:t>
      </w:r>
      <w:r w:rsidRPr="00D30EFA">
        <w:rPr>
          <w:rFonts w:ascii="Cambria" w:hAnsi="Cambria"/>
          <w:noProof/>
          <w:sz w:val="16"/>
          <w:szCs w:val="16"/>
        </w:rPr>
        <w:t xml:space="preserve"> viola</w:t>
      </w:r>
      <w:r>
        <w:rPr>
          <w:rFonts w:ascii="Cambria" w:hAnsi="Cambria"/>
          <w:noProof/>
          <w:sz w:val="16"/>
          <w:szCs w:val="16"/>
        </w:rPr>
        <w:t>ção</w:t>
      </w:r>
      <w:r w:rsidRPr="00D30EFA">
        <w:rPr>
          <w:rFonts w:ascii="Cambria" w:hAnsi="Cambria"/>
          <w:noProof/>
          <w:sz w:val="16"/>
          <w:szCs w:val="16"/>
        </w:rPr>
        <w:t xml:space="preserve"> de </w:t>
      </w:r>
      <w:r>
        <w:rPr>
          <w:rFonts w:ascii="Cambria" w:hAnsi="Cambria"/>
          <w:noProof/>
          <w:sz w:val="16"/>
          <w:szCs w:val="16"/>
        </w:rPr>
        <w:t>direitos humanos; vi) recomendar a adoção</w:t>
      </w:r>
      <w:r w:rsidRPr="00D30EFA">
        <w:rPr>
          <w:rFonts w:ascii="Cambria" w:hAnsi="Cambria"/>
          <w:noProof/>
          <w:sz w:val="16"/>
          <w:szCs w:val="16"/>
        </w:rPr>
        <w:t xml:space="preserve"> de medidas</w:t>
      </w:r>
      <w:r>
        <w:rPr>
          <w:rFonts w:ascii="Cambria" w:hAnsi="Cambria"/>
          <w:noProof/>
          <w:sz w:val="16"/>
          <w:szCs w:val="16"/>
        </w:rPr>
        <w:t xml:space="preserve"> e </w:t>
      </w:r>
      <w:r w:rsidRPr="00D30EFA">
        <w:rPr>
          <w:rFonts w:ascii="Cambria" w:hAnsi="Cambria"/>
          <w:noProof/>
          <w:sz w:val="16"/>
          <w:szCs w:val="16"/>
        </w:rPr>
        <w:t>po</w:t>
      </w:r>
      <w:r>
        <w:rPr>
          <w:rFonts w:ascii="Cambria" w:hAnsi="Cambria"/>
          <w:noProof/>
          <w:sz w:val="16"/>
          <w:szCs w:val="16"/>
        </w:rPr>
        <w:t xml:space="preserve">líticas públicas para prevenir </w:t>
      </w:r>
      <w:r w:rsidRPr="00D30EFA">
        <w:rPr>
          <w:rFonts w:ascii="Cambria" w:hAnsi="Cambria"/>
          <w:noProof/>
          <w:sz w:val="16"/>
          <w:szCs w:val="16"/>
        </w:rPr>
        <w:t>a viola</w:t>
      </w:r>
      <w:r>
        <w:rPr>
          <w:rFonts w:ascii="Cambria" w:hAnsi="Cambria"/>
          <w:noProof/>
          <w:sz w:val="16"/>
          <w:szCs w:val="16"/>
        </w:rPr>
        <w:t>ção</w:t>
      </w:r>
      <w:r w:rsidRPr="00D30EFA">
        <w:rPr>
          <w:rFonts w:ascii="Cambria" w:hAnsi="Cambria"/>
          <w:noProof/>
          <w:sz w:val="16"/>
          <w:szCs w:val="16"/>
        </w:rPr>
        <w:t xml:space="preserve"> de </w:t>
      </w:r>
      <w:r>
        <w:rPr>
          <w:rFonts w:ascii="Cambria" w:hAnsi="Cambria"/>
          <w:noProof/>
          <w:sz w:val="16"/>
          <w:szCs w:val="16"/>
        </w:rPr>
        <w:t>direitos humanos, garanti</w:t>
      </w:r>
      <w:r w:rsidRPr="00D30EFA">
        <w:rPr>
          <w:rFonts w:ascii="Cambria" w:hAnsi="Cambria"/>
          <w:noProof/>
          <w:sz w:val="16"/>
          <w:szCs w:val="16"/>
        </w:rPr>
        <w:t>r su</w:t>
      </w:r>
      <w:r>
        <w:rPr>
          <w:rFonts w:ascii="Cambria" w:hAnsi="Cambria"/>
          <w:noProof/>
          <w:sz w:val="16"/>
          <w:szCs w:val="16"/>
        </w:rPr>
        <w:t>a não</w:t>
      </w:r>
      <w:r w:rsidRPr="00D30EFA">
        <w:rPr>
          <w:rFonts w:ascii="Cambria" w:hAnsi="Cambria"/>
          <w:noProof/>
          <w:sz w:val="16"/>
          <w:szCs w:val="16"/>
        </w:rPr>
        <w:t xml:space="preserve"> repeti</w:t>
      </w:r>
      <w:r>
        <w:rPr>
          <w:rFonts w:ascii="Cambria" w:hAnsi="Cambria"/>
          <w:noProof/>
          <w:sz w:val="16"/>
          <w:szCs w:val="16"/>
        </w:rPr>
        <w:t>ção e promover a efe</w:t>
      </w:r>
      <w:r w:rsidRPr="00D30EFA">
        <w:rPr>
          <w:rFonts w:ascii="Cambria" w:hAnsi="Cambria"/>
          <w:noProof/>
          <w:sz w:val="16"/>
          <w:szCs w:val="16"/>
        </w:rPr>
        <w:t>tiva reconcilia</w:t>
      </w:r>
      <w:r>
        <w:rPr>
          <w:rFonts w:ascii="Cambria" w:hAnsi="Cambria"/>
          <w:noProof/>
          <w:sz w:val="16"/>
          <w:szCs w:val="16"/>
        </w:rPr>
        <w:t>ção</w:t>
      </w:r>
      <w:r w:rsidRPr="00D30EFA">
        <w:rPr>
          <w:rFonts w:ascii="Cambria" w:hAnsi="Cambria"/>
          <w:noProof/>
          <w:sz w:val="16"/>
          <w:szCs w:val="16"/>
        </w:rPr>
        <w:t xml:space="preserve"> nacional;</w:t>
      </w:r>
      <w:r>
        <w:rPr>
          <w:rFonts w:ascii="Cambria" w:hAnsi="Cambria"/>
          <w:noProof/>
          <w:sz w:val="16"/>
          <w:szCs w:val="16"/>
        </w:rPr>
        <w:t xml:space="preserve"> e </w:t>
      </w:r>
      <w:r w:rsidRPr="00D30EFA">
        <w:rPr>
          <w:rFonts w:ascii="Cambria" w:hAnsi="Cambria"/>
          <w:noProof/>
          <w:sz w:val="16"/>
          <w:szCs w:val="16"/>
        </w:rPr>
        <w:t xml:space="preserve">vii) promover, </w:t>
      </w:r>
      <w:r>
        <w:rPr>
          <w:rFonts w:ascii="Cambria" w:hAnsi="Cambria"/>
          <w:noProof/>
          <w:sz w:val="16"/>
          <w:szCs w:val="16"/>
        </w:rPr>
        <w:t>com base nos relatórios obtidos, a reconstrução</w:t>
      </w:r>
      <w:r w:rsidRPr="00D30EFA">
        <w:rPr>
          <w:rFonts w:ascii="Cambria" w:hAnsi="Cambria"/>
          <w:noProof/>
          <w:sz w:val="16"/>
          <w:szCs w:val="16"/>
        </w:rPr>
        <w:t xml:space="preserve"> </w:t>
      </w:r>
      <w:r>
        <w:rPr>
          <w:rFonts w:ascii="Cambria" w:hAnsi="Cambria"/>
          <w:noProof/>
          <w:sz w:val="16"/>
          <w:szCs w:val="16"/>
        </w:rPr>
        <w:t>da histó</w:t>
      </w:r>
      <w:r w:rsidRPr="00D30EFA">
        <w:rPr>
          <w:rFonts w:ascii="Cambria" w:hAnsi="Cambria"/>
          <w:noProof/>
          <w:sz w:val="16"/>
          <w:szCs w:val="16"/>
        </w:rPr>
        <w:t xml:space="preserve">ria </w:t>
      </w:r>
      <w:r>
        <w:rPr>
          <w:rFonts w:ascii="Cambria" w:hAnsi="Cambria"/>
          <w:noProof/>
          <w:sz w:val="16"/>
          <w:szCs w:val="16"/>
        </w:rPr>
        <w:t xml:space="preserve">dos </w:t>
      </w:r>
      <w:r w:rsidRPr="00D30EFA">
        <w:rPr>
          <w:rFonts w:ascii="Cambria" w:hAnsi="Cambria"/>
          <w:noProof/>
          <w:sz w:val="16"/>
          <w:szCs w:val="16"/>
        </w:rPr>
        <w:t>casos de graves viola</w:t>
      </w:r>
      <w:r>
        <w:rPr>
          <w:rFonts w:ascii="Cambria" w:hAnsi="Cambria"/>
          <w:noProof/>
          <w:sz w:val="16"/>
          <w:szCs w:val="16"/>
        </w:rPr>
        <w:t>ções</w:t>
      </w:r>
      <w:r w:rsidRPr="00D30EFA">
        <w:rPr>
          <w:rFonts w:ascii="Cambria" w:hAnsi="Cambria"/>
          <w:noProof/>
          <w:sz w:val="16"/>
          <w:szCs w:val="16"/>
        </w:rPr>
        <w:t xml:space="preserve"> de </w:t>
      </w:r>
      <w:r>
        <w:rPr>
          <w:rFonts w:ascii="Cambria" w:hAnsi="Cambria"/>
          <w:noProof/>
          <w:sz w:val="16"/>
          <w:szCs w:val="16"/>
        </w:rPr>
        <w:t xml:space="preserve">direitos humanos, </w:t>
      </w:r>
      <w:r w:rsidR="00325266">
        <w:rPr>
          <w:rFonts w:ascii="Cambria" w:hAnsi="Cambria"/>
          <w:noProof/>
          <w:sz w:val="16"/>
          <w:szCs w:val="16"/>
        </w:rPr>
        <w:t>bem</w:t>
      </w:r>
      <w:r w:rsidRPr="00D30EFA">
        <w:rPr>
          <w:rFonts w:ascii="Cambria" w:hAnsi="Cambria"/>
          <w:noProof/>
          <w:sz w:val="16"/>
          <w:szCs w:val="16"/>
        </w:rPr>
        <w:t xml:space="preserve"> como contribuir para que se</w:t>
      </w:r>
      <w:r>
        <w:rPr>
          <w:rFonts w:ascii="Cambria" w:hAnsi="Cambria"/>
          <w:noProof/>
          <w:sz w:val="16"/>
          <w:szCs w:val="16"/>
        </w:rPr>
        <w:t>j</w:t>
      </w:r>
      <w:r w:rsidRPr="00D30EFA">
        <w:rPr>
          <w:rFonts w:ascii="Cambria" w:hAnsi="Cambria"/>
          <w:noProof/>
          <w:sz w:val="16"/>
          <w:szCs w:val="16"/>
        </w:rPr>
        <w:t>a prestada a</w:t>
      </w:r>
      <w:r>
        <w:rPr>
          <w:rFonts w:ascii="Cambria" w:hAnsi="Cambria"/>
          <w:noProof/>
          <w:sz w:val="16"/>
          <w:szCs w:val="16"/>
        </w:rPr>
        <w:t>ssistê</w:t>
      </w:r>
      <w:r w:rsidRPr="00D30EFA">
        <w:rPr>
          <w:rFonts w:ascii="Cambria" w:hAnsi="Cambria"/>
          <w:noProof/>
          <w:sz w:val="16"/>
          <w:szCs w:val="16"/>
        </w:rPr>
        <w:t xml:space="preserve">ncia </w:t>
      </w:r>
      <w:r>
        <w:rPr>
          <w:rFonts w:ascii="Cambria" w:hAnsi="Cambria"/>
          <w:noProof/>
          <w:sz w:val="16"/>
          <w:szCs w:val="16"/>
        </w:rPr>
        <w:t>às ví</w:t>
      </w:r>
      <w:r w:rsidRPr="00D30EFA">
        <w:rPr>
          <w:rFonts w:ascii="Cambria" w:hAnsi="Cambria"/>
          <w:noProof/>
          <w:sz w:val="16"/>
          <w:szCs w:val="16"/>
        </w:rPr>
        <w:t>timas de</w:t>
      </w:r>
      <w:r>
        <w:rPr>
          <w:rFonts w:ascii="Cambria" w:hAnsi="Cambria"/>
          <w:noProof/>
          <w:sz w:val="16"/>
          <w:szCs w:val="16"/>
        </w:rPr>
        <w:t>ssas</w:t>
      </w:r>
      <w:r w:rsidRPr="00D30EFA">
        <w:rPr>
          <w:rFonts w:ascii="Cambria" w:hAnsi="Cambria"/>
          <w:noProof/>
          <w:sz w:val="16"/>
          <w:szCs w:val="16"/>
        </w:rPr>
        <w:t xml:space="preserve"> viola</w:t>
      </w:r>
      <w:r>
        <w:rPr>
          <w:rFonts w:ascii="Cambria" w:hAnsi="Cambria"/>
          <w:noProof/>
          <w:sz w:val="16"/>
          <w:szCs w:val="16"/>
        </w:rPr>
        <w:t>ções</w:t>
      </w:r>
      <w:r w:rsidRPr="00D30EFA">
        <w:rPr>
          <w:rFonts w:ascii="Cambria" w:hAnsi="Cambria"/>
          <w:noProof/>
          <w:sz w:val="16"/>
          <w:szCs w:val="16"/>
        </w:rPr>
        <w:t xml:space="preserve">. </w:t>
      </w:r>
    </w:p>
  </w:footnote>
  <w:footnote w:id="114">
    <w:p w14:paraId="04B47D5A" w14:textId="77777777"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Brasi</w:t>
      </w:r>
      <w:r>
        <w:rPr>
          <w:noProof/>
          <w:color w:val="auto"/>
          <w:lang w:val="pt-BR"/>
        </w:rPr>
        <w:t>l. Presidência da República. Lei Nº</w:t>
      </w:r>
      <w:r w:rsidRPr="00D30EFA">
        <w:rPr>
          <w:noProof/>
          <w:color w:val="auto"/>
          <w:lang w:val="pt-BR"/>
        </w:rPr>
        <w:t xml:space="preserve"> 12.528, </w:t>
      </w:r>
      <w:r>
        <w:rPr>
          <w:noProof/>
          <w:color w:val="auto"/>
          <w:lang w:val="pt-BR"/>
        </w:rPr>
        <w:t>artigo</w:t>
      </w:r>
      <w:r w:rsidRPr="00D30EFA">
        <w:rPr>
          <w:noProof/>
          <w:color w:val="auto"/>
          <w:lang w:val="pt-BR"/>
        </w:rPr>
        <w:t xml:space="preserve"> 1</w:t>
      </w:r>
      <w:r w:rsidRPr="00D30EFA">
        <w:rPr>
          <w:rFonts w:cs="Arial"/>
          <w:noProof/>
          <w:color w:val="auto"/>
          <w:lang w:val="pt-BR"/>
        </w:rPr>
        <w:t>º</w:t>
      </w:r>
      <w:r>
        <w:rPr>
          <w:noProof/>
          <w:color w:val="auto"/>
          <w:lang w:val="pt-BR"/>
        </w:rPr>
        <w:t>, de</w:t>
      </w:r>
      <w:r w:rsidRPr="00D30EFA">
        <w:rPr>
          <w:noProof/>
          <w:color w:val="auto"/>
          <w:lang w:val="pt-BR"/>
        </w:rPr>
        <w:t xml:space="preserve"> 18 de </w:t>
      </w:r>
      <w:r>
        <w:rPr>
          <w:noProof/>
          <w:color w:val="auto"/>
          <w:lang w:val="pt-BR"/>
        </w:rPr>
        <w:t>novembro</w:t>
      </w:r>
      <w:r w:rsidRPr="00D30EFA">
        <w:rPr>
          <w:noProof/>
          <w:color w:val="auto"/>
          <w:lang w:val="pt-BR"/>
        </w:rPr>
        <w:t xml:space="preserve"> de 2011; </w:t>
      </w:r>
      <w:r w:rsidRPr="00D30EFA">
        <w:rPr>
          <w:b/>
          <w:bCs/>
          <w:noProof/>
          <w:color w:val="auto"/>
          <w:lang w:val="pt-BR"/>
        </w:rPr>
        <w:t>Anexo 2</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 xml:space="preserve">Comissão Nacional da Verdade. Volume I. Parte I, “A </w:t>
      </w:r>
      <w:r w:rsidRPr="00D30EFA">
        <w:rPr>
          <w:rStyle w:val="Strong"/>
          <w:b w:val="0"/>
          <w:noProof/>
          <w:color w:val="auto"/>
          <w:lang w:val="pt-BR"/>
        </w:rPr>
        <w:t xml:space="preserve">Comissão Nacional da Verdade”, </w:t>
      </w:r>
      <w:r w:rsidRPr="00D30EFA">
        <w:rPr>
          <w:noProof/>
          <w:color w:val="auto"/>
          <w:lang w:val="pt-BR"/>
        </w:rPr>
        <w:t xml:space="preserve">Capítulo 1 – A criação da Comissão Nacional da Verdade, </w:t>
      </w:r>
      <w:r w:rsidRPr="00D30EFA">
        <w:rPr>
          <w:rFonts w:cs="AGaramondPro-Italic-SC700"/>
          <w:noProof/>
          <w:color w:val="auto"/>
          <w:lang w:val="pt-BR" w:eastAsia="en-US"/>
        </w:rPr>
        <w:t xml:space="preserve">p. </w:t>
      </w:r>
      <w:r>
        <w:rPr>
          <w:noProof/>
          <w:color w:val="auto"/>
          <w:lang w:val="pt-BR"/>
        </w:rPr>
        <w:t>22, par. 8, de</w:t>
      </w:r>
      <w:r w:rsidRPr="00D30EFA">
        <w:rPr>
          <w:noProof/>
          <w:color w:val="auto"/>
          <w:lang w:val="pt-BR"/>
        </w:rPr>
        <w:t xml:space="preserve"> 10 de d</w:t>
      </w:r>
      <w:r>
        <w:rPr>
          <w:noProof/>
          <w:color w:val="auto"/>
          <w:lang w:val="pt-BR"/>
        </w:rPr>
        <w:t>ezembro</w:t>
      </w:r>
      <w:r w:rsidRPr="00D30EFA">
        <w:rPr>
          <w:noProof/>
          <w:color w:val="auto"/>
          <w:lang w:val="pt-BR"/>
        </w:rPr>
        <w:t xml:space="preserve"> de 2014.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115">
    <w:p w14:paraId="1B399E1E" w14:textId="36873121"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2</w:t>
      </w:r>
      <w:r w:rsidRPr="00D30EFA">
        <w:rPr>
          <w:noProof/>
          <w:color w:val="auto"/>
          <w:lang w:val="pt-BR"/>
        </w:rPr>
        <w:t xml:space="preserve">. </w:t>
      </w:r>
      <w:r>
        <w:rPr>
          <w:rStyle w:val="Emphasis"/>
          <w:rFonts w:cs="Arial"/>
          <w:i w:val="0"/>
          <w:iCs w:val="0"/>
          <w:noProof/>
          <w:color w:val="auto"/>
          <w:lang w:val="pt-BR"/>
        </w:rPr>
        <w:t>Relatório</w:t>
      </w:r>
      <w:r w:rsidRPr="00D30EFA">
        <w:rPr>
          <w:rStyle w:val="Emphasis"/>
          <w:rFonts w:cs="Arial"/>
          <w:i w:val="0"/>
          <w:iCs w:val="0"/>
          <w:noProof/>
          <w:color w:val="auto"/>
          <w:lang w:val="pt-BR"/>
        </w:rPr>
        <w:t xml:space="preserve"> da</w:t>
      </w:r>
      <w:r w:rsidRPr="00D30EFA">
        <w:rPr>
          <w:rStyle w:val="st1"/>
          <w:rFonts w:cs="Arial"/>
          <w:b/>
          <w:noProof/>
          <w:color w:val="auto"/>
          <w:lang w:val="pt-BR"/>
        </w:rPr>
        <w:t xml:space="preserve"> </w:t>
      </w:r>
      <w:r w:rsidRPr="00D30EFA">
        <w:rPr>
          <w:rStyle w:val="Emphasis"/>
          <w:rFonts w:cs="Arial"/>
          <w:i w:val="0"/>
          <w:iCs w:val="0"/>
          <w:noProof/>
          <w:color w:val="auto"/>
          <w:lang w:val="pt-BR"/>
        </w:rPr>
        <w:t xml:space="preserve">Comissão Nacional da Verdade. Volume I. Parte I, “A </w:t>
      </w:r>
      <w:r w:rsidRPr="00D30EFA">
        <w:rPr>
          <w:rStyle w:val="Strong"/>
          <w:b w:val="0"/>
          <w:noProof/>
          <w:color w:val="auto"/>
          <w:lang w:val="pt-BR"/>
        </w:rPr>
        <w:t xml:space="preserve">Comissão Nacional da Verdade”, </w:t>
      </w:r>
      <w:r w:rsidRPr="00D30EFA">
        <w:rPr>
          <w:noProof/>
          <w:color w:val="auto"/>
          <w:lang w:val="pt-BR"/>
        </w:rPr>
        <w:t xml:space="preserve">Capítulo 1 – A criação da Comissão Nacional da Verdade, </w:t>
      </w:r>
      <w:r w:rsidRPr="00D30EFA">
        <w:rPr>
          <w:rFonts w:cs="AGaramondPro-Italic-SC700"/>
          <w:noProof/>
          <w:color w:val="auto"/>
          <w:lang w:val="pt-BR" w:eastAsia="en-US"/>
        </w:rPr>
        <w:t xml:space="preserve">fls </w:t>
      </w:r>
      <w:r w:rsidRPr="00D30EFA">
        <w:rPr>
          <w:noProof/>
          <w:color w:val="auto"/>
          <w:lang w:val="pt-BR"/>
        </w:rPr>
        <w:t xml:space="preserve">21, </w:t>
      </w:r>
      <w:r w:rsidR="000B76D2">
        <w:rPr>
          <w:noProof/>
          <w:color w:val="auto"/>
          <w:lang w:val="pt-BR"/>
        </w:rPr>
        <w:t>par</w:t>
      </w:r>
      <w:r w:rsidRPr="00D30EFA">
        <w:rPr>
          <w:noProof/>
          <w:color w:val="auto"/>
          <w:lang w:val="pt-BR"/>
        </w:rPr>
        <w:t>. 4, de 10 de d</w:t>
      </w:r>
      <w:r w:rsidR="00325266">
        <w:rPr>
          <w:noProof/>
          <w:color w:val="auto"/>
          <w:lang w:val="pt-BR"/>
        </w:rPr>
        <w:t>ez</w:t>
      </w:r>
      <w:r w:rsidRPr="00D30EFA">
        <w:rPr>
          <w:noProof/>
          <w:color w:val="auto"/>
          <w:lang w:val="pt-BR"/>
        </w:rPr>
        <w:t>embr</w:t>
      </w:r>
      <w:r w:rsidR="00325266">
        <w:rPr>
          <w:noProof/>
          <w:color w:val="auto"/>
          <w:lang w:val="pt-BR"/>
        </w:rPr>
        <w:t>o</w:t>
      </w:r>
      <w:r w:rsidRPr="00D30EFA">
        <w:rPr>
          <w:noProof/>
          <w:color w:val="auto"/>
          <w:lang w:val="pt-BR"/>
        </w:rPr>
        <w:t xml:space="preserve"> de 2014.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de </w:t>
      </w:r>
      <w:r>
        <w:rPr>
          <w:noProof/>
          <w:color w:val="auto"/>
          <w:lang w:val="pt-BR"/>
        </w:rPr>
        <w:t>novembro</w:t>
      </w:r>
      <w:r w:rsidRPr="00D30EFA">
        <w:rPr>
          <w:noProof/>
          <w:color w:val="auto"/>
          <w:lang w:val="pt-BR"/>
        </w:rPr>
        <w:t xml:space="preserve"> de 2017.</w:t>
      </w:r>
    </w:p>
  </w:footnote>
  <w:footnote w:id="116">
    <w:p w14:paraId="0C73B620" w14:textId="697ED679" w:rsidR="00E13122" w:rsidRPr="00D30EFA" w:rsidRDefault="00E13122" w:rsidP="00E13122">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Brasil. Presidência da República. Le</w:t>
      </w:r>
      <w:r w:rsidR="000B76D2">
        <w:rPr>
          <w:noProof/>
          <w:color w:val="auto"/>
          <w:lang w:val="pt-BR"/>
        </w:rPr>
        <w:t>i</w:t>
      </w:r>
      <w:r w:rsidRPr="00D30EFA">
        <w:rPr>
          <w:noProof/>
          <w:color w:val="auto"/>
          <w:lang w:val="pt-BR"/>
        </w:rPr>
        <w:t xml:space="preserve"> N</w:t>
      </w:r>
      <w:r w:rsidR="00325266">
        <w:rPr>
          <w:noProof/>
          <w:color w:val="auto"/>
          <w:lang w:val="pt-BR"/>
        </w:rPr>
        <w:t>º</w:t>
      </w:r>
      <w:r w:rsidRPr="00D30EFA">
        <w:rPr>
          <w:noProof/>
          <w:color w:val="auto"/>
          <w:lang w:val="pt-BR"/>
        </w:rPr>
        <w:t xml:space="preserve"> 10.559 de 13 de </w:t>
      </w:r>
      <w:r>
        <w:rPr>
          <w:noProof/>
          <w:color w:val="auto"/>
          <w:lang w:val="pt-BR"/>
        </w:rPr>
        <w:t>novembro</w:t>
      </w:r>
      <w:r w:rsidRPr="00D30EFA">
        <w:rPr>
          <w:noProof/>
          <w:color w:val="auto"/>
          <w:lang w:val="pt-BR"/>
        </w:rPr>
        <w:t xml:space="preserve"> de 2002</w:t>
      </w:r>
      <w:r w:rsidR="00325266" w:rsidRPr="00D30EFA">
        <w:rPr>
          <w:noProof/>
          <w:color w:val="auto"/>
          <w:lang w:val="pt-BR"/>
        </w:rPr>
        <w:t xml:space="preserve">, </w:t>
      </w:r>
      <w:r w:rsidR="00325266">
        <w:rPr>
          <w:noProof/>
          <w:color w:val="auto"/>
          <w:lang w:val="pt-BR"/>
        </w:rPr>
        <w:t>artigo</w:t>
      </w:r>
      <w:r w:rsidR="00325266" w:rsidRPr="00D30EFA">
        <w:rPr>
          <w:noProof/>
          <w:color w:val="auto"/>
          <w:lang w:val="pt-BR"/>
        </w:rPr>
        <w:t xml:space="preserve"> </w:t>
      </w:r>
      <w:r w:rsidR="00325266" w:rsidRPr="00D30EFA">
        <w:rPr>
          <w:rFonts w:cs="Arial"/>
          <w:noProof/>
          <w:color w:val="auto"/>
          <w:lang w:val="pt-BR"/>
        </w:rPr>
        <w:t>3</w:t>
      </w:r>
      <w:r w:rsidRPr="00D30EFA">
        <w:rPr>
          <w:noProof/>
          <w:color w:val="auto"/>
          <w:lang w:val="pt-BR"/>
        </w:rPr>
        <w:t>.</w:t>
      </w:r>
    </w:p>
  </w:footnote>
  <w:footnote w:id="117">
    <w:p w14:paraId="615FB13D" w14:textId="69B43023" w:rsidR="00D25674" w:rsidRPr="006351DA" w:rsidRDefault="00D25674" w:rsidP="00D25674">
      <w:pPr>
        <w:pStyle w:val="FootnoteText"/>
        <w:adjustRightInd w:val="0"/>
        <w:ind w:firstLine="0"/>
        <w:contextualSpacing/>
        <w:rPr>
          <w:color w:val="auto"/>
          <w:lang w:val="pt-BR"/>
        </w:rPr>
      </w:pPr>
      <w:r w:rsidRPr="006351DA">
        <w:rPr>
          <w:rStyle w:val="FootnoteReference"/>
          <w:color w:val="auto"/>
          <w:lang w:val="pt-BR"/>
        </w:rPr>
        <w:footnoteRef/>
      </w:r>
      <w:r w:rsidRPr="006351DA">
        <w:rPr>
          <w:color w:val="auto"/>
          <w:lang w:val="pt-BR"/>
        </w:rPr>
        <w:t xml:space="preserve"> </w:t>
      </w:r>
      <w:r w:rsidR="00AE2A37">
        <w:rPr>
          <w:color w:val="auto"/>
          <w:lang w:val="pt-BR"/>
        </w:rPr>
        <w:t>O</w:t>
      </w:r>
      <w:r w:rsidRPr="006351DA">
        <w:rPr>
          <w:color w:val="auto"/>
          <w:lang w:val="pt-BR"/>
        </w:rPr>
        <w:t xml:space="preserve"> artigo I da Declaração Americana estabelece: </w:t>
      </w:r>
      <w:r w:rsidR="00AE2A37">
        <w:rPr>
          <w:color w:val="auto"/>
          <w:lang w:val="pt-BR"/>
        </w:rPr>
        <w:t>“</w:t>
      </w:r>
      <w:r w:rsidRPr="006351DA">
        <w:rPr>
          <w:color w:val="auto"/>
          <w:lang w:val="pt-BR"/>
        </w:rPr>
        <w:t>Todo ser humano tem direito à vida, à liberdade e à segurança de sua pessoa</w:t>
      </w:r>
      <w:r w:rsidR="00AE2A37">
        <w:rPr>
          <w:color w:val="auto"/>
          <w:lang w:val="pt-BR"/>
        </w:rPr>
        <w:t>”</w:t>
      </w:r>
      <w:r w:rsidRPr="006351DA">
        <w:rPr>
          <w:color w:val="auto"/>
          <w:lang w:val="pt-BR"/>
        </w:rPr>
        <w:t xml:space="preserve">. </w:t>
      </w:r>
    </w:p>
  </w:footnote>
  <w:footnote w:id="118">
    <w:p w14:paraId="2F1F65AD" w14:textId="6322CF81" w:rsidR="00D25674" w:rsidRPr="006351DA" w:rsidRDefault="00D25674" w:rsidP="00D25674">
      <w:pPr>
        <w:pStyle w:val="FootnoteText"/>
        <w:ind w:firstLine="0"/>
        <w:rPr>
          <w:color w:val="auto"/>
          <w:lang w:val="pt-BR"/>
        </w:rPr>
      </w:pPr>
      <w:r w:rsidRPr="006351DA">
        <w:rPr>
          <w:rStyle w:val="FootnoteReference"/>
          <w:color w:val="auto"/>
          <w:lang w:val="pt-BR"/>
        </w:rPr>
        <w:footnoteRef/>
      </w:r>
      <w:r w:rsidRPr="006351DA">
        <w:rPr>
          <w:color w:val="auto"/>
          <w:lang w:val="pt-BR"/>
        </w:rPr>
        <w:t xml:space="preserve"> O artigo VII estabelece o </w:t>
      </w:r>
      <w:r w:rsidRPr="00DD3179">
        <w:rPr>
          <w:color w:val="auto"/>
          <w:lang w:val="pt-BR"/>
        </w:rPr>
        <w:t xml:space="preserve">seguinte: </w:t>
      </w:r>
      <w:r w:rsidR="00DD3179" w:rsidRPr="00DD3179">
        <w:rPr>
          <w:color w:val="auto"/>
          <w:lang w:val="pt-BR"/>
        </w:rPr>
        <w:t>“</w:t>
      </w:r>
      <w:r w:rsidR="00DD3179" w:rsidRPr="00DD3179">
        <w:rPr>
          <w:spacing w:val="-3"/>
          <w:lang w:val="pt-BR"/>
        </w:rPr>
        <w:t>Toda mulher em estado de gravidez ou em época de lactação, assim como toda criança, têm direito à proteção, cuidados e auxílios especiais</w:t>
      </w:r>
      <w:r w:rsidR="00DD3179">
        <w:rPr>
          <w:color w:val="auto"/>
          <w:lang w:val="pt-BR"/>
        </w:rPr>
        <w:t>”</w:t>
      </w:r>
      <w:r w:rsidRPr="006351DA">
        <w:rPr>
          <w:color w:val="auto"/>
          <w:lang w:val="pt-BR"/>
        </w:rPr>
        <w:t xml:space="preserve">. </w:t>
      </w:r>
    </w:p>
  </w:footnote>
  <w:footnote w:id="119">
    <w:p w14:paraId="628C62A1" w14:textId="4A5ABD86" w:rsidR="00D25674" w:rsidRPr="006351DA" w:rsidRDefault="00D25674" w:rsidP="00D25674">
      <w:pPr>
        <w:jc w:val="both"/>
        <w:rPr>
          <w:rFonts w:ascii="Cambria" w:hAnsi="Cambria"/>
          <w:sz w:val="16"/>
          <w:szCs w:val="16"/>
        </w:rPr>
      </w:pPr>
      <w:r w:rsidRPr="006351DA">
        <w:rPr>
          <w:rStyle w:val="FootnoteReference"/>
          <w:rFonts w:ascii="Cambria" w:hAnsi="Cambria"/>
          <w:sz w:val="16"/>
          <w:szCs w:val="16"/>
        </w:rPr>
        <w:footnoteRef/>
      </w:r>
      <w:r w:rsidRPr="006351DA">
        <w:rPr>
          <w:rFonts w:ascii="Cambria" w:hAnsi="Cambria"/>
          <w:sz w:val="16"/>
          <w:szCs w:val="16"/>
        </w:rPr>
        <w:t xml:space="preserve"> </w:t>
      </w:r>
      <w:r w:rsidR="00AE2A37">
        <w:rPr>
          <w:rFonts w:ascii="Cambria" w:hAnsi="Cambria"/>
          <w:sz w:val="16"/>
          <w:szCs w:val="16"/>
        </w:rPr>
        <w:t>O</w:t>
      </w:r>
      <w:r w:rsidRPr="006351DA">
        <w:rPr>
          <w:rFonts w:ascii="Cambria" w:hAnsi="Cambria"/>
          <w:sz w:val="16"/>
          <w:szCs w:val="16"/>
        </w:rPr>
        <w:t xml:space="preserve"> artigo XXV da Declaração Amer</w:t>
      </w:r>
      <w:r w:rsidRPr="00DD3179">
        <w:rPr>
          <w:rFonts w:ascii="Cambria" w:hAnsi="Cambria"/>
          <w:sz w:val="16"/>
          <w:szCs w:val="16"/>
        </w:rPr>
        <w:t xml:space="preserve">icana estabelece: </w:t>
      </w:r>
      <w:r w:rsidR="00AE2A37" w:rsidRPr="00DD3179">
        <w:rPr>
          <w:rFonts w:ascii="Cambria" w:hAnsi="Cambria"/>
          <w:sz w:val="16"/>
          <w:szCs w:val="16"/>
        </w:rPr>
        <w:t>“</w:t>
      </w:r>
      <w:r w:rsidR="00DD3179" w:rsidRPr="00DD3179">
        <w:rPr>
          <w:rFonts w:ascii="Cambria" w:hAnsi="Cambria"/>
          <w:color w:val="000000"/>
          <w:spacing w:val="-3"/>
          <w:sz w:val="16"/>
          <w:szCs w:val="16"/>
        </w:rPr>
        <w:t>Ninguém pode ser privado da sua liberdade, a não ser nos casos previstos pelas leis e segundo as praxes estabelecidas pelas leis já existentes</w:t>
      </w:r>
      <w:r w:rsidRPr="00DD3179">
        <w:rPr>
          <w:rFonts w:ascii="Cambria" w:hAnsi="Cambria"/>
          <w:sz w:val="16"/>
          <w:szCs w:val="16"/>
        </w:rPr>
        <w:t>. […]</w:t>
      </w:r>
      <w:r w:rsidR="00DD3179" w:rsidRPr="00DD3179">
        <w:rPr>
          <w:rFonts w:ascii="Cambria" w:hAnsi="Cambria"/>
          <w:color w:val="000000"/>
          <w:spacing w:val="-3"/>
          <w:sz w:val="16"/>
          <w:szCs w:val="16"/>
        </w:rPr>
        <w:t>Todo indivíduo, que tenha sido privado da sua liberdade, tem o direito de que o juiz verifique sem demora a legalidade da medida, e de que o julgue sem protelação injustificada, ou, no caso contrário, de ser posto em liberdade.  Tem também direito a um tratamento humano durante o tempo em que o privarem da sua liberdade</w:t>
      </w:r>
      <w:r w:rsidR="00AE2A37">
        <w:rPr>
          <w:rFonts w:ascii="Cambria" w:hAnsi="Cambria"/>
          <w:sz w:val="16"/>
          <w:szCs w:val="16"/>
        </w:rPr>
        <w:t>”</w:t>
      </w:r>
      <w:r w:rsidRPr="006351DA">
        <w:rPr>
          <w:rFonts w:ascii="Cambria" w:hAnsi="Cambria"/>
          <w:sz w:val="16"/>
          <w:szCs w:val="16"/>
        </w:rPr>
        <w:t>.</w:t>
      </w:r>
    </w:p>
  </w:footnote>
  <w:footnote w:id="120">
    <w:p w14:paraId="3EB0B0F3" w14:textId="03CCCCFC"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Corte IDH., </w:t>
      </w:r>
      <w:r w:rsidR="00562871">
        <w:rPr>
          <w:color w:val="auto"/>
          <w:lang w:val="pt-BR"/>
        </w:rPr>
        <w:t>Parecer</w:t>
      </w:r>
      <w:r w:rsidRPr="006351DA">
        <w:rPr>
          <w:color w:val="auto"/>
          <w:lang w:val="pt-BR"/>
        </w:rPr>
        <w:t xml:space="preserve"> Consultiv</w:t>
      </w:r>
      <w:r w:rsidR="00562871">
        <w:rPr>
          <w:color w:val="auto"/>
          <w:lang w:val="pt-BR"/>
        </w:rPr>
        <w:t>o</w:t>
      </w:r>
      <w:r w:rsidRPr="006351DA">
        <w:rPr>
          <w:color w:val="auto"/>
          <w:lang w:val="pt-BR"/>
        </w:rPr>
        <w:t xml:space="preserve"> OC-10/89 "</w:t>
      </w:r>
      <w:r w:rsidRPr="006351DA">
        <w:rPr>
          <w:bCs/>
          <w:color w:val="auto"/>
          <w:lang w:val="pt-BR"/>
        </w:rPr>
        <w:t>Interpretação da Declaração Americana dos Direitos e Deveres do Homem no Âmbito do artigo 64 da Convenção Americana sobre Direitos Humanos</w:t>
      </w:r>
      <w:r w:rsidRPr="006351DA">
        <w:rPr>
          <w:color w:val="auto"/>
          <w:lang w:val="pt-BR"/>
        </w:rPr>
        <w:t xml:space="preserve">”, 14 de julho de 1989, Ser. A Nº 10 (1989), par. 45 (A Corte sustentou que, “para os Estados membros da Organização, a Declaração é o texto que define os direitos humanos </w:t>
      </w:r>
      <w:r w:rsidR="00E638BF">
        <w:rPr>
          <w:color w:val="auto"/>
          <w:lang w:val="pt-BR"/>
        </w:rPr>
        <w:t>menciona</w:t>
      </w:r>
      <w:r w:rsidRPr="006351DA">
        <w:rPr>
          <w:color w:val="auto"/>
          <w:lang w:val="pt-BR"/>
        </w:rPr>
        <w:t>dos na Carta”).</w:t>
      </w:r>
    </w:p>
  </w:footnote>
  <w:footnote w:id="121">
    <w:p w14:paraId="1B813ACA" w14:textId="7D576BE7"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CIDH. Relatório nº 80/11, Caso 12.626, </w:t>
      </w:r>
      <w:r w:rsidR="002150B7">
        <w:rPr>
          <w:color w:val="auto"/>
          <w:lang w:val="pt-BR"/>
        </w:rPr>
        <w:t>Mérito</w:t>
      </w:r>
      <w:r w:rsidRPr="006351DA">
        <w:rPr>
          <w:color w:val="auto"/>
          <w:lang w:val="pt-BR"/>
        </w:rPr>
        <w:t>, Jessica Lenahan (Gonza</w:t>
      </w:r>
      <w:r w:rsidR="002150B7">
        <w:rPr>
          <w:color w:val="auto"/>
          <w:lang w:val="pt-BR"/>
        </w:rPr>
        <w:t>le</w:t>
      </w:r>
      <w:r w:rsidRPr="006351DA">
        <w:rPr>
          <w:color w:val="auto"/>
          <w:lang w:val="pt-BR"/>
        </w:rPr>
        <w:t>s) e outros. Estados Unidos.  21 de julho de 2011. Par. 118.</w:t>
      </w:r>
    </w:p>
  </w:footnote>
  <w:footnote w:id="122">
    <w:p w14:paraId="47B9090F" w14:textId="6C5B3E1F"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Corte IDH. Caso dos </w:t>
      </w:r>
      <w:r w:rsidR="00F11B99">
        <w:rPr>
          <w:color w:val="auto"/>
          <w:lang w:val="pt-BR"/>
        </w:rPr>
        <w:t>irmãos</w:t>
      </w:r>
      <w:r w:rsidRPr="006351DA">
        <w:rPr>
          <w:color w:val="auto"/>
          <w:lang w:val="pt-BR"/>
        </w:rPr>
        <w:t xml:space="preserve"> G</w:t>
      </w:r>
      <w:r w:rsidR="00F11B99">
        <w:rPr>
          <w:color w:val="auto"/>
          <w:lang w:val="pt-BR"/>
        </w:rPr>
        <w:t>ó</w:t>
      </w:r>
      <w:r w:rsidRPr="006351DA">
        <w:rPr>
          <w:color w:val="auto"/>
          <w:lang w:val="pt-BR"/>
        </w:rPr>
        <w:t xml:space="preserve">mez Paquiyauri vs. Peru. </w:t>
      </w:r>
      <w:r w:rsidR="002150B7">
        <w:rPr>
          <w:color w:val="auto"/>
          <w:lang w:val="pt-BR"/>
        </w:rPr>
        <w:t>Mérito</w:t>
      </w:r>
      <w:r w:rsidRPr="006351DA">
        <w:rPr>
          <w:color w:val="auto"/>
          <w:lang w:val="pt-BR"/>
        </w:rPr>
        <w:t xml:space="preserve">, Reparações e </w:t>
      </w:r>
      <w:r w:rsidR="002150B7">
        <w:rPr>
          <w:color w:val="auto"/>
          <w:lang w:val="pt-BR"/>
        </w:rPr>
        <w:t>Custas</w:t>
      </w:r>
      <w:r w:rsidRPr="006351DA">
        <w:rPr>
          <w:color w:val="auto"/>
          <w:lang w:val="pt-BR"/>
        </w:rPr>
        <w:t>. Sentença de 8 de julho de 2004. Série C Nº 110, par. 128.</w:t>
      </w:r>
    </w:p>
  </w:footnote>
  <w:footnote w:id="123">
    <w:p w14:paraId="209D6EB3" w14:textId="029A0400"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Corte IDH, Caso do “Instituto de Reeducação</w:t>
      </w:r>
      <w:r>
        <w:rPr>
          <w:color w:val="auto"/>
          <w:lang w:val="pt-BR"/>
        </w:rPr>
        <w:t xml:space="preserve"> do Menor” vs. Paraguai</w:t>
      </w:r>
      <w:r w:rsidRPr="006351DA">
        <w:rPr>
          <w:color w:val="auto"/>
          <w:lang w:val="pt-BR"/>
        </w:rPr>
        <w:t>. Sente</w:t>
      </w:r>
      <w:r>
        <w:rPr>
          <w:color w:val="auto"/>
          <w:lang w:val="pt-BR"/>
        </w:rPr>
        <w:t>n</w:t>
      </w:r>
      <w:r w:rsidR="00113752">
        <w:rPr>
          <w:color w:val="auto"/>
          <w:lang w:val="pt-BR"/>
        </w:rPr>
        <w:t>ç</w:t>
      </w:r>
      <w:r>
        <w:rPr>
          <w:color w:val="auto"/>
          <w:lang w:val="pt-BR"/>
        </w:rPr>
        <w:t>a de</w:t>
      </w:r>
      <w:r w:rsidRPr="006351DA">
        <w:rPr>
          <w:color w:val="auto"/>
          <w:lang w:val="pt-BR"/>
        </w:rPr>
        <w:t xml:space="preserve"> 2 de setembro de 2004. Série C Nº 112, par. 156.</w:t>
      </w:r>
    </w:p>
  </w:footnote>
  <w:footnote w:id="124">
    <w:p w14:paraId="52AC923B" w14:textId="0A3B4703"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CIDH, Relatório Nº 33/04, Caso 11.634, </w:t>
      </w:r>
      <w:r w:rsidR="002150B7">
        <w:rPr>
          <w:color w:val="auto"/>
          <w:lang w:val="pt-BR"/>
        </w:rPr>
        <w:t>Mérito</w:t>
      </w:r>
      <w:r w:rsidRPr="006351DA">
        <w:rPr>
          <w:color w:val="auto"/>
          <w:lang w:val="pt-BR"/>
        </w:rPr>
        <w:t xml:space="preserve">, Jailton Neri </w:t>
      </w:r>
      <w:r w:rsidR="00113752">
        <w:rPr>
          <w:color w:val="auto"/>
          <w:lang w:val="pt-BR"/>
        </w:rPr>
        <w:t>d</w:t>
      </w:r>
      <w:r w:rsidRPr="006351DA">
        <w:rPr>
          <w:color w:val="auto"/>
          <w:lang w:val="pt-BR"/>
        </w:rPr>
        <w:t>a Fonseca, Brasil, 11 de março de 2004, par. 69.</w:t>
      </w:r>
    </w:p>
  </w:footnote>
  <w:footnote w:id="125">
    <w:p w14:paraId="4172CD08" w14:textId="0AB2CEE4"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CIDH, Relatório Nº 41/99, Caso 11.491, Admissibilidade e </w:t>
      </w:r>
      <w:r w:rsidR="002150B7">
        <w:rPr>
          <w:color w:val="auto"/>
          <w:lang w:val="pt-BR"/>
        </w:rPr>
        <w:t>Mérito</w:t>
      </w:r>
      <w:r w:rsidRPr="006351DA">
        <w:rPr>
          <w:color w:val="auto"/>
          <w:lang w:val="pt-BR"/>
        </w:rPr>
        <w:t xml:space="preserve">, Menores detidos, Honduras, 10 de março de 1999, </w:t>
      </w:r>
      <w:r w:rsidR="002150B7">
        <w:rPr>
          <w:color w:val="auto"/>
          <w:lang w:val="pt-BR"/>
        </w:rPr>
        <w:t>par.</w:t>
      </w:r>
      <w:r w:rsidRPr="006351DA">
        <w:rPr>
          <w:color w:val="auto"/>
          <w:lang w:val="pt-BR"/>
        </w:rPr>
        <w:t xml:space="preserve"> 134-135.</w:t>
      </w:r>
    </w:p>
  </w:footnote>
  <w:footnote w:id="126">
    <w:p w14:paraId="6C307F73" w14:textId="77777777"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CIDH. </w:t>
      </w:r>
      <w:r w:rsidRPr="006351DA">
        <w:rPr>
          <w:iCs/>
          <w:color w:val="auto"/>
          <w:lang w:val="pt-BR"/>
        </w:rPr>
        <w:t>Relatório sobre os direitos humanos das pessoas privadas de liberdade nas Américas</w:t>
      </w:r>
      <w:r w:rsidRPr="006351DA">
        <w:rPr>
          <w:color w:val="auto"/>
          <w:lang w:val="pt-BR"/>
        </w:rPr>
        <w:t>. OEA/Ser.L/V/II. Doc. 64, 31 de dezembro de 2011, par. 284</w:t>
      </w:r>
    </w:p>
  </w:footnote>
  <w:footnote w:id="127">
    <w:p w14:paraId="1B964CED" w14:textId="39B301B1"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Corte IDH. Caso do Penal Miguel Castro Castro Vs. Peru. </w:t>
      </w:r>
      <w:r w:rsidR="002150B7">
        <w:rPr>
          <w:color w:val="auto"/>
          <w:lang w:val="pt-BR"/>
        </w:rPr>
        <w:t>Mérito</w:t>
      </w:r>
      <w:r w:rsidRPr="006351DA">
        <w:rPr>
          <w:color w:val="auto"/>
          <w:lang w:val="pt-BR"/>
        </w:rPr>
        <w:t xml:space="preserve">, Reparações e </w:t>
      </w:r>
      <w:r w:rsidR="002150B7">
        <w:rPr>
          <w:color w:val="auto"/>
          <w:lang w:val="pt-BR"/>
        </w:rPr>
        <w:t>Custas</w:t>
      </w:r>
      <w:r w:rsidRPr="006351DA">
        <w:rPr>
          <w:color w:val="auto"/>
          <w:lang w:val="pt-BR"/>
        </w:rPr>
        <w:t>. Sentença de 25 de novembro de 2006. Série C Nº 160, par. 237</w:t>
      </w:r>
    </w:p>
  </w:footnote>
  <w:footnote w:id="128">
    <w:p w14:paraId="7011D42C" w14:textId="77777777"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CIDH, Relatório sobre Terrorismo e Direitos Humanos, OEA/Ser.L/V/II.116.Doc.5 rev.1, 22 de outubro de 2002, par. 120.</w:t>
      </w:r>
    </w:p>
  </w:footnote>
  <w:footnote w:id="129">
    <w:p w14:paraId="77057F09" w14:textId="7EC474C0" w:rsidR="00D25674" w:rsidRPr="006351DA" w:rsidRDefault="00D25674" w:rsidP="00D25674">
      <w:pPr>
        <w:contextualSpacing/>
        <w:jc w:val="both"/>
        <w:rPr>
          <w:rFonts w:ascii="Cambria" w:hAnsi="Cambria"/>
          <w:sz w:val="16"/>
          <w:szCs w:val="16"/>
        </w:rPr>
      </w:pPr>
      <w:r w:rsidRPr="006351DA">
        <w:rPr>
          <w:rStyle w:val="FootnoteReference"/>
          <w:rFonts w:ascii="Cambria" w:hAnsi="Cambria"/>
          <w:sz w:val="16"/>
          <w:szCs w:val="16"/>
        </w:rPr>
        <w:footnoteRef/>
      </w:r>
      <w:r w:rsidRPr="006351DA">
        <w:rPr>
          <w:rFonts w:ascii="Cambria" w:hAnsi="Cambria"/>
          <w:sz w:val="16"/>
          <w:szCs w:val="16"/>
        </w:rPr>
        <w:t xml:space="preserve"> Corte IDH. </w:t>
      </w:r>
      <w:r w:rsidRPr="006351DA">
        <w:rPr>
          <w:rFonts w:ascii="Cambria" w:hAnsi="Cambria"/>
          <w:bCs/>
          <w:sz w:val="16"/>
          <w:szCs w:val="16"/>
        </w:rPr>
        <w:t>Caso Cha</w:t>
      </w:r>
      <w:r w:rsidR="00814379">
        <w:rPr>
          <w:rFonts w:ascii="Cambria" w:hAnsi="Cambria"/>
          <w:bCs/>
          <w:sz w:val="16"/>
          <w:szCs w:val="16"/>
        </w:rPr>
        <w:t>par</w:t>
      </w:r>
      <w:r w:rsidRPr="006351DA">
        <w:rPr>
          <w:rFonts w:ascii="Cambria" w:hAnsi="Cambria"/>
          <w:bCs/>
          <w:sz w:val="16"/>
          <w:szCs w:val="16"/>
        </w:rPr>
        <w:t>o Álvarez e Lapo Íñiguez. Vs. Equador.</w:t>
      </w:r>
      <w:r w:rsidRPr="006351DA">
        <w:rPr>
          <w:rFonts w:ascii="Cambria" w:hAnsi="Cambria"/>
          <w:b/>
          <w:bCs/>
          <w:sz w:val="16"/>
          <w:szCs w:val="16"/>
        </w:rPr>
        <w:t xml:space="preserve"> </w:t>
      </w:r>
      <w:r w:rsidRPr="006351DA">
        <w:rPr>
          <w:rFonts w:ascii="Cambria" w:hAnsi="Cambria"/>
          <w:sz w:val="16"/>
          <w:szCs w:val="16"/>
        </w:rPr>
        <w:t xml:space="preserve">Exceções Preliminares, </w:t>
      </w:r>
      <w:r w:rsidR="002150B7">
        <w:rPr>
          <w:rFonts w:ascii="Cambria" w:hAnsi="Cambria"/>
          <w:sz w:val="16"/>
          <w:szCs w:val="16"/>
        </w:rPr>
        <w:t>Mérito</w:t>
      </w:r>
      <w:r w:rsidRPr="006351DA">
        <w:rPr>
          <w:rFonts w:ascii="Cambria" w:hAnsi="Cambria"/>
          <w:sz w:val="16"/>
          <w:szCs w:val="16"/>
        </w:rPr>
        <w:t xml:space="preserve">, Reparações e </w:t>
      </w:r>
      <w:r w:rsidR="002150B7">
        <w:rPr>
          <w:rFonts w:ascii="Cambria" w:hAnsi="Cambria"/>
          <w:sz w:val="16"/>
          <w:szCs w:val="16"/>
        </w:rPr>
        <w:t>Custas</w:t>
      </w:r>
      <w:r w:rsidRPr="006351DA">
        <w:rPr>
          <w:rFonts w:ascii="Cambria" w:hAnsi="Cambria"/>
          <w:sz w:val="16"/>
          <w:szCs w:val="16"/>
        </w:rPr>
        <w:t>. Sentença de 21 de novembro de 2007. Série C Nº 170.</w:t>
      </w:r>
    </w:p>
  </w:footnote>
  <w:footnote w:id="130">
    <w:p w14:paraId="28E78192" w14:textId="4A510975"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Corte IDH. </w:t>
      </w:r>
      <w:r w:rsidRPr="006351DA">
        <w:rPr>
          <w:bCs/>
          <w:color w:val="auto"/>
          <w:lang w:val="pt-BR"/>
        </w:rPr>
        <w:t>Caso Cha</w:t>
      </w:r>
      <w:r w:rsidR="00814379">
        <w:rPr>
          <w:bCs/>
          <w:color w:val="auto"/>
          <w:lang w:val="pt-BR"/>
        </w:rPr>
        <w:t>par</w:t>
      </w:r>
      <w:r w:rsidRPr="006351DA">
        <w:rPr>
          <w:bCs/>
          <w:color w:val="auto"/>
          <w:lang w:val="pt-BR"/>
        </w:rPr>
        <w:t>o Álvarez e Lapo Íñiguez. Vs. Equador.</w:t>
      </w:r>
      <w:r w:rsidRPr="006351DA">
        <w:rPr>
          <w:b/>
          <w:bCs/>
          <w:color w:val="auto"/>
          <w:lang w:val="pt-BR"/>
        </w:rPr>
        <w:t xml:space="preserve"> </w:t>
      </w:r>
      <w:r w:rsidRPr="006351DA">
        <w:rPr>
          <w:color w:val="auto"/>
          <w:lang w:val="pt-BR"/>
        </w:rPr>
        <w:t xml:space="preserve">Exceções Preliminares, </w:t>
      </w:r>
      <w:r w:rsidR="002150B7">
        <w:rPr>
          <w:color w:val="auto"/>
          <w:lang w:val="pt-BR"/>
        </w:rPr>
        <w:t>Mérito</w:t>
      </w:r>
      <w:r w:rsidRPr="006351DA">
        <w:rPr>
          <w:color w:val="auto"/>
          <w:lang w:val="pt-BR"/>
        </w:rPr>
        <w:t xml:space="preserve">, Reparações e </w:t>
      </w:r>
      <w:r w:rsidR="002150B7">
        <w:rPr>
          <w:color w:val="auto"/>
          <w:lang w:val="pt-BR"/>
        </w:rPr>
        <w:t>Custas</w:t>
      </w:r>
      <w:r w:rsidRPr="006351DA">
        <w:rPr>
          <w:color w:val="auto"/>
          <w:lang w:val="pt-BR"/>
        </w:rPr>
        <w:t>. Sentença de 21 de novembro de 2007. Série C Nº 170.</w:t>
      </w:r>
    </w:p>
  </w:footnote>
  <w:footnote w:id="131">
    <w:p w14:paraId="546276E9" w14:textId="77777777"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CIDH, Relatório sobre Terrorismo e Direitos Humanos, OEA/Ser.L/V/II.116.Doc.5 rev.1, 22 de outubro de 2002, par. 184.</w:t>
      </w:r>
    </w:p>
  </w:footnote>
  <w:footnote w:id="132">
    <w:p w14:paraId="60789D50" w14:textId="0004D452" w:rsidR="00D25674" w:rsidRPr="006351DA" w:rsidRDefault="00D25674" w:rsidP="00D25674">
      <w:pPr>
        <w:contextualSpacing/>
        <w:jc w:val="both"/>
        <w:rPr>
          <w:rFonts w:ascii="Cambria" w:hAnsi="Cambria"/>
          <w:sz w:val="16"/>
          <w:szCs w:val="16"/>
        </w:rPr>
      </w:pPr>
      <w:r w:rsidRPr="006351DA">
        <w:rPr>
          <w:rStyle w:val="FootnoteReference"/>
          <w:rFonts w:ascii="Cambria" w:hAnsi="Cambria"/>
          <w:sz w:val="16"/>
          <w:szCs w:val="16"/>
        </w:rPr>
        <w:footnoteRef/>
      </w:r>
      <w:r w:rsidRPr="006351DA">
        <w:rPr>
          <w:rFonts w:ascii="Cambria" w:hAnsi="Cambria"/>
          <w:sz w:val="16"/>
          <w:szCs w:val="16"/>
        </w:rPr>
        <w:t xml:space="preserve"> Corte IDH. Caso Maritza Urrutia Vs Guatemala. </w:t>
      </w:r>
      <w:r w:rsidR="002150B7">
        <w:rPr>
          <w:rFonts w:ascii="Cambria" w:hAnsi="Cambria"/>
          <w:sz w:val="16"/>
          <w:szCs w:val="16"/>
        </w:rPr>
        <w:t>Mérito</w:t>
      </w:r>
      <w:r w:rsidRPr="006351DA">
        <w:rPr>
          <w:rFonts w:ascii="Cambria" w:hAnsi="Cambria"/>
          <w:sz w:val="16"/>
          <w:szCs w:val="16"/>
        </w:rPr>
        <w:t xml:space="preserve">, Reparações e </w:t>
      </w:r>
      <w:r w:rsidR="002150B7">
        <w:rPr>
          <w:rFonts w:ascii="Cambria" w:hAnsi="Cambria"/>
          <w:sz w:val="16"/>
          <w:szCs w:val="16"/>
        </w:rPr>
        <w:t>Custas</w:t>
      </w:r>
      <w:r w:rsidRPr="006351DA">
        <w:rPr>
          <w:rFonts w:ascii="Cambria" w:hAnsi="Cambria"/>
          <w:sz w:val="16"/>
          <w:szCs w:val="16"/>
        </w:rPr>
        <w:t xml:space="preserve">. Sentença de 27 de novembro de 2003. Série C Nº 103, par. 92; Corte IDH. </w:t>
      </w:r>
      <w:r w:rsidRPr="006351DA">
        <w:rPr>
          <w:rFonts w:ascii="Cambria" w:hAnsi="Cambria"/>
          <w:bCs/>
          <w:sz w:val="16"/>
          <w:szCs w:val="16"/>
        </w:rPr>
        <w:t>Caso do P</w:t>
      </w:r>
      <w:r w:rsidR="00940607">
        <w:rPr>
          <w:rFonts w:ascii="Cambria" w:hAnsi="Cambria"/>
          <w:bCs/>
          <w:sz w:val="16"/>
          <w:szCs w:val="16"/>
        </w:rPr>
        <w:t>r</w:t>
      </w:r>
      <w:r w:rsidRPr="006351DA">
        <w:rPr>
          <w:rFonts w:ascii="Cambria" w:hAnsi="Cambria"/>
          <w:bCs/>
          <w:sz w:val="16"/>
          <w:szCs w:val="16"/>
        </w:rPr>
        <w:t>e</w:t>
      </w:r>
      <w:r w:rsidR="00940607">
        <w:rPr>
          <w:rFonts w:ascii="Cambria" w:hAnsi="Cambria"/>
          <w:bCs/>
          <w:sz w:val="16"/>
          <w:szCs w:val="16"/>
        </w:rPr>
        <w:t>sídio</w:t>
      </w:r>
      <w:r w:rsidRPr="006351DA">
        <w:rPr>
          <w:rFonts w:ascii="Cambria" w:hAnsi="Cambria"/>
          <w:bCs/>
          <w:sz w:val="16"/>
          <w:szCs w:val="16"/>
        </w:rPr>
        <w:t xml:space="preserve"> Miguel Castro Castro Vs. Peru</w:t>
      </w:r>
      <w:r w:rsidRPr="006351DA">
        <w:rPr>
          <w:rFonts w:ascii="Cambria" w:hAnsi="Cambria"/>
          <w:b/>
          <w:bCs/>
          <w:sz w:val="16"/>
          <w:szCs w:val="16"/>
        </w:rPr>
        <w:t xml:space="preserve">. </w:t>
      </w:r>
      <w:r w:rsidRPr="006351DA">
        <w:rPr>
          <w:rFonts w:ascii="Cambria" w:hAnsi="Cambria"/>
          <w:sz w:val="16"/>
          <w:szCs w:val="16"/>
        </w:rPr>
        <w:t xml:space="preserve">Sentença de 25 de novembro de 2006. Série C Nº 160, </w:t>
      </w:r>
      <w:r w:rsidRPr="006351DA">
        <w:rPr>
          <w:rFonts w:ascii="Cambria" w:hAnsi="Cambria"/>
          <w:bCs/>
          <w:sz w:val="16"/>
          <w:szCs w:val="16"/>
          <w:lang w:bidi="en-US"/>
        </w:rPr>
        <w:t>par. 271</w:t>
      </w:r>
      <w:r w:rsidRPr="006351DA">
        <w:rPr>
          <w:rFonts w:ascii="Cambria" w:hAnsi="Cambria"/>
          <w:sz w:val="16"/>
          <w:szCs w:val="16"/>
          <w:lang w:bidi="en-US"/>
        </w:rPr>
        <w:t xml:space="preserve">; y, </w:t>
      </w:r>
      <w:r w:rsidRPr="006351DA">
        <w:rPr>
          <w:rFonts w:ascii="Cambria" w:hAnsi="Cambria"/>
          <w:sz w:val="16"/>
          <w:szCs w:val="16"/>
        </w:rPr>
        <w:t xml:space="preserve">Caso Bueno Alves Vs Argentina. </w:t>
      </w:r>
      <w:r w:rsidR="002150B7">
        <w:rPr>
          <w:rFonts w:ascii="Cambria" w:hAnsi="Cambria"/>
          <w:sz w:val="16"/>
          <w:szCs w:val="16"/>
        </w:rPr>
        <w:t>Mérito</w:t>
      </w:r>
      <w:r w:rsidRPr="006351DA">
        <w:rPr>
          <w:rFonts w:ascii="Cambria" w:hAnsi="Cambria"/>
          <w:sz w:val="16"/>
          <w:szCs w:val="16"/>
        </w:rPr>
        <w:t xml:space="preserve">, Reparações e </w:t>
      </w:r>
      <w:r w:rsidR="002150B7">
        <w:rPr>
          <w:rFonts w:ascii="Cambria" w:hAnsi="Cambria"/>
          <w:sz w:val="16"/>
          <w:szCs w:val="16"/>
        </w:rPr>
        <w:t>Custas</w:t>
      </w:r>
      <w:r w:rsidRPr="006351DA">
        <w:rPr>
          <w:rFonts w:ascii="Cambria" w:hAnsi="Cambria"/>
          <w:sz w:val="16"/>
          <w:szCs w:val="16"/>
        </w:rPr>
        <w:t>. Senten</w:t>
      </w:r>
      <w:r w:rsidR="00940607">
        <w:rPr>
          <w:rFonts w:ascii="Cambria" w:hAnsi="Cambria"/>
          <w:sz w:val="16"/>
          <w:szCs w:val="16"/>
        </w:rPr>
        <w:t>ç</w:t>
      </w:r>
      <w:r w:rsidRPr="006351DA">
        <w:rPr>
          <w:rFonts w:ascii="Cambria" w:hAnsi="Cambria"/>
          <w:sz w:val="16"/>
          <w:szCs w:val="16"/>
        </w:rPr>
        <w:t xml:space="preserve">a de 11 de maio de 2007. Série C Nº164, par. 76. </w:t>
      </w:r>
    </w:p>
  </w:footnote>
  <w:footnote w:id="133">
    <w:p w14:paraId="0E37E9A5" w14:textId="77777777"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CIDH. Relatório sobre os direitos humanos das pessoas privadas de liberdade nas Américas. OEA/Ser.L/V/II. Doc.64. 31 dezembro 201. par. 335.</w:t>
      </w:r>
    </w:p>
  </w:footnote>
  <w:footnote w:id="134">
    <w:p w14:paraId="120B21C8" w14:textId="7EBFEFA9" w:rsidR="00D25674" w:rsidRPr="006351DA" w:rsidRDefault="00D25674" w:rsidP="00D25674">
      <w:pPr>
        <w:jc w:val="both"/>
        <w:rPr>
          <w:rFonts w:ascii="Cambria" w:hAnsi="Cambria"/>
          <w:sz w:val="16"/>
          <w:szCs w:val="16"/>
        </w:rPr>
      </w:pPr>
      <w:r w:rsidRPr="006351DA">
        <w:rPr>
          <w:rStyle w:val="FootnoteReference"/>
          <w:rFonts w:ascii="Cambria" w:hAnsi="Cambria"/>
          <w:sz w:val="16"/>
          <w:szCs w:val="16"/>
        </w:rPr>
        <w:footnoteRef/>
      </w:r>
      <w:r w:rsidRPr="006351DA">
        <w:rPr>
          <w:rFonts w:ascii="Cambria" w:hAnsi="Cambria"/>
          <w:sz w:val="16"/>
          <w:szCs w:val="16"/>
        </w:rPr>
        <w:t xml:space="preserve"> Corte IDH. Caso Bueno Alves Vs Argentina, </w:t>
      </w:r>
      <w:r w:rsidR="002150B7">
        <w:rPr>
          <w:rFonts w:ascii="Cambria" w:hAnsi="Cambria"/>
          <w:sz w:val="16"/>
          <w:szCs w:val="16"/>
        </w:rPr>
        <w:t>Mérito</w:t>
      </w:r>
      <w:r w:rsidRPr="006351DA">
        <w:rPr>
          <w:rFonts w:ascii="Cambria" w:hAnsi="Cambria"/>
          <w:sz w:val="16"/>
          <w:szCs w:val="16"/>
        </w:rPr>
        <w:t xml:space="preserve">, Reparações e </w:t>
      </w:r>
      <w:r w:rsidR="002150B7">
        <w:rPr>
          <w:rFonts w:ascii="Cambria" w:hAnsi="Cambria"/>
          <w:sz w:val="16"/>
          <w:szCs w:val="16"/>
        </w:rPr>
        <w:t>Custas</w:t>
      </w:r>
      <w:r w:rsidRPr="006351DA">
        <w:rPr>
          <w:rFonts w:ascii="Cambria" w:hAnsi="Cambria"/>
          <w:sz w:val="16"/>
          <w:szCs w:val="16"/>
        </w:rPr>
        <w:t xml:space="preserve">. Sentença de 11 de maio de 2007. Série C Nº164. par. 79; </w:t>
      </w:r>
      <w:r w:rsidRPr="006351DA">
        <w:rPr>
          <w:rFonts w:ascii="Cambria" w:hAnsi="Cambria" w:cs="Open Sans"/>
          <w:sz w:val="16"/>
          <w:szCs w:val="16"/>
          <w:shd w:val="clear" w:color="auto" w:fill="FFFFFF"/>
        </w:rPr>
        <w:t>Corte IDH. Caso L</w:t>
      </w:r>
      <w:r w:rsidR="006B3DCE">
        <w:rPr>
          <w:rFonts w:ascii="Cambria" w:hAnsi="Cambria" w:cs="Open Sans"/>
          <w:sz w:val="16"/>
          <w:szCs w:val="16"/>
          <w:shd w:val="clear" w:color="auto" w:fill="FFFFFF"/>
        </w:rPr>
        <w:t>ó</w:t>
      </w:r>
      <w:r w:rsidRPr="006351DA">
        <w:rPr>
          <w:rFonts w:ascii="Cambria" w:hAnsi="Cambria" w:cs="Open Sans"/>
          <w:sz w:val="16"/>
          <w:szCs w:val="16"/>
          <w:shd w:val="clear" w:color="auto" w:fill="FFFFFF"/>
        </w:rPr>
        <w:t xml:space="preserve">pez Soto e outros Vs. Venezuela. </w:t>
      </w:r>
      <w:r w:rsidR="002150B7">
        <w:rPr>
          <w:rFonts w:ascii="Cambria" w:hAnsi="Cambria" w:cs="Open Sans"/>
          <w:sz w:val="16"/>
          <w:szCs w:val="16"/>
          <w:shd w:val="clear" w:color="auto" w:fill="FFFFFF"/>
        </w:rPr>
        <w:t>Mérito</w:t>
      </w:r>
      <w:r w:rsidRPr="006351DA">
        <w:rPr>
          <w:rFonts w:ascii="Cambria" w:hAnsi="Cambria" w:cs="Open Sans"/>
          <w:sz w:val="16"/>
          <w:szCs w:val="16"/>
          <w:shd w:val="clear" w:color="auto" w:fill="FFFFFF"/>
        </w:rPr>
        <w:t xml:space="preserve">, Reparações e </w:t>
      </w:r>
      <w:r w:rsidR="002150B7">
        <w:rPr>
          <w:rFonts w:ascii="Cambria" w:hAnsi="Cambria" w:cs="Open Sans"/>
          <w:sz w:val="16"/>
          <w:szCs w:val="16"/>
          <w:shd w:val="clear" w:color="auto" w:fill="FFFFFF"/>
        </w:rPr>
        <w:t>Custas</w:t>
      </w:r>
      <w:r w:rsidRPr="006351DA">
        <w:rPr>
          <w:rFonts w:ascii="Cambria" w:hAnsi="Cambria" w:cs="Open Sans"/>
          <w:sz w:val="16"/>
          <w:szCs w:val="16"/>
          <w:shd w:val="clear" w:color="auto" w:fill="FFFFFF"/>
        </w:rPr>
        <w:t xml:space="preserve">. Sentença de 26 de setembro de 2018. Série C Nº 362, </w:t>
      </w:r>
      <w:r w:rsidRPr="006351DA">
        <w:rPr>
          <w:rFonts w:ascii="Cambria" w:hAnsi="Cambria"/>
          <w:sz w:val="16"/>
          <w:szCs w:val="16"/>
        </w:rPr>
        <w:t>par. 186</w:t>
      </w:r>
    </w:p>
  </w:footnote>
  <w:footnote w:id="135">
    <w:p w14:paraId="501BAA08" w14:textId="27D07842"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CIDH. Acesso a serviços de saúde materna </w:t>
      </w:r>
      <w:r w:rsidR="001606D1">
        <w:rPr>
          <w:color w:val="auto"/>
          <w:lang w:val="pt-BR"/>
        </w:rPr>
        <w:t>sob</w:t>
      </w:r>
      <w:r w:rsidRPr="006351DA">
        <w:rPr>
          <w:color w:val="auto"/>
          <w:lang w:val="pt-BR"/>
        </w:rPr>
        <w:t xml:space="preserve"> uma perspectiva de direitos humanos. OEA/Ser.L/V/II. Doc. 69</w:t>
      </w:r>
      <w:r w:rsidRPr="006351DA">
        <w:rPr>
          <w:color w:val="auto"/>
          <w:lang w:val="pt-BR"/>
        </w:rPr>
        <w:br/>
        <w:t>7 junho 2010, par. 2</w:t>
      </w:r>
    </w:p>
  </w:footnote>
  <w:footnote w:id="136">
    <w:p w14:paraId="5056CD79" w14:textId="31FF18E7" w:rsidR="00D25674" w:rsidRPr="006351DA" w:rsidRDefault="00D25674" w:rsidP="00D25674">
      <w:pPr>
        <w:pStyle w:val="FootnoteText"/>
        <w:ind w:firstLine="0"/>
        <w:rPr>
          <w:bCs/>
          <w:color w:val="auto"/>
          <w:lang w:val="pt-BR"/>
        </w:rPr>
      </w:pPr>
      <w:r w:rsidRPr="006351DA">
        <w:rPr>
          <w:rStyle w:val="FootnoteReference"/>
          <w:bCs/>
          <w:color w:val="auto"/>
          <w:lang w:val="pt-BR"/>
        </w:rPr>
        <w:footnoteRef/>
      </w:r>
      <w:r w:rsidRPr="006351DA">
        <w:rPr>
          <w:bCs/>
          <w:color w:val="auto"/>
          <w:lang w:val="pt-BR"/>
        </w:rPr>
        <w:t xml:space="preserve"> Corte IDH, Caso do P</w:t>
      </w:r>
      <w:r w:rsidR="001606D1">
        <w:rPr>
          <w:bCs/>
          <w:color w:val="auto"/>
          <w:lang w:val="pt-BR"/>
        </w:rPr>
        <w:t>r</w:t>
      </w:r>
      <w:r w:rsidRPr="006351DA">
        <w:rPr>
          <w:bCs/>
          <w:color w:val="auto"/>
          <w:lang w:val="pt-BR"/>
        </w:rPr>
        <w:t>e</w:t>
      </w:r>
      <w:r w:rsidR="001606D1">
        <w:rPr>
          <w:bCs/>
          <w:color w:val="auto"/>
          <w:lang w:val="pt-BR"/>
        </w:rPr>
        <w:t>sídio</w:t>
      </w:r>
      <w:r w:rsidRPr="006351DA">
        <w:rPr>
          <w:bCs/>
          <w:color w:val="auto"/>
          <w:lang w:val="pt-BR"/>
        </w:rPr>
        <w:t xml:space="preserve"> Miguel Castro Castro Vs. Peru, par. 303.</w:t>
      </w:r>
    </w:p>
  </w:footnote>
  <w:footnote w:id="137">
    <w:p w14:paraId="2D156942" w14:textId="77777777" w:rsidR="00D25674" w:rsidRPr="006351DA" w:rsidRDefault="00D25674" w:rsidP="00D25674">
      <w:pPr>
        <w:pStyle w:val="FootnoteText"/>
        <w:ind w:firstLine="0"/>
        <w:rPr>
          <w:bCs/>
          <w:color w:val="auto"/>
          <w:lang w:val="pt-BR"/>
        </w:rPr>
      </w:pPr>
      <w:r w:rsidRPr="006351DA">
        <w:rPr>
          <w:rStyle w:val="FootnoteReference"/>
          <w:bCs/>
          <w:color w:val="auto"/>
          <w:lang w:val="pt-BR"/>
        </w:rPr>
        <w:footnoteRef/>
      </w:r>
      <w:r w:rsidRPr="006351DA">
        <w:rPr>
          <w:rStyle w:val="FootnoteReference"/>
          <w:bCs/>
          <w:color w:val="auto"/>
          <w:lang w:val="pt-BR"/>
        </w:rPr>
        <w:t xml:space="preserve"> </w:t>
      </w:r>
      <w:r w:rsidRPr="006351DA">
        <w:rPr>
          <w:bCs/>
          <w:color w:val="auto"/>
          <w:lang w:val="pt-BR"/>
        </w:rPr>
        <w:t>Corte IDH. Assunto Centro Penitenciário da Região Andina a respeito da Venezuela. Solicitação de Medidas Provisórias. Resolução da Corte Interamericana de Direitos Humanos de 6 de setembro de 2012, par. 14.</w:t>
      </w:r>
    </w:p>
  </w:footnote>
  <w:footnote w:id="138">
    <w:p w14:paraId="2973DBB3" w14:textId="231AD87F"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Corte IDH. Caso Gelman Vs. Uruguai. </w:t>
      </w:r>
      <w:r w:rsidR="002150B7">
        <w:rPr>
          <w:color w:val="auto"/>
          <w:lang w:val="pt-BR"/>
        </w:rPr>
        <w:t>Mérito</w:t>
      </w:r>
      <w:r w:rsidRPr="006351DA">
        <w:rPr>
          <w:color w:val="auto"/>
          <w:lang w:val="pt-BR"/>
        </w:rPr>
        <w:t xml:space="preserve"> e Reparações. Sentença de 24 de fevereiro de 2011. Série C Nº 221, par. 97</w:t>
      </w:r>
    </w:p>
  </w:footnote>
  <w:footnote w:id="139">
    <w:p w14:paraId="5CC029E2" w14:textId="39F52649"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Corte IDH. Caso Gelman Vs. Uruguai. </w:t>
      </w:r>
      <w:r w:rsidR="002150B7">
        <w:rPr>
          <w:color w:val="auto"/>
          <w:lang w:val="pt-BR"/>
        </w:rPr>
        <w:t>Mérito</w:t>
      </w:r>
      <w:r w:rsidRPr="006351DA">
        <w:rPr>
          <w:color w:val="auto"/>
          <w:lang w:val="pt-BR"/>
        </w:rPr>
        <w:t xml:space="preserve"> e Reparações. Sentença de 24 de fevereiro de 2011. Série C Nº 221, par. 97</w:t>
      </w:r>
    </w:p>
  </w:footnote>
  <w:footnote w:id="140">
    <w:p w14:paraId="5313A45C" w14:textId="4F83C72D" w:rsidR="00D25674" w:rsidRPr="006351DA" w:rsidRDefault="00D25674" w:rsidP="00D25674">
      <w:pPr>
        <w:jc w:val="both"/>
        <w:rPr>
          <w:rFonts w:ascii="Cambria" w:hAnsi="Cambria" w:cs="Calibri"/>
          <w:bCs/>
          <w:sz w:val="16"/>
          <w:szCs w:val="16"/>
        </w:rPr>
      </w:pPr>
      <w:r w:rsidRPr="006351DA">
        <w:rPr>
          <w:rStyle w:val="FootnoteReference"/>
          <w:rFonts w:ascii="Cambria" w:hAnsi="Cambria" w:cs="Calibri"/>
          <w:bCs/>
          <w:sz w:val="16"/>
          <w:szCs w:val="16"/>
        </w:rPr>
        <w:footnoteRef/>
      </w:r>
      <w:r w:rsidRPr="006351DA">
        <w:rPr>
          <w:rFonts w:ascii="Cambria" w:hAnsi="Cambria" w:cs="Calibri"/>
          <w:bCs/>
          <w:sz w:val="16"/>
          <w:szCs w:val="16"/>
        </w:rPr>
        <w:t xml:space="preserve"> ONU, </w:t>
      </w:r>
      <w:hyperlink r:id="rId2" w:history="1">
        <w:r w:rsidRPr="006351DA">
          <w:rPr>
            <w:rStyle w:val="Hyperlink"/>
            <w:rFonts w:eastAsia="Cambria" w:cs="Calibri"/>
            <w:sz w:val="16"/>
            <w:szCs w:val="16"/>
          </w:rPr>
          <w:t>Regras das Nações Unidas para o tratamento d</w:t>
        </w:r>
        <w:r w:rsidR="00F01582">
          <w:rPr>
            <w:rStyle w:val="Hyperlink"/>
            <w:rFonts w:eastAsia="Cambria" w:cs="Calibri"/>
            <w:sz w:val="16"/>
            <w:szCs w:val="16"/>
          </w:rPr>
          <w:t>e mulheres pres</w:t>
        </w:r>
        <w:r w:rsidRPr="006351DA">
          <w:rPr>
            <w:rStyle w:val="Hyperlink"/>
            <w:rFonts w:eastAsia="Cambria" w:cs="Calibri"/>
            <w:sz w:val="16"/>
            <w:szCs w:val="16"/>
          </w:rPr>
          <w:t xml:space="preserve">as e medidas não privativas da liberdade para mulheres </w:t>
        </w:r>
        <w:r w:rsidR="00F01582">
          <w:rPr>
            <w:rStyle w:val="Hyperlink"/>
            <w:rFonts w:eastAsia="Cambria" w:cs="Calibri"/>
            <w:sz w:val="16"/>
            <w:szCs w:val="16"/>
          </w:rPr>
          <w:t>infratoras</w:t>
        </w:r>
        <w:r w:rsidRPr="006351DA">
          <w:rPr>
            <w:rStyle w:val="Hyperlink"/>
            <w:rFonts w:eastAsia="Cambria" w:cs="Calibri"/>
            <w:sz w:val="16"/>
            <w:szCs w:val="16"/>
          </w:rPr>
          <w:t xml:space="preserve"> (Regras de Bangkok),</w:t>
        </w:r>
      </w:hyperlink>
      <w:r w:rsidRPr="006351DA">
        <w:rPr>
          <w:rFonts w:ascii="Cambria" w:hAnsi="Cambria" w:cs="Calibri"/>
          <w:bCs/>
          <w:sz w:val="16"/>
          <w:szCs w:val="16"/>
        </w:rPr>
        <w:t xml:space="preserve"> Resolução A/RES/65/229, 16 de março de 2011, Regra  42.2</w:t>
      </w:r>
    </w:p>
  </w:footnote>
  <w:footnote w:id="141">
    <w:p w14:paraId="33952E6C" w14:textId="77777777" w:rsidR="00D25674" w:rsidRPr="006351DA" w:rsidRDefault="00D25674" w:rsidP="00D25674">
      <w:pPr>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Parlamento Europeu, </w:t>
      </w:r>
      <w:hyperlink r:id="rId3" w:history="1">
        <w:r w:rsidRPr="006351DA">
          <w:rPr>
            <w:rStyle w:val="Hyperlink"/>
            <w:rFonts w:eastAsia="Cambria"/>
            <w:sz w:val="16"/>
            <w:szCs w:val="16"/>
          </w:rPr>
          <w:t>Resolução sobre a situação especial das mulheres nos centros penitenciários e as repercussões do encarceramento dos pais sobre a vida social e familiar</w:t>
        </w:r>
      </w:hyperlink>
      <w:r w:rsidRPr="006351DA">
        <w:rPr>
          <w:rFonts w:ascii="Cambria" w:hAnsi="Cambria"/>
          <w:bCs/>
          <w:sz w:val="16"/>
          <w:szCs w:val="16"/>
        </w:rPr>
        <w:t>, 2007/2116(INI), Cláusula D, 13 de março de 2008.</w:t>
      </w:r>
    </w:p>
  </w:footnote>
  <w:footnote w:id="142">
    <w:p w14:paraId="7D22A645" w14:textId="1D043F01" w:rsidR="00D25674" w:rsidRPr="006351DA" w:rsidRDefault="00D25674" w:rsidP="00D25674">
      <w:pPr>
        <w:jc w:val="both"/>
        <w:rPr>
          <w:rFonts w:ascii="Cambria" w:hAnsi="Cambria" w:cs="Calibri"/>
          <w:bCs/>
          <w:sz w:val="16"/>
          <w:szCs w:val="16"/>
        </w:rPr>
      </w:pPr>
      <w:r w:rsidRPr="006351DA">
        <w:rPr>
          <w:rStyle w:val="FootnoteReference"/>
          <w:rFonts w:ascii="Cambria" w:hAnsi="Cambria" w:cs="Calibri"/>
          <w:bCs/>
          <w:sz w:val="16"/>
          <w:szCs w:val="16"/>
        </w:rPr>
        <w:footnoteRef/>
      </w:r>
      <w:r w:rsidRPr="006351DA">
        <w:rPr>
          <w:rFonts w:ascii="Cambria" w:hAnsi="Cambria" w:cs="Calibri"/>
          <w:bCs/>
          <w:sz w:val="16"/>
          <w:szCs w:val="16"/>
        </w:rPr>
        <w:t xml:space="preserve"> ONU, </w:t>
      </w:r>
      <w:hyperlink r:id="rId4" w:history="1">
        <w:r w:rsidRPr="006351DA">
          <w:rPr>
            <w:rStyle w:val="Hyperlink"/>
            <w:rFonts w:eastAsia="Cambria" w:cs="Calibri"/>
            <w:sz w:val="16"/>
            <w:szCs w:val="16"/>
          </w:rPr>
          <w:t xml:space="preserve">Regras </w:t>
        </w:r>
        <w:r w:rsidR="00F01582" w:rsidRPr="00F01582">
          <w:rPr>
            <w:rStyle w:val="Hyperlink"/>
            <w:rFonts w:eastAsia="Cambria" w:cs="Calibri"/>
            <w:sz w:val="16"/>
            <w:szCs w:val="16"/>
          </w:rPr>
          <w:t xml:space="preserve">das Nações Unidas para o tratamento de mulheres presas e medidas não privativas da liberdade para mulheres infratoras </w:t>
        </w:r>
        <w:r w:rsidRPr="006351DA">
          <w:rPr>
            <w:rStyle w:val="Hyperlink"/>
            <w:rFonts w:eastAsia="Cambria" w:cs="Calibri"/>
            <w:sz w:val="16"/>
            <w:szCs w:val="16"/>
          </w:rPr>
          <w:t>(Regras de Bangkok),</w:t>
        </w:r>
      </w:hyperlink>
      <w:r w:rsidRPr="006351DA">
        <w:rPr>
          <w:rFonts w:ascii="Cambria" w:hAnsi="Cambria" w:cs="Calibri"/>
          <w:bCs/>
          <w:sz w:val="16"/>
          <w:szCs w:val="16"/>
        </w:rPr>
        <w:t xml:space="preserve"> Resolução A/RES/65/229, 16 de março de 2011, Regra  42.3</w:t>
      </w:r>
    </w:p>
  </w:footnote>
  <w:footnote w:id="143">
    <w:p w14:paraId="35519862" w14:textId="77777777" w:rsidR="00D25674" w:rsidRPr="006351DA" w:rsidRDefault="00D25674" w:rsidP="00D25674">
      <w:pPr>
        <w:jc w:val="both"/>
        <w:rPr>
          <w:rFonts w:ascii="Cambria" w:hAnsi="Cambria" w:cs="Calibri"/>
          <w:bCs/>
          <w:sz w:val="16"/>
          <w:szCs w:val="16"/>
        </w:rPr>
      </w:pPr>
      <w:r w:rsidRPr="006351DA">
        <w:rPr>
          <w:rStyle w:val="FootnoteReference"/>
          <w:rFonts w:ascii="Cambria" w:hAnsi="Cambria" w:cs="Calibri"/>
          <w:bCs/>
          <w:sz w:val="16"/>
          <w:szCs w:val="16"/>
        </w:rPr>
        <w:footnoteRef/>
      </w:r>
      <w:r w:rsidRPr="006351DA">
        <w:rPr>
          <w:rFonts w:ascii="Cambria" w:hAnsi="Cambria" w:cs="Calibri"/>
          <w:bCs/>
          <w:sz w:val="16"/>
          <w:szCs w:val="16"/>
        </w:rPr>
        <w:t xml:space="preserve"> UNODC, </w:t>
      </w:r>
      <w:hyperlink r:id="rId5" w:history="1">
        <w:r w:rsidRPr="006351DA">
          <w:rPr>
            <w:rStyle w:val="Hyperlink"/>
            <w:rFonts w:eastAsia="Cambria" w:cs="Calibri"/>
            <w:sz w:val="16"/>
            <w:szCs w:val="16"/>
          </w:rPr>
          <w:t>Manual sobre mulheres e encarceramento</w:t>
        </w:r>
      </w:hyperlink>
      <w:r w:rsidRPr="006351DA">
        <w:rPr>
          <w:rFonts w:ascii="Cambria" w:hAnsi="Cambria" w:cs="Calibri"/>
          <w:bCs/>
          <w:sz w:val="16"/>
          <w:szCs w:val="16"/>
        </w:rPr>
        <w:t xml:space="preserve">. Série de manuais de justiça penal, 2ª edição, 2014, p. 85. </w:t>
      </w:r>
    </w:p>
  </w:footnote>
  <w:footnote w:id="144">
    <w:p w14:paraId="164FB00F" w14:textId="77777777" w:rsidR="00D25674" w:rsidRPr="006351DA" w:rsidRDefault="00D25674" w:rsidP="00D25674">
      <w:pPr>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Parlamento Europeu, </w:t>
      </w:r>
      <w:hyperlink r:id="rId6" w:history="1">
        <w:r w:rsidRPr="006351DA">
          <w:rPr>
            <w:rStyle w:val="Hyperlink"/>
            <w:rFonts w:eastAsia="Cambria"/>
            <w:sz w:val="16"/>
            <w:szCs w:val="16"/>
          </w:rPr>
          <w:t>Resolução do Parlamento Europeu, de 13 de março de 2008, sobre a situação especial das mulheres nos centros penitenciários e as repercussões do encarceramento dos pais sobre a vida social e familiar</w:t>
        </w:r>
      </w:hyperlink>
      <w:r w:rsidRPr="006351DA">
        <w:rPr>
          <w:rFonts w:ascii="Cambria" w:hAnsi="Cambria"/>
          <w:bCs/>
          <w:sz w:val="16"/>
          <w:szCs w:val="16"/>
        </w:rPr>
        <w:t>, 2007/2116(INI), par. 14, 13 de março de 2008.</w:t>
      </w:r>
    </w:p>
  </w:footnote>
  <w:footnote w:id="145">
    <w:p w14:paraId="0A21FBBB" w14:textId="5A33ECB4" w:rsidR="00D25674" w:rsidRPr="006351DA" w:rsidRDefault="00D25674" w:rsidP="00D25674">
      <w:pPr>
        <w:jc w:val="both"/>
        <w:rPr>
          <w:rFonts w:ascii="Cambria" w:hAnsi="Cambria" w:cs="Calibri"/>
          <w:bCs/>
          <w:sz w:val="16"/>
          <w:szCs w:val="16"/>
        </w:rPr>
      </w:pPr>
      <w:r w:rsidRPr="006351DA">
        <w:rPr>
          <w:rStyle w:val="FootnoteReference"/>
          <w:rFonts w:ascii="Cambria" w:hAnsi="Cambria" w:cs="Calibri"/>
          <w:bCs/>
          <w:sz w:val="16"/>
          <w:szCs w:val="16"/>
        </w:rPr>
        <w:footnoteRef/>
      </w:r>
      <w:r w:rsidRPr="006351DA">
        <w:rPr>
          <w:rFonts w:ascii="Cambria" w:hAnsi="Cambria" w:cs="Calibri"/>
          <w:bCs/>
          <w:sz w:val="16"/>
          <w:szCs w:val="16"/>
        </w:rPr>
        <w:t xml:space="preserve"> ONU, </w:t>
      </w:r>
      <w:hyperlink r:id="rId7" w:history="1">
        <w:r w:rsidRPr="006351DA">
          <w:rPr>
            <w:rStyle w:val="Hyperlink"/>
            <w:rFonts w:eastAsia="Cambria" w:cs="Calibri"/>
            <w:sz w:val="16"/>
            <w:szCs w:val="16"/>
          </w:rPr>
          <w:t xml:space="preserve">Regras das </w:t>
        </w:r>
        <w:r w:rsidR="00F01582" w:rsidRPr="00F01582">
          <w:rPr>
            <w:rStyle w:val="Hyperlink"/>
            <w:rFonts w:eastAsia="Cambria" w:cs="Calibri"/>
            <w:sz w:val="16"/>
            <w:szCs w:val="16"/>
          </w:rPr>
          <w:t xml:space="preserve">Nações Unidas para o tratamento de mulheres presas e medidas não privativas da liberdade para mulheres infratoras </w:t>
        </w:r>
        <w:r w:rsidRPr="006351DA">
          <w:rPr>
            <w:rStyle w:val="Hyperlink"/>
            <w:rFonts w:eastAsia="Cambria" w:cs="Calibri"/>
            <w:sz w:val="16"/>
            <w:szCs w:val="16"/>
          </w:rPr>
          <w:t>(Regras de Bangkok),</w:t>
        </w:r>
      </w:hyperlink>
      <w:r w:rsidRPr="006351DA">
        <w:rPr>
          <w:rFonts w:ascii="Cambria" w:hAnsi="Cambria" w:cs="Calibri"/>
          <w:bCs/>
          <w:sz w:val="16"/>
          <w:szCs w:val="16"/>
        </w:rPr>
        <w:t xml:space="preserve"> Resolução A/RES/65/229, 16 de março de 2011, Regra  48.</w:t>
      </w:r>
    </w:p>
  </w:footnote>
  <w:footnote w:id="146">
    <w:p w14:paraId="54C2E4F6" w14:textId="5C665FBC" w:rsidR="00D25674" w:rsidRPr="006351DA" w:rsidRDefault="00D25674" w:rsidP="00D25674">
      <w:pPr>
        <w:jc w:val="both"/>
        <w:rPr>
          <w:rFonts w:ascii="Cambria" w:hAnsi="Cambria" w:cs="Calibri"/>
          <w:bCs/>
          <w:sz w:val="16"/>
          <w:szCs w:val="16"/>
        </w:rPr>
      </w:pPr>
      <w:r w:rsidRPr="006351DA">
        <w:rPr>
          <w:rStyle w:val="FootnoteReference"/>
          <w:rFonts w:ascii="Cambria" w:hAnsi="Cambria" w:cs="Calibri"/>
          <w:bCs/>
          <w:sz w:val="16"/>
          <w:szCs w:val="16"/>
        </w:rPr>
        <w:footnoteRef/>
      </w:r>
      <w:r w:rsidRPr="006351DA">
        <w:rPr>
          <w:rFonts w:ascii="Cambria" w:hAnsi="Cambria" w:cs="Calibri"/>
          <w:bCs/>
          <w:sz w:val="16"/>
          <w:szCs w:val="16"/>
        </w:rPr>
        <w:t xml:space="preserve"> ONU, </w:t>
      </w:r>
      <w:hyperlink r:id="rId8" w:history="1">
        <w:r w:rsidRPr="006351DA">
          <w:rPr>
            <w:rStyle w:val="Hyperlink"/>
            <w:rFonts w:eastAsia="Cambria" w:cs="Calibri"/>
            <w:sz w:val="16"/>
            <w:szCs w:val="16"/>
          </w:rPr>
          <w:t xml:space="preserve">Regras </w:t>
        </w:r>
        <w:r w:rsidR="00F01582" w:rsidRPr="00F01582">
          <w:rPr>
            <w:rStyle w:val="Hyperlink"/>
            <w:rFonts w:eastAsia="Cambria" w:cs="Calibri"/>
            <w:sz w:val="16"/>
            <w:szCs w:val="16"/>
          </w:rPr>
          <w:t xml:space="preserve">das Nações Unidas para o tratamento de mulheres presas e medidas não privativas da liberdade para mulheres infratoras </w:t>
        </w:r>
        <w:r w:rsidRPr="006351DA">
          <w:rPr>
            <w:rStyle w:val="Hyperlink"/>
            <w:rFonts w:eastAsia="Cambria" w:cs="Calibri"/>
            <w:sz w:val="16"/>
            <w:szCs w:val="16"/>
          </w:rPr>
          <w:t>(Regras de Bangkok),</w:t>
        </w:r>
      </w:hyperlink>
      <w:r w:rsidRPr="006351DA">
        <w:rPr>
          <w:rFonts w:ascii="Cambria" w:hAnsi="Cambria" w:cs="Calibri"/>
          <w:bCs/>
          <w:sz w:val="16"/>
          <w:szCs w:val="16"/>
        </w:rPr>
        <w:t xml:space="preserve"> Resolução A/RES/65/229, 16 de março de 2011, Regra  48.</w:t>
      </w:r>
    </w:p>
  </w:footnote>
  <w:footnote w:id="147">
    <w:p w14:paraId="53D69BC4" w14:textId="7092F67C" w:rsidR="00D25674" w:rsidRPr="006351DA" w:rsidRDefault="00D25674" w:rsidP="00D25674">
      <w:pPr>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A provisão gratuit</w:t>
      </w:r>
      <w:r w:rsidR="00612B96">
        <w:rPr>
          <w:rFonts w:ascii="Cambria" w:hAnsi="Cambria"/>
          <w:bCs/>
          <w:sz w:val="16"/>
          <w:szCs w:val="16"/>
        </w:rPr>
        <w:t>a</w:t>
      </w:r>
      <w:r w:rsidRPr="006351DA">
        <w:rPr>
          <w:rFonts w:ascii="Cambria" w:hAnsi="Cambria"/>
          <w:bCs/>
          <w:sz w:val="16"/>
          <w:szCs w:val="16"/>
        </w:rPr>
        <w:t xml:space="preserve"> também foi indicada p</w:t>
      </w:r>
      <w:r w:rsidR="00612B96">
        <w:rPr>
          <w:rFonts w:ascii="Cambria" w:hAnsi="Cambria"/>
          <w:bCs/>
          <w:sz w:val="16"/>
          <w:szCs w:val="16"/>
        </w:rPr>
        <w:t>elo</w:t>
      </w:r>
      <w:r w:rsidRPr="006351DA">
        <w:rPr>
          <w:rFonts w:ascii="Cambria" w:hAnsi="Cambria"/>
          <w:bCs/>
          <w:sz w:val="16"/>
          <w:szCs w:val="16"/>
        </w:rPr>
        <w:t xml:space="preserve"> </w:t>
      </w:r>
      <w:r w:rsidRPr="006351DA">
        <w:rPr>
          <w:rFonts w:ascii="Cambria" w:hAnsi="Cambria" w:cs="TimesNewRoman,Bold"/>
          <w:bCs/>
          <w:sz w:val="16"/>
          <w:szCs w:val="16"/>
        </w:rPr>
        <w:t xml:space="preserve">UNODC. Ver UNODC, </w:t>
      </w:r>
      <w:hyperlink r:id="rId9" w:history="1">
        <w:r w:rsidRPr="006351DA">
          <w:rPr>
            <w:rStyle w:val="Hyperlink"/>
            <w:rFonts w:eastAsia="Cambria" w:cs="TimesNewRoman,Bold"/>
            <w:sz w:val="16"/>
            <w:szCs w:val="16"/>
          </w:rPr>
          <w:t>Manual sobre mulheres e encarceramento</w:t>
        </w:r>
      </w:hyperlink>
      <w:r w:rsidRPr="006351DA">
        <w:rPr>
          <w:rFonts w:ascii="Cambria" w:hAnsi="Cambria" w:cs="TimesNewRoman,Bold"/>
          <w:bCs/>
          <w:sz w:val="16"/>
          <w:szCs w:val="16"/>
        </w:rPr>
        <w:t xml:space="preserve">. Série de manuais de justiça penal, 2ª edição, 2014, p. 85. </w:t>
      </w:r>
    </w:p>
  </w:footnote>
  <w:footnote w:id="148">
    <w:p w14:paraId="6B228558" w14:textId="60ACA8CE" w:rsidR="00D25674" w:rsidRPr="006351DA" w:rsidRDefault="00D25674" w:rsidP="00D25674">
      <w:pPr>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ONU, </w:t>
      </w:r>
      <w:hyperlink r:id="rId10" w:history="1">
        <w:r w:rsidRPr="006351DA">
          <w:rPr>
            <w:rStyle w:val="Hyperlink"/>
            <w:rFonts w:eastAsia="Cambria"/>
            <w:sz w:val="16"/>
            <w:szCs w:val="16"/>
          </w:rPr>
          <w:t xml:space="preserve">Regras </w:t>
        </w:r>
        <w:r w:rsidR="00F01582" w:rsidRPr="00F01582">
          <w:rPr>
            <w:rStyle w:val="Hyperlink"/>
            <w:rFonts w:eastAsia="Cambria"/>
            <w:sz w:val="16"/>
            <w:szCs w:val="16"/>
          </w:rPr>
          <w:t xml:space="preserve">das Nações Unidas para o tratamento de mulheres presas e medidas não privativas da liberdade para mulheres infratoras </w:t>
        </w:r>
        <w:r w:rsidRPr="006351DA">
          <w:rPr>
            <w:rStyle w:val="Hyperlink"/>
            <w:rFonts w:eastAsia="Cambria"/>
            <w:sz w:val="16"/>
            <w:szCs w:val="16"/>
          </w:rPr>
          <w:t>(Regras de Bangkok),</w:t>
        </w:r>
      </w:hyperlink>
      <w:r w:rsidRPr="006351DA">
        <w:rPr>
          <w:rFonts w:ascii="Cambria" w:hAnsi="Cambria"/>
          <w:bCs/>
          <w:sz w:val="16"/>
          <w:szCs w:val="16"/>
        </w:rPr>
        <w:t xml:space="preserve"> Resolução A/RES/65/229, 16 de março de 2011, Regra  48.</w:t>
      </w:r>
    </w:p>
  </w:footnote>
  <w:footnote w:id="149">
    <w:p w14:paraId="26626453" w14:textId="77777777" w:rsidR="00D25674" w:rsidRPr="006351DA" w:rsidRDefault="00D25674" w:rsidP="00D25674">
      <w:pPr>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Parlamento Europeu, </w:t>
      </w:r>
      <w:hyperlink r:id="rId11" w:history="1">
        <w:r w:rsidRPr="006351DA">
          <w:rPr>
            <w:rStyle w:val="Hyperlink"/>
            <w:rFonts w:eastAsia="Cambria"/>
            <w:sz w:val="16"/>
            <w:szCs w:val="16"/>
          </w:rPr>
          <w:t>Resolução sobre a situação especial das mulheres nos centros penitenciários e as repercussões do encarceramento dos pais sobre a vida social e familiar</w:t>
        </w:r>
      </w:hyperlink>
      <w:r w:rsidRPr="006351DA">
        <w:rPr>
          <w:rFonts w:ascii="Cambria" w:hAnsi="Cambria"/>
          <w:bCs/>
          <w:sz w:val="16"/>
          <w:szCs w:val="16"/>
        </w:rPr>
        <w:t>, 2007/2116(INI), Cláusula D, 13 de março de 2008</w:t>
      </w:r>
    </w:p>
  </w:footnote>
  <w:footnote w:id="150">
    <w:p w14:paraId="27AF9899" w14:textId="09EE938E" w:rsidR="00D25674" w:rsidRPr="006351DA" w:rsidRDefault="00D25674" w:rsidP="00D25674">
      <w:pPr>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ONU, </w:t>
      </w:r>
      <w:hyperlink r:id="rId12" w:history="1">
        <w:r w:rsidRPr="006351DA">
          <w:rPr>
            <w:rStyle w:val="Hyperlink"/>
            <w:rFonts w:eastAsia="Cambria"/>
            <w:sz w:val="16"/>
            <w:szCs w:val="16"/>
          </w:rPr>
          <w:t xml:space="preserve">Regras </w:t>
        </w:r>
        <w:r w:rsidR="00F01582" w:rsidRPr="00F01582">
          <w:rPr>
            <w:rStyle w:val="Hyperlink"/>
            <w:rFonts w:eastAsia="Cambria"/>
            <w:sz w:val="16"/>
            <w:szCs w:val="16"/>
          </w:rPr>
          <w:t xml:space="preserve">das Nações Unidas para o tratamento de mulheres presas e medidas não privativas da liberdade para mulheres infratoras </w:t>
        </w:r>
        <w:r w:rsidRPr="006351DA">
          <w:rPr>
            <w:rStyle w:val="Hyperlink"/>
            <w:rFonts w:eastAsia="Cambria"/>
            <w:sz w:val="16"/>
            <w:szCs w:val="16"/>
          </w:rPr>
          <w:t>(Regras de Bangkok),</w:t>
        </w:r>
      </w:hyperlink>
      <w:r w:rsidRPr="006351DA">
        <w:rPr>
          <w:rFonts w:ascii="Cambria" w:hAnsi="Cambria"/>
          <w:bCs/>
          <w:sz w:val="16"/>
          <w:szCs w:val="16"/>
        </w:rPr>
        <w:t xml:space="preserve"> Resolução A/RES/65/229, 16 de março de 2011, Regra  48.</w:t>
      </w:r>
    </w:p>
  </w:footnote>
  <w:footnote w:id="151">
    <w:p w14:paraId="167DF442" w14:textId="77777777" w:rsidR="00D25674" w:rsidRPr="006351DA" w:rsidRDefault="00D25674" w:rsidP="00D25674">
      <w:pPr>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w:t>
      </w:r>
      <w:r w:rsidRPr="006351DA">
        <w:rPr>
          <w:rFonts w:ascii="Cambria" w:hAnsi="Cambria" w:cs="TimesNewRoman,Bold"/>
          <w:bCs/>
          <w:sz w:val="16"/>
          <w:szCs w:val="16"/>
        </w:rPr>
        <w:t xml:space="preserve">UNODC, </w:t>
      </w:r>
      <w:hyperlink r:id="rId13" w:history="1">
        <w:r w:rsidRPr="006351DA">
          <w:rPr>
            <w:rStyle w:val="Hyperlink"/>
            <w:rFonts w:eastAsia="Cambria" w:cs="TimesNewRoman,Bold"/>
            <w:sz w:val="16"/>
            <w:szCs w:val="16"/>
          </w:rPr>
          <w:t>Manual sobre mulheres e encarceramento</w:t>
        </w:r>
      </w:hyperlink>
      <w:r w:rsidRPr="006351DA">
        <w:rPr>
          <w:rFonts w:ascii="Cambria" w:hAnsi="Cambria" w:cs="TimesNewRoman,Bold"/>
          <w:bCs/>
          <w:sz w:val="16"/>
          <w:szCs w:val="16"/>
        </w:rPr>
        <w:t xml:space="preserve">. Série de manuais de justiça penal, 2ª edição, 2014, p. 85. </w:t>
      </w:r>
    </w:p>
  </w:footnote>
  <w:footnote w:id="152">
    <w:p w14:paraId="7910572C" w14:textId="13949C55" w:rsidR="00D25674" w:rsidRPr="006351DA" w:rsidRDefault="00D25674" w:rsidP="00D25674">
      <w:pPr>
        <w:pStyle w:val="FootnoteText"/>
        <w:ind w:firstLine="0"/>
        <w:rPr>
          <w:bCs/>
          <w:color w:val="auto"/>
          <w:lang w:val="pt-BR"/>
        </w:rPr>
      </w:pPr>
      <w:r w:rsidRPr="006351DA">
        <w:rPr>
          <w:rStyle w:val="FootnoteReference"/>
          <w:bCs/>
          <w:color w:val="auto"/>
          <w:lang w:val="pt-BR"/>
        </w:rPr>
        <w:footnoteRef/>
      </w:r>
      <w:r w:rsidRPr="006351DA">
        <w:rPr>
          <w:bCs/>
          <w:color w:val="auto"/>
          <w:lang w:val="pt-BR"/>
        </w:rPr>
        <w:t xml:space="preserve"> </w:t>
      </w:r>
      <w:r w:rsidRPr="006351DA">
        <w:rPr>
          <w:bCs/>
          <w:color w:val="auto"/>
          <w:shd w:val="clear" w:color="auto" w:fill="FFFFFF"/>
          <w:lang w:val="pt-BR"/>
        </w:rPr>
        <w:t xml:space="preserve">Corte IDH. Caso Chinchilla Sandoval e outros Vs. Guatemala. Exceção Preliminar, </w:t>
      </w:r>
      <w:r w:rsidR="002150B7">
        <w:rPr>
          <w:bCs/>
          <w:color w:val="auto"/>
          <w:shd w:val="clear" w:color="auto" w:fill="FFFFFF"/>
          <w:lang w:val="pt-BR"/>
        </w:rPr>
        <w:t>Mérito</w:t>
      </w:r>
      <w:r w:rsidRPr="006351DA">
        <w:rPr>
          <w:bCs/>
          <w:color w:val="auto"/>
          <w:shd w:val="clear" w:color="auto" w:fill="FFFFFF"/>
          <w:lang w:val="pt-BR"/>
        </w:rPr>
        <w:t xml:space="preserve">, Reparações e </w:t>
      </w:r>
      <w:r w:rsidR="002150B7">
        <w:rPr>
          <w:bCs/>
          <w:color w:val="auto"/>
          <w:shd w:val="clear" w:color="auto" w:fill="FFFFFF"/>
          <w:lang w:val="pt-BR"/>
        </w:rPr>
        <w:t>Custas</w:t>
      </w:r>
      <w:r w:rsidRPr="006351DA">
        <w:rPr>
          <w:bCs/>
          <w:color w:val="auto"/>
          <w:shd w:val="clear" w:color="auto" w:fill="FFFFFF"/>
          <w:lang w:val="pt-BR"/>
        </w:rPr>
        <w:t>. Sentença de 29 de fevereiro de 2016. Série C Nº 312.</w:t>
      </w:r>
      <w:r w:rsidRPr="006351DA">
        <w:rPr>
          <w:bCs/>
          <w:color w:val="auto"/>
          <w:lang w:val="pt-BR"/>
        </w:rPr>
        <w:t xml:space="preserve"> Par. 177.</w:t>
      </w:r>
    </w:p>
  </w:footnote>
  <w:footnote w:id="153">
    <w:p w14:paraId="02ED32F7" w14:textId="359617F0" w:rsidR="00D25674" w:rsidRPr="006351DA" w:rsidRDefault="00D25674" w:rsidP="00D25674">
      <w:pPr>
        <w:pStyle w:val="FootnoteText"/>
        <w:ind w:firstLine="0"/>
        <w:rPr>
          <w:bCs/>
          <w:color w:val="auto"/>
          <w:lang w:val="pt-BR"/>
        </w:rPr>
      </w:pPr>
      <w:r w:rsidRPr="006351DA">
        <w:rPr>
          <w:rStyle w:val="FootnoteReference"/>
          <w:bCs/>
          <w:color w:val="auto"/>
          <w:lang w:val="pt-BR"/>
        </w:rPr>
        <w:footnoteRef/>
      </w:r>
      <w:r w:rsidRPr="006351DA">
        <w:rPr>
          <w:bCs/>
          <w:color w:val="auto"/>
          <w:lang w:val="pt-BR"/>
        </w:rPr>
        <w:t xml:space="preserve"> </w:t>
      </w:r>
      <w:r w:rsidRPr="006351DA">
        <w:rPr>
          <w:bCs/>
          <w:color w:val="auto"/>
          <w:shd w:val="clear" w:color="auto" w:fill="FFFFFF"/>
          <w:lang w:val="pt-BR"/>
        </w:rPr>
        <w:t xml:space="preserve">Corte IDH. Caso Chinchilla Sandoval e outros Vs. Guatemala. Exceção Preliminar, </w:t>
      </w:r>
      <w:r w:rsidR="002150B7">
        <w:rPr>
          <w:bCs/>
          <w:color w:val="auto"/>
          <w:shd w:val="clear" w:color="auto" w:fill="FFFFFF"/>
          <w:lang w:val="pt-BR"/>
        </w:rPr>
        <w:t>Mérito</w:t>
      </w:r>
      <w:r w:rsidRPr="006351DA">
        <w:rPr>
          <w:bCs/>
          <w:color w:val="auto"/>
          <w:shd w:val="clear" w:color="auto" w:fill="FFFFFF"/>
          <w:lang w:val="pt-BR"/>
        </w:rPr>
        <w:t xml:space="preserve">, Reparações e </w:t>
      </w:r>
      <w:r w:rsidR="002150B7">
        <w:rPr>
          <w:bCs/>
          <w:color w:val="auto"/>
          <w:shd w:val="clear" w:color="auto" w:fill="FFFFFF"/>
          <w:lang w:val="pt-BR"/>
        </w:rPr>
        <w:t>Custas</w:t>
      </w:r>
      <w:r w:rsidRPr="006351DA">
        <w:rPr>
          <w:bCs/>
          <w:color w:val="auto"/>
          <w:shd w:val="clear" w:color="auto" w:fill="FFFFFF"/>
          <w:lang w:val="pt-BR"/>
        </w:rPr>
        <w:t>. Sentença de 29 de fevereiro de 2016. Série C Nº 312.</w:t>
      </w:r>
      <w:r w:rsidRPr="006351DA">
        <w:rPr>
          <w:bCs/>
          <w:color w:val="auto"/>
          <w:lang w:val="pt-BR"/>
        </w:rPr>
        <w:t xml:space="preserve"> Par. 189.</w:t>
      </w:r>
    </w:p>
  </w:footnote>
  <w:footnote w:id="154">
    <w:p w14:paraId="60C8EA7F" w14:textId="736FC069" w:rsidR="00D25674" w:rsidRPr="006351DA" w:rsidRDefault="00D25674" w:rsidP="00D25674">
      <w:pPr>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CIDH,  </w:t>
      </w:r>
      <w:hyperlink r:id="rId14" w:history="1">
        <w:r w:rsidRPr="006351DA">
          <w:rPr>
            <w:rStyle w:val="Hyperlink"/>
            <w:rFonts w:eastAsia="Cambria"/>
            <w:sz w:val="16"/>
            <w:szCs w:val="16"/>
          </w:rPr>
          <w:t>Princípios e Boas Práticas sobre a Proteção das Pessoas Privadas de Liberdade nas Américas</w:t>
        </w:r>
      </w:hyperlink>
      <w:r w:rsidRPr="006351DA">
        <w:rPr>
          <w:rFonts w:ascii="Cambria" w:hAnsi="Cambria"/>
          <w:bCs/>
          <w:sz w:val="16"/>
          <w:szCs w:val="16"/>
        </w:rPr>
        <w:t>, OEA/Ser/L/V/II.131, Documento aprovado pela Comissão em seu 131º período ordinário de sessões</w:t>
      </w:r>
      <w:r w:rsidR="009612D9">
        <w:rPr>
          <w:rFonts w:ascii="Cambria" w:hAnsi="Cambria"/>
          <w:bCs/>
          <w:sz w:val="16"/>
          <w:szCs w:val="16"/>
        </w:rPr>
        <w:t>,</w:t>
      </w:r>
      <w:r w:rsidRPr="006351DA">
        <w:rPr>
          <w:rFonts w:ascii="Cambria" w:hAnsi="Cambria"/>
          <w:bCs/>
          <w:sz w:val="16"/>
          <w:szCs w:val="16"/>
        </w:rPr>
        <w:t xml:space="preserve"> </w:t>
      </w:r>
      <w:r w:rsidR="009612D9">
        <w:rPr>
          <w:rFonts w:ascii="Cambria" w:hAnsi="Cambria"/>
          <w:bCs/>
          <w:sz w:val="16"/>
          <w:szCs w:val="16"/>
        </w:rPr>
        <w:t>realiz</w:t>
      </w:r>
      <w:r w:rsidRPr="006351DA">
        <w:rPr>
          <w:rFonts w:ascii="Cambria" w:hAnsi="Cambria"/>
          <w:bCs/>
          <w:sz w:val="16"/>
          <w:szCs w:val="16"/>
        </w:rPr>
        <w:t xml:space="preserve">ado de 3 a 14 de março de 2008. Princípios X  Saúde, e XII Albergue, condições de higiene e vestimenta; </w:t>
      </w:r>
      <w:r w:rsidRPr="006351DA">
        <w:rPr>
          <w:rFonts w:ascii="Cambria" w:hAnsi="Cambria" w:cs="TimesNewRoman,Bold"/>
          <w:bCs/>
          <w:sz w:val="16"/>
          <w:szCs w:val="16"/>
        </w:rPr>
        <w:t xml:space="preserve">ONU, </w:t>
      </w:r>
      <w:hyperlink r:id="rId15" w:history="1">
        <w:r w:rsidRPr="006351DA">
          <w:rPr>
            <w:rStyle w:val="Hyperlink"/>
            <w:rFonts w:eastAsia="Cambria" w:cs="TimesNewRoman,Bold"/>
            <w:sz w:val="16"/>
            <w:szCs w:val="16"/>
          </w:rPr>
          <w:t>Regras Mínimas das Nações Unidas para o Tratamento d</w:t>
        </w:r>
        <w:r w:rsidR="009612D9">
          <w:rPr>
            <w:rStyle w:val="Hyperlink"/>
            <w:rFonts w:eastAsia="Cambria" w:cs="TimesNewRoman,Bold"/>
            <w:sz w:val="16"/>
            <w:szCs w:val="16"/>
          </w:rPr>
          <w:t>e</w:t>
        </w:r>
        <w:r w:rsidRPr="006351DA">
          <w:rPr>
            <w:rStyle w:val="Hyperlink"/>
            <w:rFonts w:eastAsia="Cambria" w:cs="TimesNewRoman,Bold"/>
            <w:sz w:val="16"/>
            <w:szCs w:val="16"/>
          </w:rPr>
          <w:t xml:space="preserve"> </w:t>
        </w:r>
        <w:r w:rsidR="009612D9">
          <w:rPr>
            <w:rStyle w:val="Hyperlink"/>
            <w:rFonts w:eastAsia="Cambria" w:cs="TimesNewRoman,Bold"/>
            <w:sz w:val="16"/>
            <w:szCs w:val="16"/>
          </w:rPr>
          <w:t>Reclus</w:t>
        </w:r>
        <w:r w:rsidRPr="006351DA">
          <w:rPr>
            <w:rStyle w:val="Hyperlink"/>
            <w:rFonts w:eastAsia="Cambria" w:cs="TimesNewRoman,Bold"/>
            <w:sz w:val="16"/>
            <w:szCs w:val="16"/>
          </w:rPr>
          <w:t xml:space="preserve">os (Regras </w:t>
        </w:r>
        <w:r w:rsidR="009612D9">
          <w:rPr>
            <w:rStyle w:val="Hyperlink"/>
            <w:rFonts w:eastAsia="Cambria" w:cs="TimesNewRoman,Bold"/>
            <w:sz w:val="16"/>
            <w:szCs w:val="16"/>
          </w:rPr>
          <w:t xml:space="preserve">de </w:t>
        </w:r>
        <w:r w:rsidRPr="006351DA">
          <w:rPr>
            <w:rStyle w:val="Hyperlink"/>
            <w:rFonts w:eastAsia="Cambria" w:cs="TimesNewRoman,Bold"/>
            <w:sz w:val="16"/>
            <w:szCs w:val="16"/>
          </w:rPr>
          <w:t>Mandela)</w:t>
        </w:r>
      </w:hyperlink>
      <w:r w:rsidRPr="006351DA">
        <w:rPr>
          <w:rFonts w:ascii="Cambria" w:hAnsi="Cambria" w:cs="TimesNewRoman,Bold"/>
          <w:bCs/>
          <w:sz w:val="16"/>
          <w:szCs w:val="16"/>
        </w:rPr>
        <w:t xml:space="preserve">, </w:t>
      </w:r>
      <w:r w:rsidRPr="006351DA">
        <w:rPr>
          <w:rFonts w:ascii="Cambria" w:hAnsi="Cambria" w:cs="TimesNewRoman"/>
          <w:bCs/>
          <w:sz w:val="16"/>
          <w:szCs w:val="16"/>
        </w:rPr>
        <w:t xml:space="preserve">E/CN.15/2015/L.6/Rev.1, 21 de maio de 2015, Regra 28, e </w:t>
      </w:r>
      <w:r w:rsidRPr="006351DA">
        <w:rPr>
          <w:rFonts w:ascii="Cambria" w:hAnsi="Cambria"/>
          <w:bCs/>
          <w:sz w:val="16"/>
          <w:szCs w:val="16"/>
        </w:rPr>
        <w:t xml:space="preserve">Parlamento Europeu, </w:t>
      </w:r>
      <w:hyperlink r:id="rId16" w:history="1">
        <w:r w:rsidRPr="006351DA">
          <w:rPr>
            <w:rStyle w:val="Hyperlink"/>
            <w:rFonts w:eastAsia="Cambria"/>
            <w:sz w:val="16"/>
            <w:szCs w:val="16"/>
          </w:rPr>
          <w:t>Resolução sobre a situação especial das mulheres nos centros penitenciários e as repercussões da encarceramento dos pais sobre a vida social e familiar</w:t>
        </w:r>
      </w:hyperlink>
      <w:r w:rsidRPr="006351DA">
        <w:rPr>
          <w:rFonts w:ascii="Cambria" w:hAnsi="Cambria"/>
          <w:bCs/>
          <w:sz w:val="16"/>
          <w:szCs w:val="16"/>
        </w:rPr>
        <w:t>, 2007/2116(INI), Cláusula D, 13 de março de 2008.</w:t>
      </w:r>
    </w:p>
  </w:footnote>
  <w:footnote w:id="155">
    <w:p w14:paraId="16D8EFE5" w14:textId="77777777" w:rsidR="00D25674" w:rsidRPr="006351DA" w:rsidRDefault="00D25674" w:rsidP="00D25674">
      <w:pPr>
        <w:tabs>
          <w:tab w:val="left" w:pos="1080"/>
        </w:tabs>
        <w:jc w:val="both"/>
        <w:rPr>
          <w:rFonts w:ascii="Cambria" w:hAnsi="Cambria"/>
          <w:bCs/>
          <w:noProof/>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Comitê de Ministros do Conselho de Europa, </w:t>
      </w:r>
      <w:hyperlink r:id="rId17" w:history="1">
        <w:r w:rsidRPr="006351DA">
          <w:rPr>
            <w:rStyle w:val="Hyperlink"/>
            <w:rFonts w:eastAsia="Cambria"/>
            <w:noProof/>
            <w:sz w:val="16"/>
            <w:szCs w:val="16"/>
          </w:rPr>
          <w:t>Recommendation CM/Rec(2018)5 concerning children with imprisoned parents</w:t>
        </w:r>
      </w:hyperlink>
      <w:r w:rsidRPr="006351DA">
        <w:rPr>
          <w:rFonts w:ascii="Cambria" w:hAnsi="Cambria"/>
          <w:bCs/>
          <w:noProof/>
          <w:sz w:val="16"/>
          <w:szCs w:val="16"/>
        </w:rPr>
        <w:t>, 4 de abril de 2018.</w:t>
      </w:r>
    </w:p>
  </w:footnote>
  <w:footnote w:id="156">
    <w:p w14:paraId="1B77E1EF" w14:textId="6A0AA59E" w:rsidR="00D25674" w:rsidRPr="006351DA" w:rsidRDefault="00D25674" w:rsidP="00D25674">
      <w:pPr>
        <w:jc w:val="both"/>
        <w:rPr>
          <w:rFonts w:ascii="Cambria" w:hAnsi="Cambria"/>
          <w:bCs/>
          <w:noProof/>
          <w:sz w:val="16"/>
          <w:szCs w:val="16"/>
        </w:rPr>
      </w:pPr>
      <w:r w:rsidRPr="006351DA">
        <w:rPr>
          <w:rStyle w:val="FootnoteReference"/>
          <w:rFonts w:ascii="Cambria" w:hAnsi="Cambria"/>
          <w:bCs/>
          <w:noProof/>
          <w:sz w:val="16"/>
          <w:szCs w:val="16"/>
        </w:rPr>
        <w:footnoteRef/>
      </w:r>
      <w:r w:rsidRPr="006351DA">
        <w:rPr>
          <w:rFonts w:ascii="Cambria" w:hAnsi="Cambria"/>
          <w:bCs/>
          <w:noProof/>
          <w:sz w:val="16"/>
          <w:szCs w:val="16"/>
        </w:rPr>
        <w:t xml:space="preserve"> ONU, </w:t>
      </w:r>
      <w:hyperlink r:id="rId18" w:history="1">
        <w:r w:rsidRPr="006351DA">
          <w:rPr>
            <w:rStyle w:val="Hyperlink"/>
            <w:rFonts w:eastAsia="Cambria"/>
            <w:noProof/>
            <w:sz w:val="16"/>
            <w:szCs w:val="16"/>
          </w:rPr>
          <w:t xml:space="preserve">Regras </w:t>
        </w:r>
        <w:r w:rsidR="005F7ED8" w:rsidRPr="005F7ED8">
          <w:rPr>
            <w:rStyle w:val="Hyperlink"/>
            <w:rFonts w:eastAsia="Cambria"/>
            <w:noProof/>
            <w:sz w:val="16"/>
            <w:szCs w:val="16"/>
          </w:rPr>
          <w:t xml:space="preserve">das Nações Unidas para o tratamento de mulheres presas e medidas não privativas da liberdade para mulheres infratoras </w:t>
        </w:r>
        <w:r w:rsidRPr="006351DA">
          <w:rPr>
            <w:rStyle w:val="Hyperlink"/>
            <w:rFonts w:eastAsia="Cambria"/>
            <w:noProof/>
            <w:sz w:val="16"/>
            <w:szCs w:val="16"/>
          </w:rPr>
          <w:t>(Regras de Bangkok),</w:t>
        </w:r>
      </w:hyperlink>
      <w:r w:rsidRPr="006351DA">
        <w:rPr>
          <w:rFonts w:ascii="Cambria" w:hAnsi="Cambria"/>
          <w:bCs/>
          <w:noProof/>
          <w:sz w:val="16"/>
          <w:szCs w:val="16"/>
        </w:rPr>
        <w:t xml:space="preserve"> Resolução A/RES/65/229, 16 de março de 2011, Regra  42.</w:t>
      </w:r>
    </w:p>
  </w:footnote>
  <w:footnote w:id="157">
    <w:p w14:paraId="61235B13" w14:textId="10A7DCFC" w:rsidR="00D25674" w:rsidRPr="0027362F" w:rsidRDefault="00D25674" w:rsidP="00D25674">
      <w:pPr>
        <w:jc w:val="both"/>
        <w:rPr>
          <w:rFonts w:ascii="Cambria" w:hAnsi="Cambria"/>
          <w:bCs/>
          <w:sz w:val="16"/>
          <w:szCs w:val="16"/>
          <w:lang w:val="en-US"/>
        </w:rPr>
      </w:pPr>
      <w:r w:rsidRPr="006351DA">
        <w:rPr>
          <w:rStyle w:val="FootnoteReference"/>
          <w:rFonts w:ascii="Cambria" w:hAnsi="Cambria"/>
          <w:bCs/>
          <w:noProof/>
          <w:sz w:val="16"/>
          <w:szCs w:val="16"/>
        </w:rPr>
        <w:footnoteRef/>
      </w:r>
      <w:r w:rsidRPr="0027362F">
        <w:rPr>
          <w:rFonts w:ascii="Cambria" w:hAnsi="Cambria"/>
          <w:bCs/>
          <w:noProof/>
          <w:sz w:val="16"/>
          <w:szCs w:val="16"/>
          <w:lang w:val="en-US"/>
        </w:rPr>
        <w:t xml:space="preserve"> Solicitação </w:t>
      </w:r>
      <w:r w:rsidR="009612D9" w:rsidRPr="0027362F">
        <w:rPr>
          <w:rFonts w:ascii="Cambria" w:hAnsi="Cambria"/>
          <w:bCs/>
          <w:noProof/>
          <w:sz w:val="16"/>
          <w:szCs w:val="16"/>
          <w:lang w:val="en-US"/>
        </w:rPr>
        <w:t>Parecer</w:t>
      </w:r>
      <w:r w:rsidRPr="0027362F">
        <w:rPr>
          <w:rFonts w:ascii="Cambria" w:hAnsi="Cambria"/>
          <w:bCs/>
          <w:noProof/>
          <w:sz w:val="16"/>
          <w:szCs w:val="16"/>
          <w:lang w:val="en-US"/>
        </w:rPr>
        <w:t xml:space="preserve"> Consultiv</w:t>
      </w:r>
      <w:r w:rsidR="009612D9" w:rsidRPr="0027362F">
        <w:rPr>
          <w:rFonts w:ascii="Cambria" w:hAnsi="Cambria"/>
          <w:bCs/>
          <w:noProof/>
          <w:sz w:val="16"/>
          <w:szCs w:val="16"/>
          <w:lang w:val="en-US"/>
        </w:rPr>
        <w:t>o</w:t>
      </w:r>
      <w:r w:rsidRPr="0027362F">
        <w:rPr>
          <w:rFonts w:ascii="Cambria" w:hAnsi="Cambria"/>
          <w:bCs/>
          <w:noProof/>
          <w:sz w:val="16"/>
          <w:szCs w:val="16"/>
          <w:lang w:val="en-US"/>
        </w:rPr>
        <w:t xml:space="preserve">, par. 22. Neste sentido, ver The Prison Birth Project and Prisoners’ Legal Services of Massachusetts, </w:t>
      </w:r>
      <w:hyperlink r:id="rId19" w:history="1">
        <w:r w:rsidRPr="0027362F">
          <w:rPr>
            <w:rStyle w:val="Hyperlink"/>
            <w:rFonts w:eastAsia="Cambria"/>
            <w:noProof/>
            <w:sz w:val="16"/>
            <w:szCs w:val="16"/>
            <w:lang w:val="en-US"/>
          </w:rPr>
          <w:t>Breaking Promises: Violations Of The Massachusetts Pregnancy Standards &amp; Anti-Shackling Law</w:t>
        </w:r>
      </w:hyperlink>
      <w:r w:rsidRPr="0027362F">
        <w:rPr>
          <w:rFonts w:ascii="Cambria" w:hAnsi="Cambria"/>
          <w:bCs/>
          <w:sz w:val="16"/>
          <w:szCs w:val="16"/>
          <w:lang w:val="en-US"/>
        </w:rPr>
        <w:t xml:space="preserve">, 2016, p. 2. </w:t>
      </w:r>
    </w:p>
  </w:footnote>
  <w:footnote w:id="158">
    <w:p w14:paraId="2469CC29" w14:textId="1960117B" w:rsidR="00D25674" w:rsidRPr="006351DA" w:rsidRDefault="00D25674" w:rsidP="00D25674">
      <w:pPr>
        <w:pStyle w:val="FootnoteText"/>
        <w:ind w:firstLine="0"/>
        <w:rPr>
          <w:bCs/>
          <w:color w:val="auto"/>
          <w:lang w:val="pt-BR"/>
        </w:rPr>
      </w:pPr>
      <w:r w:rsidRPr="006351DA">
        <w:rPr>
          <w:rStyle w:val="FootnoteReference"/>
          <w:bCs/>
          <w:color w:val="auto"/>
          <w:lang w:val="pt-BR"/>
        </w:rPr>
        <w:footnoteRef/>
      </w:r>
      <w:r w:rsidRPr="006351DA">
        <w:rPr>
          <w:bCs/>
          <w:color w:val="auto"/>
          <w:lang w:val="pt-BR"/>
        </w:rPr>
        <w:t xml:space="preserve"> Em particular, a CIDH destacou as seguintes </w:t>
      </w:r>
      <w:r w:rsidR="009612D9">
        <w:rPr>
          <w:bCs/>
          <w:color w:val="auto"/>
          <w:lang w:val="pt-BR"/>
        </w:rPr>
        <w:t>viol</w:t>
      </w:r>
      <w:r w:rsidRPr="006351DA">
        <w:rPr>
          <w:bCs/>
          <w:color w:val="auto"/>
          <w:lang w:val="pt-BR"/>
        </w:rPr>
        <w:t>ações: i) a falta de reconhecimento pelo pessoal médico penitenciário quando começa o trabalho de parto; ii) par</w:t>
      </w:r>
      <w:r w:rsidR="009E7FD4">
        <w:rPr>
          <w:bCs/>
          <w:color w:val="auto"/>
          <w:lang w:val="pt-BR"/>
        </w:rPr>
        <w:t>to</w:t>
      </w:r>
      <w:r w:rsidRPr="006351DA">
        <w:rPr>
          <w:bCs/>
          <w:color w:val="auto"/>
          <w:lang w:val="pt-BR"/>
        </w:rPr>
        <w:t xml:space="preserve"> nas prisões em condições anti-higiênicas e sem assistência especializada, e iii) utilização de grilhões. A CIDH assinalou que geralmente </w:t>
      </w:r>
      <w:r w:rsidR="009612D9">
        <w:rPr>
          <w:bCs/>
          <w:color w:val="auto"/>
          <w:lang w:val="pt-BR"/>
        </w:rPr>
        <w:t>ocorrem</w:t>
      </w:r>
      <w:r w:rsidRPr="006351DA">
        <w:rPr>
          <w:bCs/>
          <w:color w:val="auto"/>
          <w:lang w:val="pt-BR"/>
        </w:rPr>
        <w:t xml:space="preserve"> falhas na identificação de quando uma mulher entra em trabalho de parto devido à falta de capacitação do pessoal neste sentido. Solicitação de </w:t>
      </w:r>
      <w:r w:rsidR="009612D9">
        <w:rPr>
          <w:bCs/>
          <w:color w:val="auto"/>
          <w:lang w:val="pt-BR"/>
        </w:rPr>
        <w:t>Parecer</w:t>
      </w:r>
      <w:r w:rsidRPr="006351DA">
        <w:rPr>
          <w:bCs/>
          <w:color w:val="auto"/>
          <w:lang w:val="pt-BR"/>
        </w:rPr>
        <w:t xml:space="preserve"> Consultiv</w:t>
      </w:r>
      <w:r w:rsidR="009612D9">
        <w:rPr>
          <w:bCs/>
          <w:color w:val="auto"/>
          <w:lang w:val="pt-BR"/>
        </w:rPr>
        <w:t>o</w:t>
      </w:r>
      <w:r w:rsidRPr="006351DA">
        <w:rPr>
          <w:bCs/>
          <w:color w:val="auto"/>
          <w:lang w:val="pt-BR"/>
        </w:rPr>
        <w:t xml:space="preserve">, par. 26. </w:t>
      </w:r>
    </w:p>
  </w:footnote>
  <w:footnote w:id="159">
    <w:p w14:paraId="09C9F5B9" w14:textId="77777777" w:rsidR="00D25674" w:rsidRPr="006351DA" w:rsidRDefault="00D25674" w:rsidP="00D25674">
      <w:pPr>
        <w:autoSpaceDE w:val="0"/>
        <w:autoSpaceDN w:val="0"/>
        <w:adjustRightInd w:val="0"/>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w:t>
      </w:r>
      <w:r w:rsidRPr="006351DA">
        <w:rPr>
          <w:rFonts w:ascii="Cambria" w:hAnsi="Cambria" w:cs="Tahoma"/>
          <w:bCs/>
          <w:sz w:val="16"/>
          <w:szCs w:val="16"/>
        </w:rPr>
        <w:t>Comitê dos Direitos Humanos, Observação Geral 28 sobre a igualdade de direitos entre homens e mulheres, Par. 15, U.N. Doc. HRI/GEN/1/Rev.7 em 153 (2004).</w:t>
      </w:r>
    </w:p>
  </w:footnote>
  <w:footnote w:id="160">
    <w:p w14:paraId="23E46FDC" w14:textId="7039E565" w:rsidR="00D25674" w:rsidRPr="006351DA" w:rsidRDefault="00D25674" w:rsidP="00D25674">
      <w:pPr>
        <w:pStyle w:val="FootnoteText"/>
        <w:ind w:firstLine="0"/>
        <w:rPr>
          <w:bCs/>
          <w:color w:val="auto"/>
          <w:lang w:val="pt-BR"/>
        </w:rPr>
      </w:pPr>
      <w:r w:rsidRPr="006351DA">
        <w:rPr>
          <w:rStyle w:val="FootnoteReference"/>
          <w:bCs/>
          <w:color w:val="auto"/>
          <w:lang w:val="pt-BR"/>
        </w:rPr>
        <w:footnoteRef/>
      </w:r>
      <w:r w:rsidRPr="006351DA">
        <w:rPr>
          <w:bCs/>
          <w:color w:val="auto"/>
          <w:lang w:val="pt-BR"/>
        </w:rPr>
        <w:t xml:space="preserve"> CIDH,  </w:t>
      </w:r>
      <w:hyperlink r:id="rId20" w:history="1">
        <w:r w:rsidRPr="006351DA">
          <w:rPr>
            <w:rStyle w:val="Hyperlink"/>
            <w:color w:val="auto"/>
            <w:lang w:val="pt-BR"/>
          </w:rPr>
          <w:t>Princípios e Boas Práticas sobre a Proteção das Pessoas Privadas de Liberdade nas Américas</w:t>
        </w:r>
      </w:hyperlink>
      <w:r w:rsidRPr="006351DA">
        <w:rPr>
          <w:bCs/>
          <w:color w:val="auto"/>
          <w:lang w:val="pt-BR"/>
        </w:rPr>
        <w:t xml:space="preserve">, OEA/Ser/L/V/II.131, Documento aprovado pela Comissão em seu 131º período ordinário de sessões </w:t>
      </w:r>
      <w:r w:rsidR="00A74C86">
        <w:rPr>
          <w:bCs/>
          <w:color w:val="auto"/>
          <w:lang w:val="pt-BR"/>
        </w:rPr>
        <w:t>realiz</w:t>
      </w:r>
      <w:r w:rsidRPr="006351DA">
        <w:rPr>
          <w:bCs/>
          <w:color w:val="auto"/>
          <w:lang w:val="pt-BR"/>
        </w:rPr>
        <w:t xml:space="preserve">ado de 3 a 14 de março de 2008, Princípio X Saúde. </w:t>
      </w:r>
    </w:p>
  </w:footnote>
  <w:footnote w:id="161">
    <w:p w14:paraId="0DA40080" w14:textId="7A64F89C" w:rsidR="00D25674" w:rsidRPr="006351DA" w:rsidRDefault="00D25674" w:rsidP="00D25674">
      <w:pPr>
        <w:tabs>
          <w:tab w:val="left" w:pos="1080"/>
        </w:tabs>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CIDH,  </w:t>
      </w:r>
      <w:hyperlink r:id="rId21" w:history="1">
        <w:r w:rsidRPr="006351DA">
          <w:rPr>
            <w:rStyle w:val="Hyperlink"/>
            <w:rFonts w:eastAsia="Cambria"/>
            <w:sz w:val="16"/>
            <w:szCs w:val="16"/>
          </w:rPr>
          <w:t>Princípios e Boas Práticas sobre a Proteção das Pessoas Privadas de Liberdade nas Américas</w:t>
        </w:r>
      </w:hyperlink>
      <w:r w:rsidRPr="006351DA">
        <w:rPr>
          <w:rFonts w:ascii="Cambria" w:hAnsi="Cambria"/>
          <w:bCs/>
          <w:sz w:val="16"/>
          <w:szCs w:val="16"/>
        </w:rPr>
        <w:t xml:space="preserve">, OEA/Ser/L/V/II.131, Documento aprovado pela Comissão em seu 131º período ordinário de sessões </w:t>
      </w:r>
      <w:r w:rsidR="00A74C86">
        <w:rPr>
          <w:rFonts w:ascii="Cambria" w:hAnsi="Cambria"/>
          <w:bCs/>
          <w:sz w:val="16"/>
          <w:szCs w:val="16"/>
        </w:rPr>
        <w:t>realiz</w:t>
      </w:r>
      <w:r w:rsidRPr="006351DA">
        <w:rPr>
          <w:rFonts w:ascii="Cambria" w:hAnsi="Cambria"/>
          <w:bCs/>
          <w:sz w:val="16"/>
          <w:szCs w:val="16"/>
        </w:rPr>
        <w:t xml:space="preserve">ado de 3 a 14 de março de 2008, Princípio X Saúde; </w:t>
      </w:r>
      <w:r w:rsidRPr="006351DA">
        <w:rPr>
          <w:rFonts w:ascii="Cambria" w:hAnsi="Cambria" w:cs="TimesNewRoman,Bold"/>
          <w:bCs/>
          <w:sz w:val="16"/>
          <w:szCs w:val="16"/>
        </w:rPr>
        <w:t xml:space="preserve">ONU, </w:t>
      </w:r>
      <w:hyperlink r:id="rId22" w:history="1">
        <w:r w:rsidRPr="006351DA">
          <w:rPr>
            <w:rStyle w:val="Hyperlink"/>
            <w:rFonts w:eastAsia="Cambria" w:cs="TimesNewRoman,Bold"/>
            <w:sz w:val="16"/>
            <w:szCs w:val="16"/>
          </w:rPr>
          <w:t>Regras Mínimas das Nações Unidas para o Tratamento d</w:t>
        </w:r>
        <w:r w:rsidR="00A74C86">
          <w:rPr>
            <w:rStyle w:val="Hyperlink"/>
            <w:rFonts w:eastAsia="Cambria" w:cs="TimesNewRoman,Bold"/>
            <w:sz w:val="16"/>
            <w:szCs w:val="16"/>
          </w:rPr>
          <w:t>e Reclusos</w:t>
        </w:r>
        <w:r w:rsidRPr="006351DA">
          <w:rPr>
            <w:rStyle w:val="Hyperlink"/>
            <w:rFonts w:eastAsia="Cambria" w:cs="TimesNewRoman,Bold"/>
            <w:sz w:val="16"/>
            <w:szCs w:val="16"/>
          </w:rPr>
          <w:t xml:space="preserve"> (Regras </w:t>
        </w:r>
        <w:r w:rsidR="00A74C86">
          <w:rPr>
            <w:rStyle w:val="Hyperlink"/>
            <w:rFonts w:eastAsia="Cambria" w:cs="TimesNewRoman,Bold"/>
            <w:sz w:val="16"/>
            <w:szCs w:val="16"/>
          </w:rPr>
          <w:t xml:space="preserve">de </w:t>
        </w:r>
        <w:r w:rsidRPr="006351DA">
          <w:rPr>
            <w:rStyle w:val="Hyperlink"/>
            <w:rFonts w:eastAsia="Cambria" w:cs="TimesNewRoman,Bold"/>
            <w:sz w:val="16"/>
            <w:szCs w:val="16"/>
          </w:rPr>
          <w:t>Mandela)</w:t>
        </w:r>
      </w:hyperlink>
      <w:r w:rsidRPr="006351DA">
        <w:rPr>
          <w:rFonts w:ascii="Cambria" w:hAnsi="Cambria" w:cs="TimesNewRoman,Bold"/>
          <w:bCs/>
          <w:sz w:val="16"/>
          <w:szCs w:val="16"/>
        </w:rPr>
        <w:t xml:space="preserve">, </w:t>
      </w:r>
      <w:r w:rsidRPr="006351DA">
        <w:rPr>
          <w:rFonts w:ascii="Cambria" w:hAnsi="Cambria" w:cs="TimesNewRoman"/>
          <w:bCs/>
          <w:sz w:val="16"/>
          <w:szCs w:val="16"/>
        </w:rPr>
        <w:t xml:space="preserve">E/CN.15/2015/L.6/Rev.1, 21 de maio de 2015, Regra 28, e </w:t>
      </w:r>
      <w:r w:rsidRPr="006351DA">
        <w:rPr>
          <w:rFonts w:ascii="Cambria" w:hAnsi="Cambria"/>
          <w:bCs/>
          <w:sz w:val="16"/>
          <w:szCs w:val="16"/>
        </w:rPr>
        <w:t xml:space="preserve">Comitê de Ministros do Conselho da Europa, </w:t>
      </w:r>
      <w:hyperlink r:id="rId23" w:history="1">
        <w:r w:rsidRPr="0027362F">
          <w:rPr>
            <w:rStyle w:val="Hyperlink"/>
            <w:rFonts w:eastAsia="Cambria"/>
            <w:sz w:val="16"/>
            <w:szCs w:val="16"/>
          </w:rPr>
          <w:t>Recommendation CM/Rec(2018)5 concerning children with imprisoned parents</w:t>
        </w:r>
      </w:hyperlink>
      <w:r w:rsidRPr="006351DA">
        <w:rPr>
          <w:rFonts w:ascii="Cambria" w:hAnsi="Cambria"/>
          <w:bCs/>
          <w:sz w:val="16"/>
          <w:szCs w:val="16"/>
        </w:rPr>
        <w:t xml:space="preserve">, 4 de abril de 2018. </w:t>
      </w:r>
      <w:r w:rsidRPr="006351DA">
        <w:rPr>
          <w:rFonts w:ascii="Cambria" w:hAnsi="Cambria" w:cs="TimesNewRoman"/>
          <w:bCs/>
          <w:sz w:val="16"/>
          <w:szCs w:val="16"/>
        </w:rPr>
        <w:t xml:space="preserve">Ver também </w:t>
      </w:r>
      <w:r w:rsidRPr="006351DA">
        <w:rPr>
          <w:rFonts w:ascii="Cambria" w:hAnsi="Cambria" w:cs="TimesNewRoman,Bold"/>
          <w:bCs/>
          <w:sz w:val="16"/>
          <w:szCs w:val="16"/>
        </w:rPr>
        <w:t xml:space="preserve">UNODC, </w:t>
      </w:r>
      <w:hyperlink r:id="rId24" w:history="1">
        <w:r w:rsidRPr="006351DA">
          <w:rPr>
            <w:rStyle w:val="Hyperlink"/>
            <w:rFonts w:eastAsia="Cambria" w:cs="TimesNewRoman,Bold"/>
            <w:sz w:val="16"/>
            <w:szCs w:val="16"/>
          </w:rPr>
          <w:t>Manual sobre mulheres e encarceramento</w:t>
        </w:r>
      </w:hyperlink>
      <w:r w:rsidRPr="006351DA">
        <w:rPr>
          <w:rFonts w:ascii="Cambria" w:hAnsi="Cambria" w:cs="TimesNewRoman,Bold"/>
          <w:bCs/>
          <w:sz w:val="16"/>
          <w:szCs w:val="16"/>
        </w:rPr>
        <w:t xml:space="preserve">. Série de manuais de justiça penal, 2ª edição, 2014, p. 84. </w:t>
      </w:r>
    </w:p>
  </w:footnote>
  <w:footnote w:id="162">
    <w:p w14:paraId="67B3DD1A" w14:textId="77777777" w:rsidR="00D25674" w:rsidRPr="006351DA" w:rsidRDefault="00D25674" w:rsidP="00D25674">
      <w:pPr>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w:t>
      </w:r>
      <w:r w:rsidRPr="006351DA">
        <w:rPr>
          <w:rFonts w:ascii="Cambria" w:hAnsi="Cambria" w:cs="TimesNewRoman,Bold"/>
          <w:bCs/>
          <w:sz w:val="16"/>
          <w:szCs w:val="16"/>
        </w:rPr>
        <w:t xml:space="preserve">UNODC, </w:t>
      </w:r>
      <w:hyperlink r:id="rId25" w:history="1">
        <w:r w:rsidRPr="006351DA">
          <w:rPr>
            <w:rStyle w:val="Hyperlink"/>
            <w:rFonts w:eastAsia="Cambria" w:cs="TimesNewRoman,Bold"/>
            <w:sz w:val="16"/>
            <w:szCs w:val="16"/>
          </w:rPr>
          <w:t>Manual sobre mulheres e encarceramento</w:t>
        </w:r>
      </w:hyperlink>
      <w:r w:rsidRPr="006351DA">
        <w:rPr>
          <w:rFonts w:ascii="Cambria" w:hAnsi="Cambria" w:cs="TimesNewRoman,Bold"/>
          <w:bCs/>
          <w:sz w:val="16"/>
          <w:szCs w:val="16"/>
        </w:rPr>
        <w:t>. Série de manuais de justiça penal, 2ª edição, 2014, p. 84.</w:t>
      </w:r>
    </w:p>
  </w:footnote>
  <w:footnote w:id="163">
    <w:p w14:paraId="7A362DE5" w14:textId="69BC2EBF" w:rsidR="00D25674" w:rsidRPr="006351DA" w:rsidRDefault="00D25674" w:rsidP="00D25674">
      <w:pPr>
        <w:jc w:val="both"/>
        <w:rPr>
          <w:rFonts w:ascii="Cambria" w:hAnsi="Cambria"/>
          <w:bCs/>
          <w:sz w:val="16"/>
          <w:szCs w:val="16"/>
        </w:rPr>
      </w:pPr>
      <w:r w:rsidRPr="006351DA">
        <w:rPr>
          <w:rStyle w:val="FootnoteReference"/>
          <w:rFonts w:ascii="Cambria" w:hAnsi="Cambria"/>
          <w:bCs/>
          <w:sz w:val="16"/>
          <w:szCs w:val="16"/>
        </w:rPr>
        <w:footnoteRef/>
      </w:r>
      <w:r w:rsidRPr="006351DA">
        <w:rPr>
          <w:rFonts w:ascii="Cambria" w:hAnsi="Cambria"/>
          <w:bCs/>
          <w:sz w:val="16"/>
          <w:szCs w:val="16"/>
        </w:rPr>
        <w:t xml:space="preserve"> CIDH,  </w:t>
      </w:r>
      <w:hyperlink r:id="rId26" w:history="1">
        <w:r w:rsidRPr="006351DA">
          <w:rPr>
            <w:rStyle w:val="Hyperlink"/>
            <w:rFonts w:eastAsia="Cambria"/>
            <w:sz w:val="16"/>
            <w:szCs w:val="16"/>
          </w:rPr>
          <w:t>Princípios e Boas Práticas sobre a Proteção das Pessoas Privadas de Liberdade nas Américas</w:t>
        </w:r>
      </w:hyperlink>
      <w:r w:rsidRPr="006351DA">
        <w:rPr>
          <w:rFonts w:ascii="Cambria" w:hAnsi="Cambria"/>
          <w:bCs/>
          <w:sz w:val="16"/>
          <w:szCs w:val="16"/>
        </w:rPr>
        <w:t xml:space="preserve">, OEA/Ser/L/V/II.131, Documento aprovado pela Comissão em seu 131º período ordinário de sessões </w:t>
      </w:r>
      <w:r w:rsidR="00A74C86">
        <w:rPr>
          <w:rFonts w:ascii="Cambria" w:hAnsi="Cambria"/>
          <w:bCs/>
          <w:sz w:val="16"/>
          <w:szCs w:val="16"/>
        </w:rPr>
        <w:t>realiz</w:t>
      </w:r>
      <w:r w:rsidRPr="006351DA">
        <w:rPr>
          <w:rFonts w:ascii="Cambria" w:hAnsi="Cambria"/>
          <w:bCs/>
          <w:sz w:val="16"/>
          <w:szCs w:val="16"/>
        </w:rPr>
        <w:t xml:space="preserve">ado de 3 a 14 de março de 2008, Princípio X Saúde; </w:t>
      </w:r>
      <w:r w:rsidRPr="006351DA">
        <w:rPr>
          <w:rFonts w:ascii="Cambria" w:hAnsi="Cambria" w:cs="TimesNewRoman,Bold"/>
          <w:bCs/>
          <w:sz w:val="16"/>
          <w:szCs w:val="16"/>
        </w:rPr>
        <w:t xml:space="preserve">ONU, </w:t>
      </w:r>
      <w:hyperlink r:id="rId27" w:history="1">
        <w:r w:rsidRPr="006351DA">
          <w:rPr>
            <w:rStyle w:val="Hyperlink"/>
            <w:rFonts w:eastAsia="Cambria" w:cs="TimesNewRoman,Bold"/>
            <w:sz w:val="16"/>
            <w:szCs w:val="16"/>
          </w:rPr>
          <w:t>Regras Mínimas das Nações Unidas para o Tratamento d</w:t>
        </w:r>
        <w:r w:rsidR="00A74C86">
          <w:rPr>
            <w:rStyle w:val="Hyperlink"/>
            <w:rFonts w:eastAsia="Cambria" w:cs="TimesNewRoman,Bold"/>
            <w:sz w:val="16"/>
            <w:szCs w:val="16"/>
          </w:rPr>
          <w:t>e Reclusos</w:t>
        </w:r>
        <w:r w:rsidRPr="006351DA">
          <w:rPr>
            <w:rStyle w:val="Hyperlink"/>
            <w:rFonts w:eastAsia="Cambria" w:cs="TimesNewRoman,Bold"/>
            <w:sz w:val="16"/>
            <w:szCs w:val="16"/>
          </w:rPr>
          <w:t xml:space="preserve"> (Regras </w:t>
        </w:r>
        <w:r w:rsidR="00A74C86">
          <w:rPr>
            <w:rStyle w:val="Hyperlink"/>
            <w:rFonts w:eastAsia="Cambria" w:cs="TimesNewRoman,Bold"/>
            <w:sz w:val="16"/>
            <w:szCs w:val="16"/>
          </w:rPr>
          <w:t xml:space="preserve">de </w:t>
        </w:r>
        <w:r w:rsidRPr="006351DA">
          <w:rPr>
            <w:rStyle w:val="Hyperlink"/>
            <w:rFonts w:eastAsia="Cambria" w:cs="TimesNewRoman,Bold"/>
            <w:sz w:val="16"/>
            <w:szCs w:val="16"/>
          </w:rPr>
          <w:t>Mandela)</w:t>
        </w:r>
      </w:hyperlink>
      <w:r w:rsidRPr="006351DA">
        <w:rPr>
          <w:rFonts w:ascii="Cambria" w:hAnsi="Cambria" w:cs="TimesNewRoman,Bold"/>
          <w:bCs/>
          <w:sz w:val="16"/>
          <w:szCs w:val="16"/>
        </w:rPr>
        <w:t xml:space="preserve">, </w:t>
      </w:r>
      <w:r w:rsidRPr="006351DA">
        <w:rPr>
          <w:rFonts w:ascii="Cambria" w:hAnsi="Cambria" w:cs="TimesNewRoman"/>
          <w:bCs/>
          <w:sz w:val="16"/>
          <w:szCs w:val="16"/>
        </w:rPr>
        <w:t xml:space="preserve">E/CN.15/2015/L.6/Rev.1, 21 de maio de 2015, Regra 28, e </w:t>
      </w:r>
      <w:r w:rsidRPr="006351DA">
        <w:rPr>
          <w:rFonts w:ascii="Cambria" w:hAnsi="Cambria" w:cs="TimesNewRoman,Bold"/>
          <w:bCs/>
          <w:sz w:val="16"/>
          <w:szCs w:val="16"/>
        </w:rPr>
        <w:t xml:space="preserve">UNODC, </w:t>
      </w:r>
      <w:hyperlink r:id="rId28" w:history="1">
        <w:r w:rsidRPr="006351DA">
          <w:rPr>
            <w:rStyle w:val="Hyperlink"/>
            <w:rFonts w:eastAsia="Cambria" w:cs="TimesNewRoman,Bold"/>
            <w:sz w:val="16"/>
            <w:szCs w:val="16"/>
          </w:rPr>
          <w:t>Manual sobre mulheres e encarceramento</w:t>
        </w:r>
      </w:hyperlink>
      <w:r w:rsidRPr="006351DA">
        <w:rPr>
          <w:rFonts w:ascii="Cambria" w:hAnsi="Cambria" w:cs="TimesNewRoman,Bold"/>
          <w:bCs/>
          <w:sz w:val="16"/>
          <w:szCs w:val="16"/>
        </w:rPr>
        <w:t xml:space="preserve">. Série de manuais de justiça penal, 2ª edição, 2014, p. 84. </w:t>
      </w:r>
    </w:p>
  </w:footnote>
  <w:footnote w:id="164">
    <w:p w14:paraId="0B8BA946" w14:textId="43D12F2A" w:rsidR="00D25674" w:rsidRPr="006351DA" w:rsidRDefault="00D25674" w:rsidP="00D25674">
      <w:pPr>
        <w:pStyle w:val="FootnoteText"/>
        <w:ind w:firstLine="0"/>
        <w:rPr>
          <w:bCs/>
          <w:color w:val="auto"/>
          <w:lang w:val="pt-BR"/>
        </w:rPr>
      </w:pPr>
      <w:r w:rsidRPr="006351DA">
        <w:rPr>
          <w:rStyle w:val="FootnoteReference"/>
          <w:bCs/>
          <w:color w:val="auto"/>
          <w:lang w:val="pt-BR"/>
        </w:rPr>
        <w:footnoteRef/>
      </w:r>
      <w:r w:rsidRPr="006351DA">
        <w:rPr>
          <w:bCs/>
          <w:color w:val="auto"/>
          <w:lang w:val="pt-BR"/>
        </w:rPr>
        <w:t xml:space="preserve"> </w:t>
      </w:r>
      <w:r w:rsidRPr="006351DA">
        <w:rPr>
          <w:bCs/>
          <w:color w:val="auto"/>
          <w:shd w:val="clear" w:color="auto" w:fill="FFFFFF"/>
          <w:lang w:val="pt-BR"/>
        </w:rPr>
        <w:t xml:space="preserve">Corte IDH. Caso Chinchilla Sandoval e outros Vs. Guatemala. Exceção Preliminar, </w:t>
      </w:r>
      <w:r w:rsidR="002150B7">
        <w:rPr>
          <w:bCs/>
          <w:color w:val="auto"/>
          <w:shd w:val="clear" w:color="auto" w:fill="FFFFFF"/>
          <w:lang w:val="pt-BR"/>
        </w:rPr>
        <w:t>Mérito</w:t>
      </w:r>
      <w:r w:rsidRPr="006351DA">
        <w:rPr>
          <w:bCs/>
          <w:color w:val="auto"/>
          <w:shd w:val="clear" w:color="auto" w:fill="FFFFFF"/>
          <w:lang w:val="pt-BR"/>
        </w:rPr>
        <w:t xml:space="preserve">, Reparações e </w:t>
      </w:r>
      <w:r w:rsidR="002150B7">
        <w:rPr>
          <w:bCs/>
          <w:color w:val="auto"/>
          <w:shd w:val="clear" w:color="auto" w:fill="FFFFFF"/>
          <w:lang w:val="pt-BR"/>
        </w:rPr>
        <w:t>Custas</w:t>
      </w:r>
      <w:r w:rsidRPr="006351DA">
        <w:rPr>
          <w:bCs/>
          <w:color w:val="auto"/>
          <w:shd w:val="clear" w:color="auto" w:fill="FFFFFF"/>
          <w:lang w:val="pt-BR"/>
        </w:rPr>
        <w:t>. Sentença de 29 de fevereiro de 2016. Série C Nº 312.</w:t>
      </w:r>
      <w:r w:rsidRPr="006351DA">
        <w:rPr>
          <w:bCs/>
          <w:color w:val="auto"/>
          <w:lang w:val="pt-BR"/>
        </w:rPr>
        <w:t xml:space="preserve"> Par. 244.</w:t>
      </w:r>
    </w:p>
  </w:footnote>
  <w:footnote w:id="165">
    <w:p w14:paraId="07E9984F" w14:textId="18EB5778"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w:t>
      </w:r>
      <w:r w:rsidRPr="006351DA">
        <w:rPr>
          <w:b/>
          <w:bCs/>
          <w:color w:val="auto"/>
          <w:lang w:val="pt-BR"/>
        </w:rPr>
        <w:t>Anexo 54</w:t>
      </w:r>
      <w:r w:rsidRPr="006351DA">
        <w:rPr>
          <w:color w:val="auto"/>
          <w:lang w:val="pt-BR"/>
        </w:rPr>
        <w:t xml:space="preserve">. Assembleia Legislativa do </w:t>
      </w:r>
      <w:r w:rsidR="00775908">
        <w:rPr>
          <w:color w:val="auto"/>
          <w:lang w:val="pt-BR"/>
        </w:rPr>
        <w:t>E</w:t>
      </w:r>
      <w:r w:rsidRPr="006351DA">
        <w:rPr>
          <w:color w:val="auto"/>
          <w:lang w:val="pt-BR"/>
        </w:rPr>
        <w:t>stado de São Paulo. Comissão da Verdade do Estado de São Paulo “Rubens Paiva”. Infância Roubada, Crianças atingidas pela Ditadura Militar no Brasil. São Paulo, 2014, p. 14 . Anexo à comunicação da parte peticionária de 29 de agosto de 2019</w:t>
      </w:r>
    </w:p>
  </w:footnote>
  <w:footnote w:id="166">
    <w:p w14:paraId="2784B2D1" w14:textId="77777777" w:rsidR="00D25674" w:rsidRPr="006351DA" w:rsidRDefault="00D25674" w:rsidP="00D25674">
      <w:pPr>
        <w:pStyle w:val="FootnoteText"/>
        <w:ind w:firstLine="0"/>
        <w:contextualSpacing/>
        <w:rPr>
          <w:color w:val="auto"/>
          <w:lang w:val="pt-BR"/>
        </w:rPr>
      </w:pPr>
      <w:r w:rsidRPr="006351DA">
        <w:rPr>
          <w:rStyle w:val="FootnoteReference"/>
          <w:color w:val="auto"/>
          <w:lang w:val="pt-BR"/>
        </w:rPr>
        <w:footnoteRef/>
      </w:r>
      <w:r w:rsidRPr="006351DA">
        <w:rPr>
          <w:color w:val="auto"/>
          <w:lang w:val="pt-BR"/>
        </w:rPr>
        <w:t xml:space="preserve"> </w:t>
      </w:r>
      <w:r w:rsidRPr="006351DA">
        <w:rPr>
          <w:b/>
          <w:bCs/>
          <w:color w:val="auto"/>
          <w:lang w:val="pt-BR"/>
        </w:rPr>
        <w:t>Anexo 55</w:t>
      </w:r>
      <w:r w:rsidRPr="006351DA">
        <w:rPr>
          <w:color w:val="auto"/>
          <w:lang w:val="pt-BR"/>
        </w:rPr>
        <w:t xml:space="preserve">. </w:t>
      </w:r>
      <w:r w:rsidRPr="006351DA">
        <w:rPr>
          <w:rStyle w:val="Emphasis"/>
          <w:rFonts w:cs="Arial"/>
          <w:i w:val="0"/>
          <w:iCs w:val="0"/>
          <w:color w:val="auto"/>
          <w:lang w:val="pt-BR"/>
        </w:rPr>
        <w:t>Relatório da</w:t>
      </w:r>
      <w:r w:rsidRPr="006351DA">
        <w:rPr>
          <w:rStyle w:val="st1"/>
          <w:rFonts w:cs="Arial"/>
          <w:b/>
          <w:color w:val="auto"/>
          <w:lang w:val="pt-BR"/>
        </w:rPr>
        <w:t xml:space="preserve"> </w:t>
      </w:r>
      <w:r w:rsidRPr="006351DA">
        <w:rPr>
          <w:rStyle w:val="Emphasis"/>
          <w:rFonts w:cs="Arial"/>
          <w:i w:val="0"/>
          <w:iCs w:val="0"/>
          <w:color w:val="auto"/>
          <w:lang w:val="pt-BR"/>
        </w:rPr>
        <w:t>Comissão Nacional da Verdade. Capítulo 10, 2014</w:t>
      </w:r>
      <w:r w:rsidRPr="006351DA">
        <w:rPr>
          <w:color w:val="auto"/>
          <w:lang w:val="pt-BR"/>
        </w:rPr>
        <w:t>, p. 411. Anexo à comunicação da parte peticionária de novembro de 2017</w:t>
      </w:r>
    </w:p>
  </w:footnote>
  <w:footnote w:id="167">
    <w:p w14:paraId="6C3121F7" w14:textId="150DB9C7" w:rsidR="008C3011" w:rsidRPr="00D30EFA" w:rsidRDefault="008C3011" w:rsidP="008C3011">
      <w:pPr>
        <w:jc w:val="both"/>
        <w:rPr>
          <w:rFonts w:ascii="Cambria" w:hAnsi="Cambria"/>
          <w:sz w:val="16"/>
          <w:szCs w:val="16"/>
        </w:rPr>
      </w:pPr>
      <w:r w:rsidRPr="00D30EFA">
        <w:rPr>
          <w:rStyle w:val="FootnoteReference"/>
          <w:rFonts w:ascii="Cambria" w:hAnsi="Cambria"/>
          <w:sz w:val="16"/>
          <w:szCs w:val="16"/>
        </w:rPr>
        <w:footnoteRef/>
      </w:r>
      <w:r>
        <w:rPr>
          <w:rFonts w:ascii="Cambria" w:hAnsi="Cambria"/>
          <w:sz w:val="16"/>
          <w:szCs w:val="16"/>
        </w:rPr>
        <w:t xml:space="preserve"> O</w:t>
      </w:r>
      <w:r w:rsidRPr="00D30EFA">
        <w:rPr>
          <w:rFonts w:ascii="Cambria" w:hAnsi="Cambria"/>
          <w:sz w:val="16"/>
          <w:szCs w:val="16"/>
        </w:rPr>
        <w:t xml:space="preserve"> </w:t>
      </w:r>
      <w:r>
        <w:rPr>
          <w:rFonts w:ascii="Cambria" w:hAnsi="Cambria"/>
          <w:sz w:val="16"/>
          <w:szCs w:val="16"/>
        </w:rPr>
        <w:t>artigo</w:t>
      </w:r>
      <w:r w:rsidRPr="00D30EFA">
        <w:rPr>
          <w:rFonts w:ascii="Cambria" w:hAnsi="Cambria"/>
          <w:sz w:val="16"/>
          <w:szCs w:val="16"/>
        </w:rPr>
        <w:t xml:space="preserve"> 18 estab</w:t>
      </w:r>
      <w:r>
        <w:rPr>
          <w:rFonts w:ascii="Cambria" w:hAnsi="Cambria"/>
          <w:sz w:val="16"/>
          <w:szCs w:val="16"/>
        </w:rPr>
        <w:t>e</w:t>
      </w:r>
      <w:r w:rsidRPr="00D042DF">
        <w:rPr>
          <w:rFonts w:ascii="Cambria" w:hAnsi="Cambria"/>
          <w:sz w:val="16"/>
          <w:szCs w:val="16"/>
        </w:rPr>
        <w:t>lece o seguinte: “</w:t>
      </w:r>
      <w:r w:rsidR="00D042DF" w:rsidRPr="00D042DF">
        <w:rPr>
          <w:rFonts w:ascii="Cambria" w:hAnsi="Cambria"/>
          <w:color w:val="000000"/>
          <w:spacing w:val="-3"/>
          <w:sz w:val="16"/>
          <w:szCs w:val="16"/>
        </w:rPr>
        <w:t>Toda pessoa tem direito a um prenome e aos nomes de seus pais ou ao de um destes.  A lei deve regular a forma de assegurar a todos esse direito, mediante nomes fictícios, se for necessário</w:t>
      </w:r>
      <w:r w:rsidRPr="00D30EFA">
        <w:rPr>
          <w:rFonts w:ascii="Cambria" w:hAnsi="Cambria" w:cs="Tahoma"/>
          <w:sz w:val="16"/>
          <w:szCs w:val="16"/>
        </w:rPr>
        <w:t>”</w:t>
      </w:r>
      <w:r w:rsidR="00FE2531">
        <w:rPr>
          <w:rFonts w:ascii="Cambria" w:hAnsi="Cambria" w:cs="Tahoma"/>
          <w:sz w:val="16"/>
          <w:szCs w:val="16"/>
        </w:rPr>
        <w:t>.</w:t>
      </w:r>
    </w:p>
  </w:footnote>
  <w:footnote w:id="168">
    <w:p w14:paraId="33F0F432" w14:textId="52F35C86" w:rsidR="008C3011" w:rsidRPr="00D30EFA" w:rsidRDefault="008C3011" w:rsidP="008C3011">
      <w:pPr>
        <w:jc w:val="both"/>
        <w:rPr>
          <w:rFonts w:ascii="Cambria" w:hAnsi="Cambria"/>
          <w:sz w:val="16"/>
          <w:szCs w:val="16"/>
        </w:rPr>
      </w:pPr>
      <w:r w:rsidRPr="00D30EFA">
        <w:rPr>
          <w:rStyle w:val="FootnoteReference"/>
          <w:rFonts w:ascii="Cambria" w:hAnsi="Cambria"/>
          <w:sz w:val="16"/>
          <w:szCs w:val="16"/>
        </w:rPr>
        <w:footnoteRef/>
      </w:r>
      <w:r w:rsidRPr="00D30EFA">
        <w:rPr>
          <w:rFonts w:ascii="Cambria" w:hAnsi="Cambria"/>
          <w:sz w:val="16"/>
          <w:szCs w:val="16"/>
        </w:rPr>
        <w:t xml:space="preserve"> Corte IDH. </w:t>
      </w:r>
      <w:r w:rsidRPr="00D30EFA">
        <w:rPr>
          <w:rFonts w:ascii="Cambria" w:hAnsi="Cambria" w:cs="Arial"/>
          <w:sz w:val="16"/>
          <w:szCs w:val="16"/>
        </w:rPr>
        <w:t xml:space="preserve">Caso </w:t>
      </w:r>
      <w:r>
        <w:rPr>
          <w:rFonts w:ascii="Cambria" w:hAnsi="Cambria" w:cs="Arial"/>
          <w:sz w:val="16"/>
          <w:szCs w:val="16"/>
        </w:rPr>
        <w:t>das Meninas</w:t>
      </w:r>
      <w:r w:rsidRPr="00D30EFA">
        <w:rPr>
          <w:rFonts w:ascii="Cambria" w:hAnsi="Cambria" w:cs="Arial"/>
          <w:sz w:val="16"/>
          <w:szCs w:val="16"/>
        </w:rPr>
        <w:t xml:space="preserve"> Yean</w:t>
      </w:r>
      <w:r>
        <w:rPr>
          <w:rFonts w:ascii="Cambria" w:hAnsi="Cambria" w:cs="Arial"/>
          <w:sz w:val="16"/>
          <w:szCs w:val="16"/>
        </w:rPr>
        <w:t xml:space="preserve"> e Bosico vs. República Dominicana. Exceções Preliminares, </w:t>
      </w:r>
      <w:r w:rsidR="00D042DF">
        <w:rPr>
          <w:rFonts w:ascii="Cambria" w:hAnsi="Cambria" w:cs="Arial"/>
          <w:sz w:val="16"/>
          <w:szCs w:val="16"/>
        </w:rPr>
        <w:t>Mérito</w:t>
      </w:r>
      <w:r w:rsidRPr="00D30EFA">
        <w:rPr>
          <w:rFonts w:ascii="Cambria" w:hAnsi="Cambria" w:cs="Arial"/>
          <w:sz w:val="16"/>
          <w:szCs w:val="16"/>
        </w:rPr>
        <w:t>, Repara</w:t>
      </w:r>
      <w:r>
        <w:rPr>
          <w:rFonts w:ascii="Cambria" w:hAnsi="Cambria" w:cs="Arial"/>
          <w:sz w:val="16"/>
          <w:szCs w:val="16"/>
        </w:rPr>
        <w:t xml:space="preserve">ções e </w:t>
      </w:r>
      <w:r w:rsidR="00D042DF">
        <w:rPr>
          <w:rFonts w:ascii="Cambria" w:hAnsi="Cambria" w:cs="Arial"/>
          <w:sz w:val="16"/>
          <w:szCs w:val="16"/>
        </w:rPr>
        <w:t>Custas</w:t>
      </w:r>
      <w:r>
        <w:rPr>
          <w:rFonts w:ascii="Cambria" w:hAnsi="Cambria" w:cs="Arial"/>
          <w:sz w:val="16"/>
          <w:szCs w:val="16"/>
        </w:rPr>
        <w:t>. Sentenç</w:t>
      </w:r>
      <w:r w:rsidRPr="00D30EFA">
        <w:rPr>
          <w:rFonts w:ascii="Cambria" w:hAnsi="Cambria" w:cs="Arial"/>
          <w:sz w:val="16"/>
          <w:szCs w:val="16"/>
        </w:rPr>
        <w:t xml:space="preserve">a de 8 de </w:t>
      </w:r>
      <w:r>
        <w:rPr>
          <w:rFonts w:ascii="Cambria" w:hAnsi="Cambria" w:cs="Arial"/>
          <w:sz w:val="16"/>
          <w:szCs w:val="16"/>
        </w:rPr>
        <w:t>setembro de 2005. Série C Nº 130, pa</w:t>
      </w:r>
      <w:r w:rsidRPr="00D30EFA">
        <w:rPr>
          <w:rFonts w:ascii="Cambria" w:hAnsi="Cambria" w:cs="Arial"/>
          <w:sz w:val="16"/>
          <w:szCs w:val="16"/>
        </w:rPr>
        <w:t xml:space="preserve">r. 182; Corte IDH. Caso </w:t>
      </w:r>
      <w:r w:rsidR="00D042DF">
        <w:rPr>
          <w:rFonts w:ascii="Cambria" w:hAnsi="Cambria" w:cs="Arial"/>
          <w:sz w:val="16"/>
          <w:szCs w:val="16"/>
        </w:rPr>
        <w:t>do</w:t>
      </w:r>
      <w:r>
        <w:rPr>
          <w:rFonts w:ascii="Cambria" w:hAnsi="Cambria" w:cs="Arial"/>
          <w:sz w:val="16"/>
          <w:szCs w:val="16"/>
        </w:rPr>
        <w:t xml:space="preserve"> </w:t>
      </w:r>
      <w:r w:rsidRPr="00D30EFA">
        <w:rPr>
          <w:rFonts w:ascii="Cambria" w:hAnsi="Cambria" w:cs="Arial"/>
          <w:sz w:val="16"/>
          <w:szCs w:val="16"/>
        </w:rPr>
        <w:t>Ma</w:t>
      </w:r>
      <w:r>
        <w:rPr>
          <w:rFonts w:ascii="Cambria" w:hAnsi="Cambria" w:cs="Arial"/>
          <w:sz w:val="16"/>
          <w:szCs w:val="16"/>
        </w:rPr>
        <w:t>s</w:t>
      </w:r>
      <w:r w:rsidR="00D042DF">
        <w:rPr>
          <w:rFonts w:ascii="Cambria" w:hAnsi="Cambria" w:cs="Arial"/>
          <w:sz w:val="16"/>
          <w:szCs w:val="16"/>
        </w:rPr>
        <w:t>s</w:t>
      </w:r>
      <w:r w:rsidRPr="00D30EFA">
        <w:rPr>
          <w:rFonts w:ascii="Cambria" w:hAnsi="Cambria" w:cs="Arial"/>
          <w:sz w:val="16"/>
          <w:szCs w:val="16"/>
        </w:rPr>
        <w:t xml:space="preserve">acre </w:t>
      </w:r>
      <w:r>
        <w:rPr>
          <w:rFonts w:ascii="Cambria" w:hAnsi="Cambria" w:cs="Arial"/>
          <w:sz w:val="16"/>
          <w:szCs w:val="16"/>
        </w:rPr>
        <w:t xml:space="preserve">de las Dos Erres Exceção Preliminar, </w:t>
      </w:r>
      <w:r w:rsidR="00D042DF">
        <w:rPr>
          <w:rFonts w:ascii="Cambria" w:hAnsi="Cambria" w:cs="Arial"/>
          <w:sz w:val="16"/>
          <w:szCs w:val="16"/>
        </w:rPr>
        <w:t>Mérito</w:t>
      </w:r>
      <w:r w:rsidRPr="00D30EFA">
        <w:rPr>
          <w:rFonts w:ascii="Cambria" w:hAnsi="Cambria" w:cs="Arial"/>
          <w:sz w:val="16"/>
          <w:szCs w:val="16"/>
        </w:rPr>
        <w:t>, Repara</w:t>
      </w:r>
      <w:r>
        <w:rPr>
          <w:rFonts w:ascii="Cambria" w:hAnsi="Cambria" w:cs="Arial"/>
          <w:sz w:val="16"/>
          <w:szCs w:val="16"/>
        </w:rPr>
        <w:t xml:space="preserve">ções e </w:t>
      </w:r>
      <w:r w:rsidR="00D042DF">
        <w:rPr>
          <w:rFonts w:ascii="Cambria" w:hAnsi="Cambria" w:cs="Arial"/>
          <w:sz w:val="16"/>
          <w:szCs w:val="16"/>
        </w:rPr>
        <w:t>Custas</w:t>
      </w:r>
      <w:r>
        <w:rPr>
          <w:rFonts w:ascii="Cambria" w:hAnsi="Cambria" w:cs="Arial"/>
          <w:sz w:val="16"/>
          <w:szCs w:val="16"/>
        </w:rPr>
        <w:t>. Sentenç</w:t>
      </w:r>
      <w:r w:rsidRPr="00D30EFA">
        <w:rPr>
          <w:rFonts w:ascii="Cambria" w:hAnsi="Cambria" w:cs="Arial"/>
          <w:sz w:val="16"/>
          <w:szCs w:val="16"/>
        </w:rPr>
        <w:t xml:space="preserve">a de 24 de </w:t>
      </w:r>
      <w:r>
        <w:rPr>
          <w:rFonts w:ascii="Cambria" w:hAnsi="Cambria" w:cs="Arial"/>
          <w:sz w:val="16"/>
          <w:szCs w:val="16"/>
        </w:rPr>
        <w:t>novembro de 2009. Série C Nº 211, pa</w:t>
      </w:r>
      <w:r w:rsidRPr="00D30EFA">
        <w:rPr>
          <w:rFonts w:ascii="Cambria" w:hAnsi="Cambria" w:cs="Arial"/>
          <w:sz w:val="16"/>
          <w:szCs w:val="16"/>
        </w:rPr>
        <w:t>r. 192.</w:t>
      </w:r>
    </w:p>
  </w:footnote>
  <w:footnote w:id="169">
    <w:p w14:paraId="3DD4F88F" w14:textId="650BA922" w:rsidR="008C3011" w:rsidRPr="00D30EFA" w:rsidRDefault="008C3011" w:rsidP="008C3011">
      <w:pPr>
        <w:pStyle w:val="FootnoteText"/>
        <w:ind w:firstLine="0"/>
        <w:rPr>
          <w:color w:val="auto"/>
          <w:lang w:val="pt-BR"/>
        </w:rPr>
      </w:pPr>
      <w:r w:rsidRPr="00D30EFA">
        <w:rPr>
          <w:rStyle w:val="FootnoteReference"/>
          <w:color w:val="auto"/>
          <w:lang w:val="pt-BR"/>
        </w:rPr>
        <w:footnoteRef/>
      </w:r>
      <w:r w:rsidRPr="00D30EFA">
        <w:rPr>
          <w:color w:val="auto"/>
          <w:lang w:val="pt-BR"/>
        </w:rPr>
        <w:t xml:space="preserve"> Corte IDH. </w:t>
      </w:r>
      <w:r w:rsidRPr="00D30EFA">
        <w:rPr>
          <w:rFonts w:cs="Arial"/>
          <w:color w:val="auto"/>
          <w:lang w:val="pt-BR"/>
        </w:rPr>
        <w:t xml:space="preserve">Caso </w:t>
      </w:r>
      <w:r>
        <w:rPr>
          <w:rFonts w:cs="Arial"/>
          <w:color w:val="auto"/>
          <w:lang w:val="pt-BR"/>
        </w:rPr>
        <w:t>das Meninas</w:t>
      </w:r>
      <w:r w:rsidRPr="00D30EFA">
        <w:rPr>
          <w:rFonts w:cs="Arial"/>
          <w:color w:val="auto"/>
          <w:lang w:val="pt-BR"/>
        </w:rPr>
        <w:t xml:space="preserve"> Yean</w:t>
      </w:r>
      <w:r>
        <w:rPr>
          <w:rFonts w:cs="Arial"/>
          <w:color w:val="auto"/>
          <w:lang w:val="pt-BR"/>
        </w:rPr>
        <w:t xml:space="preserve"> e </w:t>
      </w:r>
      <w:r w:rsidRPr="00D30EFA">
        <w:rPr>
          <w:rFonts w:cs="Arial"/>
          <w:color w:val="auto"/>
          <w:lang w:val="pt-BR"/>
        </w:rPr>
        <w:t>Bosico</w:t>
      </w:r>
      <w:r>
        <w:rPr>
          <w:rFonts w:cs="Arial"/>
          <w:color w:val="auto"/>
          <w:lang w:val="pt-BR"/>
        </w:rPr>
        <w:t xml:space="preserve"> vs. República Dominicana. Exceções Preliminares, </w:t>
      </w:r>
      <w:r w:rsidR="00D042DF">
        <w:rPr>
          <w:rFonts w:cs="Arial"/>
          <w:color w:val="auto"/>
          <w:lang w:val="pt-BR"/>
        </w:rPr>
        <w:t>Mérito</w:t>
      </w:r>
      <w:r w:rsidRPr="00D30EFA">
        <w:rPr>
          <w:rFonts w:cs="Arial"/>
          <w:color w:val="auto"/>
          <w:lang w:val="pt-BR"/>
        </w:rPr>
        <w:t>, Repara</w:t>
      </w:r>
      <w:r>
        <w:rPr>
          <w:rFonts w:cs="Arial"/>
          <w:color w:val="auto"/>
          <w:lang w:val="pt-BR"/>
        </w:rPr>
        <w:t xml:space="preserve">ções e </w:t>
      </w:r>
      <w:r w:rsidR="00D042DF">
        <w:rPr>
          <w:rFonts w:cs="Arial"/>
          <w:color w:val="auto"/>
          <w:lang w:val="pt-BR"/>
        </w:rPr>
        <w:t>Custas</w:t>
      </w:r>
      <w:r>
        <w:rPr>
          <w:rFonts w:cs="Arial"/>
          <w:color w:val="auto"/>
          <w:lang w:val="pt-BR"/>
        </w:rPr>
        <w:t>. Sentenç</w:t>
      </w:r>
      <w:r w:rsidRPr="00D30EFA">
        <w:rPr>
          <w:rFonts w:cs="Arial"/>
          <w:color w:val="auto"/>
          <w:lang w:val="pt-BR"/>
        </w:rPr>
        <w:t xml:space="preserve">a de 8 de </w:t>
      </w:r>
      <w:r>
        <w:rPr>
          <w:rFonts w:cs="Arial"/>
          <w:color w:val="auto"/>
          <w:lang w:val="pt-BR"/>
        </w:rPr>
        <w:t>setembro de 2005. Série C Nº 130, pa</w:t>
      </w:r>
      <w:r w:rsidRPr="00D30EFA">
        <w:rPr>
          <w:rFonts w:cs="Arial"/>
          <w:color w:val="auto"/>
          <w:lang w:val="pt-BR"/>
        </w:rPr>
        <w:t xml:space="preserve">r. 182; Corte IDH. Caso </w:t>
      </w:r>
      <w:r w:rsidR="00D042DF">
        <w:rPr>
          <w:rFonts w:cs="Arial"/>
          <w:color w:val="auto"/>
          <w:lang w:val="pt-BR"/>
        </w:rPr>
        <w:t>do</w:t>
      </w:r>
      <w:r>
        <w:rPr>
          <w:rFonts w:cs="Arial"/>
          <w:color w:val="auto"/>
          <w:lang w:val="pt-BR"/>
        </w:rPr>
        <w:t xml:space="preserve"> </w:t>
      </w:r>
      <w:r w:rsidRPr="00D30EFA">
        <w:rPr>
          <w:rFonts w:cs="Arial"/>
          <w:color w:val="auto"/>
          <w:lang w:val="pt-BR"/>
        </w:rPr>
        <w:t>Mas</w:t>
      </w:r>
      <w:r w:rsidR="00926BE8">
        <w:rPr>
          <w:rFonts w:cs="Arial"/>
          <w:color w:val="auto"/>
          <w:lang w:val="pt-BR"/>
        </w:rPr>
        <w:t>s</w:t>
      </w:r>
      <w:r w:rsidRPr="00D30EFA">
        <w:rPr>
          <w:rFonts w:cs="Arial"/>
          <w:color w:val="auto"/>
          <w:lang w:val="pt-BR"/>
        </w:rPr>
        <w:t xml:space="preserve">acre </w:t>
      </w:r>
      <w:r>
        <w:rPr>
          <w:rFonts w:cs="Arial"/>
          <w:color w:val="auto"/>
          <w:lang w:val="pt-BR"/>
        </w:rPr>
        <w:t xml:space="preserve">de las Dos Erres Exceção Preliminar, </w:t>
      </w:r>
      <w:r w:rsidR="00D042DF">
        <w:rPr>
          <w:rFonts w:cs="Arial"/>
          <w:color w:val="auto"/>
          <w:lang w:val="pt-BR"/>
        </w:rPr>
        <w:t>Mérito</w:t>
      </w:r>
      <w:r w:rsidRPr="00D30EFA">
        <w:rPr>
          <w:rFonts w:cs="Arial"/>
          <w:color w:val="auto"/>
          <w:lang w:val="pt-BR"/>
        </w:rPr>
        <w:t>, Repara</w:t>
      </w:r>
      <w:r>
        <w:rPr>
          <w:rFonts w:cs="Arial"/>
          <w:color w:val="auto"/>
          <w:lang w:val="pt-BR"/>
        </w:rPr>
        <w:t xml:space="preserve">ções e </w:t>
      </w:r>
      <w:r w:rsidR="00D042DF">
        <w:rPr>
          <w:rFonts w:cs="Arial"/>
          <w:color w:val="auto"/>
          <w:lang w:val="pt-BR"/>
        </w:rPr>
        <w:t>Custas</w:t>
      </w:r>
      <w:r>
        <w:rPr>
          <w:rFonts w:cs="Arial"/>
          <w:color w:val="auto"/>
          <w:lang w:val="pt-BR"/>
        </w:rPr>
        <w:t>. Sentenç</w:t>
      </w:r>
      <w:r w:rsidRPr="00D30EFA">
        <w:rPr>
          <w:rFonts w:cs="Arial"/>
          <w:color w:val="auto"/>
          <w:lang w:val="pt-BR"/>
        </w:rPr>
        <w:t xml:space="preserve">a de 24 de </w:t>
      </w:r>
      <w:r>
        <w:rPr>
          <w:rFonts w:cs="Arial"/>
          <w:color w:val="auto"/>
          <w:lang w:val="pt-BR"/>
        </w:rPr>
        <w:t>novembro de 2009. Série C Nº 211, pa</w:t>
      </w:r>
      <w:r w:rsidRPr="00D30EFA">
        <w:rPr>
          <w:rFonts w:cs="Arial"/>
          <w:color w:val="auto"/>
          <w:lang w:val="pt-BR"/>
        </w:rPr>
        <w:t>r. 192.</w:t>
      </w:r>
    </w:p>
  </w:footnote>
  <w:footnote w:id="170">
    <w:p w14:paraId="2E5049FC" w14:textId="2AABFB90" w:rsidR="008C3011" w:rsidRPr="00D30EFA" w:rsidRDefault="008C3011" w:rsidP="008C3011">
      <w:pPr>
        <w:jc w:val="both"/>
        <w:rPr>
          <w:rFonts w:ascii="Cambria" w:hAnsi="Cambria"/>
          <w:sz w:val="16"/>
          <w:szCs w:val="16"/>
        </w:rPr>
      </w:pPr>
      <w:r w:rsidRPr="00D30EFA">
        <w:rPr>
          <w:rStyle w:val="FootnoteReference"/>
          <w:rFonts w:ascii="Cambria" w:hAnsi="Cambria"/>
          <w:sz w:val="16"/>
          <w:szCs w:val="16"/>
        </w:rPr>
        <w:footnoteRef/>
      </w:r>
      <w:r w:rsidRPr="00D30EFA">
        <w:rPr>
          <w:rFonts w:ascii="Cambria" w:hAnsi="Cambria"/>
          <w:sz w:val="16"/>
          <w:szCs w:val="16"/>
        </w:rPr>
        <w:t xml:space="preserve"> Corte IDH. Caso </w:t>
      </w:r>
      <w:r>
        <w:rPr>
          <w:rFonts w:ascii="Cambria" w:hAnsi="Cambria"/>
          <w:sz w:val="16"/>
          <w:szCs w:val="16"/>
        </w:rPr>
        <w:t>das Meninas</w:t>
      </w:r>
      <w:r w:rsidRPr="00D30EFA">
        <w:rPr>
          <w:rFonts w:ascii="Cambria" w:hAnsi="Cambria"/>
          <w:sz w:val="16"/>
          <w:szCs w:val="16"/>
        </w:rPr>
        <w:t xml:space="preserve"> Yean</w:t>
      </w:r>
      <w:r>
        <w:rPr>
          <w:rFonts w:ascii="Cambria" w:hAnsi="Cambria"/>
          <w:sz w:val="16"/>
          <w:szCs w:val="16"/>
        </w:rPr>
        <w:t xml:space="preserve"> e Bosico vs. República Dominicana. Exceções Preliminares, </w:t>
      </w:r>
      <w:r w:rsidR="00D042DF">
        <w:rPr>
          <w:rFonts w:ascii="Cambria" w:hAnsi="Cambria"/>
          <w:sz w:val="16"/>
          <w:szCs w:val="16"/>
        </w:rPr>
        <w:t>Mérito</w:t>
      </w:r>
      <w:r w:rsidRPr="00D30EFA">
        <w:rPr>
          <w:rFonts w:ascii="Cambria" w:hAnsi="Cambria"/>
          <w:sz w:val="16"/>
          <w:szCs w:val="16"/>
        </w:rPr>
        <w:t>, Repara</w:t>
      </w:r>
      <w:r>
        <w:rPr>
          <w:rFonts w:ascii="Cambria" w:hAnsi="Cambria"/>
          <w:sz w:val="16"/>
          <w:szCs w:val="16"/>
        </w:rPr>
        <w:t xml:space="preserve">ções e </w:t>
      </w:r>
      <w:r w:rsidR="00D042DF">
        <w:rPr>
          <w:rFonts w:ascii="Cambria" w:hAnsi="Cambria"/>
          <w:sz w:val="16"/>
          <w:szCs w:val="16"/>
        </w:rPr>
        <w:t>Custas</w:t>
      </w:r>
      <w:r>
        <w:rPr>
          <w:rFonts w:ascii="Cambria" w:hAnsi="Cambria"/>
          <w:sz w:val="16"/>
          <w:szCs w:val="16"/>
        </w:rPr>
        <w:t>. Sentenç</w:t>
      </w:r>
      <w:r w:rsidRPr="00D30EFA">
        <w:rPr>
          <w:rFonts w:ascii="Cambria" w:hAnsi="Cambria"/>
          <w:sz w:val="16"/>
          <w:szCs w:val="16"/>
        </w:rPr>
        <w:t xml:space="preserve">a de 8 de </w:t>
      </w:r>
      <w:r>
        <w:rPr>
          <w:rFonts w:ascii="Cambria" w:hAnsi="Cambria"/>
          <w:sz w:val="16"/>
          <w:szCs w:val="16"/>
        </w:rPr>
        <w:t>setembro de 2005. Série C Nº) 130, Pa</w:t>
      </w:r>
      <w:r w:rsidRPr="00D30EFA">
        <w:rPr>
          <w:rFonts w:ascii="Cambria" w:hAnsi="Cambria"/>
          <w:sz w:val="16"/>
          <w:szCs w:val="16"/>
        </w:rPr>
        <w:t>r. 183</w:t>
      </w:r>
    </w:p>
  </w:footnote>
  <w:footnote w:id="171">
    <w:p w14:paraId="59331FB0" w14:textId="40C00FDF" w:rsidR="008C3011" w:rsidRPr="00D30EFA" w:rsidRDefault="008C3011" w:rsidP="008C3011">
      <w:pPr>
        <w:pStyle w:val="FootnoteText"/>
        <w:ind w:firstLine="0"/>
        <w:rPr>
          <w:color w:val="auto"/>
          <w:lang w:val="pt-BR"/>
        </w:rPr>
      </w:pPr>
      <w:r w:rsidRPr="00D30EFA">
        <w:rPr>
          <w:rStyle w:val="FootnoteReference"/>
          <w:color w:val="auto"/>
          <w:lang w:val="pt-BR"/>
        </w:rPr>
        <w:footnoteRef/>
      </w:r>
      <w:r>
        <w:rPr>
          <w:color w:val="auto"/>
          <w:lang w:val="pt-BR"/>
        </w:rPr>
        <w:t xml:space="preserve"> CIDH. Demanda </w:t>
      </w:r>
      <w:r w:rsidR="00FE2531">
        <w:rPr>
          <w:color w:val="auto"/>
          <w:lang w:val="pt-BR"/>
        </w:rPr>
        <w:t>per</w:t>
      </w:r>
      <w:r>
        <w:rPr>
          <w:color w:val="auto"/>
          <w:lang w:val="pt-BR"/>
        </w:rPr>
        <w:t xml:space="preserve">ante </w:t>
      </w:r>
      <w:r w:rsidRPr="00D30EFA">
        <w:rPr>
          <w:color w:val="auto"/>
          <w:lang w:val="pt-BR"/>
        </w:rPr>
        <w:t xml:space="preserve">a Corte Interamericana de </w:t>
      </w:r>
      <w:r>
        <w:rPr>
          <w:color w:val="auto"/>
          <w:lang w:val="pt-BR"/>
        </w:rPr>
        <w:t>Direito</w:t>
      </w:r>
      <w:r w:rsidRPr="00D30EFA">
        <w:rPr>
          <w:color w:val="auto"/>
          <w:lang w:val="pt-BR"/>
        </w:rPr>
        <w:t xml:space="preserve">s </w:t>
      </w:r>
      <w:r w:rsidR="00FE2531">
        <w:rPr>
          <w:color w:val="auto"/>
          <w:lang w:val="pt-BR"/>
        </w:rPr>
        <w:t>H</w:t>
      </w:r>
      <w:r w:rsidRPr="00D30EFA">
        <w:rPr>
          <w:color w:val="auto"/>
          <w:lang w:val="pt-BR"/>
        </w:rPr>
        <w:t>umanos</w:t>
      </w:r>
      <w:r>
        <w:rPr>
          <w:color w:val="auto"/>
          <w:lang w:val="pt-BR"/>
        </w:rPr>
        <w:t xml:space="preserve"> no </w:t>
      </w:r>
      <w:r w:rsidRPr="00D30EFA">
        <w:rPr>
          <w:color w:val="auto"/>
          <w:lang w:val="pt-BR"/>
        </w:rPr>
        <w:t>caso Gregoria Herminia Contreras</w:t>
      </w:r>
      <w:r>
        <w:rPr>
          <w:color w:val="auto"/>
          <w:lang w:val="pt-BR"/>
        </w:rPr>
        <w:t xml:space="preserve"> e </w:t>
      </w:r>
      <w:r w:rsidRPr="00D30EFA">
        <w:rPr>
          <w:color w:val="auto"/>
          <w:lang w:val="pt-BR"/>
        </w:rPr>
        <w:t>o</w:t>
      </w:r>
      <w:r>
        <w:rPr>
          <w:color w:val="auto"/>
          <w:lang w:val="pt-BR"/>
        </w:rPr>
        <w:t>u</w:t>
      </w:r>
      <w:r w:rsidRPr="00D30EFA">
        <w:rPr>
          <w:color w:val="auto"/>
          <w:lang w:val="pt-BR"/>
        </w:rPr>
        <w:t>t</w:t>
      </w:r>
      <w:r>
        <w:rPr>
          <w:color w:val="auto"/>
          <w:lang w:val="pt-BR"/>
        </w:rPr>
        <w:t xml:space="preserve">ros (Caso 12.517) </w:t>
      </w:r>
      <w:r w:rsidR="00FE2531">
        <w:rPr>
          <w:color w:val="auto"/>
          <w:lang w:val="pt-BR"/>
        </w:rPr>
        <w:t>c</w:t>
      </w:r>
      <w:r>
        <w:rPr>
          <w:color w:val="auto"/>
          <w:lang w:val="pt-BR"/>
        </w:rPr>
        <w:t xml:space="preserve">ontra </w:t>
      </w:r>
      <w:r w:rsidRPr="00D30EFA">
        <w:rPr>
          <w:color w:val="auto"/>
          <w:lang w:val="pt-BR"/>
        </w:rPr>
        <w:t>a Repú</w:t>
      </w:r>
      <w:r>
        <w:rPr>
          <w:color w:val="auto"/>
          <w:lang w:val="pt-BR"/>
        </w:rPr>
        <w:t>blica de El Salvador. 28 de julho de 2010, Pa</w:t>
      </w:r>
      <w:r w:rsidRPr="00D30EFA">
        <w:rPr>
          <w:color w:val="auto"/>
          <w:lang w:val="pt-BR"/>
        </w:rPr>
        <w:t>r. 217</w:t>
      </w:r>
    </w:p>
  </w:footnote>
  <w:footnote w:id="172">
    <w:p w14:paraId="1953864C" w14:textId="50CCB803" w:rsidR="008C3011" w:rsidRPr="00D30EFA" w:rsidRDefault="008C3011" w:rsidP="008C3011">
      <w:pPr>
        <w:pStyle w:val="FootnoteText"/>
        <w:ind w:firstLine="0"/>
        <w:rPr>
          <w:color w:val="auto"/>
          <w:lang w:val="pt-BR"/>
        </w:rPr>
      </w:pPr>
      <w:r w:rsidRPr="00D30EFA">
        <w:rPr>
          <w:rStyle w:val="FootnoteReference"/>
          <w:color w:val="auto"/>
          <w:lang w:val="pt-BR"/>
        </w:rPr>
        <w:footnoteRef/>
      </w:r>
      <w:r w:rsidRPr="00D30EFA">
        <w:rPr>
          <w:color w:val="auto"/>
          <w:lang w:val="pt-BR"/>
        </w:rPr>
        <w:t xml:space="preserve"> Corte IDH. Caso </w:t>
      </w:r>
      <w:r>
        <w:rPr>
          <w:color w:val="auto"/>
          <w:lang w:val="pt-BR"/>
        </w:rPr>
        <w:t>das Meninas</w:t>
      </w:r>
      <w:r w:rsidRPr="00D30EFA">
        <w:rPr>
          <w:color w:val="auto"/>
          <w:lang w:val="pt-BR"/>
        </w:rPr>
        <w:t xml:space="preserve"> Yean</w:t>
      </w:r>
      <w:r>
        <w:rPr>
          <w:color w:val="auto"/>
          <w:lang w:val="pt-BR"/>
        </w:rPr>
        <w:t xml:space="preserve"> e </w:t>
      </w:r>
      <w:r w:rsidRPr="00D30EFA">
        <w:rPr>
          <w:color w:val="auto"/>
          <w:lang w:val="pt-BR"/>
        </w:rPr>
        <w:t>Bosico</w:t>
      </w:r>
      <w:r>
        <w:rPr>
          <w:color w:val="auto"/>
          <w:lang w:val="pt-BR"/>
        </w:rPr>
        <w:t xml:space="preserve"> Vs. República Dominicana. Exceções Preliminares,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w:t>
      </w:r>
      <w:r w:rsidRPr="00D30EFA">
        <w:rPr>
          <w:color w:val="auto"/>
          <w:lang w:val="pt-BR"/>
        </w:rPr>
        <w:t xml:space="preserve">a de 8 de </w:t>
      </w:r>
      <w:r>
        <w:rPr>
          <w:color w:val="auto"/>
          <w:lang w:val="pt-BR"/>
        </w:rPr>
        <w:t xml:space="preserve">setembro de 2005. Série C Nº </w:t>
      </w:r>
      <w:r w:rsidRPr="00D30EFA">
        <w:rPr>
          <w:color w:val="auto"/>
          <w:lang w:val="pt-BR"/>
        </w:rPr>
        <w:t>130,</w:t>
      </w:r>
      <w:r>
        <w:rPr>
          <w:color w:val="auto"/>
          <w:lang w:val="pt-BR"/>
        </w:rPr>
        <w:t xml:space="preserve"> Pa</w:t>
      </w:r>
      <w:r w:rsidRPr="00D30EFA">
        <w:rPr>
          <w:color w:val="auto"/>
          <w:lang w:val="pt-BR"/>
        </w:rPr>
        <w:t>r. 184</w:t>
      </w:r>
    </w:p>
  </w:footnote>
  <w:footnote w:id="173">
    <w:p w14:paraId="3453BF8B" w14:textId="77777777" w:rsidR="008C3011" w:rsidRPr="00D30EFA" w:rsidRDefault="008C3011" w:rsidP="008C3011">
      <w:pPr>
        <w:pStyle w:val="FootnoteText"/>
        <w:ind w:firstLine="0"/>
        <w:rPr>
          <w:color w:val="auto"/>
          <w:lang w:val="pt-BR"/>
        </w:rPr>
      </w:pPr>
      <w:r w:rsidRPr="00D30EFA">
        <w:rPr>
          <w:rStyle w:val="FootnoteReference"/>
          <w:color w:val="auto"/>
          <w:lang w:val="pt-BR"/>
        </w:rPr>
        <w:footnoteRef/>
      </w:r>
      <w:r>
        <w:rPr>
          <w:color w:val="auto"/>
          <w:lang w:val="pt-BR"/>
        </w:rPr>
        <w:t xml:space="preserve"> O</w:t>
      </w:r>
      <w:r w:rsidRPr="00D30EFA">
        <w:rPr>
          <w:color w:val="auto"/>
          <w:lang w:val="pt-BR"/>
        </w:rPr>
        <w:t xml:space="preserve"> </w:t>
      </w:r>
      <w:r>
        <w:rPr>
          <w:color w:val="auto"/>
          <w:lang w:val="pt-BR"/>
        </w:rPr>
        <w:t>artigo</w:t>
      </w:r>
      <w:r w:rsidRPr="00D30EFA">
        <w:rPr>
          <w:color w:val="auto"/>
          <w:lang w:val="pt-BR"/>
        </w:rPr>
        <w:t xml:space="preserve"> XVIII estab</w:t>
      </w:r>
      <w:r>
        <w:rPr>
          <w:color w:val="auto"/>
          <w:lang w:val="pt-BR"/>
        </w:rPr>
        <w:t>elece o segui</w:t>
      </w:r>
      <w:r w:rsidRPr="00D30EFA">
        <w:rPr>
          <w:color w:val="auto"/>
          <w:lang w:val="pt-BR"/>
        </w:rPr>
        <w:t xml:space="preserve">nte: “Toda </w:t>
      </w:r>
      <w:r>
        <w:rPr>
          <w:color w:val="auto"/>
          <w:lang w:val="pt-BR"/>
        </w:rPr>
        <w:t>pessoa po</w:t>
      </w:r>
      <w:r w:rsidRPr="00D30EFA">
        <w:rPr>
          <w:color w:val="auto"/>
          <w:lang w:val="pt-BR"/>
        </w:rPr>
        <w:t xml:space="preserve">de </w:t>
      </w:r>
      <w:r>
        <w:rPr>
          <w:color w:val="auto"/>
          <w:lang w:val="pt-BR"/>
        </w:rPr>
        <w:t>recorrer ao</w:t>
      </w:r>
      <w:r w:rsidRPr="00D30EFA">
        <w:rPr>
          <w:color w:val="auto"/>
          <w:lang w:val="pt-BR"/>
        </w:rPr>
        <w:t>s tribun</w:t>
      </w:r>
      <w:r>
        <w:rPr>
          <w:color w:val="auto"/>
          <w:lang w:val="pt-BR"/>
        </w:rPr>
        <w:t>ais para faz</w:t>
      </w:r>
      <w:r w:rsidRPr="00D30EFA">
        <w:rPr>
          <w:color w:val="auto"/>
          <w:lang w:val="pt-BR"/>
        </w:rPr>
        <w:t>er valer s</w:t>
      </w:r>
      <w:r>
        <w:rPr>
          <w:color w:val="auto"/>
          <w:lang w:val="pt-BR"/>
        </w:rPr>
        <w:t>e</w:t>
      </w:r>
      <w:r w:rsidRPr="00D30EFA">
        <w:rPr>
          <w:color w:val="auto"/>
          <w:lang w:val="pt-BR"/>
        </w:rPr>
        <w:t xml:space="preserve">us </w:t>
      </w:r>
      <w:r>
        <w:rPr>
          <w:color w:val="auto"/>
          <w:lang w:val="pt-BR"/>
        </w:rPr>
        <w:t>direito</w:t>
      </w:r>
      <w:r w:rsidRPr="00D30EFA">
        <w:rPr>
          <w:color w:val="auto"/>
          <w:lang w:val="pt-BR"/>
        </w:rPr>
        <w:t xml:space="preserve">s. </w:t>
      </w:r>
      <w:r>
        <w:rPr>
          <w:color w:val="auto"/>
          <w:lang w:val="pt-BR"/>
        </w:rPr>
        <w:t>Também deve dispor</w:t>
      </w:r>
      <w:r w:rsidRPr="00D30EFA">
        <w:rPr>
          <w:color w:val="auto"/>
          <w:lang w:val="pt-BR"/>
        </w:rPr>
        <w:t xml:space="preserve"> de um procedimento s</w:t>
      </w:r>
      <w:r>
        <w:rPr>
          <w:color w:val="auto"/>
          <w:lang w:val="pt-BR"/>
        </w:rPr>
        <w:t xml:space="preserve">imples e </w:t>
      </w:r>
      <w:r w:rsidRPr="00D30EFA">
        <w:rPr>
          <w:color w:val="auto"/>
          <w:lang w:val="pt-BR"/>
        </w:rPr>
        <w:t>breve p</w:t>
      </w:r>
      <w:r>
        <w:rPr>
          <w:color w:val="auto"/>
          <w:lang w:val="pt-BR"/>
        </w:rPr>
        <w:t xml:space="preserve">ela qual </w:t>
      </w:r>
      <w:r w:rsidRPr="00D30EFA">
        <w:rPr>
          <w:color w:val="auto"/>
          <w:lang w:val="pt-BR"/>
        </w:rPr>
        <w:t xml:space="preserve">a </w:t>
      </w:r>
      <w:r>
        <w:rPr>
          <w:color w:val="auto"/>
          <w:lang w:val="pt-BR"/>
        </w:rPr>
        <w:t>justiça o ampare contra a</w:t>
      </w:r>
      <w:r w:rsidRPr="00D30EFA">
        <w:rPr>
          <w:color w:val="auto"/>
          <w:lang w:val="pt-BR"/>
        </w:rPr>
        <w:t xml:space="preserve">tos </w:t>
      </w:r>
      <w:r>
        <w:rPr>
          <w:color w:val="auto"/>
          <w:lang w:val="pt-BR"/>
        </w:rPr>
        <w:t>da autoridade que violem</w:t>
      </w:r>
      <w:r w:rsidRPr="00D30EFA">
        <w:rPr>
          <w:color w:val="auto"/>
          <w:lang w:val="pt-BR"/>
        </w:rPr>
        <w:t xml:space="preserve">, em </w:t>
      </w:r>
      <w:r>
        <w:rPr>
          <w:color w:val="auto"/>
          <w:lang w:val="pt-BR"/>
        </w:rPr>
        <w:t>detrimento próprio</w:t>
      </w:r>
      <w:r w:rsidRPr="00D30EFA">
        <w:rPr>
          <w:color w:val="auto"/>
          <w:lang w:val="pt-BR"/>
        </w:rPr>
        <w:t xml:space="preserve">, algo </w:t>
      </w:r>
      <w:r>
        <w:rPr>
          <w:color w:val="auto"/>
          <w:lang w:val="pt-BR"/>
        </w:rPr>
        <w:t>dos direito</w:t>
      </w:r>
      <w:r w:rsidRPr="00D30EFA">
        <w:rPr>
          <w:color w:val="auto"/>
          <w:lang w:val="pt-BR"/>
        </w:rPr>
        <w:t>s fundam</w:t>
      </w:r>
      <w:r>
        <w:rPr>
          <w:color w:val="auto"/>
          <w:lang w:val="pt-BR"/>
        </w:rPr>
        <w:t>e</w:t>
      </w:r>
      <w:r w:rsidRPr="00D30EFA">
        <w:rPr>
          <w:color w:val="auto"/>
          <w:lang w:val="pt-BR"/>
        </w:rPr>
        <w:t>nt</w:t>
      </w:r>
      <w:r>
        <w:rPr>
          <w:color w:val="auto"/>
          <w:lang w:val="pt-BR"/>
        </w:rPr>
        <w:t>ais</w:t>
      </w:r>
      <w:r w:rsidRPr="00D30EFA">
        <w:rPr>
          <w:color w:val="auto"/>
          <w:lang w:val="pt-BR"/>
        </w:rPr>
        <w:t xml:space="preserve"> consagrados constitucionalmente”.</w:t>
      </w:r>
    </w:p>
  </w:footnote>
  <w:footnote w:id="174">
    <w:p w14:paraId="0BE7F83D" w14:textId="3CE5EE09" w:rsidR="008C3011" w:rsidRPr="00D30EFA" w:rsidRDefault="008C3011" w:rsidP="008C3011">
      <w:pPr>
        <w:pStyle w:val="NoSpacing"/>
        <w:tabs>
          <w:tab w:val="left" w:pos="9356"/>
        </w:tabs>
        <w:adjustRightInd w:val="0"/>
        <w:ind w:firstLine="0"/>
        <w:contextualSpacing/>
        <w:rPr>
          <w:color w:val="auto"/>
          <w:sz w:val="16"/>
          <w:szCs w:val="16"/>
          <w:lang w:val="pt-BR"/>
        </w:rPr>
      </w:pPr>
      <w:r w:rsidRPr="00D30EFA">
        <w:rPr>
          <w:b/>
          <w:bCs/>
          <w:color w:val="auto"/>
          <w:sz w:val="16"/>
          <w:szCs w:val="16"/>
          <w:vertAlign w:val="superscript"/>
          <w:lang w:val="pt-BR"/>
        </w:rPr>
        <w:footnoteRef/>
      </w:r>
      <w:r>
        <w:rPr>
          <w:color w:val="auto"/>
          <w:sz w:val="16"/>
          <w:szCs w:val="16"/>
          <w:lang w:val="pt-BR"/>
        </w:rPr>
        <w:t xml:space="preserve"> O</w:t>
      </w:r>
      <w:r w:rsidRPr="00D30EFA">
        <w:rPr>
          <w:color w:val="auto"/>
          <w:sz w:val="16"/>
          <w:szCs w:val="16"/>
          <w:lang w:val="pt-BR"/>
        </w:rPr>
        <w:t xml:space="preserve"> </w:t>
      </w:r>
      <w:r>
        <w:rPr>
          <w:color w:val="auto"/>
          <w:sz w:val="16"/>
          <w:szCs w:val="16"/>
          <w:lang w:val="pt-BR"/>
        </w:rPr>
        <w:t>artigo</w:t>
      </w:r>
      <w:r w:rsidRPr="00D30EFA">
        <w:rPr>
          <w:color w:val="auto"/>
          <w:sz w:val="16"/>
          <w:szCs w:val="16"/>
          <w:lang w:val="pt-BR"/>
        </w:rPr>
        <w:t xml:space="preserve"> 8 </w:t>
      </w:r>
      <w:r>
        <w:rPr>
          <w:color w:val="auto"/>
          <w:sz w:val="16"/>
          <w:szCs w:val="16"/>
          <w:lang w:val="pt-BR"/>
        </w:rPr>
        <w:t xml:space="preserve">da </w:t>
      </w:r>
      <w:r w:rsidRPr="00D30EFA">
        <w:rPr>
          <w:color w:val="auto"/>
          <w:sz w:val="16"/>
          <w:szCs w:val="16"/>
          <w:lang w:val="pt-BR"/>
        </w:rPr>
        <w:t>Conven</w:t>
      </w:r>
      <w:r>
        <w:rPr>
          <w:color w:val="auto"/>
          <w:sz w:val="16"/>
          <w:szCs w:val="16"/>
          <w:lang w:val="pt-BR"/>
        </w:rPr>
        <w:t>ção</w:t>
      </w:r>
      <w:r w:rsidRPr="00D30EFA">
        <w:rPr>
          <w:color w:val="auto"/>
          <w:sz w:val="16"/>
          <w:szCs w:val="16"/>
          <w:lang w:val="pt-BR"/>
        </w:rPr>
        <w:t xml:space="preserve"> Americana co</w:t>
      </w:r>
      <w:r w:rsidRPr="007A7F22">
        <w:rPr>
          <w:color w:val="auto"/>
          <w:sz w:val="16"/>
          <w:szCs w:val="16"/>
          <w:lang w:val="pt-BR"/>
        </w:rPr>
        <w:t xml:space="preserve">nsagra: </w:t>
      </w:r>
      <w:r w:rsidR="007A7F22">
        <w:rPr>
          <w:color w:val="auto"/>
          <w:sz w:val="16"/>
          <w:szCs w:val="16"/>
          <w:lang w:val="pt-BR"/>
        </w:rPr>
        <w:t>“</w:t>
      </w:r>
      <w:r w:rsidRPr="007A7F22">
        <w:rPr>
          <w:color w:val="auto"/>
          <w:sz w:val="16"/>
          <w:szCs w:val="16"/>
          <w:lang w:val="pt-BR"/>
        </w:rPr>
        <w:t>1. </w:t>
      </w:r>
      <w:r w:rsidR="007A7F22" w:rsidRPr="007A7F22">
        <w:rPr>
          <w:spacing w:val="-3"/>
          <w:sz w:val="16"/>
          <w:szCs w:val="16"/>
          <w:lang w:val="pt-BR"/>
        </w:rPr>
        <w:t>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r w:rsidR="007A7F22">
        <w:rPr>
          <w:color w:val="auto"/>
          <w:sz w:val="16"/>
          <w:szCs w:val="16"/>
          <w:lang w:val="pt-BR"/>
        </w:rPr>
        <w:t>”</w:t>
      </w:r>
      <w:r w:rsidRPr="00D30EFA">
        <w:rPr>
          <w:color w:val="auto"/>
          <w:sz w:val="16"/>
          <w:szCs w:val="16"/>
          <w:lang w:val="pt-BR"/>
        </w:rPr>
        <w:t xml:space="preserve"> </w:t>
      </w:r>
    </w:p>
  </w:footnote>
  <w:footnote w:id="175">
    <w:p w14:paraId="5D2AED3D" w14:textId="21135857" w:rsidR="008C3011" w:rsidRPr="00D30EFA" w:rsidRDefault="008C3011" w:rsidP="008C3011">
      <w:pPr>
        <w:pStyle w:val="NoSpacing"/>
        <w:tabs>
          <w:tab w:val="left" w:pos="9356"/>
        </w:tabs>
        <w:adjustRightInd w:val="0"/>
        <w:ind w:firstLine="0"/>
        <w:contextualSpacing/>
        <w:rPr>
          <w:color w:val="auto"/>
          <w:sz w:val="16"/>
          <w:szCs w:val="16"/>
          <w:lang w:val="pt-BR"/>
        </w:rPr>
      </w:pPr>
      <w:r w:rsidRPr="00D30EFA">
        <w:rPr>
          <w:b/>
          <w:bCs/>
          <w:color w:val="auto"/>
          <w:sz w:val="16"/>
          <w:szCs w:val="16"/>
          <w:vertAlign w:val="superscript"/>
          <w:lang w:val="pt-BR"/>
        </w:rPr>
        <w:footnoteRef/>
      </w:r>
      <w:r>
        <w:rPr>
          <w:color w:val="auto"/>
          <w:sz w:val="16"/>
          <w:szCs w:val="16"/>
          <w:lang w:val="pt-BR"/>
        </w:rPr>
        <w:t xml:space="preserve"> O artigo</w:t>
      </w:r>
      <w:r w:rsidRPr="00D30EFA">
        <w:rPr>
          <w:color w:val="auto"/>
          <w:sz w:val="16"/>
          <w:szCs w:val="16"/>
          <w:lang w:val="pt-BR"/>
        </w:rPr>
        <w:t xml:space="preserve"> 25 </w:t>
      </w:r>
      <w:r>
        <w:rPr>
          <w:color w:val="auto"/>
          <w:sz w:val="16"/>
          <w:szCs w:val="16"/>
          <w:lang w:val="pt-BR"/>
        </w:rPr>
        <w:t xml:space="preserve">da </w:t>
      </w:r>
      <w:r w:rsidRPr="00D30EFA">
        <w:rPr>
          <w:color w:val="auto"/>
          <w:sz w:val="16"/>
          <w:szCs w:val="16"/>
          <w:lang w:val="pt-BR"/>
        </w:rPr>
        <w:t>Conven</w:t>
      </w:r>
      <w:r>
        <w:rPr>
          <w:color w:val="auto"/>
          <w:sz w:val="16"/>
          <w:szCs w:val="16"/>
          <w:lang w:val="pt-BR"/>
        </w:rPr>
        <w:t>ção</w:t>
      </w:r>
      <w:r w:rsidRPr="00D30EFA">
        <w:rPr>
          <w:color w:val="auto"/>
          <w:sz w:val="16"/>
          <w:szCs w:val="16"/>
          <w:lang w:val="pt-BR"/>
        </w:rPr>
        <w:t xml:space="preserve"> Americana </w:t>
      </w:r>
      <w:r>
        <w:rPr>
          <w:color w:val="auto"/>
          <w:sz w:val="16"/>
          <w:szCs w:val="16"/>
          <w:lang w:val="pt-BR"/>
        </w:rPr>
        <w:t xml:space="preserve">assinala: </w:t>
      </w:r>
      <w:r w:rsidR="007A7F22">
        <w:rPr>
          <w:color w:val="auto"/>
          <w:sz w:val="16"/>
          <w:szCs w:val="16"/>
          <w:lang w:val="pt-BR"/>
        </w:rPr>
        <w:t>“</w:t>
      </w:r>
      <w:r>
        <w:rPr>
          <w:color w:val="auto"/>
          <w:sz w:val="16"/>
          <w:szCs w:val="16"/>
          <w:lang w:val="pt-BR"/>
        </w:rPr>
        <w:t>1.</w:t>
      </w:r>
      <w:r w:rsidR="0075504C" w:rsidRPr="00AF31EC">
        <w:rPr>
          <w:rFonts w:ascii="Verdana" w:hAnsi="Verdana"/>
          <w:spacing w:val="-3"/>
          <w:lang w:val="pt-BR"/>
        </w:rPr>
        <w:t xml:space="preserve"> </w:t>
      </w:r>
      <w:r w:rsidR="0075504C" w:rsidRPr="0075504C">
        <w:rPr>
          <w:spacing w:val="-3"/>
          <w:sz w:val="16"/>
          <w:szCs w:val="16"/>
          <w:lang w:val="pt-BR"/>
        </w:rPr>
        <w:t>Toda pessoa tem direito a um recurso simples e rápido ou a qualquer outro recurso efetivo, perante os juízes ou tribunais competentes, que a proteja contra atos que violem seus direitos fundamentais reconhecidos pela constituição, pela lei ou pela presente Convenção, mesmo quando tal violação seja cometida por pessoas que estejam atuando no exercício de suas funções oficiais</w:t>
      </w:r>
      <w:r w:rsidRPr="00D30EFA">
        <w:rPr>
          <w:color w:val="auto"/>
          <w:sz w:val="16"/>
          <w:szCs w:val="16"/>
          <w:lang w:val="pt-BR"/>
        </w:rPr>
        <w:t>.</w:t>
      </w:r>
      <w:r w:rsidR="007A7F22">
        <w:rPr>
          <w:color w:val="auto"/>
          <w:sz w:val="16"/>
          <w:szCs w:val="16"/>
          <w:lang w:val="pt-BR"/>
        </w:rPr>
        <w:t>”</w:t>
      </w:r>
    </w:p>
  </w:footnote>
  <w:footnote w:id="176">
    <w:p w14:paraId="52DC1606" w14:textId="128BA330" w:rsidR="008C3011" w:rsidRPr="00D30EFA" w:rsidRDefault="008C3011" w:rsidP="008C3011">
      <w:pPr>
        <w:pStyle w:val="FootnoteText"/>
        <w:tabs>
          <w:tab w:val="left" w:pos="9356"/>
        </w:tabs>
        <w:adjustRightInd w:val="0"/>
        <w:ind w:firstLine="0"/>
        <w:contextualSpacing/>
        <w:rPr>
          <w:color w:val="auto"/>
          <w:lang w:val="pt-BR"/>
        </w:rPr>
      </w:pPr>
      <w:r w:rsidRPr="00D30EFA">
        <w:rPr>
          <w:rStyle w:val="FootnoteReference"/>
          <w:color w:val="auto"/>
          <w:lang w:val="pt-BR"/>
        </w:rPr>
        <w:footnoteRef/>
      </w:r>
      <w:r>
        <w:rPr>
          <w:color w:val="auto"/>
          <w:lang w:val="pt-BR"/>
        </w:rPr>
        <w:t xml:space="preserve"> O</w:t>
      </w:r>
      <w:r w:rsidRPr="00D30EFA">
        <w:rPr>
          <w:color w:val="auto"/>
          <w:lang w:val="pt-BR"/>
        </w:rPr>
        <w:t xml:space="preserve"> </w:t>
      </w:r>
      <w:r>
        <w:rPr>
          <w:color w:val="auto"/>
          <w:lang w:val="pt-BR"/>
        </w:rPr>
        <w:t>artigo</w:t>
      </w:r>
      <w:r w:rsidRPr="00D30EFA">
        <w:rPr>
          <w:color w:val="auto"/>
          <w:lang w:val="pt-BR"/>
        </w:rPr>
        <w:t xml:space="preserve"> 1.1 </w:t>
      </w:r>
      <w:r>
        <w:rPr>
          <w:color w:val="auto"/>
          <w:lang w:val="pt-BR"/>
        </w:rPr>
        <w:t xml:space="preserve">da </w:t>
      </w:r>
      <w:r w:rsidRPr="00D30EFA">
        <w:rPr>
          <w:color w:val="auto"/>
          <w:lang w:val="pt-BR"/>
        </w:rPr>
        <w:t>Conven</w:t>
      </w:r>
      <w:r>
        <w:rPr>
          <w:color w:val="auto"/>
          <w:lang w:val="pt-BR"/>
        </w:rPr>
        <w:t>ção</w:t>
      </w:r>
      <w:r w:rsidRPr="00D30EFA">
        <w:rPr>
          <w:color w:val="auto"/>
          <w:lang w:val="pt-BR"/>
        </w:rPr>
        <w:t xml:space="preserve"> estab</w:t>
      </w:r>
      <w:r>
        <w:rPr>
          <w:color w:val="auto"/>
          <w:lang w:val="pt-BR"/>
        </w:rPr>
        <w:t>el</w:t>
      </w:r>
      <w:r w:rsidRPr="005F071E">
        <w:rPr>
          <w:color w:val="auto"/>
          <w:lang w:val="pt-BR"/>
        </w:rPr>
        <w:t xml:space="preserve">ece: </w:t>
      </w:r>
      <w:r w:rsidR="005F071E">
        <w:rPr>
          <w:color w:val="auto"/>
          <w:lang w:val="pt-BR"/>
        </w:rPr>
        <w:t>“</w:t>
      </w:r>
      <w:r w:rsidR="005F071E" w:rsidRPr="005F071E">
        <w:rPr>
          <w:spacing w:val="-3"/>
          <w:lang w:val="pt-BR"/>
        </w:rPr>
        <w:t>Os Estados Partes nesta Convenção comprometem-se a respeitar os direitos e liberdades nela reconhecidos e a garantir seu livre e pleno exercício a toda pessoa que esteja sujeita à sua jurisdição, sem discriminação alguma por motivo de raça, cor, sexo, idioma, religião, opiniões políticas ou de qualquer outra natureza, origem nacional ou social, posição econômica, nascimento ou qualquer outra condição social</w:t>
      </w:r>
      <w:r w:rsidRPr="00D30EFA">
        <w:rPr>
          <w:color w:val="auto"/>
          <w:lang w:val="pt-BR"/>
        </w:rPr>
        <w:t>.</w:t>
      </w:r>
      <w:r w:rsidR="005F071E">
        <w:rPr>
          <w:color w:val="auto"/>
          <w:lang w:val="pt-BR"/>
        </w:rPr>
        <w:t>”</w:t>
      </w:r>
    </w:p>
  </w:footnote>
  <w:footnote w:id="177">
    <w:p w14:paraId="6045CE5A" w14:textId="6C4C4FFE" w:rsidR="008C3011" w:rsidRPr="00D30EFA" w:rsidRDefault="008C3011" w:rsidP="008C3011">
      <w:pPr>
        <w:pStyle w:val="NormalWeb"/>
        <w:ind w:right="74"/>
        <w:jc w:val="both"/>
        <w:rPr>
          <w:rFonts w:ascii="Cambria" w:hAnsi="Cambria"/>
          <w:sz w:val="16"/>
          <w:szCs w:val="16"/>
        </w:rPr>
      </w:pPr>
      <w:r w:rsidRPr="00D30EFA">
        <w:rPr>
          <w:rStyle w:val="FootnoteReference"/>
          <w:rFonts w:ascii="Cambria" w:hAnsi="Cambria"/>
          <w:sz w:val="16"/>
          <w:szCs w:val="16"/>
        </w:rPr>
        <w:footnoteRef/>
      </w:r>
      <w:r>
        <w:rPr>
          <w:rFonts w:ascii="Cambria" w:hAnsi="Cambria"/>
          <w:sz w:val="16"/>
          <w:szCs w:val="16"/>
        </w:rPr>
        <w:t xml:space="preserve"> O</w:t>
      </w:r>
      <w:r w:rsidRPr="00D30EFA">
        <w:rPr>
          <w:rFonts w:ascii="Cambria" w:hAnsi="Cambria"/>
          <w:sz w:val="16"/>
          <w:szCs w:val="16"/>
        </w:rPr>
        <w:t xml:space="preserve"> </w:t>
      </w:r>
      <w:r>
        <w:rPr>
          <w:rFonts w:ascii="Cambria" w:hAnsi="Cambria"/>
          <w:sz w:val="16"/>
          <w:szCs w:val="16"/>
        </w:rPr>
        <w:t>artigo</w:t>
      </w:r>
      <w:r w:rsidRPr="00D30EFA">
        <w:rPr>
          <w:rFonts w:ascii="Cambria" w:hAnsi="Cambria"/>
          <w:sz w:val="16"/>
          <w:szCs w:val="16"/>
        </w:rPr>
        <w:t xml:space="preserve"> 6 </w:t>
      </w:r>
      <w:r>
        <w:rPr>
          <w:rFonts w:ascii="Cambria" w:hAnsi="Cambria"/>
          <w:sz w:val="16"/>
          <w:szCs w:val="16"/>
        </w:rPr>
        <w:t xml:space="preserve">da </w:t>
      </w:r>
      <w:r w:rsidRPr="00D30EFA">
        <w:rPr>
          <w:rFonts w:ascii="Cambria" w:hAnsi="Cambria"/>
          <w:sz w:val="16"/>
          <w:szCs w:val="16"/>
        </w:rPr>
        <w:t>Conven</w:t>
      </w:r>
      <w:r>
        <w:rPr>
          <w:rFonts w:ascii="Cambria" w:hAnsi="Cambria"/>
          <w:sz w:val="16"/>
          <w:szCs w:val="16"/>
        </w:rPr>
        <w:t>ção</w:t>
      </w:r>
      <w:r w:rsidRPr="00D30EFA">
        <w:rPr>
          <w:rFonts w:ascii="Cambria" w:hAnsi="Cambria"/>
          <w:sz w:val="16"/>
          <w:szCs w:val="16"/>
        </w:rPr>
        <w:t xml:space="preserve"> Interamericana para Prevenir</w:t>
      </w:r>
      <w:r>
        <w:rPr>
          <w:rFonts w:ascii="Cambria" w:hAnsi="Cambria"/>
          <w:sz w:val="16"/>
          <w:szCs w:val="16"/>
        </w:rPr>
        <w:t xml:space="preserve"> e</w:t>
      </w:r>
      <w:r w:rsidRPr="006A43EE">
        <w:rPr>
          <w:rFonts w:ascii="Cambria" w:hAnsi="Cambria"/>
          <w:sz w:val="16"/>
          <w:szCs w:val="16"/>
        </w:rPr>
        <w:t xml:space="preserve"> Punir a Tortura estabelece:</w:t>
      </w:r>
      <w:r w:rsidR="006A43EE" w:rsidRPr="006A43EE">
        <w:rPr>
          <w:rFonts w:ascii="Cambria" w:hAnsi="Cambria" w:cs="Arial"/>
          <w:color w:val="000000"/>
          <w:sz w:val="16"/>
          <w:szCs w:val="16"/>
          <w:shd w:val="clear" w:color="auto" w:fill="FFFFFF"/>
        </w:rPr>
        <w:t xml:space="preserve"> </w:t>
      </w:r>
      <w:r w:rsidR="006A43EE">
        <w:rPr>
          <w:rFonts w:ascii="Cambria" w:hAnsi="Cambria" w:cs="Arial"/>
          <w:color w:val="000000"/>
          <w:sz w:val="16"/>
          <w:szCs w:val="16"/>
          <w:shd w:val="clear" w:color="auto" w:fill="FFFFFF"/>
        </w:rPr>
        <w:t>“</w:t>
      </w:r>
      <w:r w:rsidR="006A43EE" w:rsidRPr="006A43EE">
        <w:rPr>
          <w:rFonts w:ascii="Cambria" w:hAnsi="Cambria" w:cs="Arial"/>
          <w:color w:val="000000"/>
          <w:sz w:val="16"/>
          <w:szCs w:val="16"/>
          <w:shd w:val="clear" w:color="auto" w:fill="FFFFFF"/>
        </w:rPr>
        <w:t>Em conformidade com o disposto no artigo l, os Estados Partes tomarão medidas efetivas a fim de prevenir e punir a tortura no âmbito de sua jurisdição.</w:t>
      </w:r>
      <w:r w:rsidRPr="006A43EE">
        <w:rPr>
          <w:rFonts w:ascii="Cambria" w:hAnsi="Cambria" w:cs="Tahoma"/>
          <w:sz w:val="16"/>
          <w:szCs w:val="16"/>
        </w:rPr>
        <w:t>. [...]</w:t>
      </w:r>
      <w:r w:rsidR="006A43EE" w:rsidRPr="006A43EE">
        <w:rPr>
          <w:rFonts w:ascii="Cambria" w:hAnsi="Cambria" w:cs="Arial"/>
          <w:color w:val="000000"/>
          <w:sz w:val="16"/>
          <w:szCs w:val="16"/>
          <w:shd w:val="clear" w:color="auto" w:fill="FFFFFF"/>
        </w:rPr>
        <w:t>Os Estados Partes obrigam-se também a tomar medidas efetivas para prevenir e punir outros tratamentos ou penas cruéis, desumanos ou degradantes, no âmbito de sua jurisdição</w:t>
      </w:r>
      <w:r w:rsidR="006A43EE">
        <w:rPr>
          <w:rFonts w:ascii="Cambria" w:hAnsi="Cambria" w:cs="Arial"/>
          <w:color w:val="000000"/>
          <w:sz w:val="16"/>
          <w:szCs w:val="16"/>
          <w:shd w:val="clear" w:color="auto" w:fill="FFFFFF"/>
        </w:rPr>
        <w:t>”</w:t>
      </w:r>
      <w:r w:rsidRPr="00D30EFA">
        <w:rPr>
          <w:rFonts w:ascii="Cambria" w:hAnsi="Cambria" w:cs="Tahoma"/>
          <w:sz w:val="16"/>
          <w:szCs w:val="16"/>
        </w:rPr>
        <w:t>.</w:t>
      </w:r>
    </w:p>
  </w:footnote>
  <w:footnote w:id="178">
    <w:p w14:paraId="30919BF7" w14:textId="04C2CC72" w:rsidR="008C3011" w:rsidRPr="00D30EFA" w:rsidRDefault="008C3011" w:rsidP="00555251">
      <w:pPr>
        <w:pStyle w:val="NormalWeb"/>
        <w:shd w:val="clear" w:color="auto" w:fill="FFFFFF"/>
        <w:rPr>
          <w:rFonts w:ascii="Cambria" w:hAnsi="Cambria"/>
          <w:sz w:val="16"/>
          <w:szCs w:val="16"/>
        </w:rPr>
      </w:pPr>
      <w:r w:rsidRPr="00D30EFA">
        <w:rPr>
          <w:rStyle w:val="FootnoteReference"/>
          <w:rFonts w:ascii="Cambria" w:hAnsi="Cambria"/>
          <w:sz w:val="16"/>
          <w:szCs w:val="16"/>
        </w:rPr>
        <w:footnoteRef/>
      </w:r>
      <w:r>
        <w:rPr>
          <w:rFonts w:ascii="Cambria" w:hAnsi="Cambria"/>
          <w:sz w:val="16"/>
          <w:szCs w:val="16"/>
        </w:rPr>
        <w:t xml:space="preserve"> O</w:t>
      </w:r>
      <w:r w:rsidRPr="00D30EFA">
        <w:rPr>
          <w:rFonts w:ascii="Cambria" w:hAnsi="Cambria"/>
          <w:sz w:val="16"/>
          <w:szCs w:val="16"/>
        </w:rPr>
        <w:t xml:space="preserve"> </w:t>
      </w:r>
      <w:r>
        <w:rPr>
          <w:rFonts w:ascii="Cambria" w:hAnsi="Cambria"/>
          <w:sz w:val="16"/>
          <w:szCs w:val="16"/>
        </w:rPr>
        <w:t>artigo</w:t>
      </w:r>
      <w:r w:rsidRPr="00D30EFA">
        <w:rPr>
          <w:rFonts w:ascii="Cambria" w:hAnsi="Cambria"/>
          <w:sz w:val="16"/>
          <w:szCs w:val="16"/>
        </w:rPr>
        <w:t xml:space="preserve"> 8 </w:t>
      </w:r>
      <w:r>
        <w:rPr>
          <w:rFonts w:ascii="Cambria" w:hAnsi="Cambria"/>
          <w:sz w:val="16"/>
          <w:szCs w:val="16"/>
        </w:rPr>
        <w:t xml:space="preserve">da </w:t>
      </w:r>
      <w:r w:rsidRPr="00D30EFA">
        <w:rPr>
          <w:rFonts w:ascii="Cambria" w:hAnsi="Cambria"/>
          <w:sz w:val="16"/>
          <w:szCs w:val="16"/>
        </w:rPr>
        <w:t>Conven</w:t>
      </w:r>
      <w:r>
        <w:rPr>
          <w:rFonts w:ascii="Cambria" w:hAnsi="Cambria"/>
          <w:sz w:val="16"/>
          <w:szCs w:val="16"/>
        </w:rPr>
        <w:t>ção</w:t>
      </w:r>
      <w:r w:rsidRPr="00D30EFA">
        <w:rPr>
          <w:rFonts w:ascii="Cambria" w:hAnsi="Cambria"/>
          <w:sz w:val="16"/>
          <w:szCs w:val="16"/>
        </w:rPr>
        <w:t xml:space="preserve"> Interamericana para Prevenir</w:t>
      </w:r>
      <w:r>
        <w:rPr>
          <w:rFonts w:ascii="Cambria" w:hAnsi="Cambria"/>
          <w:sz w:val="16"/>
          <w:szCs w:val="16"/>
        </w:rPr>
        <w:t xml:space="preserve"> e Punir </w:t>
      </w:r>
      <w:r w:rsidRPr="00D30EFA">
        <w:rPr>
          <w:rFonts w:ascii="Cambria" w:hAnsi="Cambria"/>
          <w:sz w:val="16"/>
          <w:szCs w:val="16"/>
        </w:rPr>
        <w:t>a Tortura estab</w:t>
      </w:r>
      <w:r>
        <w:rPr>
          <w:rFonts w:ascii="Cambria" w:hAnsi="Cambria"/>
          <w:sz w:val="16"/>
          <w:szCs w:val="16"/>
        </w:rPr>
        <w:t>e</w:t>
      </w:r>
      <w:r w:rsidRPr="00D30EFA">
        <w:rPr>
          <w:rFonts w:ascii="Cambria" w:hAnsi="Cambria"/>
          <w:sz w:val="16"/>
          <w:szCs w:val="16"/>
        </w:rPr>
        <w:t>lec</w:t>
      </w:r>
      <w:r>
        <w:rPr>
          <w:rFonts w:ascii="Cambria" w:hAnsi="Cambria"/>
          <w:sz w:val="16"/>
          <w:szCs w:val="16"/>
        </w:rPr>
        <w:t>e</w:t>
      </w:r>
      <w:r w:rsidRPr="00D30EFA">
        <w:rPr>
          <w:rFonts w:ascii="Cambria" w:hAnsi="Cambria"/>
          <w:sz w:val="16"/>
          <w:szCs w:val="16"/>
        </w:rPr>
        <w:t>:</w:t>
      </w:r>
      <w:r w:rsidR="00555251">
        <w:rPr>
          <w:rFonts w:ascii="Arial" w:hAnsi="Arial" w:cs="Arial"/>
          <w:color w:val="000000"/>
        </w:rPr>
        <w:t xml:space="preserve"> </w:t>
      </w:r>
      <w:r w:rsidR="00555251">
        <w:rPr>
          <w:rFonts w:ascii="Cambria" w:hAnsi="Cambria" w:cs="Arial"/>
          <w:color w:val="000000"/>
          <w:sz w:val="16"/>
          <w:szCs w:val="16"/>
        </w:rPr>
        <w:t xml:space="preserve">“Os </w:t>
      </w:r>
      <w:r w:rsidR="006A43EE" w:rsidRPr="006A43EE">
        <w:rPr>
          <w:rFonts w:ascii="Cambria" w:hAnsi="Cambria" w:cs="Arial"/>
          <w:color w:val="000000"/>
          <w:sz w:val="16"/>
          <w:szCs w:val="16"/>
        </w:rPr>
        <w:t>Estados Partes assegurarão a qualquer pessoa que denunciar haver sido submetida a tortura, no âmbito de sua jurisdição, o direito de que o caso seja examinado de maneira imparcial.</w:t>
      </w:r>
      <w:r w:rsidR="00555251">
        <w:rPr>
          <w:rFonts w:ascii="Cambria" w:hAnsi="Cambria" w:cs="Arial"/>
          <w:color w:val="000000"/>
          <w:sz w:val="16"/>
          <w:szCs w:val="16"/>
        </w:rPr>
        <w:t xml:space="preserve"> </w:t>
      </w:r>
      <w:r w:rsidR="006A43EE" w:rsidRPr="006A43EE">
        <w:rPr>
          <w:rFonts w:ascii="Cambria" w:hAnsi="Cambria" w:cs="Arial"/>
          <w:color w:val="000000"/>
          <w:sz w:val="16"/>
          <w:szCs w:val="16"/>
        </w:rPr>
        <w:t>Quando houver denúncia ou razão fundada para supor que haja sido cometido ato de tortura no âmbito de sua jurisdição, os Estados Partes garantirão que suas autoridades procederão de ofício e imediatamente à realização de uma investigação sobre o caso e iniciarão, se for cabível, o respectivo processo penal</w:t>
      </w:r>
      <w:r w:rsidR="00555251">
        <w:rPr>
          <w:rFonts w:ascii="Cambria" w:hAnsi="Cambria" w:cs="Arial"/>
          <w:color w:val="000000"/>
          <w:sz w:val="16"/>
          <w:szCs w:val="16"/>
        </w:rPr>
        <w:t>.”</w:t>
      </w:r>
    </w:p>
  </w:footnote>
  <w:footnote w:id="179">
    <w:p w14:paraId="5D1925F9" w14:textId="438C4A35"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Pr>
          <w:color w:val="auto"/>
          <w:lang w:val="pt-BR"/>
        </w:rPr>
        <w:t xml:space="preserve"> O</w:t>
      </w:r>
      <w:r w:rsidRPr="00D30EFA">
        <w:rPr>
          <w:color w:val="auto"/>
          <w:lang w:val="pt-BR"/>
        </w:rPr>
        <w:t xml:space="preserve"> </w:t>
      </w:r>
      <w:r>
        <w:rPr>
          <w:color w:val="auto"/>
          <w:lang w:val="pt-BR"/>
        </w:rPr>
        <w:t>artigo</w:t>
      </w:r>
      <w:r w:rsidRPr="00D30EFA">
        <w:rPr>
          <w:color w:val="auto"/>
          <w:lang w:val="pt-BR"/>
        </w:rPr>
        <w:t xml:space="preserve"> 7 </w:t>
      </w:r>
      <w:r>
        <w:rPr>
          <w:color w:val="auto"/>
          <w:lang w:val="pt-BR"/>
        </w:rPr>
        <w:t xml:space="preserve">da </w:t>
      </w:r>
      <w:r w:rsidRPr="00D30EFA">
        <w:rPr>
          <w:color w:val="auto"/>
          <w:lang w:val="pt-BR"/>
        </w:rPr>
        <w:t>Conven</w:t>
      </w:r>
      <w:r>
        <w:rPr>
          <w:color w:val="auto"/>
          <w:lang w:val="pt-BR"/>
        </w:rPr>
        <w:t>ção</w:t>
      </w:r>
      <w:r w:rsidRPr="00D30EFA">
        <w:rPr>
          <w:color w:val="auto"/>
          <w:lang w:val="pt-BR"/>
        </w:rPr>
        <w:t xml:space="preserve"> de Belém do Pará </w:t>
      </w:r>
      <w:r w:rsidRPr="00D76BC3">
        <w:rPr>
          <w:color w:val="auto"/>
          <w:lang w:val="pt-BR"/>
        </w:rPr>
        <w:t>consagra:</w:t>
      </w:r>
      <w:r w:rsidR="00D76BC3" w:rsidRPr="00D76BC3">
        <w:rPr>
          <w:spacing w:val="-2"/>
          <w:lang w:val="pt-BR"/>
        </w:rPr>
        <w:t xml:space="preserve"> </w:t>
      </w:r>
      <w:r w:rsidR="00D76BC3">
        <w:rPr>
          <w:spacing w:val="-2"/>
          <w:lang w:val="pt-BR"/>
        </w:rPr>
        <w:t>“</w:t>
      </w:r>
      <w:r w:rsidR="00D76BC3" w:rsidRPr="00D76BC3">
        <w:rPr>
          <w:spacing w:val="-2"/>
          <w:lang w:val="pt-BR"/>
        </w:rPr>
        <w:t>Os Estados Partes condenam todas as formas de violência contra a mulher e convêm em adotar, por todos os meios apropriados e sem demora, políticas destinadas a prevenir, punir e erradicar tal violência e a empenhar-se em</w:t>
      </w:r>
      <w:r w:rsidRPr="00D76BC3">
        <w:rPr>
          <w:rFonts w:cs="Tahoma"/>
          <w:color w:val="auto"/>
          <w:lang w:val="pt-BR"/>
        </w:rPr>
        <w:t xml:space="preserve">: b. </w:t>
      </w:r>
      <w:r w:rsidR="00D76BC3" w:rsidRPr="00D76BC3">
        <w:rPr>
          <w:spacing w:val="-2"/>
          <w:lang w:val="pt-BR"/>
        </w:rPr>
        <w:t>agir com o devido zelo para prevenir, investigar e punir a violência contra a mulher</w:t>
      </w:r>
      <w:r w:rsidR="00D76BC3">
        <w:rPr>
          <w:spacing w:val="-2"/>
          <w:lang w:val="pt-BR"/>
        </w:rPr>
        <w:t>”.</w:t>
      </w:r>
      <w:r w:rsidR="00D76BC3" w:rsidRPr="00D76BC3">
        <w:rPr>
          <w:rFonts w:cs="Tahoma"/>
          <w:color w:val="auto"/>
          <w:lang w:val="pt-BR"/>
        </w:rPr>
        <w:t xml:space="preserve"> </w:t>
      </w:r>
    </w:p>
  </w:footnote>
  <w:footnote w:id="180">
    <w:p w14:paraId="28D2BA18" w14:textId="7AF09FD4"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Corte IDH. </w:t>
      </w:r>
      <w:r>
        <w:rPr>
          <w:bCs/>
          <w:color w:val="auto"/>
          <w:lang w:val="pt-BR"/>
        </w:rPr>
        <w:t>Caso do P</w:t>
      </w:r>
      <w:r w:rsidR="00BB3B83">
        <w:rPr>
          <w:bCs/>
          <w:color w:val="auto"/>
          <w:lang w:val="pt-BR"/>
        </w:rPr>
        <w:t>r</w:t>
      </w:r>
      <w:r>
        <w:rPr>
          <w:bCs/>
          <w:color w:val="auto"/>
          <w:lang w:val="pt-BR"/>
        </w:rPr>
        <w:t>e</w:t>
      </w:r>
      <w:r w:rsidR="00BB3B83">
        <w:rPr>
          <w:bCs/>
          <w:color w:val="auto"/>
          <w:lang w:val="pt-BR"/>
        </w:rPr>
        <w:t>sídio</w:t>
      </w:r>
      <w:r>
        <w:rPr>
          <w:bCs/>
          <w:color w:val="auto"/>
          <w:lang w:val="pt-BR"/>
        </w:rPr>
        <w:t xml:space="preserve"> Miguel Castro Castro v</w:t>
      </w:r>
      <w:r w:rsidRPr="00D30EFA">
        <w:rPr>
          <w:bCs/>
          <w:color w:val="auto"/>
          <w:lang w:val="pt-BR"/>
        </w:rPr>
        <w:t>s. Per</w:t>
      </w:r>
      <w:r>
        <w:rPr>
          <w:bCs/>
          <w:color w:val="auto"/>
          <w:lang w:val="pt-BR"/>
        </w:rPr>
        <w:t>u</w:t>
      </w:r>
      <w:r w:rsidRPr="00D30EFA">
        <w:rPr>
          <w:b/>
          <w:bCs/>
          <w:color w:val="auto"/>
          <w:lang w:val="pt-BR"/>
        </w:rPr>
        <w:t xml:space="preserve">. </w:t>
      </w:r>
      <w:r>
        <w:rPr>
          <w:color w:val="auto"/>
          <w:lang w:val="pt-BR"/>
        </w:rPr>
        <w:t>Sentença</w:t>
      </w:r>
      <w:r w:rsidRPr="00D30EFA">
        <w:rPr>
          <w:color w:val="auto"/>
          <w:lang w:val="pt-BR"/>
        </w:rPr>
        <w:t xml:space="preserve"> de 25 de </w:t>
      </w:r>
      <w:r>
        <w:rPr>
          <w:color w:val="auto"/>
          <w:lang w:val="pt-BR"/>
        </w:rPr>
        <w:t>novembro de 2006. Série C Nº 160, pa</w:t>
      </w:r>
      <w:r w:rsidRPr="00D30EFA">
        <w:rPr>
          <w:color w:val="auto"/>
          <w:lang w:val="pt-BR"/>
        </w:rPr>
        <w:t>r. 344</w:t>
      </w:r>
      <w:r w:rsidRPr="00D30EFA">
        <w:rPr>
          <w:color w:val="auto"/>
          <w:lang w:val="pt-BR" w:bidi="en-US"/>
        </w:rPr>
        <w:t xml:space="preserve">; </w:t>
      </w:r>
      <w:r>
        <w:rPr>
          <w:color w:val="auto"/>
          <w:lang w:val="pt-BR"/>
        </w:rPr>
        <w:t>Caso Bueno Alves v</w:t>
      </w:r>
      <w:r w:rsidRPr="00D30EFA">
        <w:rPr>
          <w:color w:val="auto"/>
          <w:lang w:val="pt-BR"/>
        </w:rPr>
        <w:t>s</w:t>
      </w:r>
      <w:r>
        <w:rPr>
          <w:color w:val="auto"/>
          <w:lang w:val="pt-BR"/>
        </w:rPr>
        <w:t xml:space="preserve">. Argentina.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Sentença de 11 de maio de 2007. Série C Nº164, pa</w:t>
      </w:r>
      <w:r w:rsidRPr="00D30EFA">
        <w:rPr>
          <w:color w:val="auto"/>
          <w:lang w:val="pt-BR"/>
        </w:rPr>
        <w:t>r. 88.</w:t>
      </w:r>
    </w:p>
  </w:footnote>
  <w:footnote w:id="181">
    <w:p w14:paraId="3739EF21" w14:textId="0863A1DB" w:rsidR="008C3011" w:rsidRPr="0027362F" w:rsidRDefault="008C3011" w:rsidP="008C3011">
      <w:pPr>
        <w:pStyle w:val="FootnoteText"/>
        <w:ind w:firstLine="0"/>
        <w:contextualSpacing/>
        <w:rPr>
          <w:color w:val="auto"/>
        </w:rPr>
      </w:pPr>
      <w:r w:rsidRPr="00D30EFA">
        <w:rPr>
          <w:rStyle w:val="FootnoteReference"/>
          <w:color w:val="auto"/>
          <w:lang w:val="pt-BR"/>
        </w:rPr>
        <w:footnoteRef/>
      </w:r>
      <w:r w:rsidRPr="00D30EFA">
        <w:rPr>
          <w:color w:val="auto"/>
          <w:lang w:val="pt-BR"/>
        </w:rPr>
        <w:t xml:space="preserve"> Corte IDH. Caso</w:t>
      </w:r>
      <w:r>
        <w:rPr>
          <w:color w:val="auto"/>
          <w:lang w:val="pt-BR"/>
        </w:rPr>
        <w:t xml:space="preserve"> Bulacio Vs. Argentina. Sentenç</w:t>
      </w:r>
      <w:r w:rsidRPr="00D30EFA">
        <w:rPr>
          <w:color w:val="auto"/>
          <w:lang w:val="pt-BR"/>
        </w:rPr>
        <w:t xml:space="preserve">a de 18 de </w:t>
      </w:r>
      <w:r>
        <w:rPr>
          <w:color w:val="auto"/>
          <w:lang w:val="pt-BR"/>
        </w:rPr>
        <w:t>setembro de 2003. Série C Nº</w:t>
      </w:r>
      <w:r w:rsidRPr="00D30EFA">
        <w:rPr>
          <w:color w:val="auto"/>
          <w:lang w:val="pt-BR"/>
        </w:rPr>
        <w:t xml:space="preserve"> 100;</w:t>
      </w:r>
      <w:r>
        <w:rPr>
          <w:color w:val="auto"/>
          <w:lang w:val="pt-BR"/>
        </w:rPr>
        <w:t xml:space="preserve"> Corte IDH. Caso Ximenes Lopes vs. Brasil.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sidRPr="00D30EFA">
        <w:rPr>
          <w:color w:val="auto"/>
          <w:lang w:val="pt-BR"/>
        </w:rPr>
        <w:t>. Senten</w:t>
      </w:r>
      <w:r>
        <w:rPr>
          <w:color w:val="auto"/>
          <w:lang w:val="pt-BR"/>
        </w:rPr>
        <w:t>ça de 4 de julho de 2006. Série C Nº 149, pa</w:t>
      </w:r>
      <w:r w:rsidRPr="00D30EFA">
        <w:rPr>
          <w:color w:val="auto"/>
          <w:lang w:val="pt-BR"/>
        </w:rPr>
        <w:t>r. 147ñ Corte IDH. Caso Mendoza</w:t>
      </w:r>
      <w:r>
        <w:rPr>
          <w:color w:val="auto"/>
          <w:lang w:val="pt-BR"/>
        </w:rPr>
        <w:t xml:space="preserve"> e </w:t>
      </w:r>
      <w:r w:rsidRPr="00D30EFA">
        <w:rPr>
          <w:color w:val="auto"/>
          <w:lang w:val="pt-BR"/>
        </w:rPr>
        <w:t>o</w:t>
      </w:r>
      <w:r>
        <w:rPr>
          <w:color w:val="auto"/>
          <w:lang w:val="pt-BR"/>
        </w:rPr>
        <w:t xml:space="preserve">utros vs. Argentina. Exceções Preliminares, </w:t>
      </w:r>
      <w:r w:rsidR="00D042DF">
        <w:rPr>
          <w:color w:val="auto"/>
          <w:lang w:val="pt-BR"/>
        </w:rPr>
        <w:t>Mérito</w:t>
      </w:r>
      <w:r>
        <w:rPr>
          <w:color w:val="auto"/>
          <w:lang w:val="pt-BR"/>
        </w:rPr>
        <w:t xml:space="preserve"> e </w:t>
      </w:r>
      <w:r w:rsidRPr="00D30EFA">
        <w:rPr>
          <w:color w:val="auto"/>
          <w:lang w:val="pt-BR"/>
        </w:rPr>
        <w:t>Repara</w:t>
      </w:r>
      <w:r>
        <w:rPr>
          <w:color w:val="auto"/>
          <w:lang w:val="pt-BR"/>
        </w:rPr>
        <w:t>ções. Sentença de 14 de maio de 2013 Série C Nº 260. Pa</w:t>
      </w:r>
      <w:r w:rsidRPr="00D30EFA">
        <w:rPr>
          <w:color w:val="auto"/>
          <w:lang w:val="pt-BR"/>
        </w:rPr>
        <w:t>r. 218; Corte Europe</w:t>
      </w:r>
      <w:r>
        <w:rPr>
          <w:color w:val="auto"/>
          <w:lang w:val="pt-BR"/>
        </w:rPr>
        <w:t>i</w:t>
      </w:r>
      <w:r w:rsidRPr="00D30EFA">
        <w:rPr>
          <w:color w:val="auto"/>
          <w:lang w:val="pt-BR"/>
        </w:rPr>
        <w:t xml:space="preserve">a. </w:t>
      </w:r>
      <w:r w:rsidRPr="0027362F">
        <w:rPr>
          <w:color w:val="auto"/>
        </w:rPr>
        <w:t>Salman v. Turkey, cited above, at § 99; Keenan v. the United Kingdom, nº 27229/95, § 91, ECHR 2001</w:t>
      </w:r>
      <w:r w:rsidRPr="0027362F">
        <w:rPr>
          <w:rFonts w:eastAsia="MS Mincho" w:cs="MS Mincho"/>
          <w:color w:val="auto"/>
        </w:rPr>
        <w:t>‑</w:t>
      </w:r>
      <w:r w:rsidRPr="0027362F">
        <w:rPr>
          <w:color w:val="auto"/>
        </w:rPr>
        <w:t>III.</w:t>
      </w:r>
    </w:p>
  </w:footnote>
  <w:footnote w:id="182">
    <w:p w14:paraId="4497989C" w14:textId="77777777"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CIDH. </w:t>
      </w:r>
      <w:r>
        <w:rPr>
          <w:color w:val="auto"/>
          <w:lang w:val="pt-BR"/>
        </w:rPr>
        <w:t>Relatório sobre o</w:t>
      </w:r>
      <w:r w:rsidRPr="00D30EFA">
        <w:rPr>
          <w:color w:val="auto"/>
          <w:lang w:val="pt-BR"/>
        </w:rPr>
        <w:t xml:space="preserve">s </w:t>
      </w:r>
      <w:r>
        <w:rPr>
          <w:color w:val="auto"/>
          <w:lang w:val="pt-BR"/>
        </w:rPr>
        <w:t>direito</w:t>
      </w:r>
      <w:r w:rsidRPr="00D30EFA">
        <w:rPr>
          <w:color w:val="auto"/>
          <w:lang w:val="pt-BR"/>
        </w:rPr>
        <w:t xml:space="preserve">s humanos </w:t>
      </w:r>
      <w:r>
        <w:rPr>
          <w:color w:val="auto"/>
          <w:lang w:val="pt-BR"/>
        </w:rPr>
        <w:t>das pessoa</w:t>
      </w:r>
      <w:r w:rsidRPr="00D30EFA">
        <w:rPr>
          <w:color w:val="auto"/>
          <w:lang w:val="pt-BR"/>
        </w:rPr>
        <w:t xml:space="preserve">s privadas de </w:t>
      </w:r>
      <w:r>
        <w:rPr>
          <w:color w:val="auto"/>
          <w:lang w:val="pt-BR"/>
        </w:rPr>
        <w:t>liberdade</w:t>
      </w:r>
      <w:r w:rsidRPr="00D30EFA">
        <w:rPr>
          <w:color w:val="auto"/>
          <w:lang w:val="pt-BR"/>
        </w:rPr>
        <w:t xml:space="preserve"> </w:t>
      </w:r>
      <w:r>
        <w:rPr>
          <w:color w:val="auto"/>
          <w:lang w:val="pt-BR"/>
        </w:rPr>
        <w:t>nas</w:t>
      </w:r>
      <w:r w:rsidRPr="00D30EFA">
        <w:rPr>
          <w:color w:val="auto"/>
          <w:lang w:val="pt-BR"/>
        </w:rPr>
        <w:t xml:space="preserve"> Américas. OEA/Ser.L/V/II. Doc.64. 31 d</w:t>
      </w:r>
      <w:r>
        <w:rPr>
          <w:color w:val="auto"/>
          <w:lang w:val="pt-BR"/>
        </w:rPr>
        <w:t>ezembro</w:t>
      </w:r>
      <w:r w:rsidRPr="00D30EFA">
        <w:rPr>
          <w:color w:val="auto"/>
          <w:lang w:val="pt-BR"/>
        </w:rPr>
        <w:t xml:space="preserve"> 2</w:t>
      </w:r>
      <w:r>
        <w:rPr>
          <w:color w:val="auto"/>
          <w:lang w:val="pt-BR"/>
        </w:rPr>
        <w:t>013. Pa</w:t>
      </w:r>
      <w:r w:rsidRPr="00D30EFA">
        <w:rPr>
          <w:color w:val="auto"/>
          <w:lang w:val="pt-BR"/>
        </w:rPr>
        <w:t>r. 270.</w:t>
      </w:r>
    </w:p>
  </w:footnote>
  <w:footnote w:id="183">
    <w:p w14:paraId="06C6676D" w14:textId="23B8CDA5"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Pr>
          <w:color w:val="auto"/>
          <w:lang w:val="pt-BR"/>
        </w:rPr>
        <w:t xml:space="preserve"> Corte IDH. Caso do</w:t>
      </w:r>
      <w:r w:rsidRPr="00D30EFA">
        <w:rPr>
          <w:color w:val="auto"/>
          <w:lang w:val="pt-BR"/>
        </w:rPr>
        <w:t xml:space="preserve"> Pena</w:t>
      </w:r>
      <w:r>
        <w:rPr>
          <w:color w:val="auto"/>
          <w:lang w:val="pt-BR"/>
        </w:rPr>
        <w:t>l Miguel Castro Castro. Sentenç</w:t>
      </w:r>
      <w:r w:rsidRPr="00D30EFA">
        <w:rPr>
          <w:color w:val="auto"/>
          <w:lang w:val="pt-BR"/>
        </w:rPr>
        <w:t xml:space="preserve">a de 25 de </w:t>
      </w:r>
      <w:r>
        <w:rPr>
          <w:color w:val="auto"/>
          <w:lang w:val="pt-BR"/>
        </w:rPr>
        <w:t>novembro de 2006. Série C Nº</w:t>
      </w:r>
      <w:r w:rsidRPr="00D30EFA">
        <w:rPr>
          <w:color w:val="auto"/>
          <w:lang w:val="pt-BR"/>
        </w:rPr>
        <w:t xml:space="preserve"> 16</w:t>
      </w:r>
      <w:r>
        <w:rPr>
          <w:color w:val="auto"/>
          <w:lang w:val="pt-BR"/>
        </w:rPr>
        <w:t>0, pa</w:t>
      </w:r>
      <w:r w:rsidRPr="00D30EFA">
        <w:rPr>
          <w:color w:val="auto"/>
          <w:lang w:val="pt-BR"/>
        </w:rPr>
        <w:t>r. 253. V</w:t>
      </w:r>
      <w:r>
        <w:rPr>
          <w:color w:val="auto"/>
          <w:lang w:val="pt-BR"/>
        </w:rPr>
        <w:t>eja, também,</w:t>
      </w:r>
      <w:r w:rsidRPr="00D30EFA">
        <w:rPr>
          <w:color w:val="auto"/>
          <w:lang w:val="pt-BR"/>
        </w:rPr>
        <w:t xml:space="preserve"> Corte IDH Caso Servell</w:t>
      </w:r>
      <w:r>
        <w:rPr>
          <w:color w:val="auto"/>
          <w:lang w:val="pt-BR"/>
        </w:rPr>
        <w:t>ou</w:t>
      </w:r>
      <w:r w:rsidRPr="00D30EFA">
        <w:rPr>
          <w:color w:val="auto"/>
          <w:lang w:val="pt-BR"/>
        </w:rPr>
        <w:t>n García</w:t>
      </w:r>
      <w:r>
        <w:rPr>
          <w:color w:val="auto"/>
          <w:lang w:val="pt-BR"/>
        </w:rPr>
        <w:t xml:space="preserve"> e </w:t>
      </w:r>
      <w:r w:rsidRPr="00D30EFA">
        <w:rPr>
          <w:color w:val="auto"/>
          <w:lang w:val="pt-BR"/>
        </w:rPr>
        <w:t>o</w:t>
      </w:r>
      <w:r>
        <w:rPr>
          <w:color w:val="auto"/>
          <w:lang w:val="pt-BR"/>
        </w:rPr>
        <w:t>utros. Sentenç</w:t>
      </w:r>
      <w:r w:rsidRPr="00D30EFA">
        <w:rPr>
          <w:color w:val="auto"/>
          <w:lang w:val="pt-BR"/>
        </w:rPr>
        <w:t xml:space="preserve">a de 21 de </w:t>
      </w:r>
      <w:r>
        <w:rPr>
          <w:color w:val="auto"/>
          <w:lang w:val="pt-BR"/>
        </w:rPr>
        <w:t>setembro de 2006. Série C Nº 152, pa</w:t>
      </w:r>
      <w:r w:rsidRPr="00D30EFA">
        <w:rPr>
          <w:color w:val="auto"/>
          <w:lang w:val="pt-BR"/>
        </w:rPr>
        <w:t>r. 1</w:t>
      </w:r>
      <w:r>
        <w:rPr>
          <w:color w:val="auto"/>
          <w:lang w:val="pt-BR"/>
        </w:rPr>
        <w:t>19; Caso Ximenes Lopes. Sentença de 4 de julho de 2006. S</w:t>
      </w:r>
      <w:r w:rsidR="00420AD3">
        <w:rPr>
          <w:color w:val="auto"/>
          <w:lang w:val="pt-BR"/>
        </w:rPr>
        <w:t>é</w:t>
      </w:r>
      <w:r>
        <w:rPr>
          <w:color w:val="auto"/>
          <w:lang w:val="pt-BR"/>
        </w:rPr>
        <w:t>rie C No. 149, pa</w:t>
      </w:r>
      <w:r w:rsidRPr="00D30EFA">
        <w:rPr>
          <w:color w:val="auto"/>
          <w:lang w:val="pt-BR"/>
        </w:rPr>
        <w:t xml:space="preserve">r. 147; Caso </w:t>
      </w:r>
      <w:r>
        <w:rPr>
          <w:color w:val="auto"/>
          <w:lang w:val="pt-BR"/>
        </w:rPr>
        <w:t xml:space="preserve">dos </w:t>
      </w:r>
      <w:r w:rsidRPr="00D30EFA">
        <w:rPr>
          <w:color w:val="auto"/>
          <w:lang w:val="pt-BR"/>
        </w:rPr>
        <w:t>Mas</w:t>
      </w:r>
      <w:r>
        <w:rPr>
          <w:color w:val="auto"/>
          <w:lang w:val="pt-BR"/>
        </w:rPr>
        <w:t>sacres de Ituango. Sentença de 1 de julho de 2006 Série C Nº 148, pa</w:t>
      </w:r>
      <w:r w:rsidRPr="00D30EFA">
        <w:rPr>
          <w:color w:val="auto"/>
          <w:lang w:val="pt-BR"/>
        </w:rPr>
        <w:t>r. 297;</w:t>
      </w:r>
      <w:r>
        <w:rPr>
          <w:color w:val="auto"/>
          <w:lang w:val="pt-BR"/>
        </w:rPr>
        <w:t xml:space="preserve"> e </w:t>
      </w:r>
      <w:r w:rsidRPr="00D30EFA">
        <w:rPr>
          <w:color w:val="auto"/>
          <w:lang w:val="pt-BR"/>
        </w:rPr>
        <w:t>Caso Cantoral Huamaní</w:t>
      </w:r>
      <w:r>
        <w:rPr>
          <w:color w:val="auto"/>
          <w:lang w:val="pt-BR"/>
        </w:rPr>
        <w:t xml:space="preserve"> e </w:t>
      </w:r>
      <w:r w:rsidRPr="00D30EFA">
        <w:rPr>
          <w:color w:val="auto"/>
          <w:lang w:val="pt-BR"/>
        </w:rPr>
        <w:t>García Santa Cruz</w:t>
      </w:r>
      <w:r w:rsidRPr="00D30EFA">
        <w:rPr>
          <w:b/>
          <w:bCs/>
          <w:color w:val="auto"/>
          <w:lang w:val="pt-BR"/>
        </w:rPr>
        <w:t xml:space="preserve">. </w:t>
      </w:r>
      <w:r>
        <w:rPr>
          <w:color w:val="auto"/>
          <w:lang w:val="pt-BR"/>
        </w:rPr>
        <w:t>Sentença de 10 de julho de 2007. Série C Nº 167, pa</w:t>
      </w:r>
      <w:r w:rsidRPr="00D30EFA">
        <w:rPr>
          <w:color w:val="auto"/>
          <w:lang w:val="pt-BR"/>
        </w:rPr>
        <w:t xml:space="preserve">r. 100.  </w:t>
      </w:r>
    </w:p>
  </w:footnote>
  <w:footnote w:id="184">
    <w:p w14:paraId="047A7068" w14:textId="5DE826B4" w:rsidR="008C3011" w:rsidRPr="00D30EFA" w:rsidRDefault="008C3011" w:rsidP="008C3011">
      <w:pPr>
        <w:contextualSpacing/>
        <w:jc w:val="both"/>
        <w:rPr>
          <w:rFonts w:ascii="Cambria" w:hAnsi="Cambria"/>
          <w:sz w:val="16"/>
          <w:szCs w:val="16"/>
        </w:rPr>
      </w:pPr>
      <w:r w:rsidRPr="00D30EFA">
        <w:rPr>
          <w:rStyle w:val="FootnoteReference"/>
          <w:rFonts w:ascii="Cambria" w:hAnsi="Cambria"/>
          <w:sz w:val="16"/>
          <w:szCs w:val="16"/>
        </w:rPr>
        <w:footnoteRef/>
      </w:r>
      <w:r w:rsidRPr="00D30EFA">
        <w:rPr>
          <w:rFonts w:ascii="Cambria" w:hAnsi="Cambria"/>
          <w:sz w:val="16"/>
          <w:szCs w:val="16"/>
        </w:rPr>
        <w:t xml:space="preserve"> Ramsahai</w:t>
      </w:r>
      <w:r>
        <w:rPr>
          <w:rFonts w:ascii="Cambria" w:hAnsi="Cambria"/>
          <w:sz w:val="16"/>
          <w:szCs w:val="16"/>
        </w:rPr>
        <w:t xml:space="preserve"> e </w:t>
      </w:r>
      <w:r w:rsidR="00420AD3">
        <w:rPr>
          <w:rFonts w:ascii="Cambria" w:hAnsi="Cambria"/>
          <w:sz w:val="16"/>
          <w:szCs w:val="16"/>
        </w:rPr>
        <w:t>o</w:t>
      </w:r>
      <w:r>
        <w:rPr>
          <w:rFonts w:ascii="Cambria" w:hAnsi="Cambria"/>
          <w:sz w:val="16"/>
          <w:szCs w:val="16"/>
        </w:rPr>
        <w:t>utros v. Países Baixos [GC], nº</w:t>
      </w:r>
      <w:r w:rsidRPr="00D30EFA">
        <w:rPr>
          <w:rFonts w:ascii="Cambria" w:hAnsi="Cambria"/>
          <w:sz w:val="16"/>
          <w:szCs w:val="16"/>
        </w:rPr>
        <w:t xml:space="preserve"> 52391/99, § 325, CEDH 2007 -..., Güleç v. Tur</w:t>
      </w:r>
      <w:r>
        <w:rPr>
          <w:rFonts w:ascii="Cambria" w:hAnsi="Cambria"/>
          <w:sz w:val="16"/>
          <w:szCs w:val="16"/>
        </w:rPr>
        <w:t>quia, sentença de 27 de julh</w:t>
      </w:r>
      <w:r w:rsidRPr="00D30EFA">
        <w:rPr>
          <w:rFonts w:ascii="Cambria" w:hAnsi="Cambria"/>
          <w:sz w:val="16"/>
          <w:szCs w:val="16"/>
        </w:rPr>
        <w:t>o de 1998, Reports 1998-IV, p. 1733, §§ 81- 82,</w:t>
      </w:r>
      <w:r>
        <w:rPr>
          <w:rFonts w:ascii="Cambria" w:hAnsi="Cambria"/>
          <w:sz w:val="16"/>
          <w:szCs w:val="16"/>
        </w:rPr>
        <w:t xml:space="preserve"> e Ogur v. Turquia [GC], nº</w:t>
      </w:r>
      <w:r w:rsidRPr="00D30EFA">
        <w:rPr>
          <w:rFonts w:ascii="Cambria" w:hAnsi="Cambria"/>
          <w:sz w:val="16"/>
          <w:szCs w:val="16"/>
        </w:rPr>
        <w:t xml:space="preserve"> 21954/93, §§ 91 a 92, CEDH 1999-III).</w:t>
      </w:r>
    </w:p>
  </w:footnote>
  <w:footnote w:id="185">
    <w:p w14:paraId="6836F4E9" w14:textId="1D66A04B"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CIDH. </w:t>
      </w:r>
      <w:r>
        <w:rPr>
          <w:color w:val="auto"/>
          <w:lang w:val="pt-BR"/>
        </w:rPr>
        <w:t>Relatório</w:t>
      </w:r>
      <w:r w:rsidRPr="00D30EFA">
        <w:rPr>
          <w:color w:val="auto"/>
          <w:lang w:val="pt-BR"/>
        </w:rPr>
        <w:t xml:space="preserve"> Anual 2013. </w:t>
      </w:r>
      <w:r>
        <w:rPr>
          <w:color w:val="auto"/>
          <w:lang w:val="pt-BR"/>
        </w:rPr>
        <w:t>Relatório</w:t>
      </w:r>
      <w:r w:rsidRPr="00D30EFA">
        <w:rPr>
          <w:color w:val="auto"/>
          <w:lang w:val="pt-BR"/>
        </w:rPr>
        <w:t xml:space="preserve"> </w:t>
      </w:r>
      <w:r>
        <w:rPr>
          <w:color w:val="auto"/>
          <w:lang w:val="pt-BR"/>
        </w:rPr>
        <w:t xml:space="preserve">da Relatoria Especial para </w:t>
      </w:r>
      <w:r w:rsidRPr="00D30EFA">
        <w:rPr>
          <w:color w:val="auto"/>
          <w:lang w:val="pt-BR"/>
        </w:rPr>
        <w:t xml:space="preserve">a </w:t>
      </w:r>
      <w:r>
        <w:rPr>
          <w:color w:val="auto"/>
          <w:lang w:val="pt-BR"/>
        </w:rPr>
        <w:t>Liberdade</w:t>
      </w:r>
      <w:r w:rsidRPr="00D30EFA">
        <w:rPr>
          <w:color w:val="auto"/>
          <w:lang w:val="pt-BR"/>
        </w:rPr>
        <w:t xml:space="preserve"> de Expres</w:t>
      </w:r>
      <w:r>
        <w:rPr>
          <w:color w:val="auto"/>
          <w:lang w:val="pt-BR"/>
        </w:rPr>
        <w:t>são</w:t>
      </w:r>
      <w:r w:rsidRPr="00D30EFA">
        <w:rPr>
          <w:color w:val="auto"/>
          <w:lang w:val="pt-BR"/>
        </w:rPr>
        <w:t>. Capítulo III (Viol</w:t>
      </w:r>
      <w:r>
        <w:rPr>
          <w:color w:val="auto"/>
          <w:lang w:val="pt-BR"/>
        </w:rPr>
        <w:t>ê</w:t>
      </w:r>
      <w:r w:rsidRPr="00D30EFA">
        <w:rPr>
          <w:color w:val="auto"/>
          <w:lang w:val="pt-BR"/>
        </w:rPr>
        <w:t xml:space="preserve">ncia contra </w:t>
      </w:r>
      <w:r>
        <w:rPr>
          <w:color w:val="auto"/>
          <w:lang w:val="pt-BR"/>
        </w:rPr>
        <w:t xml:space="preserve">jornalistas e </w:t>
      </w:r>
      <w:r w:rsidR="00BD2F66">
        <w:rPr>
          <w:color w:val="auto"/>
          <w:lang w:val="pt-BR"/>
        </w:rPr>
        <w:t>funcionários dos meios de comunicação</w:t>
      </w:r>
      <w:r>
        <w:rPr>
          <w:color w:val="auto"/>
          <w:lang w:val="pt-BR"/>
        </w:rPr>
        <w:t>: padrões</w:t>
      </w:r>
      <w:r w:rsidRPr="00D30EFA">
        <w:rPr>
          <w:color w:val="auto"/>
          <w:lang w:val="pt-BR"/>
        </w:rPr>
        <w:t xml:space="preserve"> interamericanos</w:t>
      </w:r>
      <w:r>
        <w:rPr>
          <w:color w:val="auto"/>
          <w:lang w:val="pt-BR"/>
        </w:rPr>
        <w:t xml:space="preserve"> e prá</w:t>
      </w:r>
      <w:r w:rsidRPr="00D30EFA">
        <w:rPr>
          <w:color w:val="auto"/>
          <w:lang w:val="pt-BR"/>
        </w:rPr>
        <w:t>ticas nacion</w:t>
      </w:r>
      <w:r>
        <w:rPr>
          <w:color w:val="auto"/>
          <w:lang w:val="pt-BR"/>
        </w:rPr>
        <w:t>ais</w:t>
      </w:r>
      <w:r w:rsidRPr="00D30EFA">
        <w:rPr>
          <w:color w:val="auto"/>
          <w:lang w:val="pt-BR"/>
        </w:rPr>
        <w:t xml:space="preserve"> sobre preven</w:t>
      </w:r>
      <w:r>
        <w:rPr>
          <w:color w:val="auto"/>
          <w:lang w:val="pt-BR"/>
        </w:rPr>
        <w:t xml:space="preserve">ção, proteção e </w:t>
      </w:r>
      <w:r w:rsidR="009248D5">
        <w:rPr>
          <w:color w:val="auto"/>
          <w:lang w:val="pt-BR"/>
        </w:rPr>
        <w:t>realiz</w:t>
      </w:r>
      <w:r w:rsidRPr="00D30EFA">
        <w:rPr>
          <w:color w:val="auto"/>
          <w:lang w:val="pt-BR"/>
        </w:rPr>
        <w:t>a</w:t>
      </w:r>
      <w:r>
        <w:rPr>
          <w:color w:val="auto"/>
          <w:lang w:val="pt-BR"/>
        </w:rPr>
        <w:t>ção</w:t>
      </w:r>
      <w:r w:rsidRPr="00D30EFA">
        <w:rPr>
          <w:color w:val="auto"/>
          <w:lang w:val="pt-BR"/>
        </w:rPr>
        <w:t xml:space="preserve"> </w:t>
      </w:r>
      <w:r>
        <w:rPr>
          <w:color w:val="auto"/>
          <w:lang w:val="pt-BR"/>
        </w:rPr>
        <w:t>da justiça</w:t>
      </w:r>
      <w:r w:rsidRPr="00D30EFA">
        <w:rPr>
          <w:color w:val="auto"/>
          <w:lang w:val="pt-BR"/>
        </w:rPr>
        <w:t>). OEA/Ser.L/V/II.149. Doc. 50. 31 de d</w:t>
      </w:r>
      <w:r>
        <w:rPr>
          <w:color w:val="auto"/>
          <w:lang w:val="pt-BR"/>
        </w:rPr>
        <w:t>ezembro de 2013. Pa</w:t>
      </w:r>
      <w:r w:rsidRPr="00D30EFA">
        <w:rPr>
          <w:color w:val="auto"/>
          <w:lang w:val="pt-BR"/>
        </w:rPr>
        <w:t>r. 1.</w:t>
      </w:r>
    </w:p>
  </w:footnote>
  <w:footnote w:id="186">
    <w:p w14:paraId="1F5E7227" w14:textId="77777777"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CIDH. </w:t>
      </w:r>
      <w:r>
        <w:rPr>
          <w:color w:val="auto"/>
          <w:lang w:val="pt-BR"/>
        </w:rPr>
        <w:t xml:space="preserve">Direito à </w:t>
      </w:r>
      <w:r w:rsidRPr="00D30EFA">
        <w:rPr>
          <w:color w:val="auto"/>
          <w:lang w:val="pt-BR"/>
        </w:rPr>
        <w:t>verdad</w:t>
      </w:r>
      <w:r>
        <w:rPr>
          <w:color w:val="auto"/>
          <w:lang w:val="pt-BR"/>
        </w:rPr>
        <w:t>e nas</w:t>
      </w:r>
      <w:r w:rsidRPr="00D30EFA">
        <w:rPr>
          <w:color w:val="auto"/>
          <w:lang w:val="pt-BR"/>
        </w:rPr>
        <w:t xml:space="preserve"> Américas. OEA/Ser.L/V/II.</w:t>
      </w:r>
      <w:r>
        <w:rPr>
          <w:color w:val="auto"/>
          <w:lang w:val="pt-BR"/>
        </w:rPr>
        <w:t>152. Doc. 2. 13 agosto 2014. Pa</w:t>
      </w:r>
      <w:r w:rsidRPr="00D30EFA">
        <w:rPr>
          <w:color w:val="auto"/>
          <w:lang w:val="pt-BR"/>
        </w:rPr>
        <w:t>r. 106.</w:t>
      </w:r>
    </w:p>
  </w:footnote>
  <w:footnote w:id="187">
    <w:p w14:paraId="054DFE0A" w14:textId="39A5945B"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w:t>
      </w:r>
      <w:r>
        <w:rPr>
          <w:color w:val="auto"/>
          <w:lang w:val="pt-BR"/>
        </w:rPr>
        <w:t xml:space="preserve">orte IDH. Caso Radilla Pacheco vs. México. Exceções Preliminares,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w:t>
      </w:r>
      <w:r w:rsidRPr="00D30EFA">
        <w:rPr>
          <w:color w:val="auto"/>
          <w:lang w:val="pt-BR"/>
        </w:rPr>
        <w:t xml:space="preserve">a de 23 de </w:t>
      </w:r>
      <w:r>
        <w:rPr>
          <w:color w:val="auto"/>
          <w:lang w:val="pt-BR"/>
        </w:rPr>
        <w:t>Novembro de 2009. Série C Nº 209. Par</w:t>
      </w:r>
      <w:r w:rsidRPr="00D30EFA">
        <w:rPr>
          <w:color w:val="auto"/>
          <w:lang w:val="pt-BR"/>
        </w:rPr>
        <w:t xml:space="preserve">. 272-278; CIDH, </w:t>
      </w:r>
      <w:r>
        <w:rPr>
          <w:color w:val="auto"/>
          <w:lang w:val="pt-BR"/>
        </w:rPr>
        <w:t>Relatório</w:t>
      </w:r>
      <w:r w:rsidRPr="00D30EFA">
        <w:rPr>
          <w:color w:val="auto"/>
          <w:lang w:val="pt-BR"/>
        </w:rPr>
        <w:t xml:space="preserve"> sobre Terrorismo</w:t>
      </w:r>
      <w:r>
        <w:rPr>
          <w:color w:val="auto"/>
          <w:lang w:val="pt-BR"/>
        </w:rPr>
        <w:t xml:space="preserve"> e Direito</w:t>
      </w:r>
      <w:r w:rsidRPr="00D30EFA">
        <w:rPr>
          <w:color w:val="auto"/>
          <w:lang w:val="pt-BR"/>
        </w:rPr>
        <w:t>s Humanos, OEA/Ser.L/V/II.11</w:t>
      </w:r>
      <w:r>
        <w:rPr>
          <w:color w:val="auto"/>
          <w:lang w:val="pt-BR"/>
        </w:rPr>
        <w:t>6.Doc.5 rev.1, 22 de outubro de 2002, pa</w:t>
      </w:r>
      <w:r w:rsidRPr="00D30EFA">
        <w:rPr>
          <w:color w:val="auto"/>
          <w:lang w:val="pt-BR"/>
        </w:rPr>
        <w:t xml:space="preserve">r. 230; CIDH. </w:t>
      </w:r>
      <w:r>
        <w:rPr>
          <w:color w:val="auto"/>
          <w:lang w:val="pt-BR"/>
        </w:rPr>
        <w:t>Relatório</w:t>
      </w:r>
      <w:r w:rsidRPr="00D30EFA">
        <w:rPr>
          <w:color w:val="auto"/>
          <w:lang w:val="pt-BR"/>
        </w:rPr>
        <w:t xml:space="preserve"> sobre </w:t>
      </w:r>
      <w:r>
        <w:rPr>
          <w:color w:val="auto"/>
          <w:lang w:val="pt-BR"/>
        </w:rPr>
        <w:t>Direito</w:t>
      </w:r>
      <w:r w:rsidRPr="00D30EFA">
        <w:rPr>
          <w:color w:val="auto"/>
          <w:lang w:val="pt-BR"/>
        </w:rPr>
        <w:t>s Humanos</w:t>
      </w:r>
      <w:r>
        <w:rPr>
          <w:color w:val="auto"/>
          <w:lang w:val="pt-BR"/>
        </w:rPr>
        <w:t xml:space="preserve"> e Segurança Ci</w:t>
      </w:r>
      <w:r w:rsidRPr="00D30EFA">
        <w:rPr>
          <w:color w:val="auto"/>
          <w:lang w:val="pt-BR"/>
        </w:rPr>
        <w:t>dad</w:t>
      </w:r>
      <w:r>
        <w:rPr>
          <w:color w:val="auto"/>
          <w:lang w:val="pt-BR"/>
        </w:rPr>
        <w:t>ã</w:t>
      </w:r>
      <w:r w:rsidRPr="00D30EFA">
        <w:rPr>
          <w:color w:val="auto"/>
          <w:lang w:val="pt-BR"/>
        </w:rPr>
        <w:t>. OEA/Ser.L/V/II. Doc. 57. 31 d</w:t>
      </w:r>
      <w:r>
        <w:rPr>
          <w:color w:val="auto"/>
          <w:lang w:val="pt-BR"/>
        </w:rPr>
        <w:t>ezembro 2009. Pa</w:t>
      </w:r>
      <w:r w:rsidRPr="00D30EFA">
        <w:rPr>
          <w:color w:val="auto"/>
          <w:lang w:val="pt-BR"/>
        </w:rPr>
        <w:t>r. 162.</w:t>
      </w:r>
    </w:p>
  </w:footnote>
  <w:footnote w:id="188">
    <w:p w14:paraId="1C177E22" w14:textId="77777777"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CIDH. </w:t>
      </w:r>
      <w:r>
        <w:rPr>
          <w:color w:val="auto"/>
          <w:lang w:val="pt-BR"/>
        </w:rPr>
        <w:t xml:space="preserve">Direito à </w:t>
      </w:r>
      <w:r w:rsidRPr="00D30EFA">
        <w:rPr>
          <w:color w:val="auto"/>
          <w:lang w:val="pt-BR"/>
        </w:rPr>
        <w:t>verdad</w:t>
      </w:r>
      <w:r>
        <w:rPr>
          <w:color w:val="auto"/>
          <w:lang w:val="pt-BR"/>
        </w:rPr>
        <w:t>e nas</w:t>
      </w:r>
      <w:r w:rsidRPr="00D30EFA">
        <w:rPr>
          <w:color w:val="auto"/>
          <w:lang w:val="pt-BR"/>
        </w:rPr>
        <w:t xml:space="preserve"> Américas. OEA/Ser.L/V/II.</w:t>
      </w:r>
      <w:r>
        <w:rPr>
          <w:color w:val="auto"/>
          <w:lang w:val="pt-BR"/>
        </w:rPr>
        <w:t>152. Doc. 2. 13 agosto 2014. Pa</w:t>
      </w:r>
      <w:r w:rsidRPr="00D30EFA">
        <w:rPr>
          <w:color w:val="auto"/>
          <w:lang w:val="pt-BR"/>
        </w:rPr>
        <w:t>r. 103.</w:t>
      </w:r>
    </w:p>
  </w:footnote>
  <w:footnote w:id="189">
    <w:p w14:paraId="4C4E902E" w14:textId="2ECD61C1"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Corte IDH. Caso Gomes Lund</w:t>
      </w:r>
      <w:r>
        <w:rPr>
          <w:color w:val="auto"/>
          <w:lang w:val="pt-BR"/>
        </w:rPr>
        <w:t xml:space="preserve"> e </w:t>
      </w:r>
      <w:r w:rsidRPr="00D30EFA">
        <w:rPr>
          <w:color w:val="auto"/>
          <w:lang w:val="pt-BR"/>
        </w:rPr>
        <w:t>o</w:t>
      </w:r>
      <w:r>
        <w:rPr>
          <w:color w:val="auto"/>
          <w:lang w:val="pt-BR"/>
        </w:rPr>
        <w:t xml:space="preserve">utros (“Guerrilha do Araguaia”) vs. Brasil. Exceções Preliminares,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w:t>
      </w:r>
      <w:r w:rsidRPr="00D30EFA">
        <w:rPr>
          <w:color w:val="auto"/>
          <w:lang w:val="pt-BR"/>
        </w:rPr>
        <w:t xml:space="preserve">a de 24 de </w:t>
      </w:r>
      <w:r>
        <w:rPr>
          <w:color w:val="auto"/>
          <w:lang w:val="pt-BR"/>
        </w:rPr>
        <w:t>novembro de 2010. Série C Nº 219, pa</w:t>
      </w:r>
      <w:r w:rsidRPr="00D30EFA">
        <w:rPr>
          <w:color w:val="auto"/>
          <w:lang w:val="pt-BR"/>
        </w:rPr>
        <w:t>r. 257; Corte IDH. Caso Herzog</w:t>
      </w:r>
      <w:r>
        <w:rPr>
          <w:color w:val="auto"/>
          <w:lang w:val="pt-BR"/>
        </w:rPr>
        <w:t xml:space="preserve"> e </w:t>
      </w:r>
      <w:r w:rsidRPr="00D30EFA">
        <w:rPr>
          <w:color w:val="auto"/>
          <w:lang w:val="pt-BR"/>
        </w:rPr>
        <w:t>o</w:t>
      </w:r>
      <w:r>
        <w:rPr>
          <w:color w:val="auto"/>
          <w:lang w:val="pt-BR"/>
        </w:rPr>
        <w:t>utros vs. Brasil. Exceções</w:t>
      </w:r>
      <w:r w:rsidRPr="00D30EFA">
        <w:rPr>
          <w:color w:val="auto"/>
          <w:lang w:val="pt-BR"/>
        </w:rPr>
        <w:t xml:space="preserve"> Prel</w:t>
      </w:r>
      <w:r>
        <w:rPr>
          <w:color w:val="auto"/>
          <w:lang w:val="pt-BR"/>
        </w:rPr>
        <w:t xml:space="preserve">iminares,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Sentença de 15 de março de 2018. Série C Nº 353, pa</w:t>
      </w:r>
      <w:r w:rsidRPr="00D30EFA">
        <w:rPr>
          <w:color w:val="auto"/>
          <w:lang w:val="pt-BR"/>
        </w:rPr>
        <w:t>r. 373</w:t>
      </w:r>
    </w:p>
  </w:footnote>
  <w:footnote w:id="190">
    <w:p w14:paraId="7CFE0687" w14:textId="5E0E5EFD"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CIDH, </w:t>
      </w:r>
      <w:r>
        <w:rPr>
          <w:color w:val="auto"/>
          <w:lang w:val="pt-BR"/>
        </w:rPr>
        <w:t>Relatório Nº</w:t>
      </w:r>
      <w:r w:rsidRPr="00D30EFA">
        <w:rPr>
          <w:color w:val="auto"/>
          <w:lang w:val="pt-BR"/>
        </w:rPr>
        <w:t xml:space="preserve"> 2/06, Caso 12.130, Miguel Orlando Muñoz Guzmán, México, 28 de fe</w:t>
      </w:r>
      <w:r>
        <w:rPr>
          <w:color w:val="auto"/>
          <w:lang w:val="pt-BR"/>
        </w:rPr>
        <w:t>vereiro de 2006, par. 83, 84, em</w:t>
      </w:r>
      <w:r w:rsidRPr="00D30EFA">
        <w:rPr>
          <w:color w:val="auto"/>
          <w:lang w:val="pt-BR"/>
        </w:rPr>
        <w:t xml:space="preserve"> CIDH. </w:t>
      </w:r>
      <w:r>
        <w:rPr>
          <w:color w:val="auto"/>
          <w:lang w:val="pt-BR"/>
        </w:rPr>
        <w:t xml:space="preserve">Direito à </w:t>
      </w:r>
      <w:r w:rsidRPr="00D30EFA">
        <w:rPr>
          <w:color w:val="auto"/>
          <w:lang w:val="pt-BR"/>
        </w:rPr>
        <w:t>verdad</w:t>
      </w:r>
      <w:r>
        <w:rPr>
          <w:color w:val="auto"/>
          <w:lang w:val="pt-BR"/>
        </w:rPr>
        <w:t>e n</w:t>
      </w:r>
      <w:r w:rsidRPr="00D30EFA">
        <w:rPr>
          <w:color w:val="auto"/>
          <w:lang w:val="pt-BR"/>
        </w:rPr>
        <w:t>as Américas. OEA/Ser.L/V/II.</w:t>
      </w:r>
      <w:r>
        <w:rPr>
          <w:color w:val="auto"/>
          <w:lang w:val="pt-BR"/>
        </w:rPr>
        <w:t>152. Doc. 2. 13 agosto 2014. Pa</w:t>
      </w:r>
      <w:r w:rsidRPr="00D30EFA">
        <w:rPr>
          <w:color w:val="auto"/>
          <w:lang w:val="pt-BR"/>
        </w:rPr>
        <w:t>r. 103.</w:t>
      </w:r>
    </w:p>
  </w:footnote>
  <w:footnote w:id="191">
    <w:p w14:paraId="384D76BC" w14:textId="49ED6571"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Corte IDH. Caso Mendoza</w:t>
      </w:r>
      <w:r>
        <w:rPr>
          <w:color w:val="auto"/>
          <w:lang w:val="pt-BR"/>
        </w:rPr>
        <w:t xml:space="preserve"> e </w:t>
      </w:r>
      <w:r w:rsidRPr="00D30EFA">
        <w:rPr>
          <w:color w:val="auto"/>
          <w:lang w:val="pt-BR"/>
        </w:rPr>
        <w:t>o</w:t>
      </w:r>
      <w:r>
        <w:rPr>
          <w:color w:val="auto"/>
          <w:lang w:val="pt-BR"/>
        </w:rPr>
        <w:t xml:space="preserve">utros vs. Argentina. Exceções Preliminares, </w:t>
      </w:r>
      <w:r w:rsidR="00D042DF">
        <w:rPr>
          <w:color w:val="auto"/>
          <w:lang w:val="pt-BR"/>
        </w:rPr>
        <w:t>Mérito</w:t>
      </w:r>
      <w:r>
        <w:rPr>
          <w:color w:val="auto"/>
          <w:lang w:val="pt-BR"/>
        </w:rPr>
        <w:t xml:space="preserve"> e </w:t>
      </w:r>
      <w:r w:rsidRPr="00D30EFA">
        <w:rPr>
          <w:color w:val="auto"/>
          <w:lang w:val="pt-BR"/>
        </w:rPr>
        <w:t>Repara</w:t>
      </w:r>
      <w:r>
        <w:rPr>
          <w:color w:val="auto"/>
          <w:lang w:val="pt-BR"/>
        </w:rPr>
        <w:t>ções. Sentença de 14 de maio de 2013 Série C Nº 260. Pa</w:t>
      </w:r>
      <w:r w:rsidRPr="00D30EFA">
        <w:rPr>
          <w:color w:val="auto"/>
          <w:lang w:val="pt-BR"/>
        </w:rPr>
        <w:t>r. 218.</w:t>
      </w:r>
    </w:p>
  </w:footnote>
  <w:footnote w:id="192">
    <w:p w14:paraId="0ED0D05C" w14:textId="7B3231C6" w:rsidR="008C3011" w:rsidRPr="00D30EFA" w:rsidRDefault="008C3011" w:rsidP="008C3011">
      <w:pPr>
        <w:contextualSpacing/>
        <w:jc w:val="both"/>
        <w:rPr>
          <w:rFonts w:ascii="Cambria" w:hAnsi="Cambria" w:cs="Arial"/>
          <w:sz w:val="16"/>
          <w:szCs w:val="16"/>
        </w:rPr>
      </w:pPr>
      <w:r w:rsidRPr="00D30EFA">
        <w:rPr>
          <w:rStyle w:val="FootnoteReference"/>
          <w:rFonts w:ascii="Cambria" w:hAnsi="Cambria"/>
          <w:sz w:val="16"/>
          <w:szCs w:val="16"/>
        </w:rPr>
        <w:footnoteRef/>
      </w:r>
      <w:r>
        <w:rPr>
          <w:rFonts w:ascii="Cambria" w:hAnsi="Cambria"/>
          <w:sz w:val="16"/>
          <w:szCs w:val="16"/>
        </w:rPr>
        <w:t>O</w:t>
      </w:r>
      <w:r w:rsidRPr="00D30EFA">
        <w:rPr>
          <w:rFonts w:ascii="Cambria" w:hAnsi="Cambria"/>
          <w:sz w:val="16"/>
          <w:szCs w:val="16"/>
        </w:rPr>
        <w:t xml:space="preserve"> sistema interamericano </w:t>
      </w:r>
      <w:r>
        <w:rPr>
          <w:rFonts w:ascii="Cambria" w:hAnsi="Cambria"/>
          <w:sz w:val="16"/>
          <w:szCs w:val="16"/>
        </w:rPr>
        <w:t>referiu-</w:t>
      </w:r>
      <w:r w:rsidRPr="00D30EFA">
        <w:rPr>
          <w:rFonts w:ascii="Cambria" w:hAnsi="Cambria"/>
          <w:sz w:val="16"/>
          <w:szCs w:val="16"/>
        </w:rPr>
        <w:t>se aos</w:t>
      </w:r>
      <w:r>
        <w:rPr>
          <w:rFonts w:ascii="Cambria" w:hAnsi="Cambria"/>
          <w:sz w:val="16"/>
          <w:szCs w:val="16"/>
        </w:rPr>
        <w:t xml:space="preserve"> </w:t>
      </w:r>
      <w:r w:rsidR="00272AFD">
        <w:rPr>
          <w:rFonts w:ascii="Cambria" w:hAnsi="Cambria"/>
          <w:sz w:val="16"/>
          <w:szCs w:val="16"/>
        </w:rPr>
        <w:t>p</w:t>
      </w:r>
      <w:r>
        <w:rPr>
          <w:rFonts w:ascii="Cambria" w:hAnsi="Cambria"/>
          <w:sz w:val="16"/>
          <w:szCs w:val="16"/>
        </w:rPr>
        <w:t>rincípios relativos a um</w:t>
      </w:r>
      <w:r w:rsidRPr="00D30EFA">
        <w:rPr>
          <w:rFonts w:ascii="Cambria" w:hAnsi="Cambria"/>
          <w:sz w:val="16"/>
          <w:szCs w:val="16"/>
        </w:rPr>
        <w:t>a eficaz preven</w:t>
      </w:r>
      <w:r>
        <w:rPr>
          <w:rFonts w:ascii="Cambria" w:hAnsi="Cambria"/>
          <w:sz w:val="16"/>
          <w:szCs w:val="16"/>
        </w:rPr>
        <w:t>ção</w:t>
      </w:r>
      <w:r w:rsidRPr="00D30EFA">
        <w:rPr>
          <w:rFonts w:ascii="Cambria" w:hAnsi="Cambria"/>
          <w:sz w:val="16"/>
          <w:szCs w:val="16"/>
        </w:rPr>
        <w:t xml:space="preserve"> e investiga</w:t>
      </w:r>
      <w:r>
        <w:rPr>
          <w:rFonts w:ascii="Cambria" w:hAnsi="Cambria"/>
          <w:sz w:val="16"/>
          <w:szCs w:val="16"/>
        </w:rPr>
        <w:t>ção</w:t>
      </w:r>
      <w:r w:rsidRPr="00D30EFA">
        <w:rPr>
          <w:rFonts w:ascii="Cambria" w:hAnsi="Cambria"/>
          <w:sz w:val="16"/>
          <w:szCs w:val="16"/>
        </w:rPr>
        <w:t xml:space="preserve"> </w:t>
      </w:r>
      <w:r>
        <w:rPr>
          <w:rFonts w:ascii="Cambria" w:hAnsi="Cambria"/>
          <w:sz w:val="16"/>
          <w:szCs w:val="16"/>
        </w:rPr>
        <w:t>das ex</w:t>
      </w:r>
      <w:r w:rsidRPr="00D30EFA">
        <w:rPr>
          <w:rFonts w:ascii="Cambria" w:hAnsi="Cambria"/>
          <w:sz w:val="16"/>
          <w:szCs w:val="16"/>
        </w:rPr>
        <w:t>ecu</w:t>
      </w:r>
      <w:r>
        <w:rPr>
          <w:rFonts w:ascii="Cambria" w:hAnsi="Cambria"/>
          <w:sz w:val="16"/>
          <w:szCs w:val="16"/>
        </w:rPr>
        <w:t>ções</w:t>
      </w:r>
      <w:r w:rsidRPr="00D30EFA">
        <w:rPr>
          <w:rFonts w:ascii="Cambria" w:hAnsi="Cambria"/>
          <w:sz w:val="16"/>
          <w:szCs w:val="16"/>
        </w:rPr>
        <w:t xml:space="preserve"> extrajudici</w:t>
      </w:r>
      <w:r>
        <w:rPr>
          <w:rFonts w:ascii="Cambria" w:hAnsi="Cambria"/>
          <w:sz w:val="16"/>
          <w:szCs w:val="16"/>
        </w:rPr>
        <w:t>ais, arbitrá</w:t>
      </w:r>
      <w:r w:rsidRPr="00D30EFA">
        <w:rPr>
          <w:rFonts w:ascii="Cambria" w:hAnsi="Cambria"/>
          <w:sz w:val="16"/>
          <w:szCs w:val="16"/>
        </w:rPr>
        <w:t>rias</w:t>
      </w:r>
      <w:r>
        <w:rPr>
          <w:rFonts w:ascii="Cambria" w:hAnsi="Cambria"/>
          <w:sz w:val="16"/>
          <w:szCs w:val="16"/>
        </w:rPr>
        <w:t xml:space="preserve"> e sumárias, ado</w:t>
      </w:r>
      <w:r w:rsidRPr="00D30EFA">
        <w:rPr>
          <w:rFonts w:ascii="Cambria" w:hAnsi="Cambria"/>
          <w:sz w:val="16"/>
          <w:szCs w:val="16"/>
        </w:rPr>
        <w:t>tados p</w:t>
      </w:r>
      <w:r>
        <w:rPr>
          <w:rFonts w:ascii="Cambria" w:hAnsi="Cambria"/>
          <w:sz w:val="16"/>
          <w:szCs w:val="16"/>
        </w:rPr>
        <w:t>el</w:t>
      </w:r>
      <w:r w:rsidRPr="00D30EFA">
        <w:rPr>
          <w:rFonts w:ascii="Cambria" w:hAnsi="Cambria"/>
          <w:sz w:val="16"/>
          <w:szCs w:val="16"/>
        </w:rPr>
        <w:t>o</w:t>
      </w:r>
      <w:r>
        <w:rPr>
          <w:rFonts w:ascii="Cambria" w:hAnsi="Cambria"/>
          <w:sz w:val="16"/>
          <w:szCs w:val="16"/>
        </w:rPr>
        <w:t xml:space="preserve"> Conselh</w:t>
      </w:r>
      <w:r w:rsidRPr="00D30EFA">
        <w:rPr>
          <w:rFonts w:ascii="Cambria" w:hAnsi="Cambria"/>
          <w:sz w:val="16"/>
          <w:szCs w:val="16"/>
        </w:rPr>
        <w:t>o Econ</w:t>
      </w:r>
      <w:r>
        <w:rPr>
          <w:rFonts w:ascii="Cambria" w:hAnsi="Cambria"/>
          <w:sz w:val="16"/>
          <w:szCs w:val="16"/>
        </w:rPr>
        <w:t>ô</w:t>
      </w:r>
      <w:r w:rsidRPr="00D30EFA">
        <w:rPr>
          <w:rFonts w:ascii="Cambria" w:hAnsi="Cambria"/>
          <w:sz w:val="16"/>
          <w:szCs w:val="16"/>
        </w:rPr>
        <w:t>mico</w:t>
      </w:r>
      <w:r>
        <w:rPr>
          <w:rFonts w:ascii="Cambria" w:hAnsi="Cambria"/>
          <w:sz w:val="16"/>
          <w:szCs w:val="16"/>
        </w:rPr>
        <w:t xml:space="preserve"> e </w:t>
      </w:r>
      <w:r w:rsidRPr="00D30EFA">
        <w:rPr>
          <w:rFonts w:ascii="Cambria" w:hAnsi="Cambria"/>
          <w:sz w:val="16"/>
          <w:szCs w:val="16"/>
        </w:rPr>
        <w:t xml:space="preserve">Social </w:t>
      </w:r>
      <w:r>
        <w:rPr>
          <w:rFonts w:ascii="Cambria" w:hAnsi="Cambria"/>
          <w:sz w:val="16"/>
          <w:szCs w:val="16"/>
        </w:rPr>
        <w:t xml:space="preserve">das </w:t>
      </w:r>
      <w:r w:rsidRPr="00D30EFA">
        <w:rPr>
          <w:rFonts w:ascii="Cambria" w:hAnsi="Cambria"/>
          <w:sz w:val="16"/>
          <w:szCs w:val="16"/>
        </w:rPr>
        <w:t>Na</w:t>
      </w:r>
      <w:r>
        <w:rPr>
          <w:rFonts w:ascii="Cambria" w:hAnsi="Cambria"/>
          <w:sz w:val="16"/>
          <w:szCs w:val="16"/>
        </w:rPr>
        <w:t>ções</w:t>
      </w:r>
      <w:r w:rsidRPr="00D30EFA">
        <w:rPr>
          <w:rFonts w:ascii="Cambria" w:hAnsi="Cambria"/>
          <w:sz w:val="16"/>
          <w:szCs w:val="16"/>
        </w:rPr>
        <w:t xml:space="preserve"> Unidas </w:t>
      </w:r>
      <w:r w:rsidR="00272AFD">
        <w:rPr>
          <w:rFonts w:ascii="Cambria" w:hAnsi="Cambria"/>
          <w:sz w:val="16"/>
          <w:szCs w:val="16"/>
        </w:rPr>
        <w:t xml:space="preserve">mediante a </w:t>
      </w:r>
      <w:r w:rsidRPr="00D30EFA">
        <w:rPr>
          <w:rFonts w:ascii="Cambria" w:hAnsi="Cambria"/>
          <w:sz w:val="16"/>
          <w:szCs w:val="16"/>
        </w:rPr>
        <w:t>resolu</w:t>
      </w:r>
      <w:r>
        <w:rPr>
          <w:rFonts w:ascii="Cambria" w:hAnsi="Cambria"/>
          <w:sz w:val="16"/>
          <w:szCs w:val="16"/>
        </w:rPr>
        <w:t>ção</w:t>
      </w:r>
      <w:r w:rsidRPr="00D30EFA">
        <w:rPr>
          <w:rFonts w:ascii="Cambria" w:hAnsi="Cambria"/>
          <w:sz w:val="16"/>
          <w:szCs w:val="16"/>
        </w:rPr>
        <w:t xml:space="preserve"> 1989/65</w:t>
      </w:r>
      <w:r w:rsidR="00272AFD" w:rsidRPr="00272AFD">
        <w:rPr>
          <w:rFonts w:ascii="Cambria" w:hAnsi="Cambria"/>
          <w:sz w:val="16"/>
          <w:szCs w:val="16"/>
        </w:rPr>
        <w:t xml:space="preserve"> </w:t>
      </w:r>
      <w:r w:rsidR="00272AFD" w:rsidRPr="00D30EFA">
        <w:rPr>
          <w:rFonts w:ascii="Cambria" w:hAnsi="Cambria"/>
          <w:sz w:val="16"/>
          <w:szCs w:val="16"/>
        </w:rPr>
        <w:t>de</w:t>
      </w:r>
      <w:r w:rsidR="00272AFD">
        <w:rPr>
          <w:rFonts w:ascii="Cambria" w:hAnsi="Cambria"/>
          <w:sz w:val="16"/>
          <w:szCs w:val="16"/>
        </w:rPr>
        <w:t>sse</w:t>
      </w:r>
      <w:r w:rsidR="00272AFD" w:rsidRPr="00D30EFA">
        <w:rPr>
          <w:rFonts w:ascii="Cambria" w:hAnsi="Cambria"/>
          <w:sz w:val="16"/>
          <w:szCs w:val="16"/>
        </w:rPr>
        <w:t xml:space="preserve"> organismo</w:t>
      </w:r>
      <w:r w:rsidRPr="00D30EFA">
        <w:rPr>
          <w:rFonts w:ascii="Cambria" w:hAnsi="Cambria"/>
          <w:sz w:val="16"/>
          <w:szCs w:val="16"/>
        </w:rPr>
        <w:t>, como pautas que de</w:t>
      </w:r>
      <w:r>
        <w:rPr>
          <w:rFonts w:ascii="Cambria" w:hAnsi="Cambria"/>
          <w:sz w:val="16"/>
          <w:szCs w:val="16"/>
        </w:rPr>
        <w:t xml:space="preserve">vem ser observadas na </w:t>
      </w:r>
      <w:r w:rsidRPr="00D30EFA">
        <w:rPr>
          <w:rFonts w:ascii="Cambria" w:hAnsi="Cambria"/>
          <w:sz w:val="16"/>
          <w:szCs w:val="16"/>
        </w:rPr>
        <w:t>investiga</w:t>
      </w:r>
      <w:r>
        <w:rPr>
          <w:rFonts w:ascii="Cambria" w:hAnsi="Cambria"/>
          <w:sz w:val="16"/>
          <w:szCs w:val="16"/>
        </w:rPr>
        <w:t>ção de um</w:t>
      </w:r>
      <w:r w:rsidRPr="00D30EFA">
        <w:rPr>
          <w:rFonts w:ascii="Cambria" w:hAnsi="Cambria"/>
          <w:sz w:val="16"/>
          <w:szCs w:val="16"/>
        </w:rPr>
        <w:t>a m</w:t>
      </w:r>
      <w:r>
        <w:rPr>
          <w:rFonts w:ascii="Cambria" w:hAnsi="Cambria"/>
          <w:sz w:val="16"/>
          <w:szCs w:val="16"/>
        </w:rPr>
        <w:t>orte violenta. Estes princí</w:t>
      </w:r>
      <w:r w:rsidRPr="00D30EFA">
        <w:rPr>
          <w:rFonts w:ascii="Cambria" w:hAnsi="Cambria"/>
          <w:sz w:val="16"/>
          <w:szCs w:val="16"/>
        </w:rPr>
        <w:t>pios requ</w:t>
      </w:r>
      <w:r>
        <w:rPr>
          <w:rFonts w:ascii="Cambria" w:hAnsi="Cambria"/>
          <w:sz w:val="16"/>
          <w:szCs w:val="16"/>
        </w:rPr>
        <w:t xml:space="preserve">erem que nestes casos </w:t>
      </w:r>
      <w:r w:rsidRPr="00D30EFA">
        <w:rPr>
          <w:rFonts w:ascii="Cambria" w:hAnsi="Cambria"/>
          <w:sz w:val="16"/>
          <w:szCs w:val="16"/>
        </w:rPr>
        <w:t>a investiga</w:t>
      </w:r>
      <w:r>
        <w:rPr>
          <w:rFonts w:ascii="Cambria" w:hAnsi="Cambria"/>
          <w:sz w:val="16"/>
          <w:szCs w:val="16"/>
        </w:rPr>
        <w:t>ção de toda mo</w:t>
      </w:r>
      <w:r w:rsidRPr="00D30EFA">
        <w:rPr>
          <w:rFonts w:ascii="Cambria" w:hAnsi="Cambria"/>
          <w:sz w:val="16"/>
          <w:szCs w:val="16"/>
        </w:rPr>
        <w:t>rte s</w:t>
      </w:r>
      <w:r>
        <w:rPr>
          <w:rFonts w:ascii="Cambria" w:hAnsi="Cambria"/>
          <w:sz w:val="16"/>
          <w:szCs w:val="16"/>
        </w:rPr>
        <w:t>uspeita deve ter os segui</w:t>
      </w:r>
      <w:r w:rsidRPr="00D30EFA">
        <w:rPr>
          <w:rFonts w:ascii="Cambria" w:hAnsi="Cambria"/>
          <w:sz w:val="16"/>
          <w:szCs w:val="16"/>
        </w:rPr>
        <w:t>ntes objetivos: identificar</w:t>
      </w:r>
      <w:r>
        <w:rPr>
          <w:rFonts w:ascii="Cambria" w:hAnsi="Cambria"/>
          <w:sz w:val="16"/>
          <w:szCs w:val="16"/>
        </w:rPr>
        <w:t xml:space="preserve"> a ví</w:t>
      </w:r>
      <w:r w:rsidRPr="00D30EFA">
        <w:rPr>
          <w:rFonts w:ascii="Cambria" w:hAnsi="Cambria"/>
          <w:sz w:val="16"/>
          <w:szCs w:val="16"/>
        </w:rPr>
        <w:t>tima; recuperar</w:t>
      </w:r>
      <w:r>
        <w:rPr>
          <w:rFonts w:ascii="Cambria" w:hAnsi="Cambria"/>
          <w:sz w:val="16"/>
          <w:szCs w:val="16"/>
        </w:rPr>
        <w:t xml:space="preserve"> e analisar todas </w:t>
      </w:r>
      <w:r w:rsidRPr="00D30EFA">
        <w:rPr>
          <w:rFonts w:ascii="Cambria" w:hAnsi="Cambria"/>
          <w:sz w:val="16"/>
          <w:szCs w:val="16"/>
        </w:rPr>
        <w:t>as pr</w:t>
      </w:r>
      <w:r>
        <w:rPr>
          <w:rFonts w:ascii="Cambria" w:hAnsi="Cambria"/>
          <w:sz w:val="16"/>
          <w:szCs w:val="16"/>
        </w:rPr>
        <w:t>ovas</w:t>
      </w:r>
      <w:r w:rsidRPr="00D30EFA">
        <w:rPr>
          <w:rFonts w:ascii="Cambria" w:hAnsi="Cambria"/>
          <w:sz w:val="16"/>
          <w:szCs w:val="16"/>
        </w:rPr>
        <w:t xml:space="preserve"> materi</w:t>
      </w:r>
      <w:r>
        <w:rPr>
          <w:rFonts w:ascii="Cambria" w:hAnsi="Cambria"/>
          <w:sz w:val="16"/>
          <w:szCs w:val="16"/>
        </w:rPr>
        <w:t xml:space="preserve">ais e </w:t>
      </w:r>
      <w:r w:rsidRPr="00D30EFA">
        <w:rPr>
          <w:rFonts w:ascii="Cambria" w:hAnsi="Cambria"/>
          <w:sz w:val="16"/>
          <w:szCs w:val="16"/>
        </w:rPr>
        <w:t>document</w:t>
      </w:r>
      <w:r>
        <w:rPr>
          <w:rFonts w:ascii="Cambria" w:hAnsi="Cambria"/>
          <w:sz w:val="16"/>
          <w:szCs w:val="16"/>
        </w:rPr>
        <w:t>ais</w:t>
      </w:r>
      <w:r w:rsidRPr="00D30EFA">
        <w:rPr>
          <w:rFonts w:ascii="Cambria" w:hAnsi="Cambria"/>
          <w:sz w:val="16"/>
          <w:szCs w:val="16"/>
        </w:rPr>
        <w:t>; iden</w:t>
      </w:r>
      <w:r>
        <w:rPr>
          <w:rFonts w:ascii="Cambria" w:hAnsi="Cambria"/>
          <w:sz w:val="16"/>
          <w:szCs w:val="16"/>
        </w:rPr>
        <w:t>tificar</w:t>
      </w:r>
      <w:r w:rsidRPr="00D30EFA">
        <w:rPr>
          <w:rFonts w:ascii="Cambria" w:hAnsi="Cambria"/>
          <w:sz w:val="16"/>
          <w:szCs w:val="16"/>
        </w:rPr>
        <w:t xml:space="preserve"> pos</w:t>
      </w:r>
      <w:r>
        <w:rPr>
          <w:rFonts w:ascii="Cambria" w:hAnsi="Cambria"/>
          <w:sz w:val="16"/>
          <w:szCs w:val="16"/>
        </w:rPr>
        <w:t>síveis</w:t>
      </w:r>
      <w:r w:rsidRPr="00D30EFA">
        <w:rPr>
          <w:rFonts w:ascii="Cambria" w:hAnsi="Cambria"/>
          <w:sz w:val="16"/>
          <w:szCs w:val="16"/>
        </w:rPr>
        <w:t xml:space="preserve"> test</w:t>
      </w:r>
      <w:r>
        <w:rPr>
          <w:rFonts w:ascii="Cambria" w:hAnsi="Cambria"/>
          <w:sz w:val="16"/>
          <w:szCs w:val="16"/>
        </w:rPr>
        <w:t>emunhas e coletar se</w:t>
      </w:r>
      <w:r w:rsidRPr="00D30EFA">
        <w:rPr>
          <w:rFonts w:ascii="Cambria" w:hAnsi="Cambria"/>
          <w:sz w:val="16"/>
          <w:szCs w:val="16"/>
        </w:rPr>
        <w:t>u test</w:t>
      </w:r>
      <w:r>
        <w:rPr>
          <w:rFonts w:ascii="Cambria" w:hAnsi="Cambria"/>
          <w:sz w:val="16"/>
          <w:szCs w:val="16"/>
        </w:rPr>
        <w:t xml:space="preserve">emunho; determinar a causa, </w:t>
      </w:r>
      <w:r w:rsidRPr="00D30EFA">
        <w:rPr>
          <w:rFonts w:ascii="Cambria" w:hAnsi="Cambria"/>
          <w:sz w:val="16"/>
          <w:szCs w:val="16"/>
        </w:rPr>
        <w:t>a mane</w:t>
      </w:r>
      <w:r>
        <w:rPr>
          <w:rFonts w:ascii="Cambria" w:hAnsi="Cambria"/>
          <w:sz w:val="16"/>
          <w:szCs w:val="16"/>
        </w:rPr>
        <w:t>i</w:t>
      </w:r>
      <w:r w:rsidRPr="00D30EFA">
        <w:rPr>
          <w:rFonts w:ascii="Cambria" w:hAnsi="Cambria"/>
          <w:sz w:val="16"/>
          <w:szCs w:val="16"/>
        </w:rPr>
        <w:t>ra</w:t>
      </w:r>
      <w:r>
        <w:rPr>
          <w:rFonts w:ascii="Cambria" w:hAnsi="Cambria"/>
          <w:sz w:val="16"/>
          <w:szCs w:val="16"/>
        </w:rPr>
        <w:t xml:space="preserve"> e a hora da morte, assim como o</w:t>
      </w:r>
      <w:r w:rsidRPr="00D30EFA">
        <w:rPr>
          <w:rFonts w:ascii="Cambria" w:hAnsi="Cambria"/>
          <w:sz w:val="16"/>
          <w:szCs w:val="16"/>
        </w:rPr>
        <w:t xml:space="preserve"> procedi</w:t>
      </w:r>
      <w:r>
        <w:rPr>
          <w:rFonts w:ascii="Cambria" w:hAnsi="Cambria"/>
          <w:sz w:val="16"/>
          <w:szCs w:val="16"/>
        </w:rPr>
        <w:t>mento, a prá</w:t>
      </w:r>
      <w:r w:rsidRPr="00D30EFA">
        <w:rPr>
          <w:rFonts w:ascii="Cambria" w:hAnsi="Cambria"/>
          <w:sz w:val="16"/>
          <w:szCs w:val="16"/>
        </w:rPr>
        <w:t>tica o</w:t>
      </w:r>
      <w:r>
        <w:rPr>
          <w:rFonts w:ascii="Cambria" w:hAnsi="Cambria"/>
          <w:sz w:val="16"/>
          <w:szCs w:val="16"/>
        </w:rPr>
        <w:t xml:space="preserve">u </w:t>
      </w:r>
      <w:r w:rsidRPr="00D30EFA">
        <w:rPr>
          <w:rFonts w:ascii="Cambria" w:hAnsi="Cambria"/>
          <w:sz w:val="16"/>
          <w:szCs w:val="16"/>
        </w:rPr>
        <w:t>os instrumentos que p</w:t>
      </w:r>
      <w:r>
        <w:rPr>
          <w:rFonts w:ascii="Cambria" w:hAnsi="Cambria"/>
          <w:sz w:val="16"/>
          <w:szCs w:val="16"/>
        </w:rPr>
        <w:t>ossam ter causado a morte; distinguir entre morte natural, morte a</w:t>
      </w:r>
      <w:r w:rsidRPr="00D30EFA">
        <w:rPr>
          <w:rFonts w:ascii="Cambria" w:hAnsi="Cambria"/>
          <w:sz w:val="16"/>
          <w:szCs w:val="16"/>
        </w:rPr>
        <w:t>cidental, suic</w:t>
      </w:r>
      <w:r>
        <w:rPr>
          <w:rFonts w:ascii="Cambria" w:hAnsi="Cambria"/>
          <w:sz w:val="16"/>
          <w:szCs w:val="16"/>
        </w:rPr>
        <w:t>í</w:t>
      </w:r>
      <w:r w:rsidRPr="00D30EFA">
        <w:rPr>
          <w:rFonts w:ascii="Cambria" w:hAnsi="Cambria"/>
          <w:sz w:val="16"/>
          <w:szCs w:val="16"/>
        </w:rPr>
        <w:t>dio</w:t>
      </w:r>
      <w:r>
        <w:rPr>
          <w:rFonts w:ascii="Cambria" w:hAnsi="Cambria"/>
          <w:sz w:val="16"/>
          <w:szCs w:val="16"/>
        </w:rPr>
        <w:t xml:space="preserve"> e homicí</w:t>
      </w:r>
      <w:r w:rsidRPr="00D30EFA">
        <w:rPr>
          <w:rFonts w:ascii="Cambria" w:hAnsi="Cambria"/>
          <w:sz w:val="16"/>
          <w:szCs w:val="16"/>
        </w:rPr>
        <w:t>dio; e identificar</w:t>
      </w:r>
      <w:r>
        <w:rPr>
          <w:rFonts w:ascii="Cambria" w:hAnsi="Cambria"/>
          <w:sz w:val="16"/>
          <w:szCs w:val="16"/>
        </w:rPr>
        <w:t xml:space="preserve"> e prender a pessoa</w:t>
      </w:r>
      <w:r w:rsidRPr="00D30EFA">
        <w:rPr>
          <w:rFonts w:ascii="Cambria" w:hAnsi="Cambria"/>
          <w:sz w:val="16"/>
          <w:szCs w:val="16"/>
        </w:rPr>
        <w:t xml:space="preserve"> o</w:t>
      </w:r>
      <w:r>
        <w:rPr>
          <w:rFonts w:ascii="Cambria" w:hAnsi="Cambria"/>
          <w:sz w:val="16"/>
          <w:szCs w:val="16"/>
        </w:rPr>
        <w:t>u</w:t>
      </w:r>
      <w:r w:rsidRPr="00D30EFA">
        <w:rPr>
          <w:rFonts w:ascii="Cambria" w:hAnsi="Cambria"/>
          <w:sz w:val="16"/>
          <w:szCs w:val="16"/>
        </w:rPr>
        <w:t xml:space="preserve"> </w:t>
      </w:r>
      <w:r>
        <w:rPr>
          <w:rFonts w:ascii="Cambria" w:hAnsi="Cambria"/>
          <w:sz w:val="16"/>
          <w:szCs w:val="16"/>
        </w:rPr>
        <w:t>pessoa</w:t>
      </w:r>
      <w:r w:rsidRPr="00D30EFA">
        <w:rPr>
          <w:rFonts w:ascii="Cambria" w:hAnsi="Cambria"/>
          <w:sz w:val="16"/>
          <w:szCs w:val="16"/>
        </w:rPr>
        <w:t>s que p</w:t>
      </w:r>
      <w:r>
        <w:rPr>
          <w:rFonts w:ascii="Cambria" w:hAnsi="Cambria"/>
          <w:sz w:val="16"/>
          <w:szCs w:val="16"/>
        </w:rPr>
        <w:t xml:space="preserve">ossam </w:t>
      </w:r>
      <w:r w:rsidR="00272AFD">
        <w:rPr>
          <w:rFonts w:ascii="Cambria" w:hAnsi="Cambria"/>
          <w:sz w:val="16"/>
          <w:szCs w:val="16"/>
        </w:rPr>
        <w:t>t</w:t>
      </w:r>
      <w:r w:rsidRPr="00D30EFA">
        <w:rPr>
          <w:rFonts w:ascii="Cambria" w:hAnsi="Cambria"/>
          <w:sz w:val="16"/>
          <w:szCs w:val="16"/>
        </w:rPr>
        <w:t xml:space="preserve">er participado </w:t>
      </w:r>
      <w:r>
        <w:rPr>
          <w:rFonts w:ascii="Cambria" w:hAnsi="Cambria"/>
          <w:sz w:val="16"/>
          <w:szCs w:val="16"/>
        </w:rPr>
        <w:t>da ex</w:t>
      </w:r>
      <w:r w:rsidRPr="00D30EFA">
        <w:rPr>
          <w:rFonts w:ascii="Cambria" w:hAnsi="Cambria"/>
          <w:sz w:val="16"/>
          <w:szCs w:val="16"/>
        </w:rPr>
        <w:t>ecu</w:t>
      </w:r>
      <w:r>
        <w:rPr>
          <w:rFonts w:ascii="Cambria" w:hAnsi="Cambria"/>
          <w:sz w:val="16"/>
          <w:szCs w:val="16"/>
        </w:rPr>
        <w:t>ção</w:t>
      </w:r>
      <w:r w:rsidRPr="00D30EFA">
        <w:rPr>
          <w:rFonts w:ascii="Cambria" w:hAnsi="Cambria"/>
          <w:sz w:val="16"/>
          <w:szCs w:val="16"/>
        </w:rPr>
        <w:t>.  Na</w:t>
      </w:r>
      <w:r>
        <w:rPr>
          <w:rFonts w:ascii="Cambria" w:hAnsi="Cambria"/>
          <w:sz w:val="16"/>
          <w:szCs w:val="16"/>
        </w:rPr>
        <w:t>ções</w:t>
      </w:r>
      <w:r w:rsidRPr="00D30EFA">
        <w:rPr>
          <w:rFonts w:ascii="Cambria" w:hAnsi="Cambria"/>
          <w:sz w:val="16"/>
          <w:szCs w:val="16"/>
        </w:rPr>
        <w:t xml:space="preserve"> Unidas, </w:t>
      </w:r>
      <w:r w:rsidR="00272AFD">
        <w:rPr>
          <w:rFonts w:ascii="Cambria" w:hAnsi="Cambria"/>
          <w:sz w:val="16"/>
          <w:szCs w:val="16"/>
        </w:rPr>
        <w:t>“</w:t>
      </w:r>
      <w:r>
        <w:rPr>
          <w:rFonts w:ascii="Cambria" w:hAnsi="Cambria"/>
          <w:bCs/>
          <w:sz w:val="16"/>
          <w:szCs w:val="16"/>
        </w:rPr>
        <w:t>Princípios relativos a um</w:t>
      </w:r>
      <w:r w:rsidRPr="00D30EFA">
        <w:rPr>
          <w:rFonts w:ascii="Cambria" w:hAnsi="Cambria"/>
          <w:bCs/>
          <w:sz w:val="16"/>
          <w:szCs w:val="16"/>
        </w:rPr>
        <w:t>a eficaz preven</w:t>
      </w:r>
      <w:r>
        <w:rPr>
          <w:rFonts w:ascii="Cambria" w:hAnsi="Cambria"/>
          <w:bCs/>
          <w:sz w:val="16"/>
          <w:szCs w:val="16"/>
        </w:rPr>
        <w:t>ção</w:t>
      </w:r>
      <w:r w:rsidRPr="00D30EFA">
        <w:rPr>
          <w:rFonts w:ascii="Cambria" w:hAnsi="Cambria"/>
          <w:bCs/>
          <w:sz w:val="16"/>
          <w:szCs w:val="16"/>
        </w:rPr>
        <w:t xml:space="preserve"> e investiga</w:t>
      </w:r>
      <w:r>
        <w:rPr>
          <w:rFonts w:ascii="Cambria" w:hAnsi="Cambria"/>
          <w:bCs/>
          <w:sz w:val="16"/>
          <w:szCs w:val="16"/>
        </w:rPr>
        <w:t>ção</w:t>
      </w:r>
      <w:r w:rsidRPr="00D30EFA">
        <w:rPr>
          <w:rFonts w:ascii="Cambria" w:hAnsi="Cambria"/>
          <w:bCs/>
          <w:sz w:val="16"/>
          <w:szCs w:val="16"/>
        </w:rPr>
        <w:t xml:space="preserve"> </w:t>
      </w:r>
      <w:r>
        <w:rPr>
          <w:rFonts w:ascii="Cambria" w:hAnsi="Cambria"/>
          <w:bCs/>
          <w:sz w:val="16"/>
          <w:szCs w:val="16"/>
        </w:rPr>
        <w:t>das ex</w:t>
      </w:r>
      <w:r w:rsidRPr="00D30EFA">
        <w:rPr>
          <w:rFonts w:ascii="Cambria" w:hAnsi="Cambria"/>
          <w:bCs/>
          <w:sz w:val="16"/>
          <w:szCs w:val="16"/>
        </w:rPr>
        <w:t>ecu</w:t>
      </w:r>
      <w:r>
        <w:rPr>
          <w:rFonts w:ascii="Cambria" w:hAnsi="Cambria"/>
          <w:bCs/>
          <w:sz w:val="16"/>
          <w:szCs w:val="16"/>
        </w:rPr>
        <w:t>ções</w:t>
      </w:r>
      <w:r w:rsidRPr="00D30EFA">
        <w:rPr>
          <w:rFonts w:ascii="Cambria" w:hAnsi="Cambria"/>
          <w:bCs/>
          <w:sz w:val="16"/>
          <w:szCs w:val="16"/>
        </w:rPr>
        <w:t xml:space="preserve"> extrajudici</w:t>
      </w:r>
      <w:r>
        <w:rPr>
          <w:rFonts w:ascii="Cambria" w:hAnsi="Cambria"/>
          <w:bCs/>
          <w:sz w:val="16"/>
          <w:szCs w:val="16"/>
        </w:rPr>
        <w:t>ais, arbitrá</w:t>
      </w:r>
      <w:r w:rsidRPr="00D30EFA">
        <w:rPr>
          <w:rFonts w:ascii="Cambria" w:hAnsi="Cambria"/>
          <w:bCs/>
          <w:sz w:val="16"/>
          <w:szCs w:val="16"/>
        </w:rPr>
        <w:t>rias</w:t>
      </w:r>
      <w:r>
        <w:rPr>
          <w:rFonts w:ascii="Cambria" w:hAnsi="Cambria"/>
          <w:bCs/>
          <w:sz w:val="16"/>
          <w:szCs w:val="16"/>
        </w:rPr>
        <w:t xml:space="preserve"> e sumárias</w:t>
      </w:r>
      <w:r w:rsidR="00272AFD">
        <w:rPr>
          <w:rFonts w:ascii="Cambria" w:hAnsi="Cambria"/>
          <w:bCs/>
          <w:sz w:val="16"/>
          <w:szCs w:val="16"/>
        </w:rPr>
        <w:t>”</w:t>
      </w:r>
      <w:r>
        <w:rPr>
          <w:rFonts w:ascii="Cambria" w:hAnsi="Cambria"/>
          <w:bCs/>
          <w:sz w:val="16"/>
          <w:szCs w:val="16"/>
        </w:rPr>
        <w:t>, aprov</w:t>
      </w:r>
      <w:r w:rsidRPr="00D30EFA">
        <w:rPr>
          <w:rFonts w:ascii="Cambria" w:hAnsi="Cambria"/>
          <w:bCs/>
          <w:sz w:val="16"/>
          <w:szCs w:val="16"/>
        </w:rPr>
        <w:t>ados p</w:t>
      </w:r>
      <w:r>
        <w:rPr>
          <w:rFonts w:ascii="Cambria" w:hAnsi="Cambria"/>
          <w:bCs/>
          <w:sz w:val="16"/>
          <w:szCs w:val="16"/>
        </w:rPr>
        <w:t>el</w:t>
      </w:r>
      <w:r w:rsidRPr="00D30EFA">
        <w:rPr>
          <w:rFonts w:ascii="Cambria" w:hAnsi="Cambria"/>
          <w:bCs/>
          <w:sz w:val="16"/>
          <w:szCs w:val="16"/>
        </w:rPr>
        <w:t>o</w:t>
      </w:r>
      <w:r>
        <w:rPr>
          <w:rFonts w:ascii="Cambria" w:hAnsi="Cambria"/>
          <w:bCs/>
          <w:sz w:val="16"/>
          <w:szCs w:val="16"/>
        </w:rPr>
        <w:t xml:space="preserve"> Conselh</w:t>
      </w:r>
      <w:r w:rsidRPr="00D30EFA">
        <w:rPr>
          <w:rFonts w:ascii="Cambria" w:hAnsi="Cambria"/>
          <w:bCs/>
          <w:sz w:val="16"/>
          <w:szCs w:val="16"/>
        </w:rPr>
        <w:t>o Econ</w:t>
      </w:r>
      <w:r>
        <w:rPr>
          <w:rFonts w:ascii="Cambria" w:hAnsi="Cambria"/>
          <w:bCs/>
          <w:sz w:val="16"/>
          <w:szCs w:val="16"/>
        </w:rPr>
        <w:t>ô</w:t>
      </w:r>
      <w:r w:rsidRPr="00D30EFA">
        <w:rPr>
          <w:rFonts w:ascii="Cambria" w:hAnsi="Cambria"/>
          <w:bCs/>
          <w:sz w:val="16"/>
          <w:szCs w:val="16"/>
        </w:rPr>
        <w:t>mico</w:t>
      </w:r>
      <w:r>
        <w:rPr>
          <w:rFonts w:ascii="Cambria" w:hAnsi="Cambria"/>
          <w:bCs/>
          <w:sz w:val="16"/>
          <w:szCs w:val="16"/>
        </w:rPr>
        <w:t xml:space="preserve"> e Social </w:t>
      </w:r>
      <w:r w:rsidR="00272AFD">
        <w:rPr>
          <w:rFonts w:ascii="Cambria" w:hAnsi="Cambria"/>
          <w:bCs/>
          <w:sz w:val="16"/>
          <w:szCs w:val="16"/>
        </w:rPr>
        <w:t xml:space="preserve">mediante </w:t>
      </w:r>
      <w:r>
        <w:rPr>
          <w:rFonts w:ascii="Cambria" w:hAnsi="Cambria"/>
          <w:bCs/>
          <w:sz w:val="16"/>
          <w:szCs w:val="16"/>
        </w:rPr>
        <w:t>a</w:t>
      </w:r>
      <w:r w:rsidRPr="00D30EFA">
        <w:rPr>
          <w:rFonts w:ascii="Cambria" w:hAnsi="Cambria"/>
          <w:bCs/>
          <w:sz w:val="16"/>
          <w:szCs w:val="16"/>
        </w:rPr>
        <w:t xml:space="preserve"> resolu</w:t>
      </w:r>
      <w:r>
        <w:rPr>
          <w:rFonts w:ascii="Cambria" w:hAnsi="Cambria"/>
          <w:bCs/>
          <w:sz w:val="16"/>
          <w:szCs w:val="16"/>
        </w:rPr>
        <w:t>ção</w:t>
      </w:r>
      <w:r w:rsidRPr="00D30EFA">
        <w:rPr>
          <w:rFonts w:ascii="Cambria" w:hAnsi="Cambria"/>
          <w:bCs/>
          <w:sz w:val="16"/>
          <w:szCs w:val="16"/>
        </w:rPr>
        <w:t xml:space="preserve"> 1989/65</w:t>
      </w:r>
      <w:r w:rsidRPr="00D30EFA">
        <w:rPr>
          <w:rFonts w:ascii="Cambria" w:hAnsi="Cambria"/>
          <w:sz w:val="16"/>
          <w:szCs w:val="16"/>
        </w:rPr>
        <w:t>.</w:t>
      </w:r>
      <w:r w:rsidRPr="00D30EFA">
        <w:rPr>
          <w:rFonts w:ascii="Cambria" w:hAnsi="Cambria" w:cs="Arial"/>
          <w:sz w:val="16"/>
          <w:szCs w:val="16"/>
        </w:rPr>
        <w:t xml:space="preserve"> </w:t>
      </w:r>
      <w:r>
        <w:rPr>
          <w:rFonts w:ascii="Cambria" w:hAnsi="Cambria"/>
          <w:sz w:val="16"/>
          <w:szCs w:val="16"/>
        </w:rPr>
        <w:t>O sistema regional também referiu-se às</w:t>
      </w:r>
      <w:r w:rsidRPr="00D30EFA">
        <w:rPr>
          <w:rFonts w:ascii="Cambria" w:hAnsi="Cambria"/>
          <w:sz w:val="16"/>
          <w:szCs w:val="16"/>
        </w:rPr>
        <w:t xml:space="preserve"> pautas estab</w:t>
      </w:r>
      <w:r>
        <w:rPr>
          <w:rFonts w:ascii="Cambria" w:hAnsi="Cambria"/>
          <w:sz w:val="16"/>
          <w:szCs w:val="16"/>
        </w:rPr>
        <w:t>e</w:t>
      </w:r>
      <w:r w:rsidRPr="00D30EFA">
        <w:rPr>
          <w:rFonts w:ascii="Cambria" w:hAnsi="Cambria"/>
          <w:sz w:val="16"/>
          <w:szCs w:val="16"/>
        </w:rPr>
        <w:t>lecidas</w:t>
      </w:r>
      <w:r>
        <w:rPr>
          <w:rFonts w:ascii="Cambria" w:hAnsi="Cambria"/>
          <w:sz w:val="16"/>
          <w:szCs w:val="16"/>
        </w:rPr>
        <w:t xml:space="preserve"> no </w:t>
      </w:r>
      <w:r w:rsidRPr="00D30EFA">
        <w:rPr>
          <w:rFonts w:ascii="Cambria" w:hAnsi="Cambria"/>
          <w:sz w:val="16"/>
          <w:szCs w:val="16"/>
        </w:rPr>
        <w:t xml:space="preserve">Manual </w:t>
      </w:r>
      <w:r>
        <w:rPr>
          <w:rFonts w:ascii="Cambria" w:hAnsi="Cambria"/>
          <w:sz w:val="16"/>
          <w:szCs w:val="16"/>
        </w:rPr>
        <w:t xml:space="preserve">das </w:t>
      </w:r>
      <w:r w:rsidRPr="00D30EFA">
        <w:rPr>
          <w:rFonts w:ascii="Cambria" w:hAnsi="Cambria"/>
          <w:sz w:val="16"/>
          <w:szCs w:val="16"/>
        </w:rPr>
        <w:t>Na</w:t>
      </w:r>
      <w:r>
        <w:rPr>
          <w:rFonts w:ascii="Cambria" w:hAnsi="Cambria"/>
          <w:sz w:val="16"/>
          <w:szCs w:val="16"/>
        </w:rPr>
        <w:t xml:space="preserve">ções Unidas sobre </w:t>
      </w:r>
      <w:r w:rsidRPr="00D30EFA">
        <w:rPr>
          <w:rFonts w:ascii="Cambria" w:hAnsi="Cambria"/>
          <w:sz w:val="16"/>
          <w:szCs w:val="16"/>
        </w:rPr>
        <w:t>a preven</w:t>
      </w:r>
      <w:r>
        <w:rPr>
          <w:rFonts w:ascii="Cambria" w:hAnsi="Cambria"/>
          <w:sz w:val="16"/>
          <w:szCs w:val="16"/>
        </w:rPr>
        <w:t>ção</w:t>
      </w:r>
      <w:r w:rsidRPr="00D30EFA">
        <w:rPr>
          <w:rFonts w:ascii="Cambria" w:hAnsi="Cambria"/>
          <w:sz w:val="16"/>
          <w:szCs w:val="16"/>
        </w:rPr>
        <w:t xml:space="preserve"> e investiga</w:t>
      </w:r>
      <w:r>
        <w:rPr>
          <w:rFonts w:ascii="Cambria" w:hAnsi="Cambria"/>
          <w:sz w:val="16"/>
          <w:szCs w:val="16"/>
        </w:rPr>
        <w:t>ção efe</w:t>
      </w:r>
      <w:r w:rsidRPr="00D30EFA">
        <w:rPr>
          <w:rFonts w:ascii="Cambria" w:hAnsi="Cambria"/>
          <w:sz w:val="16"/>
          <w:szCs w:val="16"/>
        </w:rPr>
        <w:t xml:space="preserve">tivas </w:t>
      </w:r>
      <w:r>
        <w:rPr>
          <w:rFonts w:ascii="Cambria" w:hAnsi="Cambria"/>
          <w:sz w:val="16"/>
          <w:szCs w:val="16"/>
        </w:rPr>
        <w:t>das ex</w:t>
      </w:r>
      <w:r w:rsidRPr="00D30EFA">
        <w:rPr>
          <w:rFonts w:ascii="Cambria" w:hAnsi="Cambria"/>
          <w:sz w:val="16"/>
          <w:szCs w:val="16"/>
        </w:rPr>
        <w:t>ecu</w:t>
      </w:r>
      <w:r>
        <w:rPr>
          <w:rFonts w:ascii="Cambria" w:hAnsi="Cambria"/>
          <w:sz w:val="16"/>
          <w:szCs w:val="16"/>
        </w:rPr>
        <w:t>ções</w:t>
      </w:r>
      <w:r w:rsidRPr="00D30EFA">
        <w:rPr>
          <w:rFonts w:ascii="Cambria" w:hAnsi="Cambria"/>
          <w:sz w:val="16"/>
          <w:szCs w:val="16"/>
        </w:rPr>
        <w:t xml:space="preserve"> extrajudici</w:t>
      </w:r>
      <w:r>
        <w:rPr>
          <w:rFonts w:ascii="Cambria" w:hAnsi="Cambria"/>
          <w:sz w:val="16"/>
          <w:szCs w:val="16"/>
        </w:rPr>
        <w:t>ais, arbitrá</w:t>
      </w:r>
      <w:r w:rsidRPr="00D30EFA">
        <w:rPr>
          <w:rFonts w:ascii="Cambria" w:hAnsi="Cambria"/>
          <w:sz w:val="16"/>
          <w:szCs w:val="16"/>
        </w:rPr>
        <w:t>rias</w:t>
      </w:r>
      <w:r>
        <w:rPr>
          <w:rFonts w:ascii="Cambria" w:hAnsi="Cambria"/>
          <w:sz w:val="16"/>
          <w:szCs w:val="16"/>
        </w:rPr>
        <w:t xml:space="preserve"> e sumá</w:t>
      </w:r>
      <w:r w:rsidRPr="00D30EFA">
        <w:rPr>
          <w:rFonts w:ascii="Cambria" w:hAnsi="Cambria"/>
          <w:sz w:val="16"/>
          <w:szCs w:val="16"/>
        </w:rPr>
        <w:t>rias, observa</w:t>
      </w:r>
      <w:r>
        <w:rPr>
          <w:rFonts w:ascii="Cambria" w:hAnsi="Cambria"/>
          <w:sz w:val="16"/>
          <w:szCs w:val="16"/>
        </w:rPr>
        <w:t>ndo que um</w:t>
      </w:r>
      <w:r w:rsidRPr="00D30EFA">
        <w:rPr>
          <w:rFonts w:ascii="Cambria" w:hAnsi="Cambria"/>
          <w:sz w:val="16"/>
          <w:szCs w:val="16"/>
        </w:rPr>
        <w:t xml:space="preserve"> </w:t>
      </w:r>
      <w:r>
        <w:rPr>
          <w:rFonts w:ascii="Cambria" w:hAnsi="Cambria"/>
          <w:sz w:val="16"/>
          <w:szCs w:val="16"/>
        </w:rPr>
        <w:t>dos aspectos mais importantes de um</w:t>
      </w:r>
      <w:r w:rsidRPr="00D30EFA">
        <w:rPr>
          <w:rFonts w:ascii="Cambria" w:hAnsi="Cambria"/>
          <w:sz w:val="16"/>
          <w:szCs w:val="16"/>
        </w:rPr>
        <w:t>a investiga</w:t>
      </w:r>
      <w:r>
        <w:rPr>
          <w:rFonts w:ascii="Cambria" w:hAnsi="Cambria"/>
          <w:sz w:val="16"/>
          <w:szCs w:val="16"/>
        </w:rPr>
        <w:t>ção “completa e imparcial” de uma ex</w:t>
      </w:r>
      <w:r w:rsidRPr="00D30EFA">
        <w:rPr>
          <w:rFonts w:ascii="Cambria" w:hAnsi="Cambria"/>
          <w:sz w:val="16"/>
          <w:szCs w:val="16"/>
        </w:rPr>
        <w:t>ecu</w:t>
      </w:r>
      <w:r>
        <w:rPr>
          <w:rFonts w:ascii="Cambria" w:hAnsi="Cambria"/>
          <w:sz w:val="16"/>
          <w:szCs w:val="16"/>
        </w:rPr>
        <w:t>ção extrajudicial, arbitrá</w:t>
      </w:r>
      <w:r w:rsidRPr="00D30EFA">
        <w:rPr>
          <w:rFonts w:ascii="Cambria" w:hAnsi="Cambria"/>
          <w:sz w:val="16"/>
          <w:szCs w:val="16"/>
        </w:rPr>
        <w:t>ria o</w:t>
      </w:r>
      <w:r>
        <w:rPr>
          <w:rFonts w:ascii="Cambria" w:hAnsi="Cambria"/>
          <w:sz w:val="16"/>
          <w:szCs w:val="16"/>
        </w:rPr>
        <w:t>u sumária é</w:t>
      </w:r>
      <w:r w:rsidRPr="00D30EFA">
        <w:rPr>
          <w:rFonts w:ascii="Cambria" w:hAnsi="Cambria"/>
          <w:sz w:val="16"/>
          <w:szCs w:val="16"/>
        </w:rPr>
        <w:t xml:space="preserve"> </w:t>
      </w:r>
      <w:r>
        <w:rPr>
          <w:rFonts w:ascii="Cambria" w:hAnsi="Cambria"/>
          <w:sz w:val="16"/>
          <w:szCs w:val="16"/>
        </w:rPr>
        <w:t xml:space="preserve">reunir e analisar </w:t>
      </w:r>
      <w:r w:rsidRPr="00D30EFA">
        <w:rPr>
          <w:rFonts w:ascii="Cambria" w:hAnsi="Cambria"/>
          <w:sz w:val="16"/>
          <w:szCs w:val="16"/>
        </w:rPr>
        <w:t>as pr</w:t>
      </w:r>
      <w:r>
        <w:rPr>
          <w:rFonts w:ascii="Cambria" w:hAnsi="Cambria"/>
          <w:sz w:val="16"/>
          <w:szCs w:val="16"/>
        </w:rPr>
        <w:t>ovas de cada mo</w:t>
      </w:r>
      <w:r w:rsidRPr="00D30EFA">
        <w:rPr>
          <w:rFonts w:ascii="Cambria" w:hAnsi="Cambria"/>
          <w:sz w:val="16"/>
          <w:szCs w:val="16"/>
        </w:rPr>
        <w:t>rte s</w:t>
      </w:r>
      <w:r>
        <w:rPr>
          <w:rFonts w:ascii="Cambria" w:hAnsi="Cambria"/>
          <w:sz w:val="16"/>
          <w:szCs w:val="16"/>
        </w:rPr>
        <w:t>uspeita.</w:t>
      </w:r>
      <w:r w:rsidRPr="00D30EFA">
        <w:rPr>
          <w:rStyle w:val="FootnoteReference"/>
          <w:rFonts w:ascii="Cambria" w:hAnsi="Cambria"/>
          <w:sz w:val="16"/>
          <w:szCs w:val="16"/>
        </w:rPr>
        <w:footnoteRef/>
      </w:r>
      <w:r w:rsidRPr="00D30EFA">
        <w:rPr>
          <w:rFonts w:ascii="Cambria" w:hAnsi="Cambria"/>
          <w:sz w:val="16"/>
          <w:szCs w:val="16"/>
        </w:rPr>
        <w:t xml:space="preserve"> Para </w:t>
      </w:r>
      <w:r>
        <w:rPr>
          <w:rFonts w:ascii="Cambria" w:hAnsi="Cambria"/>
          <w:sz w:val="16"/>
          <w:szCs w:val="16"/>
        </w:rPr>
        <w:t>isso</w:t>
      </w:r>
      <w:r w:rsidRPr="00D30EFA">
        <w:rPr>
          <w:rFonts w:ascii="Cambria" w:hAnsi="Cambria"/>
          <w:sz w:val="16"/>
          <w:szCs w:val="16"/>
        </w:rPr>
        <w:t xml:space="preserve">, </w:t>
      </w:r>
      <w:r>
        <w:rPr>
          <w:rFonts w:ascii="Cambria" w:hAnsi="Cambria"/>
          <w:sz w:val="16"/>
          <w:szCs w:val="16"/>
        </w:rPr>
        <w:t>o</w:t>
      </w:r>
      <w:r w:rsidRPr="00D30EFA">
        <w:rPr>
          <w:rFonts w:ascii="Cambria" w:hAnsi="Cambria"/>
          <w:sz w:val="16"/>
          <w:szCs w:val="16"/>
        </w:rPr>
        <w:t xml:space="preserve"> Manual estab</w:t>
      </w:r>
      <w:r>
        <w:rPr>
          <w:rFonts w:ascii="Cambria" w:hAnsi="Cambria"/>
          <w:sz w:val="16"/>
          <w:szCs w:val="16"/>
        </w:rPr>
        <w:t>elece que, com</w:t>
      </w:r>
      <w:r w:rsidRPr="00D30EFA">
        <w:rPr>
          <w:rFonts w:ascii="Cambria" w:hAnsi="Cambria"/>
          <w:sz w:val="16"/>
          <w:szCs w:val="16"/>
        </w:rPr>
        <w:t xml:space="preserve"> rela</w:t>
      </w:r>
      <w:r>
        <w:rPr>
          <w:rFonts w:ascii="Cambria" w:hAnsi="Cambria"/>
          <w:sz w:val="16"/>
          <w:szCs w:val="16"/>
        </w:rPr>
        <w:t>ção</w:t>
      </w:r>
      <w:r w:rsidRPr="00D30EFA">
        <w:rPr>
          <w:rFonts w:ascii="Cambria" w:hAnsi="Cambria"/>
          <w:sz w:val="16"/>
          <w:szCs w:val="16"/>
        </w:rPr>
        <w:t xml:space="preserve"> </w:t>
      </w:r>
      <w:r>
        <w:rPr>
          <w:rFonts w:ascii="Cambria" w:hAnsi="Cambria"/>
          <w:sz w:val="16"/>
          <w:szCs w:val="16"/>
        </w:rPr>
        <w:t xml:space="preserve">à cena do </w:t>
      </w:r>
      <w:r w:rsidR="00272AFD">
        <w:rPr>
          <w:rFonts w:ascii="Cambria" w:hAnsi="Cambria"/>
          <w:sz w:val="16"/>
          <w:szCs w:val="16"/>
        </w:rPr>
        <w:t>crime</w:t>
      </w:r>
      <w:r>
        <w:rPr>
          <w:rFonts w:ascii="Cambria" w:hAnsi="Cambria"/>
          <w:sz w:val="16"/>
          <w:szCs w:val="16"/>
        </w:rPr>
        <w:t xml:space="preserve">, </w:t>
      </w:r>
      <w:r w:rsidRPr="00D30EFA">
        <w:rPr>
          <w:rFonts w:ascii="Cambria" w:hAnsi="Cambria"/>
          <w:sz w:val="16"/>
          <w:szCs w:val="16"/>
        </w:rPr>
        <w:t>os investigadores de</w:t>
      </w:r>
      <w:r>
        <w:rPr>
          <w:rFonts w:ascii="Cambria" w:hAnsi="Cambria"/>
          <w:sz w:val="16"/>
          <w:szCs w:val="16"/>
        </w:rPr>
        <w:t xml:space="preserve">vem, </w:t>
      </w:r>
      <w:r w:rsidR="00272AFD">
        <w:rPr>
          <w:rFonts w:ascii="Cambria" w:hAnsi="Cambria"/>
          <w:sz w:val="16"/>
          <w:szCs w:val="16"/>
        </w:rPr>
        <w:t>n</w:t>
      </w:r>
      <w:r>
        <w:rPr>
          <w:rFonts w:ascii="Cambria" w:hAnsi="Cambria"/>
          <w:sz w:val="16"/>
          <w:szCs w:val="16"/>
        </w:rPr>
        <w:t xml:space="preserve">o mínimo, fotografar a </w:t>
      </w:r>
      <w:r w:rsidRPr="00D30EFA">
        <w:rPr>
          <w:rFonts w:ascii="Cambria" w:hAnsi="Cambria"/>
          <w:sz w:val="16"/>
          <w:szCs w:val="16"/>
        </w:rPr>
        <w:t>cena, o</w:t>
      </w:r>
      <w:r>
        <w:rPr>
          <w:rFonts w:ascii="Cambria" w:hAnsi="Cambria"/>
          <w:sz w:val="16"/>
          <w:szCs w:val="16"/>
        </w:rPr>
        <w:t>u</w:t>
      </w:r>
      <w:r w:rsidRPr="00D30EFA">
        <w:rPr>
          <w:rFonts w:ascii="Cambria" w:hAnsi="Cambria"/>
          <w:sz w:val="16"/>
          <w:szCs w:val="16"/>
        </w:rPr>
        <w:t>tra</w:t>
      </w:r>
      <w:r w:rsidR="00272AFD">
        <w:rPr>
          <w:rFonts w:ascii="Cambria" w:hAnsi="Cambria"/>
          <w:sz w:val="16"/>
          <w:szCs w:val="16"/>
        </w:rPr>
        <w:t>s</w:t>
      </w:r>
      <w:r w:rsidRPr="00D30EFA">
        <w:rPr>
          <w:rFonts w:ascii="Cambria" w:hAnsi="Cambria"/>
          <w:sz w:val="16"/>
          <w:szCs w:val="16"/>
        </w:rPr>
        <w:t xml:space="preserve"> pr</w:t>
      </w:r>
      <w:r>
        <w:rPr>
          <w:rFonts w:ascii="Cambria" w:hAnsi="Cambria"/>
          <w:sz w:val="16"/>
          <w:szCs w:val="16"/>
        </w:rPr>
        <w:t>ova</w:t>
      </w:r>
      <w:r w:rsidR="00272AFD">
        <w:rPr>
          <w:rFonts w:ascii="Cambria" w:hAnsi="Cambria"/>
          <w:sz w:val="16"/>
          <w:szCs w:val="16"/>
        </w:rPr>
        <w:t>s</w:t>
      </w:r>
      <w:r w:rsidRPr="00D30EFA">
        <w:rPr>
          <w:rFonts w:ascii="Cambria" w:hAnsi="Cambria"/>
          <w:sz w:val="16"/>
          <w:szCs w:val="16"/>
        </w:rPr>
        <w:t xml:space="preserve"> física</w:t>
      </w:r>
      <w:r w:rsidR="00272AFD">
        <w:rPr>
          <w:rFonts w:ascii="Cambria" w:hAnsi="Cambria"/>
          <w:sz w:val="16"/>
          <w:szCs w:val="16"/>
        </w:rPr>
        <w:t>s</w:t>
      </w:r>
      <w:r>
        <w:rPr>
          <w:rFonts w:ascii="Cambria" w:hAnsi="Cambria"/>
          <w:sz w:val="16"/>
          <w:szCs w:val="16"/>
        </w:rPr>
        <w:t xml:space="preserve"> e o</w:t>
      </w:r>
      <w:r w:rsidRPr="00D30EFA">
        <w:rPr>
          <w:rFonts w:ascii="Cambria" w:hAnsi="Cambria"/>
          <w:sz w:val="16"/>
          <w:szCs w:val="16"/>
        </w:rPr>
        <w:t xml:space="preserve"> c</w:t>
      </w:r>
      <w:r>
        <w:rPr>
          <w:rFonts w:ascii="Cambria" w:hAnsi="Cambria"/>
          <w:sz w:val="16"/>
          <w:szCs w:val="16"/>
        </w:rPr>
        <w:t>orpo conforme foi</w:t>
      </w:r>
      <w:r w:rsidRPr="00D30EFA">
        <w:rPr>
          <w:rFonts w:ascii="Cambria" w:hAnsi="Cambria"/>
          <w:sz w:val="16"/>
          <w:szCs w:val="16"/>
        </w:rPr>
        <w:t xml:space="preserve"> encontrado</w:t>
      </w:r>
      <w:r>
        <w:rPr>
          <w:rFonts w:ascii="Cambria" w:hAnsi="Cambria"/>
          <w:sz w:val="16"/>
          <w:szCs w:val="16"/>
        </w:rPr>
        <w:t xml:space="preserve"> e uma vez trasladado; recolh</w:t>
      </w:r>
      <w:r w:rsidRPr="00D30EFA">
        <w:rPr>
          <w:rFonts w:ascii="Cambria" w:hAnsi="Cambria"/>
          <w:sz w:val="16"/>
          <w:szCs w:val="16"/>
        </w:rPr>
        <w:t>er</w:t>
      </w:r>
      <w:r>
        <w:rPr>
          <w:rFonts w:ascii="Cambria" w:hAnsi="Cambria"/>
          <w:sz w:val="16"/>
          <w:szCs w:val="16"/>
        </w:rPr>
        <w:t xml:space="preserve"> e preservar todas as mostras de sangue, cabe</w:t>
      </w:r>
      <w:r w:rsidRPr="00D30EFA">
        <w:rPr>
          <w:rFonts w:ascii="Cambria" w:hAnsi="Cambria"/>
          <w:sz w:val="16"/>
          <w:szCs w:val="16"/>
        </w:rPr>
        <w:t>los, fibras,</w:t>
      </w:r>
      <w:r>
        <w:rPr>
          <w:rFonts w:ascii="Cambria" w:hAnsi="Cambria"/>
          <w:sz w:val="16"/>
          <w:szCs w:val="16"/>
        </w:rPr>
        <w:t xml:space="preserve"> fios</w:t>
      </w:r>
      <w:r w:rsidRPr="00D30EFA">
        <w:rPr>
          <w:rFonts w:ascii="Cambria" w:hAnsi="Cambria"/>
          <w:sz w:val="16"/>
          <w:szCs w:val="16"/>
        </w:rPr>
        <w:t xml:space="preserve"> </w:t>
      </w:r>
      <w:r>
        <w:rPr>
          <w:rFonts w:ascii="Cambria" w:hAnsi="Cambria"/>
          <w:sz w:val="16"/>
          <w:szCs w:val="16"/>
        </w:rPr>
        <w:t>o</w:t>
      </w:r>
      <w:r w:rsidRPr="00D30EFA">
        <w:rPr>
          <w:rFonts w:ascii="Cambria" w:hAnsi="Cambria"/>
          <w:sz w:val="16"/>
          <w:szCs w:val="16"/>
        </w:rPr>
        <w:t>u o</w:t>
      </w:r>
      <w:r>
        <w:rPr>
          <w:rFonts w:ascii="Cambria" w:hAnsi="Cambria"/>
          <w:sz w:val="16"/>
          <w:szCs w:val="16"/>
        </w:rPr>
        <w:t>u</w:t>
      </w:r>
      <w:r w:rsidRPr="00D30EFA">
        <w:rPr>
          <w:rFonts w:ascii="Cambria" w:hAnsi="Cambria"/>
          <w:sz w:val="16"/>
          <w:szCs w:val="16"/>
        </w:rPr>
        <w:t>tras pistas; exam</w:t>
      </w:r>
      <w:r>
        <w:rPr>
          <w:rFonts w:ascii="Cambria" w:hAnsi="Cambria"/>
          <w:sz w:val="16"/>
          <w:szCs w:val="16"/>
        </w:rPr>
        <w:t>inar a área em</w:t>
      </w:r>
      <w:r w:rsidRPr="00D30EFA">
        <w:rPr>
          <w:rFonts w:ascii="Cambria" w:hAnsi="Cambria"/>
          <w:sz w:val="16"/>
          <w:szCs w:val="16"/>
        </w:rPr>
        <w:t xml:space="preserve"> busca de </w:t>
      </w:r>
      <w:r>
        <w:rPr>
          <w:rFonts w:ascii="Cambria" w:hAnsi="Cambria"/>
          <w:sz w:val="16"/>
          <w:szCs w:val="16"/>
        </w:rPr>
        <w:t>marcas de s</w:t>
      </w:r>
      <w:r w:rsidRPr="00D30EFA">
        <w:rPr>
          <w:rFonts w:ascii="Cambria" w:hAnsi="Cambria"/>
          <w:sz w:val="16"/>
          <w:szCs w:val="16"/>
        </w:rPr>
        <w:t>apatos o</w:t>
      </w:r>
      <w:r>
        <w:rPr>
          <w:rFonts w:ascii="Cambria" w:hAnsi="Cambria"/>
          <w:sz w:val="16"/>
          <w:szCs w:val="16"/>
        </w:rPr>
        <w:t>u qualqu</w:t>
      </w:r>
      <w:r w:rsidRPr="00D30EFA">
        <w:rPr>
          <w:rFonts w:ascii="Cambria" w:hAnsi="Cambria"/>
          <w:sz w:val="16"/>
          <w:szCs w:val="16"/>
        </w:rPr>
        <w:t>er o</w:t>
      </w:r>
      <w:r>
        <w:rPr>
          <w:rFonts w:ascii="Cambria" w:hAnsi="Cambria"/>
          <w:sz w:val="16"/>
          <w:szCs w:val="16"/>
        </w:rPr>
        <w:t>u</w:t>
      </w:r>
      <w:r w:rsidRPr="00D30EFA">
        <w:rPr>
          <w:rFonts w:ascii="Cambria" w:hAnsi="Cambria"/>
          <w:sz w:val="16"/>
          <w:szCs w:val="16"/>
        </w:rPr>
        <w:t>tro elemento de pr</w:t>
      </w:r>
      <w:r>
        <w:rPr>
          <w:rFonts w:ascii="Cambria" w:hAnsi="Cambria"/>
          <w:sz w:val="16"/>
          <w:szCs w:val="16"/>
        </w:rPr>
        <w:t>ova; e preparar um</w:t>
      </w:r>
      <w:r w:rsidRPr="00D30EFA">
        <w:rPr>
          <w:rFonts w:ascii="Cambria" w:hAnsi="Cambria"/>
          <w:sz w:val="16"/>
          <w:szCs w:val="16"/>
        </w:rPr>
        <w:t xml:space="preserve"> </w:t>
      </w:r>
      <w:r>
        <w:rPr>
          <w:rFonts w:ascii="Cambria" w:hAnsi="Cambria"/>
          <w:sz w:val="16"/>
          <w:szCs w:val="16"/>
        </w:rPr>
        <w:t>relatório</w:t>
      </w:r>
      <w:r w:rsidRPr="00D30EFA">
        <w:rPr>
          <w:rFonts w:ascii="Cambria" w:hAnsi="Cambria"/>
          <w:sz w:val="16"/>
          <w:szCs w:val="16"/>
        </w:rPr>
        <w:t xml:space="preserve"> </w:t>
      </w:r>
      <w:r>
        <w:rPr>
          <w:rFonts w:ascii="Cambria" w:hAnsi="Cambria"/>
          <w:sz w:val="16"/>
          <w:szCs w:val="16"/>
        </w:rPr>
        <w:t>no qual se detalh</w:t>
      </w:r>
      <w:r w:rsidRPr="00D30EFA">
        <w:rPr>
          <w:rFonts w:ascii="Cambria" w:hAnsi="Cambria"/>
          <w:sz w:val="16"/>
          <w:szCs w:val="16"/>
        </w:rPr>
        <w:t>e a observa</w:t>
      </w:r>
      <w:r>
        <w:rPr>
          <w:rFonts w:ascii="Cambria" w:hAnsi="Cambria"/>
          <w:sz w:val="16"/>
          <w:szCs w:val="16"/>
        </w:rPr>
        <w:t>ção</w:t>
      </w:r>
      <w:r>
        <w:rPr>
          <w:rFonts w:ascii="Cambria" w:hAnsi="Cambria"/>
          <w:bCs/>
          <w:sz w:val="16"/>
          <w:szCs w:val="16"/>
        </w:rPr>
        <w:t xml:space="preserve"> do</w:t>
      </w:r>
      <w:r w:rsidRPr="00D30EFA">
        <w:rPr>
          <w:rFonts w:ascii="Cambria" w:hAnsi="Cambria"/>
          <w:bCs/>
          <w:sz w:val="16"/>
          <w:szCs w:val="16"/>
        </w:rPr>
        <w:t xml:space="preserve"> lugar </w:t>
      </w:r>
      <w:r>
        <w:rPr>
          <w:rFonts w:ascii="Cambria" w:hAnsi="Cambria"/>
          <w:bCs/>
          <w:sz w:val="16"/>
          <w:szCs w:val="16"/>
        </w:rPr>
        <w:t>dos fatos, as ações</w:t>
      </w:r>
      <w:r w:rsidRPr="00D30EFA">
        <w:rPr>
          <w:rFonts w:ascii="Cambria" w:hAnsi="Cambria"/>
          <w:bCs/>
          <w:sz w:val="16"/>
          <w:szCs w:val="16"/>
        </w:rPr>
        <w:t xml:space="preserve"> </w:t>
      </w:r>
      <w:r>
        <w:rPr>
          <w:rFonts w:ascii="Cambria" w:hAnsi="Cambria"/>
          <w:bCs/>
          <w:sz w:val="16"/>
          <w:szCs w:val="16"/>
        </w:rPr>
        <w:t xml:space="preserve">dos </w:t>
      </w:r>
      <w:r w:rsidRPr="00D30EFA">
        <w:rPr>
          <w:rFonts w:ascii="Cambria" w:hAnsi="Cambria"/>
          <w:bCs/>
          <w:sz w:val="16"/>
          <w:szCs w:val="16"/>
        </w:rPr>
        <w:t>investigadores</w:t>
      </w:r>
      <w:r>
        <w:rPr>
          <w:rFonts w:ascii="Cambria" w:hAnsi="Cambria"/>
          <w:bCs/>
          <w:sz w:val="16"/>
          <w:szCs w:val="16"/>
        </w:rPr>
        <w:t xml:space="preserve"> e o destino de todas as provas recolhidas.</w:t>
      </w:r>
      <w:r w:rsidRPr="00D30EFA">
        <w:rPr>
          <w:rFonts w:ascii="Cambria" w:hAnsi="Cambria"/>
          <w:bCs/>
          <w:sz w:val="16"/>
          <w:szCs w:val="16"/>
        </w:rPr>
        <w:t xml:space="preserve"> A</w:t>
      </w:r>
      <w:r>
        <w:rPr>
          <w:rFonts w:ascii="Cambria" w:hAnsi="Cambria"/>
          <w:bCs/>
          <w:sz w:val="16"/>
          <w:szCs w:val="16"/>
        </w:rPr>
        <w:t>lém disso, é necessá</w:t>
      </w:r>
      <w:r w:rsidRPr="00D30EFA">
        <w:rPr>
          <w:rFonts w:ascii="Cambria" w:hAnsi="Cambria"/>
          <w:bCs/>
          <w:sz w:val="16"/>
          <w:szCs w:val="16"/>
        </w:rPr>
        <w:t>ri</w:t>
      </w:r>
      <w:r>
        <w:rPr>
          <w:rFonts w:ascii="Cambria" w:hAnsi="Cambria"/>
          <w:bCs/>
          <w:sz w:val="16"/>
          <w:szCs w:val="16"/>
        </w:rPr>
        <w:t>o investigar exaustivamente o local dos fatos, r</w:t>
      </w:r>
      <w:r w:rsidRPr="00D30EFA">
        <w:rPr>
          <w:rFonts w:ascii="Cambria" w:hAnsi="Cambria"/>
          <w:bCs/>
          <w:sz w:val="16"/>
          <w:szCs w:val="16"/>
        </w:rPr>
        <w:t>ealizar</w:t>
      </w:r>
      <w:r>
        <w:rPr>
          <w:rFonts w:ascii="Cambria" w:hAnsi="Cambria"/>
          <w:bCs/>
          <w:sz w:val="16"/>
          <w:szCs w:val="16"/>
        </w:rPr>
        <w:t xml:space="preserve"> autó</w:t>
      </w:r>
      <w:r w:rsidRPr="00D30EFA">
        <w:rPr>
          <w:rFonts w:ascii="Cambria" w:hAnsi="Cambria"/>
          <w:bCs/>
          <w:sz w:val="16"/>
          <w:szCs w:val="16"/>
        </w:rPr>
        <w:t>psias</w:t>
      </w:r>
      <w:r>
        <w:rPr>
          <w:rFonts w:ascii="Cambria" w:hAnsi="Cambria"/>
          <w:bCs/>
          <w:sz w:val="16"/>
          <w:szCs w:val="16"/>
        </w:rPr>
        <w:t xml:space="preserve"> e </w:t>
      </w:r>
      <w:r w:rsidR="00272AFD">
        <w:rPr>
          <w:rFonts w:ascii="Cambria" w:hAnsi="Cambria"/>
          <w:bCs/>
          <w:sz w:val="16"/>
          <w:szCs w:val="16"/>
        </w:rPr>
        <w:t>efetuar</w:t>
      </w:r>
      <w:r>
        <w:rPr>
          <w:rFonts w:ascii="Cambria" w:hAnsi="Cambria"/>
          <w:bCs/>
          <w:sz w:val="16"/>
          <w:szCs w:val="16"/>
        </w:rPr>
        <w:t xml:space="preserve"> uma análise rigorosa</w:t>
      </w:r>
      <w:r w:rsidRPr="00D30EFA">
        <w:rPr>
          <w:rFonts w:ascii="Cambria" w:hAnsi="Cambria"/>
          <w:bCs/>
          <w:sz w:val="16"/>
          <w:szCs w:val="16"/>
        </w:rPr>
        <w:t xml:space="preserve"> </w:t>
      </w:r>
      <w:r>
        <w:rPr>
          <w:rFonts w:ascii="Cambria" w:hAnsi="Cambria"/>
          <w:bCs/>
          <w:sz w:val="16"/>
          <w:szCs w:val="16"/>
        </w:rPr>
        <w:t>dos restos humanos, a cargo de profis</w:t>
      </w:r>
      <w:r w:rsidRPr="00D30EFA">
        <w:rPr>
          <w:rFonts w:ascii="Cambria" w:hAnsi="Cambria"/>
          <w:bCs/>
          <w:sz w:val="16"/>
          <w:szCs w:val="16"/>
        </w:rPr>
        <w:t>sion</w:t>
      </w:r>
      <w:r>
        <w:rPr>
          <w:rFonts w:ascii="Cambria" w:hAnsi="Cambria"/>
          <w:bCs/>
          <w:sz w:val="16"/>
          <w:szCs w:val="16"/>
        </w:rPr>
        <w:t>ais</w:t>
      </w:r>
      <w:r w:rsidRPr="00D30EFA">
        <w:rPr>
          <w:rFonts w:ascii="Cambria" w:hAnsi="Cambria"/>
          <w:bCs/>
          <w:sz w:val="16"/>
          <w:szCs w:val="16"/>
        </w:rPr>
        <w:t xml:space="preserve"> competentes</w:t>
      </w:r>
      <w:r w:rsidRPr="00D30EFA">
        <w:rPr>
          <w:rFonts w:ascii="Cambria" w:hAnsi="Cambria"/>
          <w:sz w:val="16"/>
          <w:szCs w:val="16"/>
        </w:rPr>
        <w:t xml:space="preserve">. </w:t>
      </w:r>
      <w:r w:rsidRPr="00D30EFA">
        <w:rPr>
          <w:rFonts w:ascii="Cambria" w:hAnsi="Cambria"/>
          <w:bCs/>
          <w:sz w:val="16"/>
          <w:szCs w:val="16"/>
        </w:rPr>
        <w:t xml:space="preserve">Manual </w:t>
      </w:r>
      <w:r>
        <w:rPr>
          <w:rFonts w:ascii="Cambria" w:hAnsi="Cambria"/>
          <w:bCs/>
          <w:sz w:val="16"/>
          <w:szCs w:val="16"/>
        </w:rPr>
        <w:t xml:space="preserve">das </w:t>
      </w:r>
      <w:r w:rsidRPr="00D30EFA">
        <w:rPr>
          <w:rFonts w:ascii="Cambria" w:hAnsi="Cambria"/>
          <w:bCs/>
          <w:sz w:val="16"/>
          <w:szCs w:val="16"/>
        </w:rPr>
        <w:t>Na</w:t>
      </w:r>
      <w:r>
        <w:rPr>
          <w:rFonts w:ascii="Cambria" w:hAnsi="Cambria"/>
          <w:bCs/>
          <w:sz w:val="16"/>
          <w:szCs w:val="16"/>
        </w:rPr>
        <w:t xml:space="preserve">ções Unidas para </w:t>
      </w:r>
      <w:r w:rsidRPr="00D30EFA">
        <w:rPr>
          <w:rFonts w:ascii="Cambria" w:hAnsi="Cambria"/>
          <w:bCs/>
          <w:sz w:val="16"/>
          <w:szCs w:val="16"/>
        </w:rPr>
        <w:t>a preven</w:t>
      </w:r>
      <w:r>
        <w:rPr>
          <w:rFonts w:ascii="Cambria" w:hAnsi="Cambria"/>
          <w:bCs/>
          <w:sz w:val="16"/>
          <w:szCs w:val="16"/>
        </w:rPr>
        <w:t>ção</w:t>
      </w:r>
      <w:r w:rsidRPr="00D30EFA">
        <w:rPr>
          <w:rFonts w:ascii="Cambria" w:hAnsi="Cambria"/>
          <w:bCs/>
          <w:sz w:val="16"/>
          <w:szCs w:val="16"/>
        </w:rPr>
        <w:t xml:space="preserve"> e investiga</w:t>
      </w:r>
      <w:r>
        <w:rPr>
          <w:rFonts w:ascii="Cambria" w:hAnsi="Cambria"/>
          <w:bCs/>
          <w:sz w:val="16"/>
          <w:szCs w:val="16"/>
        </w:rPr>
        <w:t>ção eficaz</w:t>
      </w:r>
      <w:r w:rsidRPr="00D30EFA">
        <w:rPr>
          <w:rFonts w:ascii="Cambria" w:hAnsi="Cambria"/>
          <w:bCs/>
          <w:sz w:val="16"/>
          <w:szCs w:val="16"/>
        </w:rPr>
        <w:t xml:space="preserve"> </w:t>
      </w:r>
      <w:r>
        <w:rPr>
          <w:rFonts w:ascii="Cambria" w:hAnsi="Cambria"/>
          <w:bCs/>
          <w:sz w:val="16"/>
          <w:szCs w:val="16"/>
        </w:rPr>
        <w:t>das ex</w:t>
      </w:r>
      <w:r w:rsidRPr="00D30EFA">
        <w:rPr>
          <w:rFonts w:ascii="Cambria" w:hAnsi="Cambria"/>
          <w:bCs/>
          <w:sz w:val="16"/>
          <w:szCs w:val="16"/>
        </w:rPr>
        <w:t>ecu</w:t>
      </w:r>
      <w:r>
        <w:rPr>
          <w:rFonts w:ascii="Cambria" w:hAnsi="Cambria"/>
          <w:bCs/>
          <w:sz w:val="16"/>
          <w:szCs w:val="16"/>
        </w:rPr>
        <w:t>ções</w:t>
      </w:r>
      <w:r w:rsidRPr="00D30EFA">
        <w:rPr>
          <w:rFonts w:ascii="Cambria" w:hAnsi="Cambria"/>
          <w:bCs/>
          <w:sz w:val="16"/>
          <w:szCs w:val="16"/>
        </w:rPr>
        <w:t xml:space="preserve"> extrajudici</w:t>
      </w:r>
      <w:r>
        <w:rPr>
          <w:rFonts w:ascii="Cambria" w:hAnsi="Cambria"/>
          <w:bCs/>
          <w:sz w:val="16"/>
          <w:szCs w:val="16"/>
        </w:rPr>
        <w:t>ais, arbitrá</w:t>
      </w:r>
      <w:r w:rsidRPr="00D30EFA">
        <w:rPr>
          <w:rFonts w:ascii="Cambria" w:hAnsi="Cambria"/>
          <w:bCs/>
          <w:sz w:val="16"/>
          <w:szCs w:val="16"/>
        </w:rPr>
        <w:t>rias</w:t>
      </w:r>
      <w:r>
        <w:rPr>
          <w:rFonts w:ascii="Cambria" w:hAnsi="Cambria"/>
          <w:bCs/>
          <w:sz w:val="16"/>
          <w:szCs w:val="16"/>
        </w:rPr>
        <w:t xml:space="preserve"> e sumá</w:t>
      </w:r>
      <w:r w:rsidRPr="00D30EFA">
        <w:rPr>
          <w:rFonts w:ascii="Cambria" w:hAnsi="Cambria"/>
          <w:bCs/>
          <w:sz w:val="16"/>
          <w:szCs w:val="16"/>
        </w:rPr>
        <w:t>rias.</w:t>
      </w:r>
      <w:r w:rsidRPr="00D30EFA">
        <w:rPr>
          <w:rFonts w:ascii="Cambria" w:hAnsi="Cambria"/>
          <w:sz w:val="16"/>
          <w:szCs w:val="16"/>
        </w:rPr>
        <w:t xml:space="preserve"> Doc. E/ST/CSDHA/12 (1991).  </w:t>
      </w:r>
    </w:p>
  </w:footnote>
  <w:footnote w:id="193">
    <w:p w14:paraId="7BD60686" w14:textId="1E4A2A41"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Pr>
          <w:color w:val="auto"/>
          <w:lang w:val="pt-BR"/>
        </w:rPr>
        <w:t xml:space="preserve"> A este respei</w:t>
      </w:r>
      <w:r w:rsidRPr="00D30EFA">
        <w:rPr>
          <w:color w:val="auto"/>
          <w:lang w:val="pt-BR"/>
        </w:rPr>
        <w:t>to, ver Na</w:t>
      </w:r>
      <w:r>
        <w:rPr>
          <w:color w:val="auto"/>
          <w:lang w:val="pt-BR"/>
        </w:rPr>
        <w:t xml:space="preserve">ções Unidas. Protocolo de Istambul. Manual para </w:t>
      </w:r>
      <w:r w:rsidRPr="00D30EFA">
        <w:rPr>
          <w:color w:val="auto"/>
          <w:lang w:val="pt-BR"/>
        </w:rPr>
        <w:t>a investiga</w:t>
      </w:r>
      <w:r>
        <w:rPr>
          <w:color w:val="auto"/>
          <w:lang w:val="pt-BR"/>
        </w:rPr>
        <w:t xml:space="preserve">ção e </w:t>
      </w:r>
      <w:r w:rsidRPr="00D30EFA">
        <w:rPr>
          <w:color w:val="auto"/>
          <w:lang w:val="pt-BR"/>
        </w:rPr>
        <w:t>documenta</w:t>
      </w:r>
      <w:r>
        <w:rPr>
          <w:color w:val="auto"/>
          <w:lang w:val="pt-BR"/>
        </w:rPr>
        <w:t>ção eficaz</w:t>
      </w:r>
      <w:r w:rsidRPr="00D30EFA">
        <w:rPr>
          <w:color w:val="auto"/>
          <w:lang w:val="pt-BR"/>
        </w:rPr>
        <w:t xml:space="preserve"> </w:t>
      </w:r>
      <w:r>
        <w:rPr>
          <w:color w:val="auto"/>
          <w:lang w:val="pt-BR"/>
        </w:rPr>
        <w:t xml:space="preserve">da </w:t>
      </w:r>
      <w:r w:rsidRPr="00D30EFA">
        <w:rPr>
          <w:color w:val="auto"/>
          <w:lang w:val="pt-BR"/>
        </w:rPr>
        <w:t>tortura</w:t>
      </w:r>
      <w:r>
        <w:rPr>
          <w:color w:val="auto"/>
          <w:lang w:val="pt-BR"/>
        </w:rPr>
        <w:t xml:space="preserve"> e </w:t>
      </w:r>
      <w:r w:rsidRPr="00D30EFA">
        <w:rPr>
          <w:color w:val="auto"/>
          <w:lang w:val="pt-BR"/>
        </w:rPr>
        <w:t>o</w:t>
      </w:r>
      <w:r>
        <w:rPr>
          <w:color w:val="auto"/>
          <w:lang w:val="pt-BR"/>
        </w:rPr>
        <w:t>u</w:t>
      </w:r>
      <w:r w:rsidRPr="00D30EFA">
        <w:rPr>
          <w:color w:val="auto"/>
          <w:lang w:val="pt-BR"/>
        </w:rPr>
        <w:t>tros trat</w:t>
      </w:r>
      <w:r w:rsidR="00272AFD">
        <w:rPr>
          <w:color w:val="auto"/>
          <w:lang w:val="pt-BR"/>
        </w:rPr>
        <w:t>ament</w:t>
      </w:r>
      <w:r w:rsidRPr="00D30EFA">
        <w:rPr>
          <w:color w:val="auto"/>
          <w:lang w:val="pt-BR"/>
        </w:rPr>
        <w:t>os o</w:t>
      </w:r>
      <w:r>
        <w:rPr>
          <w:color w:val="auto"/>
          <w:lang w:val="pt-BR"/>
        </w:rPr>
        <w:t>u penas cruéis, desumana</w:t>
      </w:r>
      <w:r w:rsidRPr="00D30EFA">
        <w:rPr>
          <w:color w:val="auto"/>
          <w:lang w:val="pt-BR"/>
        </w:rPr>
        <w:t>s o</w:t>
      </w:r>
      <w:r>
        <w:rPr>
          <w:color w:val="auto"/>
          <w:lang w:val="pt-BR"/>
        </w:rPr>
        <w:t>u</w:t>
      </w:r>
      <w:r w:rsidRPr="00D30EFA">
        <w:rPr>
          <w:color w:val="auto"/>
          <w:lang w:val="pt-BR"/>
        </w:rPr>
        <w:t xml:space="preserve"> degradantes, 9 de agosto de 1999,</w:t>
      </w:r>
      <w:r>
        <w:rPr>
          <w:color w:val="auto"/>
          <w:lang w:val="pt-BR"/>
        </w:rPr>
        <w:t xml:space="preserve"> </w:t>
      </w:r>
      <w:r w:rsidR="00272AFD">
        <w:rPr>
          <w:color w:val="auto"/>
          <w:lang w:val="pt-BR"/>
        </w:rPr>
        <w:t>par.</w:t>
      </w:r>
      <w:r w:rsidRPr="00D30EFA">
        <w:rPr>
          <w:color w:val="auto"/>
          <w:lang w:val="pt-BR"/>
        </w:rPr>
        <w:t xml:space="preserve"> 56, 60, 65</w:t>
      </w:r>
      <w:r>
        <w:rPr>
          <w:color w:val="auto"/>
          <w:lang w:val="pt-BR"/>
        </w:rPr>
        <w:t xml:space="preserve"> e </w:t>
      </w:r>
      <w:r w:rsidRPr="00D30EFA">
        <w:rPr>
          <w:color w:val="auto"/>
          <w:lang w:val="pt-BR"/>
        </w:rPr>
        <w:t>66.</w:t>
      </w:r>
    </w:p>
  </w:footnote>
  <w:footnote w:id="194">
    <w:p w14:paraId="5CC55038" w14:textId="39560D8C"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CIDH. </w:t>
      </w:r>
      <w:r>
        <w:rPr>
          <w:color w:val="auto"/>
          <w:lang w:val="pt-BR"/>
        </w:rPr>
        <w:t>Relatório</w:t>
      </w:r>
      <w:r w:rsidRPr="00D30EFA">
        <w:rPr>
          <w:color w:val="auto"/>
          <w:lang w:val="pt-BR"/>
        </w:rPr>
        <w:t xml:space="preserve"> Anual 2013. </w:t>
      </w:r>
      <w:r>
        <w:rPr>
          <w:color w:val="auto"/>
          <w:lang w:val="pt-BR"/>
        </w:rPr>
        <w:t>Relatório</w:t>
      </w:r>
      <w:r w:rsidRPr="00D30EFA">
        <w:rPr>
          <w:color w:val="auto"/>
          <w:lang w:val="pt-BR"/>
        </w:rPr>
        <w:t xml:space="preserve"> </w:t>
      </w:r>
      <w:r>
        <w:rPr>
          <w:color w:val="auto"/>
          <w:lang w:val="pt-BR"/>
        </w:rPr>
        <w:t xml:space="preserve">da Relatoria Especial para </w:t>
      </w:r>
      <w:r w:rsidRPr="00D30EFA">
        <w:rPr>
          <w:color w:val="auto"/>
          <w:lang w:val="pt-BR"/>
        </w:rPr>
        <w:t xml:space="preserve">a </w:t>
      </w:r>
      <w:r>
        <w:rPr>
          <w:color w:val="auto"/>
          <w:lang w:val="pt-BR"/>
        </w:rPr>
        <w:t>Liberdade</w:t>
      </w:r>
      <w:r w:rsidRPr="00D30EFA">
        <w:rPr>
          <w:color w:val="auto"/>
          <w:lang w:val="pt-BR"/>
        </w:rPr>
        <w:t xml:space="preserve"> de Expres</w:t>
      </w:r>
      <w:r>
        <w:rPr>
          <w:color w:val="auto"/>
          <w:lang w:val="pt-BR"/>
        </w:rPr>
        <w:t>são. Capítulo III (Violê</w:t>
      </w:r>
      <w:r w:rsidRPr="00D30EFA">
        <w:rPr>
          <w:color w:val="auto"/>
          <w:lang w:val="pt-BR"/>
        </w:rPr>
        <w:t xml:space="preserve">ncia contra </w:t>
      </w:r>
      <w:r>
        <w:rPr>
          <w:color w:val="auto"/>
          <w:lang w:val="pt-BR"/>
        </w:rPr>
        <w:t xml:space="preserve">jornalistas e </w:t>
      </w:r>
      <w:r w:rsidR="00781B54">
        <w:rPr>
          <w:color w:val="auto"/>
          <w:lang w:val="pt-BR"/>
        </w:rPr>
        <w:t>funcionários de meios de comunicação</w:t>
      </w:r>
      <w:r w:rsidRPr="00D30EFA">
        <w:rPr>
          <w:color w:val="auto"/>
          <w:lang w:val="pt-BR"/>
        </w:rPr>
        <w:t xml:space="preserve">: </w:t>
      </w:r>
      <w:r>
        <w:rPr>
          <w:color w:val="auto"/>
          <w:lang w:val="pt-BR"/>
        </w:rPr>
        <w:t>padrões</w:t>
      </w:r>
      <w:r w:rsidRPr="00D30EFA">
        <w:rPr>
          <w:color w:val="auto"/>
          <w:lang w:val="pt-BR"/>
        </w:rPr>
        <w:t xml:space="preserve"> interamericanos</w:t>
      </w:r>
      <w:r>
        <w:rPr>
          <w:color w:val="auto"/>
          <w:lang w:val="pt-BR"/>
        </w:rPr>
        <w:t xml:space="preserve"> e prá</w:t>
      </w:r>
      <w:r w:rsidRPr="00D30EFA">
        <w:rPr>
          <w:color w:val="auto"/>
          <w:lang w:val="pt-BR"/>
        </w:rPr>
        <w:t>ticas nacion</w:t>
      </w:r>
      <w:r>
        <w:rPr>
          <w:color w:val="auto"/>
          <w:lang w:val="pt-BR"/>
        </w:rPr>
        <w:t>ais</w:t>
      </w:r>
      <w:r w:rsidRPr="00D30EFA">
        <w:rPr>
          <w:color w:val="auto"/>
          <w:lang w:val="pt-BR"/>
        </w:rPr>
        <w:t xml:space="preserve"> sobre preven</w:t>
      </w:r>
      <w:r>
        <w:rPr>
          <w:color w:val="auto"/>
          <w:lang w:val="pt-BR"/>
        </w:rPr>
        <w:t xml:space="preserve">ção, proteção e </w:t>
      </w:r>
      <w:r w:rsidR="00272AFD">
        <w:rPr>
          <w:color w:val="auto"/>
          <w:lang w:val="pt-BR"/>
        </w:rPr>
        <w:t>realiz</w:t>
      </w:r>
      <w:r w:rsidRPr="00D30EFA">
        <w:rPr>
          <w:color w:val="auto"/>
          <w:lang w:val="pt-BR"/>
        </w:rPr>
        <w:t>a</w:t>
      </w:r>
      <w:r>
        <w:rPr>
          <w:color w:val="auto"/>
          <w:lang w:val="pt-BR"/>
        </w:rPr>
        <w:t>ção</w:t>
      </w:r>
      <w:r w:rsidRPr="00D30EFA">
        <w:rPr>
          <w:color w:val="auto"/>
          <w:lang w:val="pt-BR"/>
        </w:rPr>
        <w:t xml:space="preserve"> </w:t>
      </w:r>
      <w:r>
        <w:rPr>
          <w:color w:val="auto"/>
          <w:lang w:val="pt-BR"/>
        </w:rPr>
        <w:t>da justiça</w:t>
      </w:r>
      <w:r w:rsidRPr="00D30EFA">
        <w:rPr>
          <w:color w:val="auto"/>
          <w:lang w:val="pt-BR"/>
        </w:rPr>
        <w:t>). OEA/Ser.L/V/II.149. Doc. 50. 31 de d</w:t>
      </w:r>
      <w:r>
        <w:rPr>
          <w:color w:val="auto"/>
          <w:lang w:val="pt-BR"/>
        </w:rPr>
        <w:t>ezembro de 2013. Pa</w:t>
      </w:r>
      <w:r w:rsidRPr="00D30EFA">
        <w:rPr>
          <w:color w:val="auto"/>
          <w:lang w:val="pt-BR"/>
        </w:rPr>
        <w:t>r. 1.</w:t>
      </w:r>
    </w:p>
  </w:footnote>
  <w:footnote w:id="195">
    <w:p w14:paraId="18A352D5" w14:textId="0ADF4844"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w:t>
      </w:r>
      <w:r w:rsidR="00272AFD">
        <w:rPr>
          <w:color w:val="auto"/>
          <w:lang w:val="pt-BR"/>
        </w:rPr>
        <w:t>V</w:t>
      </w:r>
      <w:r>
        <w:rPr>
          <w:color w:val="auto"/>
          <w:lang w:val="pt-BR"/>
        </w:rPr>
        <w:t>eja</w:t>
      </w:r>
      <w:r w:rsidRPr="00D30EFA">
        <w:rPr>
          <w:color w:val="auto"/>
          <w:lang w:val="pt-BR"/>
        </w:rPr>
        <w:t xml:space="preserve"> Güleç, antes citada, p</w:t>
      </w:r>
      <w:r w:rsidR="00272AFD">
        <w:rPr>
          <w:color w:val="auto"/>
          <w:lang w:val="pt-BR"/>
        </w:rPr>
        <w:t>.</w:t>
      </w:r>
      <w:r w:rsidRPr="00D30EFA">
        <w:rPr>
          <w:color w:val="auto"/>
          <w:lang w:val="pt-BR"/>
        </w:rPr>
        <w:t xml:space="preserve"> 1733, § 82;. Ogur, antes citada, § 92; Gül, antes citada, § 93;..</w:t>
      </w:r>
      <w:r>
        <w:rPr>
          <w:color w:val="auto"/>
          <w:lang w:val="pt-BR"/>
        </w:rPr>
        <w:t xml:space="preserve"> e </w:t>
      </w:r>
      <w:r w:rsidRPr="00D30EFA">
        <w:rPr>
          <w:color w:val="auto"/>
          <w:lang w:val="pt-BR"/>
        </w:rPr>
        <w:t>os ju</w:t>
      </w:r>
      <w:r w:rsidR="00272AFD">
        <w:rPr>
          <w:color w:val="auto"/>
          <w:lang w:val="pt-BR"/>
        </w:rPr>
        <w:t>lgament</w:t>
      </w:r>
      <w:r>
        <w:rPr>
          <w:color w:val="auto"/>
          <w:lang w:val="pt-BR"/>
        </w:rPr>
        <w:t>os da Irlanda do Norte, por ex</w:t>
      </w:r>
      <w:r w:rsidRPr="00D30EFA">
        <w:rPr>
          <w:color w:val="auto"/>
          <w:lang w:val="pt-BR"/>
        </w:rPr>
        <w:t>emplo, McKerr v</w:t>
      </w:r>
      <w:r>
        <w:rPr>
          <w:color w:val="auto"/>
          <w:lang w:val="pt-BR"/>
        </w:rPr>
        <w:t>s. Reino Unido, nº</w:t>
      </w:r>
      <w:r w:rsidRPr="00D30EFA">
        <w:rPr>
          <w:color w:val="auto"/>
          <w:lang w:val="pt-BR"/>
        </w:rPr>
        <w:t xml:space="preserve"> 28883/95, § 148, CEDH 2001-III)</w:t>
      </w:r>
    </w:p>
  </w:footnote>
  <w:footnote w:id="196">
    <w:p w14:paraId="4CAD6ABA" w14:textId="77777777"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w:t>
      </w:r>
      <w:r w:rsidRPr="00D30EFA">
        <w:rPr>
          <w:b/>
          <w:bCs/>
          <w:color w:val="auto"/>
          <w:lang w:val="pt-BR"/>
        </w:rPr>
        <w:t>Anexo 8</w:t>
      </w:r>
      <w:r w:rsidRPr="00D30EFA">
        <w:rPr>
          <w:color w:val="auto"/>
          <w:lang w:val="pt-BR"/>
        </w:rPr>
        <w:t xml:space="preserve">. </w:t>
      </w:r>
      <w:r w:rsidRPr="006E75C3">
        <w:rPr>
          <w:rStyle w:val="Emphasis"/>
          <w:rFonts w:cs="Arial"/>
          <w:i w:val="0"/>
          <w:iCs w:val="0"/>
          <w:color w:val="auto"/>
          <w:lang w:val="pt-BR"/>
        </w:rPr>
        <w:t>Relatório da</w:t>
      </w:r>
      <w:r w:rsidRPr="006E75C3">
        <w:rPr>
          <w:rStyle w:val="st1"/>
          <w:rFonts w:cs="Arial"/>
          <w:b/>
          <w:i/>
          <w:iCs/>
          <w:color w:val="auto"/>
          <w:lang w:val="pt-BR"/>
        </w:rPr>
        <w:t xml:space="preserve"> </w:t>
      </w:r>
      <w:r w:rsidRPr="006E75C3">
        <w:rPr>
          <w:rStyle w:val="Emphasis"/>
          <w:rFonts w:cs="Arial"/>
          <w:i w:val="0"/>
          <w:iCs w:val="0"/>
          <w:color w:val="auto"/>
          <w:lang w:val="pt-BR"/>
        </w:rPr>
        <w:t>Comissão Nacional da Verdade. Volume I</w:t>
      </w:r>
      <w:r>
        <w:rPr>
          <w:color w:val="auto"/>
          <w:lang w:val="pt-BR"/>
        </w:rPr>
        <w:t>, de</w:t>
      </w:r>
      <w:r w:rsidRPr="00D30EFA">
        <w:rPr>
          <w:color w:val="auto"/>
          <w:lang w:val="pt-BR"/>
        </w:rPr>
        <w:t xml:space="preserve"> 10 de d</w:t>
      </w:r>
      <w:r>
        <w:rPr>
          <w:color w:val="auto"/>
          <w:lang w:val="pt-BR"/>
        </w:rPr>
        <w:t>ezembro</w:t>
      </w:r>
      <w:r w:rsidRPr="00D30EFA">
        <w:rPr>
          <w:color w:val="auto"/>
          <w:lang w:val="pt-BR"/>
        </w:rPr>
        <w:t xml:space="preserve"> de 2014, p. 165. Anexo</w:t>
      </w:r>
      <w:r>
        <w:rPr>
          <w:color w:val="auto"/>
          <w:lang w:val="pt-BR"/>
        </w:rPr>
        <w:t xml:space="preserve"> à </w:t>
      </w:r>
      <w:r w:rsidRPr="00D30EFA">
        <w:rPr>
          <w:color w:val="auto"/>
          <w:lang w:val="pt-BR"/>
        </w:rPr>
        <w:t>comunica</w:t>
      </w:r>
      <w:r>
        <w:rPr>
          <w:color w:val="auto"/>
          <w:lang w:val="pt-BR"/>
        </w:rPr>
        <w:t>ção</w:t>
      </w:r>
      <w:r w:rsidRPr="00D30EFA">
        <w:rPr>
          <w:color w:val="auto"/>
          <w:lang w:val="pt-BR"/>
        </w:rPr>
        <w:t xml:space="preserve"> </w:t>
      </w:r>
      <w:r>
        <w:rPr>
          <w:color w:val="auto"/>
          <w:lang w:val="pt-BR"/>
        </w:rPr>
        <w:t xml:space="preserve">da </w:t>
      </w:r>
      <w:r w:rsidRPr="00D30EFA">
        <w:rPr>
          <w:color w:val="auto"/>
          <w:lang w:val="pt-BR"/>
        </w:rPr>
        <w:t xml:space="preserve">parte </w:t>
      </w:r>
      <w:r>
        <w:rPr>
          <w:color w:val="auto"/>
          <w:lang w:val="pt-BR"/>
        </w:rPr>
        <w:t>peticionária</w:t>
      </w:r>
      <w:r w:rsidRPr="00D30EFA">
        <w:rPr>
          <w:color w:val="auto"/>
          <w:lang w:val="pt-BR"/>
        </w:rPr>
        <w:t xml:space="preserve"> de </w:t>
      </w:r>
      <w:r>
        <w:rPr>
          <w:color w:val="auto"/>
          <w:lang w:val="pt-BR"/>
        </w:rPr>
        <w:t>novembro</w:t>
      </w:r>
      <w:r w:rsidRPr="00D30EFA">
        <w:rPr>
          <w:color w:val="auto"/>
          <w:lang w:val="pt-BR"/>
        </w:rPr>
        <w:t xml:space="preserve"> de 2017.</w:t>
      </w:r>
    </w:p>
  </w:footnote>
  <w:footnote w:id="197">
    <w:p w14:paraId="33E44800" w14:textId="77777777"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Corte IDH., Caso Torres Millacura</w:t>
      </w:r>
      <w:r>
        <w:rPr>
          <w:color w:val="auto"/>
          <w:lang w:val="pt-BR"/>
        </w:rPr>
        <w:t xml:space="preserve"> e </w:t>
      </w:r>
      <w:r w:rsidRPr="00D30EFA">
        <w:rPr>
          <w:color w:val="auto"/>
          <w:lang w:val="pt-BR"/>
        </w:rPr>
        <w:t>o</w:t>
      </w:r>
      <w:r>
        <w:rPr>
          <w:color w:val="auto"/>
          <w:lang w:val="pt-BR"/>
        </w:rPr>
        <w:t>utros vs. Argentina. Sentença de 26 de agosto de 2011. Série C Nº 229, pa</w:t>
      </w:r>
      <w:r w:rsidRPr="00D30EFA">
        <w:rPr>
          <w:color w:val="auto"/>
          <w:lang w:val="pt-BR"/>
        </w:rPr>
        <w:t>r. 113.</w:t>
      </w:r>
    </w:p>
  </w:footnote>
  <w:footnote w:id="198">
    <w:p w14:paraId="57AAE717" w14:textId="77777777"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CIDH. </w:t>
      </w:r>
      <w:r>
        <w:rPr>
          <w:color w:val="auto"/>
          <w:lang w:val="pt-BR"/>
        </w:rPr>
        <w:t xml:space="preserve">Direito à </w:t>
      </w:r>
      <w:r w:rsidRPr="00D30EFA">
        <w:rPr>
          <w:color w:val="auto"/>
          <w:lang w:val="pt-BR"/>
        </w:rPr>
        <w:t>verdad</w:t>
      </w:r>
      <w:r>
        <w:rPr>
          <w:color w:val="auto"/>
          <w:lang w:val="pt-BR"/>
        </w:rPr>
        <w:t>e</w:t>
      </w:r>
      <w:r w:rsidRPr="00D30EFA">
        <w:rPr>
          <w:color w:val="auto"/>
          <w:lang w:val="pt-BR"/>
        </w:rPr>
        <w:t xml:space="preserve"> </w:t>
      </w:r>
      <w:r>
        <w:rPr>
          <w:color w:val="auto"/>
          <w:lang w:val="pt-BR"/>
        </w:rPr>
        <w:t>nas</w:t>
      </w:r>
      <w:r w:rsidRPr="00D30EFA">
        <w:rPr>
          <w:color w:val="auto"/>
          <w:lang w:val="pt-BR"/>
        </w:rPr>
        <w:t xml:space="preserve"> Américas. OEA/Ser.L/V/II.</w:t>
      </w:r>
      <w:r>
        <w:rPr>
          <w:color w:val="auto"/>
          <w:lang w:val="pt-BR"/>
        </w:rPr>
        <w:t>152. Doc. 2. 13 agosto 2014. Pa</w:t>
      </w:r>
      <w:r w:rsidRPr="00D30EFA">
        <w:rPr>
          <w:color w:val="auto"/>
          <w:lang w:val="pt-BR"/>
        </w:rPr>
        <w:t>r. 90.</w:t>
      </w:r>
    </w:p>
  </w:footnote>
  <w:footnote w:id="199">
    <w:p w14:paraId="527034F2" w14:textId="0CED7740"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Corte IDH. Caso Mendoza</w:t>
      </w:r>
      <w:r>
        <w:rPr>
          <w:color w:val="auto"/>
          <w:lang w:val="pt-BR"/>
        </w:rPr>
        <w:t xml:space="preserve"> e </w:t>
      </w:r>
      <w:r w:rsidRPr="00D30EFA">
        <w:rPr>
          <w:color w:val="auto"/>
          <w:lang w:val="pt-BR"/>
        </w:rPr>
        <w:t>o</w:t>
      </w:r>
      <w:r>
        <w:rPr>
          <w:color w:val="auto"/>
          <w:lang w:val="pt-BR"/>
        </w:rPr>
        <w:t xml:space="preserve">utros vs. Argentina. Exceções Preliminares, </w:t>
      </w:r>
      <w:r w:rsidR="00D042DF">
        <w:rPr>
          <w:color w:val="auto"/>
          <w:lang w:val="pt-BR"/>
        </w:rPr>
        <w:t>Mérito</w:t>
      </w:r>
      <w:r>
        <w:rPr>
          <w:color w:val="auto"/>
          <w:lang w:val="pt-BR"/>
        </w:rPr>
        <w:t xml:space="preserve"> e </w:t>
      </w:r>
      <w:r w:rsidRPr="00D30EFA">
        <w:rPr>
          <w:color w:val="auto"/>
          <w:lang w:val="pt-BR"/>
        </w:rPr>
        <w:t>Repara</w:t>
      </w:r>
      <w:r>
        <w:rPr>
          <w:color w:val="auto"/>
          <w:lang w:val="pt-BR"/>
        </w:rPr>
        <w:t>ções. Sentença de 14 de maio de 2013 Série C Nº 260. Pa</w:t>
      </w:r>
      <w:r w:rsidRPr="00D30EFA">
        <w:rPr>
          <w:color w:val="auto"/>
          <w:lang w:val="pt-BR"/>
        </w:rPr>
        <w:t>r. 217.</w:t>
      </w:r>
    </w:p>
  </w:footnote>
  <w:footnote w:id="200">
    <w:p w14:paraId="35AC0EB7" w14:textId="651ED87C"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Corte IDH. Caso Fernández Ortega</w:t>
      </w:r>
      <w:r>
        <w:rPr>
          <w:color w:val="auto"/>
          <w:lang w:val="pt-BR"/>
        </w:rPr>
        <w:t xml:space="preserve"> e </w:t>
      </w:r>
      <w:r w:rsidRPr="00D30EFA">
        <w:rPr>
          <w:color w:val="auto"/>
          <w:lang w:val="pt-BR"/>
        </w:rPr>
        <w:t>o</w:t>
      </w:r>
      <w:r>
        <w:rPr>
          <w:color w:val="auto"/>
          <w:lang w:val="pt-BR"/>
        </w:rPr>
        <w:t xml:space="preserve">utros vs. México. Exceção Preliminar,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Sentença de 30 de agosto de 2010, pa</w:t>
      </w:r>
      <w:r w:rsidRPr="00D30EFA">
        <w:rPr>
          <w:color w:val="auto"/>
          <w:lang w:val="pt-BR"/>
        </w:rPr>
        <w:t>r. 131; Corte IDH. Caso Rosendo Cantú</w:t>
      </w:r>
      <w:r>
        <w:rPr>
          <w:color w:val="auto"/>
          <w:lang w:val="pt-BR"/>
        </w:rPr>
        <w:t xml:space="preserve"> e </w:t>
      </w:r>
      <w:r w:rsidRPr="00D30EFA">
        <w:rPr>
          <w:color w:val="auto"/>
          <w:lang w:val="pt-BR"/>
        </w:rPr>
        <w:t>outra vs. México. Exce</w:t>
      </w:r>
      <w:r>
        <w:rPr>
          <w:color w:val="auto"/>
          <w:lang w:val="pt-BR"/>
        </w:rPr>
        <w:t xml:space="preserve">ção Preliminar,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Sentença de 31 de agosto de 2010, pa</w:t>
      </w:r>
      <w:r w:rsidRPr="00D30EFA">
        <w:rPr>
          <w:color w:val="auto"/>
          <w:lang w:val="pt-BR"/>
        </w:rPr>
        <w:t>r. 177</w:t>
      </w:r>
    </w:p>
  </w:footnote>
  <w:footnote w:id="201">
    <w:p w14:paraId="24BD646A" w14:textId="73D995E8"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Corte IDH. Caso Veliz Franco</w:t>
      </w:r>
      <w:r>
        <w:rPr>
          <w:color w:val="auto"/>
          <w:lang w:val="pt-BR"/>
        </w:rPr>
        <w:t xml:space="preserve"> e </w:t>
      </w:r>
      <w:r w:rsidRPr="00D30EFA">
        <w:rPr>
          <w:color w:val="auto"/>
          <w:lang w:val="pt-BR"/>
        </w:rPr>
        <w:t>o</w:t>
      </w:r>
      <w:r>
        <w:rPr>
          <w:color w:val="auto"/>
          <w:lang w:val="pt-BR"/>
        </w:rPr>
        <w:t>utros v</w:t>
      </w:r>
      <w:r w:rsidRPr="00D30EFA">
        <w:rPr>
          <w:color w:val="auto"/>
          <w:lang w:val="pt-BR"/>
        </w:rPr>
        <w:t>s. Guatemala. E</w:t>
      </w:r>
      <w:r>
        <w:rPr>
          <w:color w:val="auto"/>
          <w:lang w:val="pt-BR"/>
        </w:rPr>
        <w:t xml:space="preserve">xceções Preliminares,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sidRPr="00D30EFA">
        <w:rPr>
          <w:color w:val="auto"/>
          <w:lang w:val="pt-BR"/>
        </w:rPr>
        <w:t>. Se</w:t>
      </w:r>
      <w:r>
        <w:rPr>
          <w:color w:val="auto"/>
          <w:lang w:val="pt-BR"/>
        </w:rPr>
        <w:t>ntença de 19 de maio de 2014, pa</w:t>
      </w:r>
      <w:r w:rsidRPr="00D30EFA">
        <w:rPr>
          <w:color w:val="auto"/>
          <w:lang w:val="pt-BR"/>
        </w:rPr>
        <w:t>r. 185</w:t>
      </w:r>
    </w:p>
  </w:footnote>
  <w:footnote w:id="202">
    <w:p w14:paraId="10C1F97F" w14:textId="57658C69" w:rsidR="008C3011" w:rsidRPr="00D30EFA" w:rsidRDefault="008C3011" w:rsidP="008C3011">
      <w:pPr>
        <w:pStyle w:val="FootnoteText"/>
        <w:ind w:firstLine="0"/>
        <w:rPr>
          <w:color w:val="auto"/>
          <w:lang w:val="pt-BR"/>
        </w:rPr>
      </w:pPr>
      <w:r w:rsidRPr="00D30EFA">
        <w:rPr>
          <w:rStyle w:val="FootnoteReference"/>
          <w:color w:val="auto"/>
          <w:lang w:val="pt-BR"/>
        </w:rPr>
        <w:footnoteRef/>
      </w:r>
      <w:r w:rsidRPr="00D30EFA">
        <w:rPr>
          <w:color w:val="auto"/>
          <w:lang w:val="pt-BR"/>
        </w:rPr>
        <w:t xml:space="preserve"> </w:t>
      </w:r>
      <w:r w:rsidRPr="00D30EFA">
        <w:rPr>
          <w:rFonts w:eastAsia="Times New Roman"/>
          <w:bCs/>
          <w:color w:val="auto"/>
          <w:shd w:val="clear" w:color="auto" w:fill="FFFFFF"/>
          <w:lang w:val="pt-BR"/>
        </w:rPr>
        <w:t>Corte IDH. Caso González</w:t>
      </w:r>
      <w:r>
        <w:rPr>
          <w:rFonts w:eastAsia="Times New Roman"/>
          <w:bCs/>
          <w:color w:val="auto"/>
          <w:shd w:val="clear" w:color="auto" w:fill="FFFFFF"/>
          <w:lang w:val="pt-BR"/>
        </w:rPr>
        <w:t xml:space="preserve"> e </w:t>
      </w:r>
      <w:r w:rsidRPr="00D30EFA">
        <w:rPr>
          <w:rFonts w:eastAsia="Times New Roman"/>
          <w:bCs/>
          <w:color w:val="auto"/>
          <w:shd w:val="clear" w:color="auto" w:fill="FFFFFF"/>
          <w:lang w:val="pt-BR"/>
        </w:rPr>
        <w:t>o</w:t>
      </w:r>
      <w:r>
        <w:rPr>
          <w:rFonts w:eastAsia="Times New Roman"/>
          <w:bCs/>
          <w:color w:val="auto"/>
          <w:shd w:val="clear" w:color="auto" w:fill="FFFFFF"/>
          <w:lang w:val="pt-BR"/>
        </w:rPr>
        <w:t>u</w:t>
      </w:r>
      <w:r w:rsidRPr="00D30EFA">
        <w:rPr>
          <w:rFonts w:eastAsia="Times New Roman"/>
          <w:bCs/>
          <w:color w:val="auto"/>
          <w:shd w:val="clear" w:color="auto" w:fill="FFFFFF"/>
          <w:lang w:val="pt-BR"/>
        </w:rPr>
        <w:t>tras (“Camp</w:t>
      </w:r>
      <w:r>
        <w:rPr>
          <w:rFonts w:eastAsia="Times New Roman"/>
          <w:bCs/>
          <w:color w:val="auto"/>
          <w:shd w:val="clear" w:color="auto" w:fill="FFFFFF"/>
          <w:lang w:val="pt-BR"/>
        </w:rPr>
        <w:t xml:space="preserve">o Algodonero”) vs. México. Exceção preliminar, </w:t>
      </w:r>
      <w:r w:rsidR="00D042DF">
        <w:rPr>
          <w:rFonts w:eastAsia="Times New Roman"/>
          <w:bCs/>
          <w:color w:val="auto"/>
          <w:shd w:val="clear" w:color="auto" w:fill="FFFFFF"/>
          <w:lang w:val="pt-BR"/>
        </w:rPr>
        <w:t>Mérito</w:t>
      </w:r>
      <w:r w:rsidRPr="00D30EFA">
        <w:rPr>
          <w:rFonts w:eastAsia="Times New Roman"/>
          <w:bCs/>
          <w:color w:val="auto"/>
          <w:shd w:val="clear" w:color="auto" w:fill="FFFFFF"/>
          <w:lang w:val="pt-BR"/>
        </w:rPr>
        <w:t>, Repara</w:t>
      </w:r>
      <w:r>
        <w:rPr>
          <w:rFonts w:eastAsia="Times New Roman"/>
          <w:bCs/>
          <w:color w:val="auto"/>
          <w:shd w:val="clear" w:color="auto" w:fill="FFFFFF"/>
          <w:lang w:val="pt-BR"/>
        </w:rPr>
        <w:t xml:space="preserve">ções e </w:t>
      </w:r>
      <w:r w:rsidR="00D042DF">
        <w:rPr>
          <w:rFonts w:eastAsia="Times New Roman"/>
          <w:bCs/>
          <w:color w:val="auto"/>
          <w:shd w:val="clear" w:color="auto" w:fill="FFFFFF"/>
          <w:lang w:val="pt-BR"/>
        </w:rPr>
        <w:t>Custas</w:t>
      </w:r>
      <w:r>
        <w:rPr>
          <w:rFonts w:eastAsia="Times New Roman"/>
          <w:bCs/>
          <w:color w:val="auto"/>
          <w:shd w:val="clear" w:color="auto" w:fill="FFFFFF"/>
          <w:lang w:val="pt-BR"/>
        </w:rPr>
        <w:t>. Sentenç</w:t>
      </w:r>
      <w:r w:rsidRPr="00D30EFA">
        <w:rPr>
          <w:rFonts w:eastAsia="Times New Roman"/>
          <w:bCs/>
          <w:color w:val="auto"/>
          <w:shd w:val="clear" w:color="auto" w:fill="FFFFFF"/>
          <w:lang w:val="pt-BR"/>
        </w:rPr>
        <w:t xml:space="preserve">a de 16 de </w:t>
      </w:r>
      <w:r>
        <w:rPr>
          <w:rFonts w:eastAsia="Times New Roman"/>
          <w:bCs/>
          <w:color w:val="auto"/>
          <w:shd w:val="clear" w:color="auto" w:fill="FFFFFF"/>
          <w:lang w:val="pt-BR"/>
        </w:rPr>
        <w:t>novembro de 2009. Sé</w:t>
      </w:r>
      <w:r w:rsidRPr="00D30EFA">
        <w:rPr>
          <w:rFonts w:eastAsia="Times New Roman"/>
          <w:bCs/>
          <w:color w:val="auto"/>
          <w:shd w:val="clear" w:color="auto" w:fill="FFFFFF"/>
          <w:lang w:val="pt-BR"/>
        </w:rPr>
        <w:t>rie C N</w:t>
      </w:r>
      <w:r>
        <w:rPr>
          <w:rFonts w:eastAsia="Times New Roman"/>
          <w:bCs/>
          <w:color w:val="auto"/>
          <w:shd w:val="clear" w:color="auto" w:fill="FFFFFF"/>
          <w:lang w:val="pt-BR"/>
        </w:rPr>
        <w:t>º 205, pa</w:t>
      </w:r>
      <w:r w:rsidRPr="00D30EFA">
        <w:rPr>
          <w:rFonts w:eastAsia="Times New Roman"/>
          <w:bCs/>
          <w:color w:val="auto"/>
          <w:shd w:val="clear" w:color="auto" w:fill="FFFFFF"/>
          <w:lang w:val="pt-BR"/>
        </w:rPr>
        <w:t xml:space="preserve">r. 401. </w:t>
      </w:r>
    </w:p>
  </w:footnote>
  <w:footnote w:id="203">
    <w:p w14:paraId="7C8D3F72" w14:textId="41EB72A1" w:rsidR="008C3011" w:rsidRPr="00D30EFA" w:rsidRDefault="008C3011" w:rsidP="008C3011">
      <w:pPr>
        <w:pStyle w:val="FootnoteText"/>
        <w:ind w:firstLine="0"/>
        <w:rPr>
          <w:color w:val="auto"/>
          <w:lang w:val="pt-BR"/>
        </w:rPr>
      </w:pPr>
      <w:r w:rsidRPr="00D30EFA">
        <w:rPr>
          <w:rStyle w:val="FootnoteReference"/>
          <w:color w:val="auto"/>
          <w:lang w:val="pt-BR"/>
        </w:rPr>
        <w:footnoteRef/>
      </w:r>
      <w:r w:rsidRPr="00D30EFA">
        <w:rPr>
          <w:color w:val="auto"/>
          <w:lang w:val="pt-BR"/>
        </w:rPr>
        <w:t xml:space="preserve"> CIDH, </w:t>
      </w:r>
      <w:r>
        <w:rPr>
          <w:color w:val="auto"/>
          <w:lang w:val="pt-BR"/>
        </w:rPr>
        <w:t>Relatório Nº</w:t>
      </w:r>
      <w:r w:rsidRPr="00D30EFA">
        <w:rPr>
          <w:color w:val="auto"/>
          <w:lang w:val="pt-BR"/>
        </w:rPr>
        <w:t xml:space="preserve"> 13/15, Ca</w:t>
      </w:r>
      <w:r>
        <w:rPr>
          <w:color w:val="auto"/>
          <w:lang w:val="pt-BR"/>
        </w:rPr>
        <w:t>so</w:t>
      </w:r>
      <w:r w:rsidRPr="00D30EFA">
        <w:rPr>
          <w:color w:val="auto"/>
          <w:lang w:val="pt-BR"/>
        </w:rPr>
        <w:t xml:space="preserve"> 12.349, Admis</w:t>
      </w:r>
      <w:r>
        <w:rPr>
          <w:color w:val="auto"/>
          <w:lang w:val="pt-BR"/>
        </w:rPr>
        <w:t>s</w:t>
      </w:r>
      <w:r w:rsidRPr="00D30EFA">
        <w:rPr>
          <w:color w:val="auto"/>
          <w:lang w:val="pt-BR"/>
        </w:rPr>
        <w:t>ibilidad</w:t>
      </w:r>
      <w:r>
        <w:rPr>
          <w:color w:val="auto"/>
          <w:lang w:val="pt-BR"/>
        </w:rPr>
        <w:t xml:space="preserve">e e </w:t>
      </w:r>
      <w:r w:rsidR="00D042DF">
        <w:rPr>
          <w:color w:val="auto"/>
          <w:lang w:val="pt-BR"/>
        </w:rPr>
        <w:t>Mérito</w:t>
      </w:r>
      <w:r w:rsidRPr="00D30EFA">
        <w:rPr>
          <w:color w:val="auto"/>
          <w:lang w:val="pt-BR"/>
        </w:rPr>
        <w:t>, Mayra Angelina Gutiérrez Hernández</w:t>
      </w:r>
      <w:r>
        <w:rPr>
          <w:color w:val="auto"/>
          <w:lang w:val="pt-BR"/>
        </w:rPr>
        <w:t xml:space="preserve"> e família, Guatemala, 23 de março de 2015, pa</w:t>
      </w:r>
      <w:r w:rsidRPr="00D30EFA">
        <w:rPr>
          <w:color w:val="auto"/>
          <w:lang w:val="pt-BR"/>
        </w:rPr>
        <w:t>r.157; Corte IDH, Caso Veliz Franco</w:t>
      </w:r>
      <w:r>
        <w:rPr>
          <w:color w:val="auto"/>
          <w:lang w:val="pt-BR"/>
        </w:rPr>
        <w:t xml:space="preserve"> e </w:t>
      </w:r>
      <w:r w:rsidRPr="00D30EFA">
        <w:rPr>
          <w:color w:val="auto"/>
          <w:lang w:val="pt-BR"/>
        </w:rPr>
        <w:t>o</w:t>
      </w:r>
      <w:r>
        <w:rPr>
          <w:color w:val="auto"/>
          <w:lang w:val="pt-BR"/>
        </w:rPr>
        <w:t xml:space="preserve">utros vs. Guatemala. Exceções Preliminares,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Sentença de 19 de maio de 2014. Série C nº 277, pa</w:t>
      </w:r>
      <w:r w:rsidRPr="00D30EFA">
        <w:rPr>
          <w:color w:val="auto"/>
          <w:lang w:val="pt-BR"/>
        </w:rPr>
        <w:t>r.213.</w:t>
      </w:r>
    </w:p>
  </w:footnote>
  <w:footnote w:id="204">
    <w:p w14:paraId="51C7EF1A" w14:textId="14915FE2" w:rsidR="008C3011" w:rsidRPr="00D30EFA" w:rsidRDefault="008C3011" w:rsidP="008C3011">
      <w:pPr>
        <w:pStyle w:val="FootnoteText"/>
        <w:ind w:firstLine="0"/>
        <w:rPr>
          <w:color w:val="auto"/>
          <w:lang w:val="pt-BR"/>
        </w:rPr>
      </w:pPr>
      <w:r w:rsidRPr="00D30EFA">
        <w:rPr>
          <w:rStyle w:val="FootnoteReference"/>
          <w:color w:val="auto"/>
          <w:lang w:val="pt-BR"/>
        </w:rPr>
        <w:footnoteRef/>
      </w:r>
      <w:r w:rsidRPr="00D30EFA">
        <w:rPr>
          <w:color w:val="auto"/>
          <w:lang w:val="pt-BR"/>
        </w:rPr>
        <w:t xml:space="preserve"> Corte IDH, Caso Velásquez Paiz</w:t>
      </w:r>
      <w:r>
        <w:rPr>
          <w:color w:val="auto"/>
          <w:lang w:val="pt-BR"/>
        </w:rPr>
        <w:t xml:space="preserve"> e outros vs. Guatemala. Exceções Preliminares,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w:t>
      </w:r>
      <w:r w:rsidRPr="00D30EFA">
        <w:rPr>
          <w:color w:val="auto"/>
          <w:lang w:val="pt-BR"/>
        </w:rPr>
        <w:t xml:space="preserve">a de 19 de </w:t>
      </w:r>
      <w:r>
        <w:rPr>
          <w:color w:val="auto"/>
          <w:lang w:val="pt-BR"/>
        </w:rPr>
        <w:t>novembro de 2015. Série C Nº 307, pa</w:t>
      </w:r>
      <w:r w:rsidRPr="00D30EFA">
        <w:rPr>
          <w:color w:val="auto"/>
          <w:lang w:val="pt-BR"/>
        </w:rPr>
        <w:t>r.191</w:t>
      </w:r>
    </w:p>
  </w:footnote>
  <w:footnote w:id="205">
    <w:p w14:paraId="7E2C877E" w14:textId="77777777" w:rsidR="008C3011" w:rsidRPr="00D30EFA" w:rsidRDefault="008C3011" w:rsidP="008C3011">
      <w:pPr>
        <w:pStyle w:val="FootnoteText"/>
        <w:ind w:firstLine="0"/>
        <w:rPr>
          <w:color w:val="auto"/>
          <w:lang w:val="pt-BR"/>
        </w:rPr>
      </w:pPr>
      <w:r w:rsidRPr="00D30EFA">
        <w:rPr>
          <w:rStyle w:val="FootnoteReference"/>
          <w:color w:val="auto"/>
          <w:lang w:val="pt-BR"/>
        </w:rPr>
        <w:footnoteRef/>
      </w:r>
      <w:r>
        <w:rPr>
          <w:color w:val="auto"/>
          <w:lang w:val="pt-BR"/>
        </w:rPr>
        <w:t xml:space="preserve"> CIDH, A</w:t>
      </w:r>
      <w:r w:rsidRPr="00D30EFA">
        <w:rPr>
          <w:color w:val="auto"/>
          <w:lang w:val="pt-BR"/>
        </w:rPr>
        <w:t>ces</w:t>
      </w:r>
      <w:r>
        <w:rPr>
          <w:color w:val="auto"/>
          <w:lang w:val="pt-BR"/>
        </w:rPr>
        <w:t>s</w:t>
      </w:r>
      <w:r w:rsidRPr="00D30EFA">
        <w:rPr>
          <w:color w:val="auto"/>
          <w:lang w:val="pt-BR"/>
        </w:rPr>
        <w:t>o</w:t>
      </w:r>
      <w:r>
        <w:rPr>
          <w:color w:val="auto"/>
          <w:lang w:val="pt-BR"/>
        </w:rPr>
        <w:t xml:space="preserve"> à justiça para </w:t>
      </w:r>
      <w:r w:rsidRPr="00D30EFA">
        <w:rPr>
          <w:color w:val="auto"/>
          <w:lang w:val="pt-BR"/>
        </w:rPr>
        <w:t xml:space="preserve">as </w:t>
      </w:r>
      <w:r>
        <w:rPr>
          <w:color w:val="auto"/>
          <w:lang w:val="pt-BR"/>
        </w:rPr>
        <w:t>mulheres ví</w:t>
      </w:r>
      <w:r w:rsidRPr="00D30EFA">
        <w:rPr>
          <w:color w:val="auto"/>
          <w:lang w:val="pt-BR"/>
        </w:rPr>
        <w:t xml:space="preserve">timas de </w:t>
      </w:r>
      <w:r>
        <w:rPr>
          <w:color w:val="auto"/>
          <w:lang w:val="pt-BR"/>
        </w:rPr>
        <w:t>justiça n</w:t>
      </w:r>
      <w:r w:rsidRPr="00D30EFA">
        <w:rPr>
          <w:color w:val="auto"/>
          <w:lang w:val="pt-BR"/>
        </w:rPr>
        <w:t xml:space="preserve">as Américas. </w:t>
      </w:r>
      <w:r>
        <w:rPr>
          <w:color w:val="auto"/>
          <w:lang w:val="pt-BR"/>
        </w:rPr>
        <w:t>OEA/Ser.L/V/II. Doc. 68. 20 de ja</w:t>
      </w:r>
      <w:r w:rsidRPr="00D30EFA">
        <w:rPr>
          <w:color w:val="auto"/>
          <w:lang w:val="pt-BR"/>
        </w:rPr>
        <w:t>ne</w:t>
      </w:r>
      <w:r>
        <w:rPr>
          <w:color w:val="auto"/>
          <w:lang w:val="pt-BR"/>
        </w:rPr>
        <w:t>iro de 2007, pa</w:t>
      </w:r>
      <w:r w:rsidRPr="00D30EFA">
        <w:rPr>
          <w:color w:val="auto"/>
          <w:lang w:val="pt-BR"/>
        </w:rPr>
        <w:t xml:space="preserve">r. 155. </w:t>
      </w:r>
    </w:p>
  </w:footnote>
  <w:footnote w:id="206">
    <w:p w14:paraId="0D56DED1" w14:textId="74AB44D2" w:rsidR="008C3011" w:rsidRPr="00D30EFA" w:rsidRDefault="008C3011" w:rsidP="008C3011">
      <w:pPr>
        <w:pStyle w:val="FootnoteText"/>
        <w:ind w:firstLine="0"/>
        <w:rPr>
          <w:color w:val="auto"/>
          <w:lang w:val="pt-BR"/>
        </w:rPr>
      </w:pPr>
      <w:r w:rsidRPr="00D30EFA">
        <w:rPr>
          <w:rStyle w:val="FootnoteReference"/>
          <w:color w:val="auto"/>
          <w:lang w:val="pt-BR"/>
        </w:rPr>
        <w:footnoteRef/>
      </w:r>
      <w:r w:rsidRPr="00D30EFA">
        <w:rPr>
          <w:color w:val="auto"/>
          <w:lang w:val="pt-BR"/>
        </w:rPr>
        <w:t xml:space="preserve"> Corte IDH. Caso Norín Catrimán</w:t>
      </w:r>
      <w:r>
        <w:rPr>
          <w:color w:val="auto"/>
          <w:lang w:val="pt-BR"/>
        </w:rPr>
        <w:t xml:space="preserve"> e </w:t>
      </w:r>
      <w:r w:rsidRPr="00D30EFA">
        <w:rPr>
          <w:color w:val="auto"/>
          <w:lang w:val="pt-BR"/>
        </w:rPr>
        <w:t>o</w:t>
      </w:r>
      <w:r>
        <w:rPr>
          <w:color w:val="auto"/>
          <w:lang w:val="pt-BR"/>
        </w:rPr>
        <w:t>utros (Dirigentes, M</w:t>
      </w:r>
      <w:r w:rsidRPr="00D30EFA">
        <w:rPr>
          <w:color w:val="auto"/>
          <w:lang w:val="pt-BR"/>
        </w:rPr>
        <w:t>embros</w:t>
      </w:r>
      <w:r>
        <w:rPr>
          <w:color w:val="auto"/>
          <w:lang w:val="pt-BR"/>
        </w:rPr>
        <w:t xml:space="preserve"> e Ativista</w:t>
      </w:r>
      <w:r w:rsidR="00122210">
        <w:rPr>
          <w:color w:val="auto"/>
          <w:lang w:val="pt-BR"/>
        </w:rPr>
        <w:t>s</w:t>
      </w:r>
      <w:r>
        <w:rPr>
          <w:color w:val="auto"/>
          <w:lang w:val="pt-BR"/>
        </w:rPr>
        <w:t xml:space="preserve"> do</w:t>
      </w:r>
      <w:r w:rsidRPr="00D30EFA">
        <w:rPr>
          <w:color w:val="auto"/>
          <w:lang w:val="pt-BR"/>
        </w:rPr>
        <w:t xml:space="preserve"> P</w:t>
      </w:r>
      <w:r>
        <w:rPr>
          <w:color w:val="auto"/>
          <w:lang w:val="pt-BR"/>
        </w:rPr>
        <w:t>ovo</w:t>
      </w:r>
      <w:r w:rsidRPr="00D30EFA">
        <w:rPr>
          <w:color w:val="auto"/>
          <w:lang w:val="pt-BR"/>
        </w:rPr>
        <w:t xml:space="preserve"> Indígena Mapuche vs</w:t>
      </w:r>
      <w:r>
        <w:rPr>
          <w:color w:val="auto"/>
          <w:lang w:val="pt-BR"/>
        </w:rPr>
        <w:t xml:space="preserve">. Chile).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Sentença de 29 de maio de 2014. Série C Nº 279, pa</w:t>
      </w:r>
      <w:r w:rsidRPr="00D30EFA">
        <w:rPr>
          <w:color w:val="auto"/>
          <w:lang w:val="pt-BR"/>
        </w:rPr>
        <w:t xml:space="preserve">r.223. </w:t>
      </w:r>
    </w:p>
  </w:footnote>
  <w:footnote w:id="207">
    <w:p w14:paraId="58AEBD15" w14:textId="271BE2D9" w:rsidR="008C3011" w:rsidRPr="00D30EFA" w:rsidRDefault="008C3011" w:rsidP="008C3011">
      <w:pPr>
        <w:pStyle w:val="FootnoteText"/>
        <w:ind w:firstLine="0"/>
        <w:rPr>
          <w:color w:val="auto"/>
          <w:lang w:val="pt-BR"/>
        </w:rPr>
      </w:pPr>
      <w:r w:rsidRPr="00D30EFA">
        <w:rPr>
          <w:rStyle w:val="FootnoteReference"/>
          <w:color w:val="auto"/>
          <w:lang w:val="pt-BR"/>
        </w:rPr>
        <w:footnoteRef/>
      </w:r>
      <w:r w:rsidRPr="00D30EFA">
        <w:rPr>
          <w:color w:val="auto"/>
          <w:lang w:val="pt-BR"/>
        </w:rPr>
        <w:t xml:space="preserve"> Corte IDH, Caso Veliz Franco</w:t>
      </w:r>
      <w:r>
        <w:rPr>
          <w:color w:val="auto"/>
          <w:lang w:val="pt-BR"/>
        </w:rPr>
        <w:t xml:space="preserve"> e </w:t>
      </w:r>
      <w:r w:rsidRPr="00D30EFA">
        <w:rPr>
          <w:color w:val="auto"/>
          <w:lang w:val="pt-BR"/>
        </w:rPr>
        <w:t>o</w:t>
      </w:r>
      <w:r>
        <w:rPr>
          <w:color w:val="auto"/>
          <w:lang w:val="pt-BR"/>
        </w:rPr>
        <w:t xml:space="preserve">utros vs. Guatemala. Exceções Preliminares, </w:t>
      </w:r>
      <w:r w:rsidR="00D042DF">
        <w:rPr>
          <w:color w:val="auto"/>
          <w:lang w:val="pt-BR"/>
        </w:rPr>
        <w:t>Mérito</w:t>
      </w:r>
      <w:r w:rsidRPr="00D30EFA">
        <w:rPr>
          <w:color w:val="auto"/>
          <w:lang w:val="pt-BR"/>
        </w:rPr>
        <w:t>, Repara</w:t>
      </w:r>
      <w:r>
        <w:rPr>
          <w:color w:val="auto"/>
          <w:lang w:val="pt-BR"/>
        </w:rPr>
        <w:t xml:space="preserve">ções e </w:t>
      </w:r>
      <w:r w:rsidR="00D042DF">
        <w:rPr>
          <w:color w:val="auto"/>
          <w:lang w:val="pt-BR"/>
        </w:rPr>
        <w:t>Custas</w:t>
      </w:r>
      <w:r>
        <w:rPr>
          <w:color w:val="auto"/>
          <w:lang w:val="pt-BR"/>
        </w:rPr>
        <w:t>. Sentença de 19 de maio de 2014. Série C Nº 277, pa</w:t>
      </w:r>
      <w:r w:rsidRPr="00D30EFA">
        <w:rPr>
          <w:color w:val="auto"/>
          <w:lang w:val="pt-BR"/>
        </w:rPr>
        <w:t>r. 212.</w:t>
      </w:r>
    </w:p>
  </w:footnote>
  <w:footnote w:id="208">
    <w:p w14:paraId="4298C192" w14:textId="5CE8E254" w:rsidR="008C3011" w:rsidRPr="00D30EFA" w:rsidRDefault="008C3011" w:rsidP="008C3011">
      <w:pPr>
        <w:pStyle w:val="FootnoteText"/>
        <w:ind w:firstLine="0"/>
        <w:rPr>
          <w:color w:val="auto"/>
          <w:lang w:val="pt-BR"/>
        </w:rPr>
      </w:pPr>
      <w:r w:rsidRPr="00D30EFA">
        <w:rPr>
          <w:rStyle w:val="FootnoteReference"/>
          <w:color w:val="auto"/>
          <w:lang w:val="pt-BR"/>
        </w:rPr>
        <w:footnoteRef/>
      </w:r>
      <w:r w:rsidRPr="00D30EFA">
        <w:rPr>
          <w:color w:val="auto"/>
          <w:lang w:val="pt-BR"/>
        </w:rPr>
        <w:t>CIDH. Resolu</w:t>
      </w:r>
      <w:r>
        <w:rPr>
          <w:color w:val="auto"/>
          <w:lang w:val="pt-BR"/>
        </w:rPr>
        <w:t>ção 3/19. Princí</w:t>
      </w:r>
      <w:r w:rsidRPr="00D30EFA">
        <w:rPr>
          <w:color w:val="auto"/>
          <w:lang w:val="pt-BR"/>
        </w:rPr>
        <w:t xml:space="preserve">pios </w:t>
      </w:r>
      <w:r>
        <w:rPr>
          <w:color w:val="auto"/>
          <w:lang w:val="pt-BR"/>
        </w:rPr>
        <w:t xml:space="preserve">sobre Políticas </w:t>
      </w:r>
      <w:r w:rsidR="00122210">
        <w:rPr>
          <w:color w:val="auto"/>
          <w:lang w:val="pt-BR"/>
        </w:rPr>
        <w:t>P</w:t>
      </w:r>
      <w:r>
        <w:rPr>
          <w:color w:val="auto"/>
          <w:lang w:val="pt-BR"/>
        </w:rPr>
        <w:t>úblicas de Memó</w:t>
      </w:r>
      <w:r w:rsidRPr="00D30EFA">
        <w:rPr>
          <w:color w:val="auto"/>
          <w:lang w:val="pt-BR"/>
        </w:rPr>
        <w:t>ria</w:t>
      </w:r>
      <w:r>
        <w:rPr>
          <w:color w:val="auto"/>
          <w:lang w:val="pt-BR"/>
        </w:rPr>
        <w:t xml:space="preserve"> nas</w:t>
      </w:r>
      <w:r w:rsidRPr="00D30EFA">
        <w:rPr>
          <w:color w:val="auto"/>
          <w:lang w:val="pt-BR"/>
        </w:rPr>
        <w:t xml:space="preserve"> Américas. 9 de </w:t>
      </w:r>
      <w:r>
        <w:rPr>
          <w:color w:val="auto"/>
          <w:lang w:val="pt-BR"/>
        </w:rPr>
        <w:t>novembro de 2019; CIDH. Verdad</w:t>
      </w:r>
      <w:r w:rsidR="00327421">
        <w:rPr>
          <w:color w:val="auto"/>
          <w:lang w:val="pt-BR"/>
        </w:rPr>
        <w:t>e</w:t>
      </w:r>
      <w:r>
        <w:rPr>
          <w:color w:val="auto"/>
          <w:lang w:val="pt-BR"/>
        </w:rPr>
        <w:t>, Memó</w:t>
      </w:r>
      <w:r w:rsidRPr="00D30EFA">
        <w:rPr>
          <w:color w:val="auto"/>
          <w:lang w:val="pt-BR"/>
        </w:rPr>
        <w:t xml:space="preserve">ria, </w:t>
      </w:r>
      <w:r>
        <w:rPr>
          <w:color w:val="auto"/>
          <w:lang w:val="pt-BR"/>
        </w:rPr>
        <w:t xml:space="preserve">Justiça e </w:t>
      </w:r>
      <w:r w:rsidRPr="00D30EFA">
        <w:rPr>
          <w:color w:val="auto"/>
          <w:lang w:val="pt-BR"/>
        </w:rPr>
        <w:t>Repara</w:t>
      </w:r>
      <w:r>
        <w:rPr>
          <w:color w:val="auto"/>
          <w:lang w:val="pt-BR"/>
        </w:rPr>
        <w:t>ção em Co</w:t>
      </w:r>
      <w:r w:rsidRPr="00D30EFA">
        <w:rPr>
          <w:color w:val="auto"/>
          <w:lang w:val="pt-BR"/>
        </w:rPr>
        <w:t>ntextos Transicion</w:t>
      </w:r>
      <w:r>
        <w:rPr>
          <w:color w:val="auto"/>
          <w:lang w:val="pt-BR"/>
        </w:rPr>
        <w:t>ais</w:t>
      </w:r>
      <w:r w:rsidRPr="00D30EFA">
        <w:rPr>
          <w:color w:val="auto"/>
          <w:lang w:val="pt-BR"/>
        </w:rPr>
        <w:t xml:space="preserve">. </w:t>
      </w:r>
      <w:r>
        <w:rPr>
          <w:color w:val="auto"/>
          <w:lang w:val="pt-BR"/>
        </w:rPr>
        <w:t xml:space="preserve">Padrões </w:t>
      </w:r>
      <w:r w:rsidRPr="00D30EFA">
        <w:rPr>
          <w:color w:val="auto"/>
          <w:lang w:val="pt-BR"/>
        </w:rPr>
        <w:t>Interamericanos. OE</w:t>
      </w:r>
      <w:r>
        <w:rPr>
          <w:color w:val="auto"/>
          <w:lang w:val="pt-BR"/>
        </w:rPr>
        <w:t>A/Ser.L/V/II. 12 abril 2021,  pa</w:t>
      </w:r>
      <w:r w:rsidRPr="00D30EFA">
        <w:rPr>
          <w:color w:val="auto"/>
          <w:lang w:val="pt-BR"/>
        </w:rPr>
        <w:t xml:space="preserve">r. 157 </w:t>
      </w:r>
    </w:p>
  </w:footnote>
  <w:footnote w:id="209">
    <w:p w14:paraId="7946C9F0" w14:textId="740E83A5" w:rsidR="008C3011" w:rsidRPr="0027362F" w:rsidRDefault="008C3011" w:rsidP="008C3011">
      <w:pPr>
        <w:pStyle w:val="FootnoteText"/>
        <w:ind w:firstLine="0"/>
        <w:rPr>
          <w:color w:val="auto"/>
        </w:rPr>
      </w:pPr>
      <w:r w:rsidRPr="00D30EFA">
        <w:rPr>
          <w:rStyle w:val="FootnoteReference"/>
          <w:color w:val="auto"/>
          <w:lang w:val="pt-BR"/>
        </w:rPr>
        <w:footnoteRef/>
      </w:r>
      <w:r w:rsidR="00B144F6">
        <w:rPr>
          <w:color w:val="auto"/>
          <w:lang w:val="pt-BR"/>
        </w:rPr>
        <w:t xml:space="preserve"> </w:t>
      </w:r>
      <w:r w:rsidR="00122210">
        <w:rPr>
          <w:color w:val="auto"/>
          <w:lang w:val="pt-BR"/>
        </w:rPr>
        <w:t xml:space="preserve">Nações </w:t>
      </w:r>
      <w:r w:rsidRPr="00D30EFA">
        <w:rPr>
          <w:color w:val="auto"/>
          <w:lang w:val="pt-BR"/>
        </w:rPr>
        <w:t>Uni</w:t>
      </w:r>
      <w:r w:rsidR="00122210">
        <w:rPr>
          <w:color w:val="auto"/>
          <w:lang w:val="pt-BR"/>
        </w:rPr>
        <w:t>das</w:t>
      </w:r>
      <w:r w:rsidRPr="00D30EFA">
        <w:rPr>
          <w:color w:val="auto"/>
          <w:lang w:val="pt-BR"/>
        </w:rPr>
        <w:t xml:space="preserve">. </w:t>
      </w:r>
      <w:r w:rsidRPr="00E05420">
        <w:rPr>
          <w:color w:val="auto"/>
        </w:rPr>
        <w:t>Guidance Note of the Secretary-General. United Nations Approach to Transitional Justice</w:t>
      </w:r>
      <w:r w:rsidRPr="0027362F">
        <w:rPr>
          <w:color w:val="auto"/>
        </w:rPr>
        <w:t>, 2010</w:t>
      </w:r>
    </w:p>
  </w:footnote>
  <w:footnote w:id="210">
    <w:p w14:paraId="2BBDFC77" w14:textId="77777777" w:rsidR="008C3011" w:rsidRPr="00D30EFA" w:rsidRDefault="008C3011" w:rsidP="008C3011">
      <w:pPr>
        <w:pStyle w:val="FootnoteText"/>
        <w:ind w:firstLine="0"/>
        <w:contextualSpacing/>
        <w:rPr>
          <w:color w:val="auto"/>
          <w:lang w:val="pt-BR"/>
        </w:rPr>
      </w:pPr>
      <w:r w:rsidRPr="00D30EFA">
        <w:rPr>
          <w:rStyle w:val="FootnoteReference"/>
          <w:color w:val="auto"/>
          <w:lang w:val="pt-BR"/>
        </w:rPr>
        <w:footnoteRef/>
      </w:r>
      <w:r w:rsidRPr="00D30EFA">
        <w:rPr>
          <w:color w:val="auto"/>
          <w:lang w:val="pt-BR"/>
        </w:rPr>
        <w:t xml:space="preserve"> ONU </w:t>
      </w:r>
      <w:r>
        <w:rPr>
          <w:color w:val="auto"/>
          <w:lang w:val="pt-BR"/>
        </w:rPr>
        <w:t>MULHERES. O</w:t>
      </w:r>
      <w:r w:rsidRPr="00D30EFA">
        <w:rPr>
          <w:color w:val="auto"/>
          <w:lang w:val="pt-BR"/>
        </w:rPr>
        <w:t xml:space="preserve"> progresso </w:t>
      </w:r>
      <w:r>
        <w:rPr>
          <w:color w:val="auto"/>
          <w:lang w:val="pt-BR"/>
        </w:rPr>
        <w:t>das mulher</w:t>
      </w:r>
      <w:r w:rsidRPr="00D30EFA">
        <w:rPr>
          <w:color w:val="auto"/>
          <w:lang w:val="pt-BR"/>
        </w:rPr>
        <w:t xml:space="preserve">es </w:t>
      </w:r>
      <w:r>
        <w:rPr>
          <w:color w:val="auto"/>
          <w:lang w:val="pt-BR"/>
        </w:rPr>
        <w:t>no</w:t>
      </w:r>
      <w:r w:rsidRPr="00D30EFA">
        <w:rPr>
          <w:color w:val="auto"/>
          <w:lang w:val="pt-BR"/>
        </w:rPr>
        <w:t xml:space="preserve"> mundo, 2011, p. 94-95.</w:t>
      </w:r>
    </w:p>
  </w:footnote>
  <w:footnote w:id="211">
    <w:p w14:paraId="328B39DF" w14:textId="77777777" w:rsidR="008C3011" w:rsidRPr="00D30EFA" w:rsidRDefault="008C3011" w:rsidP="008C3011">
      <w:pPr>
        <w:pStyle w:val="FootnoteText"/>
        <w:ind w:firstLine="0"/>
        <w:rPr>
          <w:color w:val="auto"/>
          <w:lang w:val="pt-BR"/>
        </w:rPr>
      </w:pPr>
      <w:r w:rsidRPr="00D30EFA">
        <w:rPr>
          <w:rStyle w:val="FootnoteReference"/>
          <w:color w:val="auto"/>
          <w:lang w:val="pt-BR"/>
        </w:rPr>
        <w:footnoteRef/>
      </w:r>
      <w:r w:rsidRPr="00D30EFA">
        <w:rPr>
          <w:color w:val="auto"/>
          <w:lang w:val="pt-BR"/>
        </w:rPr>
        <w:t xml:space="preserve"> Na</w:t>
      </w:r>
      <w:r>
        <w:rPr>
          <w:color w:val="auto"/>
          <w:lang w:val="pt-BR"/>
        </w:rPr>
        <w:t>ções</w:t>
      </w:r>
      <w:r w:rsidRPr="00D30EFA">
        <w:rPr>
          <w:color w:val="auto"/>
          <w:lang w:val="pt-BR"/>
        </w:rPr>
        <w:t xml:space="preserve"> Unidas. As</w:t>
      </w:r>
      <w:r>
        <w:rPr>
          <w:color w:val="auto"/>
          <w:lang w:val="pt-BR"/>
        </w:rPr>
        <w:t>se</w:t>
      </w:r>
      <w:r w:rsidRPr="00D30EFA">
        <w:rPr>
          <w:color w:val="auto"/>
          <w:lang w:val="pt-BR"/>
        </w:rPr>
        <w:t>mble</w:t>
      </w:r>
      <w:r>
        <w:rPr>
          <w:color w:val="auto"/>
          <w:lang w:val="pt-BR"/>
        </w:rPr>
        <w:t>i</w:t>
      </w:r>
      <w:r w:rsidRPr="00D30EFA">
        <w:rPr>
          <w:color w:val="auto"/>
          <w:lang w:val="pt-BR"/>
        </w:rPr>
        <w:t xml:space="preserve">a </w:t>
      </w:r>
      <w:r>
        <w:rPr>
          <w:color w:val="auto"/>
          <w:lang w:val="pt-BR"/>
        </w:rPr>
        <w:t>Geral. A perspectiva de gê</w:t>
      </w:r>
      <w:r w:rsidRPr="00D30EFA">
        <w:rPr>
          <w:color w:val="auto"/>
          <w:lang w:val="pt-BR"/>
        </w:rPr>
        <w:t xml:space="preserve">nero </w:t>
      </w:r>
      <w:r>
        <w:rPr>
          <w:color w:val="auto"/>
          <w:lang w:val="pt-BR"/>
        </w:rPr>
        <w:t>nos</w:t>
      </w:r>
      <w:r w:rsidRPr="00D30EFA">
        <w:rPr>
          <w:color w:val="auto"/>
          <w:lang w:val="pt-BR"/>
        </w:rPr>
        <w:t xml:space="preserve"> proces</w:t>
      </w:r>
      <w:r>
        <w:rPr>
          <w:color w:val="auto"/>
          <w:lang w:val="pt-BR"/>
        </w:rPr>
        <w:t>s</w:t>
      </w:r>
      <w:r w:rsidRPr="00D30EFA">
        <w:rPr>
          <w:color w:val="auto"/>
          <w:lang w:val="pt-BR"/>
        </w:rPr>
        <w:t xml:space="preserve">os de </w:t>
      </w:r>
      <w:r>
        <w:rPr>
          <w:color w:val="auto"/>
          <w:lang w:val="pt-BR"/>
        </w:rPr>
        <w:t>justiça</w:t>
      </w:r>
      <w:r w:rsidRPr="00D30EFA">
        <w:rPr>
          <w:color w:val="auto"/>
          <w:lang w:val="pt-BR"/>
        </w:rPr>
        <w:t xml:space="preserve"> tr</w:t>
      </w:r>
      <w:r>
        <w:rPr>
          <w:color w:val="auto"/>
          <w:lang w:val="pt-BR"/>
        </w:rPr>
        <w:t>ansicional. A/75/174, 17 de julho de 2020, pa</w:t>
      </w:r>
      <w:r w:rsidRPr="00D30EFA">
        <w:rPr>
          <w:color w:val="auto"/>
          <w:lang w:val="pt-BR"/>
        </w:rPr>
        <w:t>r. 6</w:t>
      </w:r>
    </w:p>
  </w:footnote>
  <w:footnote w:id="212">
    <w:p w14:paraId="0D34C480" w14:textId="611476F4"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Corte IDH. Caso Gomes Lund</w:t>
      </w:r>
      <w:r>
        <w:rPr>
          <w:noProof/>
          <w:color w:val="auto"/>
          <w:lang w:val="pt-BR"/>
        </w:rPr>
        <w:t xml:space="preserve"> e </w:t>
      </w:r>
      <w:r w:rsidRPr="00D30EFA">
        <w:rPr>
          <w:noProof/>
          <w:color w:val="auto"/>
          <w:lang w:val="pt-BR"/>
        </w:rPr>
        <w:t>o</w:t>
      </w:r>
      <w:r>
        <w:rPr>
          <w:noProof/>
          <w:color w:val="auto"/>
          <w:lang w:val="pt-BR"/>
        </w:rPr>
        <w:t xml:space="preserve">utros (“Guerrilha do Araguaia”) vs. Brasil. Exceções Preliminares, </w:t>
      </w:r>
      <w:r w:rsidR="00B144F6">
        <w:rPr>
          <w:noProof/>
          <w:color w:val="auto"/>
          <w:lang w:val="pt-BR"/>
        </w:rPr>
        <w:t>Mérito</w:t>
      </w:r>
      <w:r w:rsidRPr="00D30EFA">
        <w:rPr>
          <w:noProof/>
          <w:color w:val="auto"/>
          <w:lang w:val="pt-BR"/>
        </w:rPr>
        <w:t>, Repara</w:t>
      </w:r>
      <w:r>
        <w:rPr>
          <w:noProof/>
          <w:color w:val="auto"/>
          <w:lang w:val="pt-BR"/>
        </w:rPr>
        <w:t xml:space="preserve">ções e </w:t>
      </w:r>
      <w:r w:rsidR="00B144F6">
        <w:rPr>
          <w:noProof/>
          <w:color w:val="auto"/>
          <w:lang w:val="pt-BR"/>
        </w:rPr>
        <w:t>Custas</w:t>
      </w:r>
      <w:r>
        <w:rPr>
          <w:noProof/>
          <w:color w:val="auto"/>
          <w:lang w:val="pt-BR"/>
        </w:rPr>
        <w:t>. Sentenç</w:t>
      </w:r>
      <w:r w:rsidRPr="00D30EFA">
        <w:rPr>
          <w:noProof/>
          <w:color w:val="auto"/>
          <w:lang w:val="pt-BR"/>
        </w:rPr>
        <w:t xml:space="preserve">a de 24 de </w:t>
      </w:r>
      <w:r>
        <w:rPr>
          <w:noProof/>
          <w:color w:val="auto"/>
          <w:lang w:val="pt-BR"/>
        </w:rPr>
        <w:t>novembro de 2010. Série C Nº 219, pa</w:t>
      </w:r>
      <w:r w:rsidRPr="00D30EFA">
        <w:rPr>
          <w:noProof/>
          <w:color w:val="auto"/>
          <w:lang w:val="pt-BR"/>
        </w:rPr>
        <w:t>r.136.</w:t>
      </w:r>
    </w:p>
  </w:footnote>
  <w:footnote w:id="213">
    <w:p w14:paraId="3C632676" w14:textId="77777777" w:rsidR="00487AEA" w:rsidRPr="00D30EFA" w:rsidRDefault="00487AEA" w:rsidP="00487AEA">
      <w:pPr>
        <w:autoSpaceDE w:val="0"/>
        <w:autoSpaceDN w:val="0"/>
        <w:adjustRightInd w:val="0"/>
        <w:contextualSpacing/>
        <w:jc w:val="both"/>
        <w:rPr>
          <w:rFonts w:ascii="Cambria" w:hAnsi="Cambria" w:cs="Verdana"/>
          <w:noProof/>
          <w:sz w:val="16"/>
          <w:szCs w:val="16"/>
        </w:rPr>
      </w:pPr>
      <w:r w:rsidRPr="00D30EFA">
        <w:rPr>
          <w:rStyle w:val="FootnoteReference"/>
          <w:rFonts w:ascii="Cambria" w:hAnsi="Cambria"/>
          <w:noProof/>
          <w:sz w:val="16"/>
          <w:szCs w:val="16"/>
        </w:rPr>
        <w:footnoteRef/>
      </w:r>
      <w:r w:rsidRPr="00D30EFA">
        <w:rPr>
          <w:rFonts w:ascii="Cambria" w:hAnsi="Cambria"/>
          <w:noProof/>
          <w:sz w:val="16"/>
          <w:szCs w:val="16"/>
        </w:rPr>
        <w:t xml:space="preserve"> </w:t>
      </w:r>
      <w:r w:rsidRPr="00D30EFA">
        <w:rPr>
          <w:rFonts w:ascii="Cambria" w:hAnsi="Cambria" w:cs="Verdana"/>
          <w:noProof/>
          <w:sz w:val="16"/>
          <w:szCs w:val="16"/>
        </w:rPr>
        <w:t xml:space="preserve">CIDH. </w:t>
      </w:r>
      <w:r>
        <w:rPr>
          <w:rFonts w:ascii="Cambria" w:hAnsi="Cambria" w:cs="Verdana"/>
          <w:noProof/>
          <w:sz w:val="16"/>
          <w:szCs w:val="16"/>
        </w:rPr>
        <w:t>Relatório Nº 44/00, Caso 10.820. Peru, de 13 de abril de 2000, pa</w:t>
      </w:r>
      <w:r w:rsidRPr="00D30EFA">
        <w:rPr>
          <w:rFonts w:ascii="Cambria" w:hAnsi="Cambria" w:cs="Verdana"/>
          <w:noProof/>
          <w:sz w:val="16"/>
          <w:szCs w:val="16"/>
        </w:rPr>
        <w:t>r. 68,</w:t>
      </w:r>
      <w:r>
        <w:rPr>
          <w:rFonts w:ascii="Cambria" w:hAnsi="Cambria" w:cs="Verdana"/>
          <w:noProof/>
          <w:sz w:val="16"/>
          <w:szCs w:val="16"/>
        </w:rPr>
        <w:t xml:space="preserve"> e </w:t>
      </w:r>
      <w:r w:rsidRPr="00D30EFA">
        <w:rPr>
          <w:rFonts w:ascii="Cambria" w:hAnsi="Cambria" w:cs="Verdana"/>
          <w:noProof/>
          <w:sz w:val="16"/>
          <w:szCs w:val="16"/>
        </w:rPr>
        <w:t xml:space="preserve">CIDH. </w:t>
      </w:r>
      <w:r>
        <w:rPr>
          <w:rFonts w:ascii="Cambria" w:hAnsi="Cambria" w:cs="Verdana"/>
          <w:noProof/>
          <w:sz w:val="16"/>
          <w:szCs w:val="16"/>
        </w:rPr>
        <w:t>Relatório Nº 47/00, Caso 10.908. Peru, de 13 de abril de 2000, pa</w:t>
      </w:r>
      <w:r w:rsidRPr="00D30EFA">
        <w:rPr>
          <w:rFonts w:ascii="Cambria" w:hAnsi="Cambria" w:cs="Verdana"/>
          <w:noProof/>
          <w:sz w:val="16"/>
          <w:szCs w:val="16"/>
        </w:rPr>
        <w:t>r. 76.</w:t>
      </w:r>
      <w:r>
        <w:rPr>
          <w:rFonts w:ascii="Cambria" w:hAnsi="Cambria" w:cs="Verdana"/>
          <w:noProof/>
          <w:sz w:val="16"/>
          <w:szCs w:val="16"/>
        </w:rPr>
        <w:t xml:space="preserve"> no me</w:t>
      </w:r>
      <w:r w:rsidRPr="00D30EFA">
        <w:rPr>
          <w:rFonts w:ascii="Cambria" w:hAnsi="Cambria" w:cs="Verdana"/>
          <w:noProof/>
          <w:sz w:val="16"/>
          <w:szCs w:val="16"/>
        </w:rPr>
        <w:t xml:space="preserve">smo sentido, cfr. CIDH. </w:t>
      </w:r>
      <w:r>
        <w:rPr>
          <w:rFonts w:ascii="Cambria" w:hAnsi="Cambria" w:cs="Verdana"/>
          <w:noProof/>
          <w:sz w:val="16"/>
          <w:szCs w:val="16"/>
        </w:rPr>
        <w:t>Relatório Nº</w:t>
      </w:r>
      <w:r w:rsidRPr="00D30EFA">
        <w:rPr>
          <w:rFonts w:ascii="Cambria" w:hAnsi="Cambria" w:cs="Verdana"/>
          <w:noProof/>
          <w:sz w:val="16"/>
          <w:szCs w:val="16"/>
        </w:rPr>
        <w:t xml:space="preserve"> 55/99, Casos 10.815; 10.905; 10.981; 10.995; 11.042,</w:t>
      </w:r>
      <w:r>
        <w:rPr>
          <w:rFonts w:ascii="Cambria" w:hAnsi="Cambria" w:cs="Verdana"/>
          <w:noProof/>
          <w:sz w:val="16"/>
          <w:szCs w:val="16"/>
        </w:rPr>
        <w:t xml:space="preserve"> e </w:t>
      </w:r>
      <w:r w:rsidRPr="00D30EFA">
        <w:rPr>
          <w:rFonts w:ascii="Cambria" w:hAnsi="Cambria" w:cs="Verdana"/>
          <w:noProof/>
          <w:sz w:val="16"/>
          <w:szCs w:val="16"/>
        </w:rPr>
        <w:t>11</w:t>
      </w:r>
      <w:r>
        <w:rPr>
          <w:rFonts w:ascii="Cambria" w:hAnsi="Cambria" w:cs="Verdana"/>
          <w:noProof/>
          <w:sz w:val="16"/>
          <w:szCs w:val="16"/>
        </w:rPr>
        <w:t>.136. Peru, de 13 de abril de 1999, pa</w:t>
      </w:r>
      <w:r w:rsidRPr="00D30EFA">
        <w:rPr>
          <w:rFonts w:ascii="Cambria" w:hAnsi="Cambria" w:cs="Verdana"/>
          <w:noProof/>
          <w:sz w:val="16"/>
          <w:szCs w:val="16"/>
        </w:rPr>
        <w:t>r. 140.</w:t>
      </w:r>
    </w:p>
  </w:footnote>
  <w:footnote w:id="214">
    <w:p w14:paraId="42C74D0A" w14:textId="77777777"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Corte I</w:t>
      </w:r>
      <w:r>
        <w:rPr>
          <w:noProof/>
          <w:color w:val="auto"/>
          <w:lang w:val="pt-BR"/>
        </w:rPr>
        <w:t>DH. Caso Barrios Altos. Sentença de 14 de março de 2001. Série C Nº 75, pa</w:t>
      </w:r>
      <w:r w:rsidRPr="00D30EFA">
        <w:rPr>
          <w:noProof/>
          <w:color w:val="auto"/>
          <w:lang w:val="pt-BR"/>
        </w:rPr>
        <w:t xml:space="preserve">r. 41.  </w:t>
      </w:r>
    </w:p>
  </w:footnote>
  <w:footnote w:id="215">
    <w:p w14:paraId="72E3601B" w14:textId="32226FA8"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Corte IDH. Caso Gomes Lund</w:t>
      </w:r>
      <w:r>
        <w:rPr>
          <w:noProof/>
          <w:color w:val="auto"/>
          <w:lang w:val="pt-BR"/>
        </w:rPr>
        <w:t xml:space="preserve"> e </w:t>
      </w:r>
      <w:r w:rsidRPr="00D30EFA">
        <w:rPr>
          <w:noProof/>
          <w:color w:val="auto"/>
          <w:lang w:val="pt-BR"/>
        </w:rPr>
        <w:t>o</w:t>
      </w:r>
      <w:r>
        <w:rPr>
          <w:noProof/>
          <w:color w:val="auto"/>
          <w:lang w:val="pt-BR"/>
        </w:rPr>
        <w:t xml:space="preserve">utros (“Guerrilha do Araguaia”) vs. Brasil. Exceções Preliminares, </w:t>
      </w:r>
      <w:r w:rsidR="00B144F6">
        <w:rPr>
          <w:noProof/>
          <w:color w:val="auto"/>
          <w:lang w:val="pt-BR"/>
        </w:rPr>
        <w:t>Mérito</w:t>
      </w:r>
      <w:r w:rsidRPr="00D30EFA">
        <w:rPr>
          <w:noProof/>
          <w:color w:val="auto"/>
          <w:lang w:val="pt-BR"/>
        </w:rPr>
        <w:t>, Repara</w:t>
      </w:r>
      <w:r>
        <w:rPr>
          <w:noProof/>
          <w:color w:val="auto"/>
          <w:lang w:val="pt-BR"/>
        </w:rPr>
        <w:t xml:space="preserve">ções e </w:t>
      </w:r>
      <w:r w:rsidR="00B144F6">
        <w:rPr>
          <w:noProof/>
          <w:color w:val="auto"/>
          <w:lang w:val="pt-BR"/>
        </w:rPr>
        <w:t>Custas</w:t>
      </w:r>
      <w:r>
        <w:rPr>
          <w:noProof/>
          <w:color w:val="auto"/>
          <w:lang w:val="pt-BR"/>
        </w:rPr>
        <w:t>. Sentenç</w:t>
      </w:r>
      <w:r w:rsidRPr="00D30EFA">
        <w:rPr>
          <w:noProof/>
          <w:color w:val="auto"/>
          <w:lang w:val="pt-BR"/>
        </w:rPr>
        <w:t xml:space="preserve">a de 24 de </w:t>
      </w:r>
      <w:r>
        <w:rPr>
          <w:noProof/>
          <w:color w:val="auto"/>
          <w:lang w:val="pt-BR"/>
        </w:rPr>
        <w:t>novembro de 2010. Série C Nº 219, pa</w:t>
      </w:r>
      <w:r w:rsidRPr="00D30EFA">
        <w:rPr>
          <w:noProof/>
          <w:color w:val="auto"/>
          <w:lang w:val="pt-BR"/>
        </w:rPr>
        <w:t>r. 170.</w:t>
      </w:r>
    </w:p>
  </w:footnote>
  <w:footnote w:id="216">
    <w:p w14:paraId="17EAE618" w14:textId="74E62F4C"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CIDH, </w:t>
      </w:r>
      <w:r>
        <w:rPr>
          <w:noProof/>
          <w:color w:val="auto"/>
          <w:lang w:val="pt-BR"/>
        </w:rPr>
        <w:t xml:space="preserve">Relatório Nº 91/08, Caso 11.552, </w:t>
      </w:r>
      <w:r w:rsidR="00B144F6">
        <w:rPr>
          <w:noProof/>
          <w:color w:val="auto"/>
          <w:lang w:val="pt-BR"/>
        </w:rPr>
        <w:t>Mérito</w:t>
      </w:r>
      <w:r w:rsidRPr="00D30EFA">
        <w:rPr>
          <w:noProof/>
          <w:color w:val="auto"/>
          <w:lang w:val="pt-BR"/>
        </w:rPr>
        <w:t>, Julia Gomes Lund</w:t>
      </w:r>
      <w:r>
        <w:rPr>
          <w:noProof/>
          <w:color w:val="auto"/>
          <w:lang w:val="pt-BR"/>
        </w:rPr>
        <w:t xml:space="preserve"> e </w:t>
      </w:r>
      <w:r w:rsidRPr="00D30EFA">
        <w:rPr>
          <w:noProof/>
          <w:color w:val="auto"/>
          <w:lang w:val="pt-BR"/>
        </w:rPr>
        <w:t>o</w:t>
      </w:r>
      <w:r>
        <w:rPr>
          <w:noProof/>
          <w:color w:val="auto"/>
          <w:lang w:val="pt-BR"/>
        </w:rPr>
        <w:t>u</w:t>
      </w:r>
      <w:r w:rsidRPr="00D30EFA">
        <w:rPr>
          <w:noProof/>
          <w:color w:val="auto"/>
          <w:lang w:val="pt-BR"/>
        </w:rPr>
        <w:t>tros (Guerrill</w:t>
      </w:r>
      <w:r>
        <w:rPr>
          <w:noProof/>
          <w:color w:val="auto"/>
          <w:lang w:val="pt-BR"/>
        </w:rPr>
        <w:t>a de Araguaia), Brasil, 31 de outubro de 2008, pa</w:t>
      </w:r>
      <w:r w:rsidRPr="00D30EFA">
        <w:rPr>
          <w:noProof/>
          <w:color w:val="auto"/>
          <w:lang w:val="pt-BR"/>
        </w:rPr>
        <w:t xml:space="preserve">r. 97. </w:t>
      </w:r>
    </w:p>
  </w:footnote>
  <w:footnote w:id="217">
    <w:p w14:paraId="2989EAFB" w14:textId="7FB2F484"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CIDH, </w:t>
      </w:r>
      <w:r>
        <w:rPr>
          <w:noProof/>
          <w:color w:val="auto"/>
          <w:lang w:val="pt-BR"/>
        </w:rPr>
        <w:t xml:space="preserve">Relatório Nº 91/08, Caso 11.552, </w:t>
      </w:r>
      <w:r w:rsidR="00B144F6">
        <w:rPr>
          <w:noProof/>
          <w:color w:val="auto"/>
          <w:lang w:val="pt-BR"/>
        </w:rPr>
        <w:t>Mérito</w:t>
      </w:r>
      <w:r w:rsidRPr="00D30EFA">
        <w:rPr>
          <w:noProof/>
          <w:color w:val="auto"/>
          <w:lang w:val="pt-BR"/>
        </w:rPr>
        <w:t>, Julia Gomes Lund</w:t>
      </w:r>
      <w:r>
        <w:rPr>
          <w:noProof/>
          <w:color w:val="auto"/>
          <w:lang w:val="pt-BR"/>
        </w:rPr>
        <w:t xml:space="preserve"> e </w:t>
      </w:r>
      <w:r w:rsidRPr="00D30EFA">
        <w:rPr>
          <w:noProof/>
          <w:color w:val="auto"/>
          <w:lang w:val="pt-BR"/>
        </w:rPr>
        <w:t>o</w:t>
      </w:r>
      <w:r>
        <w:rPr>
          <w:noProof/>
          <w:color w:val="auto"/>
          <w:lang w:val="pt-BR"/>
        </w:rPr>
        <w:t>u</w:t>
      </w:r>
      <w:r w:rsidRPr="00D30EFA">
        <w:rPr>
          <w:noProof/>
          <w:color w:val="auto"/>
          <w:lang w:val="pt-BR"/>
        </w:rPr>
        <w:t>tros (Guerrill</w:t>
      </w:r>
      <w:r>
        <w:rPr>
          <w:noProof/>
          <w:color w:val="auto"/>
          <w:lang w:val="pt-BR"/>
        </w:rPr>
        <w:t>a d</w:t>
      </w:r>
      <w:r w:rsidR="00156299">
        <w:rPr>
          <w:noProof/>
          <w:color w:val="auto"/>
          <w:lang w:val="pt-BR"/>
        </w:rPr>
        <w:t>o</w:t>
      </w:r>
      <w:r>
        <w:rPr>
          <w:noProof/>
          <w:color w:val="auto"/>
          <w:lang w:val="pt-BR"/>
        </w:rPr>
        <w:t xml:space="preserve"> Araguaia), Brasil, 31 de outubro de 2008, pa</w:t>
      </w:r>
      <w:r w:rsidRPr="00D30EFA">
        <w:rPr>
          <w:noProof/>
          <w:color w:val="auto"/>
          <w:lang w:val="pt-BR"/>
        </w:rPr>
        <w:t xml:space="preserve">r. 100. </w:t>
      </w:r>
    </w:p>
  </w:footnote>
  <w:footnote w:id="218">
    <w:p w14:paraId="2B0864DE" w14:textId="3EB62A48"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CIDH, </w:t>
      </w:r>
      <w:r>
        <w:rPr>
          <w:noProof/>
          <w:color w:val="auto"/>
          <w:lang w:val="pt-BR"/>
        </w:rPr>
        <w:t xml:space="preserve">Relatório Nº 91/08, Caso 11.552, </w:t>
      </w:r>
      <w:r w:rsidR="00B144F6">
        <w:rPr>
          <w:noProof/>
          <w:color w:val="auto"/>
          <w:lang w:val="pt-BR"/>
        </w:rPr>
        <w:t>Mérito</w:t>
      </w:r>
      <w:r w:rsidRPr="00D30EFA">
        <w:rPr>
          <w:noProof/>
          <w:color w:val="auto"/>
          <w:lang w:val="pt-BR"/>
        </w:rPr>
        <w:t>, Julia Gomes Lund</w:t>
      </w:r>
      <w:r>
        <w:rPr>
          <w:noProof/>
          <w:color w:val="auto"/>
          <w:lang w:val="pt-BR"/>
        </w:rPr>
        <w:t xml:space="preserve"> e </w:t>
      </w:r>
      <w:r w:rsidRPr="00D30EFA">
        <w:rPr>
          <w:noProof/>
          <w:color w:val="auto"/>
          <w:lang w:val="pt-BR"/>
        </w:rPr>
        <w:t>o</w:t>
      </w:r>
      <w:r>
        <w:rPr>
          <w:noProof/>
          <w:color w:val="auto"/>
          <w:lang w:val="pt-BR"/>
        </w:rPr>
        <w:t>u</w:t>
      </w:r>
      <w:r w:rsidRPr="00D30EFA">
        <w:rPr>
          <w:noProof/>
          <w:color w:val="auto"/>
          <w:lang w:val="pt-BR"/>
        </w:rPr>
        <w:t>tros (Guerrill</w:t>
      </w:r>
      <w:r>
        <w:rPr>
          <w:noProof/>
          <w:color w:val="auto"/>
          <w:lang w:val="pt-BR"/>
        </w:rPr>
        <w:t>a d</w:t>
      </w:r>
      <w:r w:rsidR="00156299">
        <w:rPr>
          <w:noProof/>
          <w:color w:val="auto"/>
          <w:lang w:val="pt-BR"/>
        </w:rPr>
        <w:t>o</w:t>
      </w:r>
      <w:r>
        <w:rPr>
          <w:noProof/>
          <w:color w:val="auto"/>
          <w:lang w:val="pt-BR"/>
        </w:rPr>
        <w:t xml:space="preserve"> Araguaia), Brasil, 31 de outubro</w:t>
      </w:r>
      <w:r w:rsidRPr="00D30EFA">
        <w:rPr>
          <w:noProof/>
          <w:color w:val="auto"/>
          <w:lang w:val="pt-BR"/>
        </w:rPr>
        <w:t xml:space="preserve"> de 2008, p</w:t>
      </w:r>
      <w:r>
        <w:rPr>
          <w:noProof/>
          <w:color w:val="auto"/>
          <w:lang w:val="pt-BR"/>
        </w:rPr>
        <w:t>a</w:t>
      </w:r>
      <w:r w:rsidRPr="00D30EFA">
        <w:rPr>
          <w:noProof/>
          <w:color w:val="auto"/>
          <w:lang w:val="pt-BR"/>
        </w:rPr>
        <w:t xml:space="preserve">r. 180. </w:t>
      </w:r>
    </w:p>
  </w:footnote>
  <w:footnote w:id="219">
    <w:p w14:paraId="7EC545F3" w14:textId="77777777" w:rsidR="0068635C" w:rsidRPr="00D30EFA" w:rsidRDefault="0068635C" w:rsidP="0068635C">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Corte IDH. Caso Gomes Lund</w:t>
      </w:r>
      <w:r>
        <w:rPr>
          <w:noProof/>
          <w:color w:val="auto"/>
          <w:lang w:val="pt-BR"/>
        </w:rPr>
        <w:t xml:space="preserve"> e </w:t>
      </w:r>
      <w:r w:rsidRPr="00D30EFA">
        <w:rPr>
          <w:noProof/>
          <w:color w:val="auto"/>
          <w:lang w:val="pt-BR"/>
        </w:rPr>
        <w:t>o</w:t>
      </w:r>
      <w:r>
        <w:rPr>
          <w:noProof/>
          <w:color w:val="auto"/>
          <w:lang w:val="pt-BR"/>
        </w:rPr>
        <w:t>utros (“Guerrilha do Araguaia”) vs. Brasil. Exceções Preliminares, Mérito</w:t>
      </w:r>
      <w:r w:rsidRPr="00D30EFA">
        <w:rPr>
          <w:noProof/>
          <w:color w:val="auto"/>
          <w:lang w:val="pt-BR"/>
        </w:rPr>
        <w:t>, Repara</w:t>
      </w:r>
      <w:r>
        <w:rPr>
          <w:noProof/>
          <w:color w:val="auto"/>
          <w:lang w:val="pt-BR"/>
        </w:rPr>
        <w:t>ções e Custas. Sentenç</w:t>
      </w:r>
      <w:r w:rsidRPr="00D30EFA">
        <w:rPr>
          <w:noProof/>
          <w:color w:val="auto"/>
          <w:lang w:val="pt-BR"/>
        </w:rPr>
        <w:t xml:space="preserve">a de 24 de </w:t>
      </w:r>
      <w:r>
        <w:rPr>
          <w:noProof/>
          <w:color w:val="auto"/>
          <w:lang w:val="pt-BR"/>
        </w:rPr>
        <w:t>novembro de 2010. Série C Nº 219, pa</w:t>
      </w:r>
      <w:r w:rsidRPr="00D30EFA">
        <w:rPr>
          <w:noProof/>
          <w:color w:val="auto"/>
          <w:lang w:val="pt-BR"/>
        </w:rPr>
        <w:t>r. 170.</w:t>
      </w:r>
    </w:p>
  </w:footnote>
  <w:footnote w:id="220">
    <w:p w14:paraId="6A51BBFE" w14:textId="5C162DE0"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Corte IDH. Caso Gomes Lund</w:t>
      </w:r>
      <w:r>
        <w:rPr>
          <w:noProof/>
          <w:color w:val="auto"/>
          <w:lang w:val="pt-BR"/>
        </w:rPr>
        <w:t xml:space="preserve"> e </w:t>
      </w:r>
      <w:r w:rsidRPr="00D30EFA">
        <w:rPr>
          <w:noProof/>
          <w:color w:val="auto"/>
          <w:lang w:val="pt-BR"/>
        </w:rPr>
        <w:t>o</w:t>
      </w:r>
      <w:r>
        <w:rPr>
          <w:noProof/>
          <w:color w:val="auto"/>
          <w:lang w:val="pt-BR"/>
        </w:rPr>
        <w:t>u</w:t>
      </w:r>
      <w:r w:rsidRPr="00D30EFA">
        <w:rPr>
          <w:noProof/>
          <w:color w:val="auto"/>
          <w:lang w:val="pt-BR"/>
        </w:rPr>
        <w:t>tros (“Guerrilha do A</w:t>
      </w:r>
      <w:r>
        <w:rPr>
          <w:noProof/>
          <w:color w:val="auto"/>
          <w:lang w:val="pt-BR"/>
        </w:rPr>
        <w:t xml:space="preserve">raguaia”) Vs. Brasil. Exceções Preliminares, </w:t>
      </w:r>
      <w:r w:rsidR="00B144F6">
        <w:rPr>
          <w:noProof/>
          <w:color w:val="auto"/>
          <w:lang w:val="pt-BR"/>
        </w:rPr>
        <w:t>Mérito</w:t>
      </w:r>
      <w:r w:rsidRPr="00D30EFA">
        <w:rPr>
          <w:noProof/>
          <w:color w:val="auto"/>
          <w:lang w:val="pt-BR"/>
        </w:rPr>
        <w:t>, Repara</w:t>
      </w:r>
      <w:r>
        <w:rPr>
          <w:noProof/>
          <w:color w:val="auto"/>
          <w:lang w:val="pt-BR"/>
        </w:rPr>
        <w:t xml:space="preserve">ções e </w:t>
      </w:r>
      <w:r w:rsidR="00B144F6">
        <w:rPr>
          <w:noProof/>
          <w:color w:val="auto"/>
          <w:lang w:val="pt-BR"/>
        </w:rPr>
        <w:t>Custas</w:t>
      </w:r>
      <w:r>
        <w:rPr>
          <w:noProof/>
          <w:color w:val="auto"/>
          <w:lang w:val="pt-BR"/>
        </w:rPr>
        <w:t>. Sentenç</w:t>
      </w:r>
      <w:r w:rsidRPr="00D30EFA">
        <w:rPr>
          <w:noProof/>
          <w:color w:val="auto"/>
          <w:lang w:val="pt-BR"/>
        </w:rPr>
        <w:t xml:space="preserve">a de 24 de </w:t>
      </w:r>
      <w:r>
        <w:rPr>
          <w:noProof/>
          <w:color w:val="auto"/>
          <w:lang w:val="pt-BR"/>
        </w:rPr>
        <w:t>novembro de 2010. Série C Nº 219, pa</w:t>
      </w:r>
      <w:r w:rsidRPr="00D30EFA">
        <w:rPr>
          <w:noProof/>
          <w:color w:val="auto"/>
          <w:lang w:val="pt-BR"/>
        </w:rPr>
        <w:t>r. 174.</w:t>
      </w:r>
    </w:p>
  </w:footnote>
  <w:footnote w:id="221">
    <w:p w14:paraId="5CA6022C" w14:textId="77777777"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2</w:t>
      </w:r>
      <w:r w:rsidRPr="00D30EFA">
        <w:rPr>
          <w:noProof/>
          <w:color w:val="auto"/>
          <w:lang w:val="pt-BR"/>
        </w:rPr>
        <w:t xml:space="preserve">. </w:t>
      </w:r>
      <w:r w:rsidRPr="00156299">
        <w:rPr>
          <w:rStyle w:val="Emphasis"/>
          <w:rFonts w:cs="Arial"/>
          <w:i w:val="0"/>
          <w:iCs w:val="0"/>
          <w:noProof/>
          <w:color w:val="auto"/>
          <w:lang w:val="pt-BR"/>
        </w:rPr>
        <w:t>Relatório da</w:t>
      </w:r>
      <w:r w:rsidRPr="00156299">
        <w:rPr>
          <w:rStyle w:val="st1"/>
          <w:rFonts w:cs="Arial"/>
          <w:b/>
          <w:i/>
          <w:iCs/>
          <w:noProof/>
          <w:color w:val="auto"/>
          <w:lang w:val="pt-BR"/>
        </w:rPr>
        <w:t xml:space="preserve"> </w:t>
      </w:r>
      <w:r w:rsidRPr="00156299">
        <w:rPr>
          <w:rStyle w:val="Emphasis"/>
          <w:rFonts w:cs="Arial"/>
          <w:i w:val="0"/>
          <w:iCs w:val="0"/>
          <w:noProof/>
          <w:color w:val="auto"/>
          <w:lang w:val="pt-BR"/>
        </w:rPr>
        <w:t>Comissão Nacional da Verdade. Volume I. Parte I “A Comissão Nacional da Verdade”,</w:t>
      </w:r>
      <w:r w:rsidRPr="00D30EFA">
        <w:rPr>
          <w:rStyle w:val="Emphasis"/>
          <w:rFonts w:cs="Arial"/>
          <w:noProof/>
          <w:color w:val="auto"/>
          <w:lang w:val="pt-BR"/>
        </w:rPr>
        <w:t xml:space="preserve"> </w:t>
      </w:r>
      <w:r w:rsidRPr="00D30EFA">
        <w:rPr>
          <w:noProof/>
          <w:color w:val="auto"/>
          <w:lang w:val="pt-BR"/>
        </w:rPr>
        <w:t>Capítulo 1 – A criação da Comissão Nacional da Verdade, (C) O mandato legal da Comissão Nacional da Verdade</w:t>
      </w:r>
      <w:r w:rsidRPr="00D30EFA">
        <w:rPr>
          <w:rStyle w:val="Emphasis"/>
          <w:rFonts w:cs="Arial"/>
          <w:noProof/>
          <w:color w:val="auto"/>
          <w:lang w:val="pt-BR"/>
        </w:rPr>
        <w:t xml:space="preserve">, </w:t>
      </w:r>
      <w:r w:rsidRPr="00D30EFA">
        <w:rPr>
          <w:rFonts w:cs="AGaramondPro-Italic-SC700"/>
          <w:noProof/>
          <w:color w:val="auto"/>
          <w:lang w:val="pt-BR"/>
        </w:rPr>
        <w:t>p. 38</w:t>
      </w:r>
      <w:r>
        <w:rPr>
          <w:noProof/>
          <w:color w:val="auto"/>
          <w:lang w:val="pt-BR"/>
        </w:rPr>
        <w:t>, par. 64, de</w:t>
      </w:r>
      <w:r w:rsidRPr="00D30EFA">
        <w:rPr>
          <w:noProof/>
          <w:color w:val="auto"/>
          <w:lang w:val="pt-BR"/>
        </w:rPr>
        <w:t xml:space="preserve"> 10 de d</w:t>
      </w:r>
      <w:r>
        <w:rPr>
          <w:noProof/>
          <w:color w:val="auto"/>
          <w:lang w:val="pt-BR"/>
        </w:rPr>
        <w:t>ezembro</w:t>
      </w:r>
      <w:r w:rsidRPr="00D30EFA">
        <w:rPr>
          <w:noProof/>
          <w:color w:val="auto"/>
          <w:lang w:val="pt-BR"/>
        </w:rPr>
        <w:t xml:space="preserve"> de 2014.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de </w:t>
      </w:r>
      <w:r>
        <w:rPr>
          <w:noProof/>
          <w:color w:val="auto"/>
          <w:lang w:val="pt-BR"/>
        </w:rPr>
        <w:t>novembro</w:t>
      </w:r>
      <w:r w:rsidRPr="00D30EFA">
        <w:rPr>
          <w:noProof/>
          <w:color w:val="auto"/>
          <w:lang w:val="pt-BR"/>
        </w:rPr>
        <w:t xml:space="preserve"> de 2017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w:t>
      </w:r>
    </w:p>
  </w:footnote>
  <w:footnote w:id="222">
    <w:p w14:paraId="67AE3856" w14:textId="04C71334"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b/>
          <w:bCs/>
          <w:noProof/>
          <w:color w:val="auto"/>
          <w:lang w:val="pt-BR"/>
        </w:rPr>
        <w:t>Anexo 2</w:t>
      </w:r>
      <w:r w:rsidRPr="00D30EFA">
        <w:rPr>
          <w:noProof/>
          <w:color w:val="auto"/>
          <w:lang w:val="pt-BR"/>
        </w:rPr>
        <w:t xml:space="preserve">. </w:t>
      </w:r>
      <w:r w:rsidRPr="00483681">
        <w:rPr>
          <w:rStyle w:val="Emphasis"/>
          <w:rFonts w:cs="Arial"/>
          <w:i w:val="0"/>
          <w:iCs w:val="0"/>
          <w:noProof/>
          <w:color w:val="auto"/>
          <w:lang w:val="pt-BR"/>
        </w:rPr>
        <w:t>Relatório da</w:t>
      </w:r>
      <w:r w:rsidRPr="00483681">
        <w:rPr>
          <w:rStyle w:val="st1"/>
          <w:rFonts w:cs="Arial"/>
          <w:b/>
          <w:i/>
          <w:iCs/>
          <w:noProof/>
          <w:color w:val="auto"/>
          <w:lang w:val="pt-BR"/>
        </w:rPr>
        <w:t xml:space="preserve"> </w:t>
      </w:r>
      <w:r w:rsidRPr="00483681">
        <w:rPr>
          <w:rStyle w:val="Emphasis"/>
          <w:rFonts w:cs="Arial"/>
          <w:i w:val="0"/>
          <w:iCs w:val="0"/>
          <w:noProof/>
          <w:color w:val="auto"/>
          <w:lang w:val="pt-BR"/>
        </w:rPr>
        <w:t>Comissão Nacional da Verdade. Volume I. Parte I “A Comissão Nacional da Verdade</w:t>
      </w:r>
      <w:r w:rsidRPr="00D30EFA">
        <w:rPr>
          <w:rStyle w:val="Emphasis"/>
          <w:rFonts w:cs="Arial"/>
          <w:noProof/>
          <w:color w:val="auto"/>
          <w:lang w:val="pt-BR"/>
        </w:rPr>
        <w:t xml:space="preserve">”, </w:t>
      </w:r>
      <w:r w:rsidRPr="00D30EFA">
        <w:rPr>
          <w:noProof/>
          <w:color w:val="auto"/>
          <w:lang w:val="pt-BR"/>
        </w:rPr>
        <w:t>Capítulo 1 – A criação da Comissão Nacional da Verdade, (C) O mandato legal da Comissão Nacional da Verdade</w:t>
      </w:r>
      <w:r w:rsidRPr="00D30EFA">
        <w:rPr>
          <w:rStyle w:val="Emphasis"/>
          <w:rFonts w:cs="Arial"/>
          <w:noProof/>
          <w:color w:val="auto"/>
          <w:lang w:val="pt-BR"/>
        </w:rPr>
        <w:t xml:space="preserve">, </w:t>
      </w:r>
      <w:r w:rsidRPr="00D30EFA">
        <w:rPr>
          <w:rFonts w:cs="AGaramondPro-Italic-SC700"/>
          <w:noProof/>
          <w:color w:val="auto"/>
          <w:lang w:val="pt-BR"/>
        </w:rPr>
        <w:t>p. 38</w:t>
      </w:r>
      <w:r w:rsidRPr="00D30EFA">
        <w:rPr>
          <w:noProof/>
          <w:color w:val="auto"/>
          <w:lang w:val="pt-BR"/>
        </w:rPr>
        <w:t xml:space="preserve">, </w:t>
      </w:r>
      <w:r w:rsidR="00814379">
        <w:rPr>
          <w:noProof/>
          <w:color w:val="auto"/>
          <w:lang w:val="pt-BR"/>
        </w:rPr>
        <w:t>par</w:t>
      </w:r>
      <w:r w:rsidRPr="00D30EFA">
        <w:rPr>
          <w:noProof/>
          <w:color w:val="auto"/>
          <w:lang w:val="pt-BR"/>
        </w:rPr>
        <w:t>. 65,  de 10 de d</w:t>
      </w:r>
      <w:r w:rsidR="00814379">
        <w:rPr>
          <w:noProof/>
          <w:color w:val="auto"/>
          <w:lang w:val="pt-BR"/>
        </w:rPr>
        <w:t>ez</w:t>
      </w:r>
      <w:r w:rsidRPr="00D30EFA">
        <w:rPr>
          <w:noProof/>
          <w:color w:val="auto"/>
          <w:lang w:val="pt-BR"/>
        </w:rPr>
        <w:t>embr</w:t>
      </w:r>
      <w:r w:rsidR="00814379">
        <w:rPr>
          <w:noProof/>
          <w:color w:val="auto"/>
          <w:lang w:val="pt-BR"/>
        </w:rPr>
        <w:t>o</w:t>
      </w:r>
      <w:r w:rsidRPr="00D30EFA">
        <w:rPr>
          <w:noProof/>
          <w:color w:val="auto"/>
          <w:lang w:val="pt-BR"/>
        </w:rPr>
        <w:t xml:space="preserve"> de 2014. Anexo</w:t>
      </w:r>
      <w:r>
        <w:rPr>
          <w:noProof/>
          <w:color w:val="auto"/>
          <w:lang w:val="pt-BR"/>
        </w:rPr>
        <w:t xml:space="preserve"> à </w:t>
      </w:r>
      <w:r w:rsidRPr="00D30EFA">
        <w:rPr>
          <w:noProof/>
          <w:color w:val="auto"/>
          <w:lang w:val="pt-BR"/>
        </w:rPr>
        <w:t>comunica</w:t>
      </w:r>
      <w:r>
        <w:rPr>
          <w:noProof/>
          <w:color w:val="auto"/>
          <w:lang w:val="pt-BR"/>
        </w:rPr>
        <w:t>ção</w:t>
      </w:r>
      <w:r w:rsidRPr="00D30EFA">
        <w:rPr>
          <w:noProof/>
          <w:color w:val="auto"/>
          <w:lang w:val="pt-BR"/>
        </w:rPr>
        <w:t xml:space="preserve"> de </w:t>
      </w:r>
      <w:r>
        <w:rPr>
          <w:noProof/>
          <w:color w:val="auto"/>
          <w:lang w:val="pt-BR"/>
        </w:rPr>
        <w:t>novembro</w:t>
      </w:r>
      <w:r w:rsidRPr="00D30EFA">
        <w:rPr>
          <w:noProof/>
          <w:color w:val="auto"/>
          <w:lang w:val="pt-BR"/>
        </w:rPr>
        <w:t xml:space="preserve"> de 2017 </w:t>
      </w:r>
      <w:r>
        <w:rPr>
          <w:noProof/>
          <w:color w:val="auto"/>
          <w:lang w:val="pt-BR"/>
        </w:rPr>
        <w:t xml:space="preserve">da </w:t>
      </w:r>
      <w:r w:rsidRPr="00D30EFA">
        <w:rPr>
          <w:noProof/>
          <w:color w:val="auto"/>
          <w:lang w:val="pt-BR"/>
        </w:rPr>
        <w:t xml:space="preserve">parte </w:t>
      </w:r>
      <w:r>
        <w:rPr>
          <w:noProof/>
          <w:color w:val="auto"/>
          <w:lang w:val="pt-BR"/>
        </w:rPr>
        <w:t>peticionária</w:t>
      </w:r>
      <w:r w:rsidRPr="00D30EFA">
        <w:rPr>
          <w:noProof/>
          <w:color w:val="auto"/>
          <w:lang w:val="pt-BR"/>
        </w:rPr>
        <w:t xml:space="preserve">.    </w:t>
      </w:r>
    </w:p>
  </w:footnote>
  <w:footnote w:id="223">
    <w:p w14:paraId="21B419BB" w14:textId="1143434C" w:rsidR="00487AEA" w:rsidRPr="00D30EFA" w:rsidRDefault="00487AEA" w:rsidP="00487AEA">
      <w:pPr>
        <w:contextualSpacing/>
        <w:jc w:val="both"/>
        <w:rPr>
          <w:rFonts w:ascii="Cambria" w:hAnsi="Cambria"/>
          <w:noProof/>
          <w:sz w:val="16"/>
          <w:szCs w:val="16"/>
        </w:rPr>
      </w:pPr>
      <w:r w:rsidRPr="00D30EFA">
        <w:rPr>
          <w:rStyle w:val="FootnoteReference"/>
          <w:rFonts w:ascii="Cambria" w:hAnsi="Cambria"/>
          <w:noProof/>
          <w:sz w:val="16"/>
          <w:szCs w:val="16"/>
        </w:rPr>
        <w:footnoteRef/>
      </w:r>
      <w:r w:rsidRPr="00D30EFA">
        <w:rPr>
          <w:rFonts w:ascii="Cambria" w:hAnsi="Cambria"/>
          <w:noProof/>
          <w:sz w:val="16"/>
          <w:szCs w:val="16"/>
        </w:rPr>
        <w:t xml:space="preserve"> Corte IDH. Caso Almonacid Arellano</w:t>
      </w:r>
      <w:r>
        <w:rPr>
          <w:rFonts w:ascii="Cambria" w:hAnsi="Cambria"/>
          <w:noProof/>
          <w:sz w:val="16"/>
          <w:szCs w:val="16"/>
        </w:rPr>
        <w:t xml:space="preserve"> e </w:t>
      </w:r>
      <w:r w:rsidR="00814379">
        <w:rPr>
          <w:rFonts w:ascii="Cambria" w:hAnsi="Cambria"/>
          <w:noProof/>
          <w:sz w:val="16"/>
          <w:szCs w:val="16"/>
        </w:rPr>
        <w:t>outr</w:t>
      </w:r>
      <w:r w:rsidRPr="00D30EFA">
        <w:rPr>
          <w:rFonts w:ascii="Cambria" w:hAnsi="Cambria"/>
          <w:noProof/>
          <w:sz w:val="16"/>
          <w:szCs w:val="16"/>
        </w:rPr>
        <w:t>os vs. Chile. Exce</w:t>
      </w:r>
      <w:r>
        <w:rPr>
          <w:rFonts w:ascii="Cambria" w:hAnsi="Cambria"/>
          <w:noProof/>
          <w:sz w:val="16"/>
          <w:szCs w:val="16"/>
        </w:rPr>
        <w:t>ções</w:t>
      </w:r>
      <w:r w:rsidRPr="00D30EFA">
        <w:rPr>
          <w:rFonts w:ascii="Cambria" w:hAnsi="Cambria"/>
          <w:noProof/>
          <w:sz w:val="16"/>
          <w:szCs w:val="16"/>
        </w:rPr>
        <w:t xml:space="preserve"> Preliminares, </w:t>
      </w:r>
      <w:r w:rsidR="00814379">
        <w:rPr>
          <w:rFonts w:ascii="Cambria" w:hAnsi="Cambria"/>
          <w:noProof/>
          <w:sz w:val="16"/>
          <w:szCs w:val="16"/>
        </w:rPr>
        <w:t>Mérito</w:t>
      </w:r>
      <w:r w:rsidRPr="00D30EFA">
        <w:rPr>
          <w:rFonts w:ascii="Cambria" w:hAnsi="Cambria"/>
          <w:noProof/>
          <w:sz w:val="16"/>
          <w:szCs w:val="16"/>
        </w:rPr>
        <w:t>, Repara</w:t>
      </w:r>
      <w:r>
        <w:rPr>
          <w:rFonts w:ascii="Cambria" w:hAnsi="Cambria"/>
          <w:noProof/>
          <w:sz w:val="16"/>
          <w:szCs w:val="16"/>
        </w:rPr>
        <w:t xml:space="preserve">ções e </w:t>
      </w:r>
      <w:r w:rsidRPr="00D30EFA">
        <w:rPr>
          <w:rFonts w:ascii="Cambria" w:hAnsi="Cambria"/>
          <w:noProof/>
          <w:sz w:val="16"/>
          <w:szCs w:val="16"/>
        </w:rPr>
        <w:t>c</w:t>
      </w:r>
      <w:r w:rsidR="00814379">
        <w:rPr>
          <w:rFonts w:ascii="Cambria" w:hAnsi="Cambria"/>
          <w:noProof/>
          <w:sz w:val="16"/>
          <w:szCs w:val="16"/>
        </w:rPr>
        <w:t>u</w:t>
      </w:r>
      <w:r w:rsidRPr="00D30EFA">
        <w:rPr>
          <w:rFonts w:ascii="Cambria" w:hAnsi="Cambria"/>
          <w:noProof/>
          <w:sz w:val="16"/>
          <w:szCs w:val="16"/>
        </w:rPr>
        <w:t xml:space="preserve">stas. </w:t>
      </w:r>
      <w:r w:rsidR="00814379">
        <w:rPr>
          <w:rFonts w:ascii="Cambria" w:hAnsi="Cambria"/>
          <w:noProof/>
          <w:sz w:val="16"/>
          <w:szCs w:val="16"/>
        </w:rPr>
        <w:t>Sentença</w:t>
      </w:r>
      <w:r w:rsidRPr="00D30EFA">
        <w:rPr>
          <w:rFonts w:ascii="Cambria" w:hAnsi="Cambria"/>
          <w:noProof/>
          <w:sz w:val="16"/>
          <w:szCs w:val="16"/>
        </w:rPr>
        <w:t xml:space="preserve"> de 26 de </w:t>
      </w:r>
      <w:r>
        <w:rPr>
          <w:rFonts w:ascii="Cambria" w:hAnsi="Cambria"/>
          <w:noProof/>
          <w:sz w:val="16"/>
          <w:szCs w:val="16"/>
        </w:rPr>
        <w:t>setembro</w:t>
      </w:r>
      <w:r w:rsidRPr="00D30EFA">
        <w:rPr>
          <w:rFonts w:ascii="Cambria" w:hAnsi="Cambria"/>
          <w:noProof/>
          <w:sz w:val="16"/>
          <w:szCs w:val="16"/>
        </w:rPr>
        <w:t xml:space="preserve"> de 2006. </w:t>
      </w:r>
      <w:r w:rsidR="00814379">
        <w:rPr>
          <w:rFonts w:ascii="Cambria" w:hAnsi="Cambria"/>
          <w:noProof/>
          <w:sz w:val="16"/>
          <w:szCs w:val="16"/>
        </w:rPr>
        <w:t>Série</w:t>
      </w:r>
      <w:r w:rsidRPr="00D30EFA">
        <w:rPr>
          <w:rFonts w:ascii="Cambria" w:hAnsi="Cambria"/>
          <w:noProof/>
          <w:sz w:val="16"/>
          <w:szCs w:val="16"/>
        </w:rPr>
        <w:t xml:space="preserve"> C No. 154, </w:t>
      </w:r>
      <w:r w:rsidR="00814379">
        <w:rPr>
          <w:rFonts w:ascii="Cambria" w:hAnsi="Cambria"/>
          <w:noProof/>
          <w:sz w:val="16"/>
          <w:szCs w:val="16"/>
        </w:rPr>
        <w:t>par</w:t>
      </w:r>
      <w:r w:rsidRPr="00D30EFA">
        <w:rPr>
          <w:rFonts w:ascii="Cambria" w:hAnsi="Cambria"/>
          <w:noProof/>
          <w:sz w:val="16"/>
          <w:szCs w:val="16"/>
        </w:rPr>
        <w:t>. 124; Corte IDH. Caso Rosendo Cantú</w:t>
      </w:r>
      <w:r>
        <w:rPr>
          <w:rFonts w:ascii="Cambria" w:hAnsi="Cambria"/>
          <w:noProof/>
          <w:sz w:val="16"/>
          <w:szCs w:val="16"/>
        </w:rPr>
        <w:t xml:space="preserve"> e </w:t>
      </w:r>
      <w:r w:rsidRPr="00D30EFA">
        <w:rPr>
          <w:rFonts w:ascii="Cambria" w:hAnsi="Cambria"/>
          <w:noProof/>
          <w:sz w:val="16"/>
          <w:szCs w:val="16"/>
        </w:rPr>
        <w:t>o</w:t>
      </w:r>
      <w:r w:rsidR="00814379">
        <w:rPr>
          <w:rFonts w:ascii="Cambria" w:hAnsi="Cambria"/>
          <w:noProof/>
          <w:sz w:val="16"/>
          <w:szCs w:val="16"/>
        </w:rPr>
        <w:t>u</w:t>
      </w:r>
      <w:r w:rsidRPr="00D30EFA">
        <w:rPr>
          <w:rFonts w:ascii="Cambria" w:hAnsi="Cambria"/>
          <w:noProof/>
          <w:sz w:val="16"/>
          <w:szCs w:val="16"/>
        </w:rPr>
        <w:t>tra Vs. México. Exce</w:t>
      </w:r>
      <w:r>
        <w:rPr>
          <w:rFonts w:ascii="Cambria" w:hAnsi="Cambria"/>
          <w:noProof/>
          <w:sz w:val="16"/>
          <w:szCs w:val="16"/>
        </w:rPr>
        <w:t>ção</w:t>
      </w:r>
      <w:r w:rsidRPr="00D30EFA">
        <w:rPr>
          <w:rFonts w:ascii="Cambria" w:hAnsi="Cambria"/>
          <w:noProof/>
          <w:sz w:val="16"/>
          <w:szCs w:val="16"/>
        </w:rPr>
        <w:t xml:space="preserve"> Preliminar, </w:t>
      </w:r>
      <w:r w:rsidR="00814379">
        <w:rPr>
          <w:rFonts w:ascii="Cambria" w:hAnsi="Cambria"/>
          <w:noProof/>
          <w:sz w:val="16"/>
          <w:szCs w:val="16"/>
        </w:rPr>
        <w:t>Mérito</w:t>
      </w:r>
      <w:r w:rsidRPr="00D30EFA">
        <w:rPr>
          <w:rFonts w:ascii="Cambria" w:hAnsi="Cambria"/>
          <w:noProof/>
          <w:sz w:val="16"/>
          <w:szCs w:val="16"/>
        </w:rPr>
        <w:t>, Repara</w:t>
      </w:r>
      <w:r>
        <w:rPr>
          <w:rFonts w:ascii="Cambria" w:hAnsi="Cambria"/>
          <w:noProof/>
          <w:sz w:val="16"/>
          <w:szCs w:val="16"/>
        </w:rPr>
        <w:t xml:space="preserve">ções e </w:t>
      </w:r>
      <w:r w:rsidR="00814379">
        <w:rPr>
          <w:rFonts w:ascii="Cambria" w:hAnsi="Cambria"/>
          <w:noProof/>
          <w:sz w:val="16"/>
          <w:szCs w:val="16"/>
        </w:rPr>
        <w:t>Custas</w:t>
      </w:r>
      <w:r w:rsidRPr="00D30EFA">
        <w:rPr>
          <w:rFonts w:ascii="Cambria" w:hAnsi="Cambria"/>
          <w:noProof/>
          <w:sz w:val="16"/>
          <w:szCs w:val="16"/>
        </w:rPr>
        <w:t xml:space="preserve">. </w:t>
      </w:r>
      <w:r w:rsidR="00814379">
        <w:rPr>
          <w:rFonts w:ascii="Cambria" w:hAnsi="Cambria"/>
          <w:noProof/>
          <w:sz w:val="16"/>
          <w:szCs w:val="16"/>
        </w:rPr>
        <w:t>Sentença</w:t>
      </w:r>
      <w:r w:rsidRPr="00D30EFA">
        <w:rPr>
          <w:rFonts w:ascii="Cambria" w:hAnsi="Cambria"/>
          <w:noProof/>
          <w:sz w:val="16"/>
          <w:szCs w:val="16"/>
        </w:rPr>
        <w:t xml:space="preserve"> de 31 de agosto de 2010. </w:t>
      </w:r>
      <w:r w:rsidR="00814379">
        <w:rPr>
          <w:rFonts w:ascii="Cambria" w:hAnsi="Cambria"/>
          <w:noProof/>
          <w:sz w:val="16"/>
          <w:szCs w:val="16"/>
        </w:rPr>
        <w:t>Série</w:t>
      </w:r>
      <w:r w:rsidRPr="00D30EFA">
        <w:rPr>
          <w:rFonts w:ascii="Cambria" w:hAnsi="Cambria"/>
          <w:noProof/>
          <w:sz w:val="16"/>
          <w:szCs w:val="16"/>
        </w:rPr>
        <w:t xml:space="preserve"> C No. 216. </w:t>
      </w:r>
      <w:r w:rsidR="00814379">
        <w:rPr>
          <w:rFonts w:ascii="Cambria" w:hAnsi="Cambria"/>
          <w:noProof/>
          <w:sz w:val="16"/>
          <w:szCs w:val="16"/>
        </w:rPr>
        <w:t>par</w:t>
      </w:r>
      <w:r w:rsidRPr="00D30EFA">
        <w:rPr>
          <w:rFonts w:ascii="Cambria" w:hAnsi="Cambria"/>
          <w:noProof/>
          <w:sz w:val="16"/>
          <w:szCs w:val="16"/>
        </w:rPr>
        <w:t>. 219,</w:t>
      </w:r>
      <w:r>
        <w:rPr>
          <w:rFonts w:ascii="Cambria" w:hAnsi="Cambria"/>
          <w:noProof/>
          <w:sz w:val="16"/>
          <w:szCs w:val="16"/>
        </w:rPr>
        <w:t xml:space="preserve"> e </w:t>
      </w:r>
      <w:r w:rsidRPr="00D30EFA">
        <w:rPr>
          <w:rFonts w:ascii="Cambria" w:hAnsi="Cambria"/>
          <w:noProof/>
          <w:sz w:val="16"/>
          <w:szCs w:val="16"/>
        </w:rPr>
        <w:t xml:space="preserve">Corte IDH. </w:t>
      </w:r>
      <w:r w:rsidRPr="00D30EFA">
        <w:rPr>
          <w:rFonts w:ascii="Cambria" w:hAnsi="Cambria"/>
          <w:bCs/>
          <w:noProof/>
          <w:sz w:val="16"/>
          <w:szCs w:val="16"/>
        </w:rPr>
        <w:t>Caso Ibsen Cárdenas e Ibsen Peña Vs. Bol</w:t>
      </w:r>
      <w:r w:rsidR="00814379">
        <w:rPr>
          <w:rFonts w:ascii="Cambria" w:hAnsi="Cambria"/>
          <w:bCs/>
          <w:noProof/>
          <w:sz w:val="16"/>
          <w:szCs w:val="16"/>
        </w:rPr>
        <w:t>í</w:t>
      </w:r>
      <w:r w:rsidRPr="00D30EFA">
        <w:rPr>
          <w:rFonts w:ascii="Cambria" w:hAnsi="Cambria"/>
          <w:bCs/>
          <w:noProof/>
          <w:sz w:val="16"/>
          <w:szCs w:val="16"/>
        </w:rPr>
        <w:t>via.</w:t>
      </w:r>
      <w:r w:rsidRPr="00D30EFA">
        <w:rPr>
          <w:rFonts w:ascii="Cambria" w:hAnsi="Cambria"/>
          <w:b/>
          <w:bCs/>
          <w:noProof/>
          <w:sz w:val="16"/>
          <w:szCs w:val="16"/>
        </w:rPr>
        <w:t xml:space="preserve"> </w:t>
      </w:r>
      <w:r w:rsidR="00814379">
        <w:rPr>
          <w:rFonts w:ascii="Cambria" w:hAnsi="Cambria"/>
          <w:noProof/>
          <w:sz w:val="16"/>
          <w:szCs w:val="16"/>
        </w:rPr>
        <w:t>Mérito</w:t>
      </w:r>
      <w:r w:rsidRPr="00D30EFA">
        <w:rPr>
          <w:rFonts w:ascii="Cambria" w:hAnsi="Cambria"/>
          <w:noProof/>
          <w:sz w:val="16"/>
          <w:szCs w:val="16"/>
        </w:rPr>
        <w:t>, Repara</w:t>
      </w:r>
      <w:r>
        <w:rPr>
          <w:rFonts w:ascii="Cambria" w:hAnsi="Cambria"/>
          <w:noProof/>
          <w:sz w:val="16"/>
          <w:szCs w:val="16"/>
        </w:rPr>
        <w:t xml:space="preserve">ções e </w:t>
      </w:r>
      <w:r w:rsidR="00814379">
        <w:rPr>
          <w:rFonts w:ascii="Cambria" w:hAnsi="Cambria"/>
          <w:noProof/>
          <w:sz w:val="16"/>
          <w:szCs w:val="16"/>
        </w:rPr>
        <w:t>Custas</w:t>
      </w:r>
      <w:r w:rsidRPr="00D30EFA">
        <w:rPr>
          <w:rFonts w:ascii="Cambria" w:hAnsi="Cambria"/>
          <w:noProof/>
          <w:sz w:val="16"/>
          <w:szCs w:val="16"/>
        </w:rPr>
        <w:t xml:space="preserve">. </w:t>
      </w:r>
      <w:r w:rsidR="00814379">
        <w:rPr>
          <w:rFonts w:ascii="Cambria" w:hAnsi="Cambria"/>
          <w:noProof/>
          <w:sz w:val="16"/>
          <w:szCs w:val="16"/>
        </w:rPr>
        <w:t>Sentença</w:t>
      </w:r>
      <w:r w:rsidRPr="00D30EFA">
        <w:rPr>
          <w:rFonts w:ascii="Cambria" w:hAnsi="Cambria"/>
          <w:noProof/>
          <w:sz w:val="16"/>
          <w:szCs w:val="16"/>
        </w:rPr>
        <w:t xml:space="preserve"> de 1 de </w:t>
      </w:r>
      <w:r>
        <w:rPr>
          <w:rFonts w:ascii="Cambria" w:hAnsi="Cambria"/>
          <w:noProof/>
          <w:sz w:val="16"/>
          <w:szCs w:val="16"/>
        </w:rPr>
        <w:t>setembro</w:t>
      </w:r>
      <w:r w:rsidRPr="00D30EFA">
        <w:rPr>
          <w:rFonts w:ascii="Cambria" w:hAnsi="Cambria"/>
          <w:noProof/>
          <w:sz w:val="16"/>
          <w:szCs w:val="16"/>
        </w:rPr>
        <w:t xml:space="preserve"> de 2010 </w:t>
      </w:r>
      <w:r w:rsidR="00814379">
        <w:rPr>
          <w:rFonts w:ascii="Cambria" w:hAnsi="Cambria"/>
          <w:noProof/>
          <w:sz w:val="16"/>
          <w:szCs w:val="16"/>
        </w:rPr>
        <w:t>Série</w:t>
      </w:r>
      <w:r w:rsidRPr="00D30EFA">
        <w:rPr>
          <w:rFonts w:ascii="Cambria" w:hAnsi="Cambria"/>
          <w:noProof/>
          <w:sz w:val="16"/>
          <w:szCs w:val="16"/>
        </w:rPr>
        <w:t xml:space="preserve"> C No. 217. </w:t>
      </w:r>
      <w:r w:rsidR="00814379">
        <w:rPr>
          <w:rFonts w:ascii="Cambria" w:hAnsi="Cambria"/>
          <w:noProof/>
          <w:sz w:val="16"/>
          <w:szCs w:val="16"/>
        </w:rPr>
        <w:t>par</w:t>
      </w:r>
      <w:r w:rsidRPr="00D30EFA">
        <w:rPr>
          <w:rFonts w:ascii="Cambria" w:hAnsi="Cambria"/>
          <w:noProof/>
          <w:sz w:val="16"/>
          <w:szCs w:val="16"/>
        </w:rPr>
        <w:t>. 202.</w:t>
      </w:r>
    </w:p>
  </w:footnote>
  <w:footnote w:id="224">
    <w:p w14:paraId="154BD049" w14:textId="5C796B03"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Corte IDH. Caso Gomes Lund</w:t>
      </w:r>
      <w:r>
        <w:rPr>
          <w:noProof/>
          <w:color w:val="auto"/>
          <w:lang w:val="pt-BR"/>
        </w:rPr>
        <w:t xml:space="preserve"> e </w:t>
      </w:r>
      <w:r w:rsidR="00814379">
        <w:rPr>
          <w:noProof/>
          <w:color w:val="auto"/>
          <w:lang w:val="pt-BR"/>
        </w:rPr>
        <w:t>outr</w:t>
      </w:r>
      <w:r w:rsidRPr="00D30EFA">
        <w:rPr>
          <w:noProof/>
          <w:color w:val="auto"/>
          <w:lang w:val="pt-BR"/>
        </w:rPr>
        <w:t>os (“Guerrilha do Araguaia”) Vs. Brasil. Exce</w:t>
      </w:r>
      <w:r>
        <w:rPr>
          <w:noProof/>
          <w:color w:val="auto"/>
          <w:lang w:val="pt-BR"/>
        </w:rPr>
        <w:t>ções</w:t>
      </w:r>
      <w:r w:rsidRPr="00D30EFA">
        <w:rPr>
          <w:noProof/>
          <w:color w:val="auto"/>
          <w:lang w:val="pt-BR"/>
        </w:rPr>
        <w:t xml:space="preserve"> Preliminares, </w:t>
      </w:r>
      <w:r w:rsidR="00814379">
        <w:rPr>
          <w:noProof/>
          <w:color w:val="auto"/>
          <w:lang w:val="pt-BR"/>
        </w:rPr>
        <w:t>Mérito</w:t>
      </w:r>
      <w:r w:rsidRPr="00D30EFA">
        <w:rPr>
          <w:noProof/>
          <w:color w:val="auto"/>
          <w:lang w:val="pt-BR"/>
        </w:rPr>
        <w:t>, Repara</w:t>
      </w:r>
      <w:r>
        <w:rPr>
          <w:noProof/>
          <w:color w:val="auto"/>
          <w:lang w:val="pt-BR"/>
        </w:rPr>
        <w:t xml:space="preserve">ções e </w:t>
      </w:r>
      <w:r w:rsidR="00814379">
        <w:rPr>
          <w:noProof/>
          <w:color w:val="auto"/>
          <w:lang w:val="pt-BR"/>
        </w:rPr>
        <w:t>Custas</w:t>
      </w:r>
      <w:r w:rsidRPr="00D30EFA">
        <w:rPr>
          <w:noProof/>
          <w:color w:val="auto"/>
          <w:lang w:val="pt-BR"/>
        </w:rPr>
        <w:t xml:space="preserve">. </w:t>
      </w:r>
      <w:r w:rsidR="00814379">
        <w:rPr>
          <w:noProof/>
          <w:color w:val="auto"/>
          <w:lang w:val="pt-BR"/>
        </w:rPr>
        <w:t>Sentença</w:t>
      </w:r>
      <w:r w:rsidRPr="00D30EFA">
        <w:rPr>
          <w:noProof/>
          <w:color w:val="auto"/>
          <w:lang w:val="pt-BR"/>
        </w:rPr>
        <w:t xml:space="preserve"> de 24 de </w:t>
      </w:r>
      <w:r>
        <w:rPr>
          <w:noProof/>
          <w:color w:val="auto"/>
          <w:lang w:val="pt-BR"/>
        </w:rPr>
        <w:t>novembro</w:t>
      </w:r>
      <w:r w:rsidRPr="00D30EFA">
        <w:rPr>
          <w:noProof/>
          <w:color w:val="auto"/>
          <w:lang w:val="pt-BR"/>
        </w:rPr>
        <w:t xml:space="preserve"> de 2010. </w:t>
      </w:r>
      <w:r w:rsidR="00814379">
        <w:rPr>
          <w:noProof/>
          <w:color w:val="auto"/>
          <w:lang w:val="pt-BR"/>
        </w:rPr>
        <w:t>Série</w:t>
      </w:r>
      <w:r w:rsidRPr="00D30EFA">
        <w:rPr>
          <w:noProof/>
          <w:color w:val="auto"/>
          <w:lang w:val="pt-BR"/>
        </w:rPr>
        <w:t xml:space="preserve"> C No. 219, </w:t>
      </w:r>
      <w:r w:rsidR="00814379">
        <w:rPr>
          <w:noProof/>
          <w:color w:val="auto"/>
          <w:lang w:val="pt-BR"/>
        </w:rPr>
        <w:t>par</w:t>
      </w:r>
      <w:r w:rsidRPr="00D30EFA">
        <w:rPr>
          <w:noProof/>
          <w:color w:val="auto"/>
          <w:lang w:val="pt-BR"/>
        </w:rPr>
        <w:t>. 176.</w:t>
      </w:r>
    </w:p>
  </w:footnote>
  <w:footnote w:id="225">
    <w:p w14:paraId="18824096" w14:textId="53E64FA5" w:rsidR="00487AEA" w:rsidRPr="00D30EFA" w:rsidRDefault="00487AEA" w:rsidP="00487AEA">
      <w:pPr>
        <w:jc w:val="both"/>
        <w:rPr>
          <w:rFonts w:ascii="Cambria" w:hAnsi="Cambria"/>
          <w:noProof/>
          <w:sz w:val="16"/>
          <w:szCs w:val="16"/>
        </w:rPr>
      </w:pPr>
      <w:r w:rsidRPr="00D30EFA">
        <w:rPr>
          <w:rStyle w:val="FootnoteReference"/>
          <w:rFonts w:ascii="Cambria" w:hAnsi="Cambria"/>
          <w:noProof/>
          <w:sz w:val="16"/>
          <w:szCs w:val="16"/>
        </w:rPr>
        <w:footnoteRef/>
      </w:r>
      <w:r w:rsidRPr="00D30EFA">
        <w:rPr>
          <w:rFonts w:ascii="Cambria" w:hAnsi="Cambria"/>
          <w:noProof/>
          <w:sz w:val="16"/>
          <w:szCs w:val="16"/>
        </w:rPr>
        <w:t xml:space="preserve"> </w:t>
      </w:r>
      <w:r w:rsidRPr="00D30EFA">
        <w:rPr>
          <w:rFonts w:ascii="Cambria" w:hAnsi="Cambria" w:cs="Open Sans"/>
          <w:noProof/>
          <w:sz w:val="16"/>
          <w:szCs w:val="16"/>
          <w:shd w:val="clear" w:color="auto" w:fill="FFFFFF"/>
        </w:rPr>
        <w:t>Corte IDH. Caso Herzog</w:t>
      </w:r>
      <w:r>
        <w:rPr>
          <w:rFonts w:ascii="Cambria" w:hAnsi="Cambria" w:cs="Open Sans"/>
          <w:noProof/>
          <w:sz w:val="16"/>
          <w:szCs w:val="16"/>
          <w:shd w:val="clear" w:color="auto" w:fill="FFFFFF"/>
        </w:rPr>
        <w:t xml:space="preserve"> e </w:t>
      </w:r>
      <w:r w:rsidR="00814379">
        <w:rPr>
          <w:rFonts w:ascii="Cambria" w:hAnsi="Cambria" w:cs="Open Sans"/>
          <w:noProof/>
          <w:sz w:val="16"/>
          <w:szCs w:val="16"/>
          <w:shd w:val="clear" w:color="auto" w:fill="FFFFFF"/>
        </w:rPr>
        <w:t>outr</w:t>
      </w:r>
      <w:r w:rsidRPr="00D30EFA">
        <w:rPr>
          <w:rFonts w:ascii="Cambria" w:hAnsi="Cambria" w:cs="Open Sans"/>
          <w:noProof/>
          <w:sz w:val="16"/>
          <w:szCs w:val="16"/>
          <w:shd w:val="clear" w:color="auto" w:fill="FFFFFF"/>
        </w:rPr>
        <w:t>os Vs. Brasil. Supervis</w:t>
      </w:r>
      <w:r w:rsidR="00814379">
        <w:rPr>
          <w:rFonts w:ascii="Cambria" w:hAnsi="Cambria" w:cs="Open Sans"/>
          <w:noProof/>
          <w:sz w:val="16"/>
          <w:szCs w:val="16"/>
          <w:shd w:val="clear" w:color="auto" w:fill="FFFFFF"/>
        </w:rPr>
        <w:t>ão</w:t>
      </w:r>
      <w:r w:rsidRPr="00D30EFA">
        <w:rPr>
          <w:rFonts w:ascii="Cambria" w:hAnsi="Cambria" w:cs="Open Sans"/>
          <w:noProof/>
          <w:sz w:val="16"/>
          <w:szCs w:val="16"/>
          <w:shd w:val="clear" w:color="auto" w:fill="FFFFFF"/>
        </w:rPr>
        <w:t xml:space="preserve"> de Cump</w:t>
      </w:r>
      <w:r w:rsidR="00814379">
        <w:rPr>
          <w:rFonts w:ascii="Cambria" w:hAnsi="Cambria" w:cs="Open Sans"/>
          <w:noProof/>
          <w:sz w:val="16"/>
          <w:szCs w:val="16"/>
          <w:shd w:val="clear" w:color="auto" w:fill="FFFFFF"/>
        </w:rPr>
        <w:t>r</w:t>
      </w:r>
      <w:r w:rsidRPr="00D30EFA">
        <w:rPr>
          <w:rFonts w:ascii="Cambria" w:hAnsi="Cambria" w:cs="Open Sans"/>
          <w:noProof/>
          <w:sz w:val="16"/>
          <w:szCs w:val="16"/>
          <w:shd w:val="clear" w:color="auto" w:fill="FFFFFF"/>
        </w:rPr>
        <w:t>i</w:t>
      </w:r>
      <w:r>
        <w:rPr>
          <w:rFonts w:ascii="Cambria" w:hAnsi="Cambria" w:cs="Open Sans"/>
          <w:noProof/>
          <w:sz w:val="16"/>
          <w:szCs w:val="16"/>
          <w:shd w:val="clear" w:color="auto" w:fill="FFFFFF"/>
        </w:rPr>
        <w:t>mento</w:t>
      </w:r>
      <w:r w:rsidRPr="00D30EFA">
        <w:rPr>
          <w:rFonts w:ascii="Cambria" w:hAnsi="Cambria" w:cs="Open Sans"/>
          <w:noProof/>
          <w:sz w:val="16"/>
          <w:szCs w:val="16"/>
          <w:shd w:val="clear" w:color="auto" w:fill="FFFFFF"/>
        </w:rPr>
        <w:t xml:space="preserve"> de </w:t>
      </w:r>
      <w:r w:rsidR="00814379">
        <w:rPr>
          <w:rFonts w:ascii="Cambria" w:hAnsi="Cambria" w:cs="Open Sans"/>
          <w:noProof/>
          <w:sz w:val="16"/>
          <w:szCs w:val="16"/>
          <w:shd w:val="clear" w:color="auto" w:fill="FFFFFF"/>
        </w:rPr>
        <w:t>Sentença</w:t>
      </w:r>
      <w:r w:rsidRPr="00D30EFA">
        <w:rPr>
          <w:rFonts w:ascii="Cambria" w:hAnsi="Cambria" w:cs="Open Sans"/>
          <w:noProof/>
          <w:sz w:val="16"/>
          <w:szCs w:val="16"/>
          <w:shd w:val="clear" w:color="auto" w:fill="FFFFFF"/>
        </w:rPr>
        <w:t>. Resolu</w:t>
      </w:r>
      <w:r>
        <w:rPr>
          <w:rFonts w:ascii="Cambria" w:hAnsi="Cambria" w:cs="Open Sans"/>
          <w:noProof/>
          <w:sz w:val="16"/>
          <w:szCs w:val="16"/>
          <w:shd w:val="clear" w:color="auto" w:fill="FFFFFF"/>
        </w:rPr>
        <w:t>ção</w:t>
      </w:r>
      <w:r w:rsidRPr="00D30EFA">
        <w:rPr>
          <w:rFonts w:ascii="Cambria" w:hAnsi="Cambria" w:cs="Open Sans"/>
          <w:noProof/>
          <w:sz w:val="16"/>
          <w:szCs w:val="16"/>
          <w:shd w:val="clear" w:color="auto" w:fill="FFFFFF"/>
        </w:rPr>
        <w:t xml:space="preserve"> </w:t>
      </w:r>
      <w:r>
        <w:rPr>
          <w:rFonts w:ascii="Cambria" w:hAnsi="Cambria" w:cs="Open Sans"/>
          <w:noProof/>
          <w:sz w:val="16"/>
          <w:szCs w:val="16"/>
          <w:shd w:val="clear" w:color="auto" w:fill="FFFFFF"/>
        </w:rPr>
        <w:t xml:space="preserve">da </w:t>
      </w:r>
      <w:r w:rsidRPr="00D30EFA">
        <w:rPr>
          <w:rFonts w:ascii="Cambria" w:hAnsi="Cambria" w:cs="Open Sans"/>
          <w:noProof/>
          <w:sz w:val="16"/>
          <w:szCs w:val="16"/>
          <w:shd w:val="clear" w:color="auto" w:fill="FFFFFF"/>
        </w:rPr>
        <w:t xml:space="preserve">Corte Interamericana de </w:t>
      </w:r>
      <w:r>
        <w:rPr>
          <w:rFonts w:ascii="Cambria" w:hAnsi="Cambria" w:cs="Open Sans"/>
          <w:noProof/>
          <w:sz w:val="16"/>
          <w:szCs w:val="16"/>
          <w:shd w:val="clear" w:color="auto" w:fill="FFFFFF"/>
        </w:rPr>
        <w:t>Direito</w:t>
      </w:r>
      <w:r w:rsidRPr="00D30EFA">
        <w:rPr>
          <w:rFonts w:ascii="Cambria" w:hAnsi="Cambria" w:cs="Open Sans"/>
          <w:noProof/>
          <w:sz w:val="16"/>
          <w:szCs w:val="16"/>
          <w:shd w:val="clear" w:color="auto" w:fill="FFFFFF"/>
        </w:rPr>
        <w:t xml:space="preserve">s Humanos de 30 de abril de 2021, </w:t>
      </w:r>
      <w:r w:rsidR="00814379">
        <w:rPr>
          <w:rFonts w:ascii="Cambria" w:hAnsi="Cambria"/>
          <w:noProof/>
          <w:sz w:val="16"/>
          <w:szCs w:val="16"/>
        </w:rPr>
        <w:t>par</w:t>
      </w:r>
      <w:r w:rsidRPr="00D30EFA">
        <w:rPr>
          <w:rFonts w:ascii="Cambria" w:hAnsi="Cambria"/>
          <w:noProof/>
          <w:sz w:val="16"/>
          <w:szCs w:val="16"/>
        </w:rPr>
        <w:t xml:space="preserve">.9-10; </w:t>
      </w:r>
      <w:r w:rsidRPr="00D30EFA">
        <w:rPr>
          <w:rFonts w:ascii="Cambria" w:hAnsi="Cambria" w:cs="Open Sans"/>
          <w:noProof/>
          <w:sz w:val="16"/>
          <w:szCs w:val="16"/>
          <w:shd w:val="clear" w:color="auto" w:fill="FFFFFF"/>
        </w:rPr>
        <w:t>Corte IDH. Caso Gomes Lund</w:t>
      </w:r>
      <w:r>
        <w:rPr>
          <w:rFonts w:ascii="Cambria" w:hAnsi="Cambria" w:cs="Open Sans"/>
          <w:noProof/>
          <w:sz w:val="16"/>
          <w:szCs w:val="16"/>
          <w:shd w:val="clear" w:color="auto" w:fill="FFFFFF"/>
        </w:rPr>
        <w:t xml:space="preserve"> e </w:t>
      </w:r>
      <w:r w:rsidR="00814379">
        <w:rPr>
          <w:rFonts w:ascii="Cambria" w:hAnsi="Cambria" w:cs="Open Sans"/>
          <w:noProof/>
          <w:sz w:val="16"/>
          <w:szCs w:val="16"/>
          <w:shd w:val="clear" w:color="auto" w:fill="FFFFFF"/>
        </w:rPr>
        <w:t>outr</w:t>
      </w:r>
      <w:r w:rsidRPr="00D30EFA">
        <w:rPr>
          <w:rFonts w:ascii="Cambria" w:hAnsi="Cambria" w:cs="Open Sans"/>
          <w:noProof/>
          <w:sz w:val="16"/>
          <w:szCs w:val="16"/>
          <w:shd w:val="clear" w:color="auto" w:fill="FFFFFF"/>
        </w:rPr>
        <w:t>os ("Guerrilha do Araguaia") Vs. Brasil. Supervis</w:t>
      </w:r>
      <w:r w:rsidR="00814379">
        <w:rPr>
          <w:rFonts w:ascii="Cambria" w:hAnsi="Cambria" w:cs="Open Sans"/>
          <w:noProof/>
          <w:sz w:val="16"/>
          <w:szCs w:val="16"/>
          <w:shd w:val="clear" w:color="auto" w:fill="FFFFFF"/>
        </w:rPr>
        <w:t>ão</w:t>
      </w:r>
      <w:r w:rsidRPr="00D30EFA">
        <w:rPr>
          <w:rFonts w:ascii="Cambria" w:hAnsi="Cambria" w:cs="Open Sans"/>
          <w:noProof/>
          <w:sz w:val="16"/>
          <w:szCs w:val="16"/>
          <w:shd w:val="clear" w:color="auto" w:fill="FFFFFF"/>
        </w:rPr>
        <w:t xml:space="preserve"> de Cump</w:t>
      </w:r>
      <w:r w:rsidR="00814379">
        <w:rPr>
          <w:rFonts w:ascii="Cambria" w:hAnsi="Cambria" w:cs="Open Sans"/>
          <w:noProof/>
          <w:sz w:val="16"/>
          <w:szCs w:val="16"/>
          <w:shd w:val="clear" w:color="auto" w:fill="FFFFFF"/>
        </w:rPr>
        <w:t>r</w:t>
      </w:r>
      <w:r w:rsidRPr="00D30EFA">
        <w:rPr>
          <w:rFonts w:ascii="Cambria" w:hAnsi="Cambria" w:cs="Open Sans"/>
          <w:noProof/>
          <w:sz w:val="16"/>
          <w:szCs w:val="16"/>
          <w:shd w:val="clear" w:color="auto" w:fill="FFFFFF"/>
        </w:rPr>
        <w:t>i</w:t>
      </w:r>
      <w:r>
        <w:rPr>
          <w:rFonts w:ascii="Cambria" w:hAnsi="Cambria" w:cs="Open Sans"/>
          <w:noProof/>
          <w:sz w:val="16"/>
          <w:szCs w:val="16"/>
          <w:shd w:val="clear" w:color="auto" w:fill="FFFFFF"/>
        </w:rPr>
        <w:t>mento</w:t>
      </w:r>
      <w:r w:rsidRPr="00D30EFA">
        <w:rPr>
          <w:rFonts w:ascii="Cambria" w:hAnsi="Cambria" w:cs="Open Sans"/>
          <w:noProof/>
          <w:sz w:val="16"/>
          <w:szCs w:val="16"/>
          <w:shd w:val="clear" w:color="auto" w:fill="FFFFFF"/>
        </w:rPr>
        <w:t xml:space="preserve"> de </w:t>
      </w:r>
      <w:r w:rsidR="00814379">
        <w:rPr>
          <w:rFonts w:ascii="Cambria" w:hAnsi="Cambria" w:cs="Open Sans"/>
          <w:noProof/>
          <w:sz w:val="16"/>
          <w:szCs w:val="16"/>
          <w:shd w:val="clear" w:color="auto" w:fill="FFFFFF"/>
        </w:rPr>
        <w:t>Sentença</w:t>
      </w:r>
      <w:r w:rsidRPr="00D30EFA">
        <w:rPr>
          <w:rFonts w:ascii="Cambria" w:hAnsi="Cambria" w:cs="Open Sans"/>
          <w:noProof/>
          <w:sz w:val="16"/>
          <w:szCs w:val="16"/>
          <w:shd w:val="clear" w:color="auto" w:fill="FFFFFF"/>
        </w:rPr>
        <w:t>. Resolu</w:t>
      </w:r>
      <w:r>
        <w:rPr>
          <w:rFonts w:ascii="Cambria" w:hAnsi="Cambria" w:cs="Open Sans"/>
          <w:noProof/>
          <w:sz w:val="16"/>
          <w:szCs w:val="16"/>
          <w:shd w:val="clear" w:color="auto" w:fill="FFFFFF"/>
        </w:rPr>
        <w:t>ção</w:t>
      </w:r>
      <w:r w:rsidRPr="00D30EFA">
        <w:rPr>
          <w:rFonts w:ascii="Cambria" w:hAnsi="Cambria" w:cs="Open Sans"/>
          <w:noProof/>
          <w:sz w:val="16"/>
          <w:szCs w:val="16"/>
          <w:shd w:val="clear" w:color="auto" w:fill="FFFFFF"/>
        </w:rPr>
        <w:t xml:space="preserve"> </w:t>
      </w:r>
      <w:r>
        <w:rPr>
          <w:rFonts w:ascii="Cambria" w:hAnsi="Cambria" w:cs="Open Sans"/>
          <w:noProof/>
          <w:sz w:val="16"/>
          <w:szCs w:val="16"/>
          <w:shd w:val="clear" w:color="auto" w:fill="FFFFFF"/>
        </w:rPr>
        <w:t xml:space="preserve">da </w:t>
      </w:r>
      <w:r w:rsidRPr="00D30EFA">
        <w:rPr>
          <w:rFonts w:ascii="Cambria" w:hAnsi="Cambria" w:cs="Open Sans"/>
          <w:noProof/>
          <w:sz w:val="16"/>
          <w:szCs w:val="16"/>
          <w:shd w:val="clear" w:color="auto" w:fill="FFFFFF"/>
        </w:rPr>
        <w:t xml:space="preserve">Corte Interamericana de </w:t>
      </w:r>
      <w:r>
        <w:rPr>
          <w:rFonts w:ascii="Cambria" w:hAnsi="Cambria" w:cs="Open Sans"/>
          <w:noProof/>
          <w:sz w:val="16"/>
          <w:szCs w:val="16"/>
          <w:shd w:val="clear" w:color="auto" w:fill="FFFFFF"/>
        </w:rPr>
        <w:t>Direito</w:t>
      </w:r>
      <w:r w:rsidRPr="00D30EFA">
        <w:rPr>
          <w:rFonts w:ascii="Cambria" w:hAnsi="Cambria" w:cs="Open Sans"/>
          <w:noProof/>
          <w:sz w:val="16"/>
          <w:szCs w:val="16"/>
          <w:shd w:val="clear" w:color="auto" w:fill="FFFFFF"/>
        </w:rPr>
        <w:t>s Humanos de 17 de o</w:t>
      </w:r>
      <w:r w:rsidR="00814379">
        <w:rPr>
          <w:rFonts w:ascii="Cambria" w:hAnsi="Cambria" w:cs="Open Sans"/>
          <w:noProof/>
          <w:sz w:val="16"/>
          <w:szCs w:val="16"/>
          <w:shd w:val="clear" w:color="auto" w:fill="FFFFFF"/>
        </w:rPr>
        <w:t>u</w:t>
      </w:r>
      <w:r w:rsidRPr="00D30EFA">
        <w:rPr>
          <w:rFonts w:ascii="Cambria" w:hAnsi="Cambria" w:cs="Open Sans"/>
          <w:noProof/>
          <w:sz w:val="16"/>
          <w:szCs w:val="16"/>
          <w:shd w:val="clear" w:color="auto" w:fill="FFFFFF"/>
        </w:rPr>
        <w:t>tubr</w:t>
      </w:r>
      <w:r w:rsidR="00814379">
        <w:rPr>
          <w:rFonts w:ascii="Cambria" w:hAnsi="Cambria" w:cs="Open Sans"/>
          <w:noProof/>
          <w:sz w:val="16"/>
          <w:szCs w:val="16"/>
          <w:shd w:val="clear" w:color="auto" w:fill="FFFFFF"/>
        </w:rPr>
        <w:t>o</w:t>
      </w:r>
      <w:r w:rsidRPr="00D30EFA">
        <w:rPr>
          <w:rFonts w:ascii="Cambria" w:hAnsi="Cambria" w:cs="Open Sans"/>
          <w:noProof/>
          <w:sz w:val="16"/>
          <w:szCs w:val="16"/>
          <w:shd w:val="clear" w:color="auto" w:fill="FFFFFF"/>
        </w:rPr>
        <w:t xml:space="preserve"> de 2014</w:t>
      </w:r>
      <w:r w:rsidRPr="00D30EFA">
        <w:rPr>
          <w:rFonts w:ascii="Cambria" w:hAnsi="Cambria"/>
          <w:noProof/>
          <w:sz w:val="16"/>
          <w:szCs w:val="16"/>
        </w:rPr>
        <w:t xml:space="preserve">,  </w:t>
      </w:r>
      <w:r w:rsidR="00814379">
        <w:rPr>
          <w:rFonts w:ascii="Cambria" w:hAnsi="Cambria"/>
          <w:noProof/>
          <w:sz w:val="16"/>
          <w:szCs w:val="16"/>
        </w:rPr>
        <w:t>par</w:t>
      </w:r>
      <w:r w:rsidRPr="00D30EFA">
        <w:rPr>
          <w:rFonts w:ascii="Cambria" w:hAnsi="Cambria"/>
          <w:noProof/>
          <w:sz w:val="16"/>
          <w:szCs w:val="16"/>
        </w:rPr>
        <w:t>. 9, 15-18</w:t>
      </w:r>
    </w:p>
  </w:footnote>
  <w:footnote w:id="226">
    <w:p w14:paraId="57F47995" w14:textId="518D6BD4" w:rsidR="00487AEA" w:rsidRPr="00D30EFA" w:rsidRDefault="00487AEA" w:rsidP="00487AEA">
      <w:pPr>
        <w:jc w:val="both"/>
        <w:rPr>
          <w:rFonts w:ascii="Cambria" w:hAnsi="Cambria"/>
          <w:noProof/>
          <w:sz w:val="16"/>
          <w:szCs w:val="16"/>
        </w:rPr>
      </w:pPr>
      <w:r w:rsidRPr="00D30EFA">
        <w:rPr>
          <w:rStyle w:val="FootnoteReference"/>
          <w:rFonts w:ascii="Cambria" w:hAnsi="Cambria"/>
          <w:noProof/>
          <w:sz w:val="16"/>
          <w:szCs w:val="16"/>
        </w:rPr>
        <w:footnoteRef/>
      </w:r>
      <w:r w:rsidRPr="00D30EFA">
        <w:rPr>
          <w:rFonts w:ascii="Cambria" w:hAnsi="Cambria"/>
          <w:noProof/>
          <w:sz w:val="16"/>
          <w:szCs w:val="16"/>
        </w:rPr>
        <w:t xml:space="preserve"> </w:t>
      </w:r>
      <w:r w:rsidRPr="00D30EFA">
        <w:rPr>
          <w:rFonts w:ascii="Cambria" w:hAnsi="Cambria" w:cs="Open Sans"/>
          <w:noProof/>
          <w:sz w:val="16"/>
          <w:szCs w:val="16"/>
          <w:shd w:val="clear" w:color="auto" w:fill="FFFFFF"/>
        </w:rPr>
        <w:t>Corte IDH. Caso Herzog</w:t>
      </w:r>
      <w:r>
        <w:rPr>
          <w:rFonts w:ascii="Cambria" w:hAnsi="Cambria" w:cs="Open Sans"/>
          <w:noProof/>
          <w:sz w:val="16"/>
          <w:szCs w:val="16"/>
          <w:shd w:val="clear" w:color="auto" w:fill="FFFFFF"/>
        </w:rPr>
        <w:t xml:space="preserve"> e </w:t>
      </w:r>
      <w:r w:rsidR="00814379">
        <w:rPr>
          <w:rFonts w:ascii="Cambria" w:hAnsi="Cambria" w:cs="Open Sans"/>
          <w:noProof/>
          <w:sz w:val="16"/>
          <w:szCs w:val="16"/>
          <w:shd w:val="clear" w:color="auto" w:fill="FFFFFF"/>
        </w:rPr>
        <w:t>outr</w:t>
      </w:r>
      <w:r w:rsidRPr="00D30EFA">
        <w:rPr>
          <w:rFonts w:ascii="Cambria" w:hAnsi="Cambria" w:cs="Open Sans"/>
          <w:noProof/>
          <w:sz w:val="16"/>
          <w:szCs w:val="16"/>
          <w:shd w:val="clear" w:color="auto" w:fill="FFFFFF"/>
        </w:rPr>
        <w:t>os Vs. Brasil. Supervis</w:t>
      </w:r>
      <w:r w:rsidR="00814379">
        <w:rPr>
          <w:rFonts w:ascii="Cambria" w:hAnsi="Cambria" w:cs="Open Sans"/>
          <w:noProof/>
          <w:sz w:val="16"/>
          <w:szCs w:val="16"/>
          <w:shd w:val="clear" w:color="auto" w:fill="FFFFFF"/>
        </w:rPr>
        <w:t>ão</w:t>
      </w:r>
      <w:r w:rsidRPr="00D30EFA">
        <w:rPr>
          <w:rFonts w:ascii="Cambria" w:hAnsi="Cambria" w:cs="Open Sans"/>
          <w:noProof/>
          <w:sz w:val="16"/>
          <w:szCs w:val="16"/>
          <w:shd w:val="clear" w:color="auto" w:fill="FFFFFF"/>
        </w:rPr>
        <w:t xml:space="preserve"> de Cump</w:t>
      </w:r>
      <w:r w:rsidR="00814379">
        <w:rPr>
          <w:rFonts w:ascii="Cambria" w:hAnsi="Cambria" w:cs="Open Sans"/>
          <w:noProof/>
          <w:sz w:val="16"/>
          <w:szCs w:val="16"/>
          <w:shd w:val="clear" w:color="auto" w:fill="FFFFFF"/>
        </w:rPr>
        <w:t>r</w:t>
      </w:r>
      <w:r w:rsidRPr="00D30EFA">
        <w:rPr>
          <w:rFonts w:ascii="Cambria" w:hAnsi="Cambria" w:cs="Open Sans"/>
          <w:noProof/>
          <w:sz w:val="16"/>
          <w:szCs w:val="16"/>
          <w:shd w:val="clear" w:color="auto" w:fill="FFFFFF"/>
        </w:rPr>
        <w:t>i</w:t>
      </w:r>
      <w:r>
        <w:rPr>
          <w:rFonts w:ascii="Cambria" w:hAnsi="Cambria" w:cs="Open Sans"/>
          <w:noProof/>
          <w:sz w:val="16"/>
          <w:szCs w:val="16"/>
          <w:shd w:val="clear" w:color="auto" w:fill="FFFFFF"/>
        </w:rPr>
        <w:t>mento</w:t>
      </w:r>
      <w:r w:rsidRPr="00D30EFA">
        <w:rPr>
          <w:rFonts w:ascii="Cambria" w:hAnsi="Cambria" w:cs="Open Sans"/>
          <w:noProof/>
          <w:sz w:val="16"/>
          <w:szCs w:val="16"/>
          <w:shd w:val="clear" w:color="auto" w:fill="FFFFFF"/>
        </w:rPr>
        <w:t xml:space="preserve"> de </w:t>
      </w:r>
      <w:r w:rsidR="00814379">
        <w:rPr>
          <w:rFonts w:ascii="Cambria" w:hAnsi="Cambria" w:cs="Open Sans"/>
          <w:noProof/>
          <w:sz w:val="16"/>
          <w:szCs w:val="16"/>
          <w:shd w:val="clear" w:color="auto" w:fill="FFFFFF"/>
        </w:rPr>
        <w:t>Sentença</w:t>
      </w:r>
      <w:r w:rsidRPr="00D30EFA">
        <w:rPr>
          <w:rFonts w:ascii="Cambria" w:hAnsi="Cambria" w:cs="Open Sans"/>
          <w:noProof/>
          <w:sz w:val="16"/>
          <w:szCs w:val="16"/>
          <w:shd w:val="clear" w:color="auto" w:fill="FFFFFF"/>
        </w:rPr>
        <w:t>. Resolu</w:t>
      </w:r>
      <w:r>
        <w:rPr>
          <w:rFonts w:ascii="Cambria" w:hAnsi="Cambria" w:cs="Open Sans"/>
          <w:noProof/>
          <w:sz w:val="16"/>
          <w:szCs w:val="16"/>
          <w:shd w:val="clear" w:color="auto" w:fill="FFFFFF"/>
        </w:rPr>
        <w:t>ção</w:t>
      </w:r>
      <w:r w:rsidRPr="00D30EFA">
        <w:rPr>
          <w:rFonts w:ascii="Cambria" w:hAnsi="Cambria" w:cs="Open Sans"/>
          <w:noProof/>
          <w:sz w:val="16"/>
          <w:szCs w:val="16"/>
          <w:shd w:val="clear" w:color="auto" w:fill="FFFFFF"/>
        </w:rPr>
        <w:t xml:space="preserve"> </w:t>
      </w:r>
      <w:r>
        <w:rPr>
          <w:rFonts w:ascii="Cambria" w:hAnsi="Cambria" w:cs="Open Sans"/>
          <w:noProof/>
          <w:sz w:val="16"/>
          <w:szCs w:val="16"/>
          <w:shd w:val="clear" w:color="auto" w:fill="FFFFFF"/>
        </w:rPr>
        <w:t xml:space="preserve">da </w:t>
      </w:r>
      <w:r w:rsidRPr="00D30EFA">
        <w:rPr>
          <w:rFonts w:ascii="Cambria" w:hAnsi="Cambria" w:cs="Open Sans"/>
          <w:noProof/>
          <w:sz w:val="16"/>
          <w:szCs w:val="16"/>
          <w:shd w:val="clear" w:color="auto" w:fill="FFFFFF"/>
        </w:rPr>
        <w:t xml:space="preserve">Corte Interamericana de </w:t>
      </w:r>
      <w:r>
        <w:rPr>
          <w:rFonts w:ascii="Cambria" w:hAnsi="Cambria" w:cs="Open Sans"/>
          <w:noProof/>
          <w:sz w:val="16"/>
          <w:szCs w:val="16"/>
          <w:shd w:val="clear" w:color="auto" w:fill="FFFFFF"/>
        </w:rPr>
        <w:t>Direito</w:t>
      </w:r>
      <w:r w:rsidRPr="00D30EFA">
        <w:rPr>
          <w:rFonts w:ascii="Cambria" w:hAnsi="Cambria" w:cs="Open Sans"/>
          <w:noProof/>
          <w:sz w:val="16"/>
          <w:szCs w:val="16"/>
          <w:shd w:val="clear" w:color="auto" w:fill="FFFFFF"/>
        </w:rPr>
        <w:t xml:space="preserve">s Humanos de 30 de abril de 2021, </w:t>
      </w:r>
      <w:r w:rsidR="00814379">
        <w:rPr>
          <w:rFonts w:ascii="Cambria" w:hAnsi="Cambria"/>
          <w:noProof/>
          <w:sz w:val="16"/>
          <w:szCs w:val="16"/>
        </w:rPr>
        <w:t>par</w:t>
      </w:r>
      <w:r w:rsidRPr="00D30EFA">
        <w:rPr>
          <w:rFonts w:ascii="Cambria" w:hAnsi="Cambria"/>
          <w:noProof/>
          <w:sz w:val="16"/>
          <w:szCs w:val="16"/>
        </w:rPr>
        <w:t>. 11</w:t>
      </w:r>
    </w:p>
  </w:footnote>
  <w:footnote w:id="227">
    <w:p w14:paraId="58E920B8" w14:textId="568B9B55" w:rsidR="00487AEA" w:rsidRPr="00D30EFA" w:rsidRDefault="00487AEA" w:rsidP="00487AEA">
      <w:pPr>
        <w:jc w:val="both"/>
        <w:rPr>
          <w:rFonts w:ascii="Cambria" w:hAnsi="Cambria"/>
          <w:noProof/>
          <w:sz w:val="16"/>
          <w:szCs w:val="16"/>
        </w:rPr>
      </w:pPr>
      <w:r w:rsidRPr="00D30EFA">
        <w:rPr>
          <w:rStyle w:val="FootnoteReference"/>
          <w:rFonts w:ascii="Cambria" w:hAnsi="Cambria"/>
          <w:noProof/>
          <w:sz w:val="16"/>
          <w:szCs w:val="16"/>
        </w:rPr>
        <w:footnoteRef/>
      </w:r>
      <w:r w:rsidRPr="00D30EFA">
        <w:rPr>
          <w:rFonts w:ascii="Cambria" w:hAnsi="Cambria"/>
          <w:noProof/>
          <w:sz w:val="16"/>
          <w:szCs w:val="16"/>
        </w:rPr>
        <w:t xml:space="preserve"> CIDH. Situa</w:t>
      </w:r>
      <w:r>
        <w:rPr>
          <w:rFonts w:ascii="Cambria" w:hAnsi="Cambria"/>
          <w:noProof/>
          <w:sz w:val="16"/>
          <w:szCs w:val="16"/>
        </w:rPr>
        <w:t>ção</w:t>
      </w:r>
      <w:r w:rsidRPr="00D30EFA">
        <w:rPr>
          <w:rFonts w:ascii="Cambria" w:hAnsi="Cambria"/>
          <w:noProof/>
          <w:sz w:val="16"/>
          <w:szCs w:val="16"/>
        </w:rPr>
        <w:t xml:space="preserve"> d</w:t>
      </w:r>
      <w:r w:rsidR="003B70B7">
        <w:rPr>
          <w:rFonts w:ascii="Cambria" w:hAnsi="Cambria"/>
          <w:noProof/>
          <w:sz w:val="16"/>
          <w:szCs w:val="16"/>
        </w:rPr>
        <w:t>os</w:t>
      </w:r>
      <w:r w:rsidRPr="00D30EFA">
        <w:rPr>
          <w:rFonts w:ascii="Cambria" w:hAnsi="Cambria"/>
          <w:noProof/>
          <w:sz w:val="16"/>
          <w:szCs w:val="16"/>
        </w:rPr>
        <w:t xml:space="preserve"> </w:t>
      </w:r>
      <w:r>
        <w:rPr>
          <w:rFonts w:ascii="Cambria" w:hAnsi="Cambria"/>
          <w:noProof/>
          <w:sz w:val="16"/>
          <w:szCs w:val="16"/>
        </w:rPr>
        <w:t>direito</w:t>
      </w:r>
      <w:r w:rsidRPr="00D30EFA">
        <w:rPr>
          <w:rFonts w:ascii="Cambria" w:hAnsi="Cambria"/>
          <w:noProof/>
          <w:sz w:val="16"/>
          <w:szCs w:val="16"/>
        </w:rPr>
        <w:t>s humanos n</w:t>
      </w:r>
      <w:r w:rsidR="00814379">
        <w:rPr>
          <w:rFonts w:ascii="Cambria" w:hAnsi="Cambria"/>
          <w:noProof/>
          <w:sz w:val="16"/>
          <w:szCs w:val="16"/>
        </w:rPr>
        <w:t>o</w:t>
      </w:r>
      <w:r w:rsidRPr="00D30EFA">
        <w:rPr>
          <w:rFonts w:ascii="Cambria" w:hAnsi="Cambria"/>
          <w:noProof/>
          <w:sz w:val="16"/>
          <w:szCs w:val="16"/>
        </w:rPr>
        <w:t xml:space="preserve"> Brasil. OEA/Ser.L/V/II, 12 fe</w:t>
      </w:r>
      <w:r w:rsidR="00814379">
        <w:rPr>
          <w:rFonts w:ascii="Cambria" w:hAnsi="Cambria"/>
          <w:noProof/>
          <w:sz w:val="16"/>
          <w:szCs w:val="16"/>
        </w:rPr>
        <w:t>ve</w:t>
      </w:r>
      <w:r w:rsidRPr="00D30EFA">
        <w:rPr>
          <w:rFonts w:ascii="Cambria" w:hAnsi="Cambria"/>
          <w:noProof/>
          <w:sz w:val="16"/>
          <w:szCs w:val="16"/>
        </w:rPr>
        <w:t>re</w:t>
      </w:r>
      <w:r w:rsidR="00814379">
        <w:rPr>
          <w:rFonts w:ascii="Cambria" w:hAnsi="Cambria"/>
          <w:noProof/>
          <w:sz w:val="16"/>
          <w:szCs w:val="16"/>
        </w:rPr>
        <w:t>i</w:t>
      </w:r>
      <w:r w:rsidRPr="00D30EFA">
        <w:rPr>
          <w:rFonts w:ascii="Cambria" w:hAnsi="Cambria"/>
          <w:noProof/>
          <w:sz w:val="16"/>
          <w:szCs w:val="16"/>
        </w:rPr>
        <w:t xml:space="preserve">ro 2021, </w:t>
      </w:r>
      <w:r w:rsidR="00814379">
        <w:rPr>
          <w:rFonts w:ascii="Cambria" w:hAnsi="Cambria" w:cs="Open Sans"/>
          <w:noProof/>
          <w:sz w:val="16"/>
          <w:szCs w:val="16"/>
          <w:shd w:val="clear" w:color="auto" w:fill="FFFFFF"/>
        </w:rPr>
        <w:t>par</w:t>
      </w:r>
      <w:r w:rsidRPr="00D30EFA">
        <w:rPr>
          <w:rFonts w:ascii="Cambria" w:hAnsi="Cambria" w:cs="Open Sans"/>
          <w:noProof/>
          <w:sz w:val="16"/>
          <w:szCs w:val="16"/>
          <w:shd w:val="clear" w:color="auto" w:fill="FFFFFF"/>
        </w:rPr>
        <w:t>.</w:t>
      </w:r>
      <w:r w:rsidR="00AB3666">
        <w:rPr>
          <w:rFonts w:ascii="Cambria" w:hAnsi="Cambria" w:cs="Open Sans"/>
          <w:noProof/>
          <w:sz w:val="16"/>
          <w:szCs w:val="16"/>
          <w:shd w:val="clear" w:color="auto" w:fill="FFFFFF"/>
        </w:rPr>
        <w:t xml:space="preserve"> </w:t>
      </w:r>
      <w:r w:rsidRPr="00D30EFA">
        <w:rPr>
          <w:rFonts w:ascii="Cambria" w:hAnsi="Cambria" w:cs="Open Sans"/>
          <w:noProof/>
          <w:sz w:val="16"/>
          <w:szCs w:val="16"/>
          <w:shd w:val="clear" w:color="auto" w:fill="FFFFFF"/>
        </w:rPr>
        <w:t>41</w:t>
      </w:r>
      <w:r w:rsidR="00AB3666">
        <w:rPr>
          <w:rFonts w:ascii="Cambria" w:hAnsi="Cambria" w:cs="Open Sans"/>
          <w:noProof/>
          <w:sz w:val="16"/>
          <w:szCs w:val="16"/>
          <w:shd w:val="clear" w:color="auto" w:fill="FFFFFF"/>
        </w:rPr>
        <w:t>2.</w:t>
      </w:r>
    </w:p>
  </w:footnote>
  <w:footnote w:id="228">
    <w:p w14:paraId="029919A6" w14:textId="77777777"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Corte IDH., </w:t>
      </w:r>
      <w:r>
        <w:rPr>
          <w:bCs/>
          <w:noProof/>
          <w:color w:val="auto"/>
          <w:lang w:val="pt-BR"/>
        </w:rPr>
        <w:t>Caso Barrios Altos vs. Peru</w:t>
      </w:r>
      <w:r w:rsidRPr="00D30EFA">
        <w:rPr>
          <w:bCs/>
          <w:noProof/>
          <w:color w:val="auto"/>
          <w:lang w:val="pt-BR"/>
        </w:rPr>
        <w:t xml:space="preserve">. </w:t>
      </w:r>
      <w:r>
        <w:rPr>
          <w:noProof/>
          <w:color w:val="auto"/>
          <w:lang w:val="pt-BR"/>
        </w:rPr>
        <w:t>Sentença de 14 de março de 2001. Série C Nº 75, pa</w:t>
      </w:r>
      <w:r w:rsidRPr="00D30EFA">
        <w:rPr>
          <w:noProof/>
          <w:color w:val="auto"/>
          <w:lang w:val="pt-BR"/>
        </w:rPr>
        <w:t>r. 41.</w:t>
      </w:r>
    </w:p>
  </w:footnote>
  <w:footnote w:id="229">
    <w:p w14:paraId="4679B0DF" w14:textId="77777777"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CIDH, </w:t>
      </w:r>
      <w:r>
        <w:rPr>
          <w:noProof/>
          <w:color w:val="auto"/>
          <w:lang w:val="pt-BR"/>
        </w:rPr>
        <w:t>Relatório Nº</w:t>
      </w:r>
      <w:r w:rsidRPr="00D30EFA">
        <w:rPr>
          <w:noProof/>
          <w:color w:val="auto"/>
          <w:lang w:val="pt-BR"/>
        </w:rPr>
        <w:t xml:space="preserve"> 35/98, caso 12.019, Antonio Fe</w:t>
      </w:r>
      <w:r>
        <w:rPr>
          <w:noProof/>
          <w:color w:val="auto"/>
          <w:lang w:val="pt-BR"/>
        </w:rPr>
        <w:t>rreira Braga, Brasil, 19 de julh</w:t>
      </w:r>
      <w:r w:rsidRPr="00D30EFA">
        <w:rPr>
          <w:noProof/>
          <w:color w:val="auto"/>
          <w:lang w:val="pt-BR"/>
        </w:rPr>
        <w:t xml:space="preserve">o de 2008. </w:t>
      </w:r>
    </w:p>
  </w:footnote>
  <w:footnote w:id="230">
    <w:p w14:paraId="4583445D" w14:textId="20C66903"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rFonts w:cs="Verdana"/>
          <w:bCs/>
          <w:noProof/>
          <w:color w:val="auto"/>
          <w:lang w:val="pt-BR"/>
        </w:rPr>
        <w:t>Corte IDH. Caso Vera Vera</w:t>
      </w:r>
      <w:r>
        <w:rPr>
          <w:rFonts w:cs="Verdana"/>
          <w:bCs/>
          <w:noProof/>
          <w:color w:val="auto"/>
          <w:lang w:val="pt-BR"/>
        </w:rPr>
        <w:t xml:space="preserve"> e </w:t>
      </w:r>
      <w:r w:rsidRPr="00D30EFA">
        <w:rPr>
          <w:rFonts w:cs="Verdana"/>
          <w:bCs/>
          <w:noProof/>
          <w:color w:val="auto"/>
          <w:lang w:val="pt-BR"/>
        </w:rPr>
        <w:t>o</w:t>
      </w:r>
      <w:r>
        <w:rPr>
          <w:rFonts w:cs="Verdana"/>
          <w:bCs/>
          <w:noProof/>
          <w:color w:val="auto"/>
          <w:lang w:val="pt-BR"/>
        </w:rPr>
        <w:t xml:space="preserve">utra vs. Equador. Exceção Preliminar, </w:t>
      </w:r>
      <w:r w:rsidR="00B144F6">
        <w:rPr>
          <w:rFonts w:cs="Verdana"/>
          <w:bCs/>
          <w:noProof/>
          <w:color w:val="auto"/>
          <w:lang w:val="pt-BR"/>
        </w:rPr>
        <w:t>Mérito</w:t>
      </w:r>
      <w:r w:rsidRPr="00D30EFA">
        <w:rPr>
          <w:rFonts w:cs="Verdana"/>
          <w:bCs/>
          <w:noProof/>
          <w:color w:val="auto"/>
          <w:lang w:val="pt-BR"/>
        </w:rPr>
        <w:t>, Repara</w:t>
      </w:r>
      <w:r>
        <w:rPr>
          <w:rFonts w:cs="Verdana"/>
          <w:bCs/>
          <w:noProof/>
          <w:color w:val="auto"/>
          <w:lang w:val="pt-BR"/>
        </w:rPr>
        <w:t xml:space="preserve">ções e </w:t>
      </w:r>
      <w:r w:rsidR="00B144F6">
        <w:rPr>
          <w:rFonts w:cs="Verdana"/>
          <w:bCs/>
          <w:noProof/>
          <w:color w:val="auto"/>
          <w:lang w:val="pt-BR"/>
        </w:rPr>
        <w:t>Custas</w:t>
      </w:r>
      <w:r>
        <w:rPr>
          <w:rFonts w:cs="Verdana"/>
          <w:bCs/>
          <w:noProof/>
          <w:color w:val="auto"/>
          <w:lang w:val="pt-BR"/>
        </w:rPr>
        <w:t>. Sentença de 19 de maio de 2011. Série C nº 226. Pa</w:t>
      </w:r>
      <w:r w:rsidRPr="00D30EFA">
        <w:rPr>
          <w:rFonts w:cs="Verdana"/>
          <w:bCs/>
          <w:noProof/>
          <w:color w:val="auto"/>
          <w:lang w:val="pt-BR"/>
        </w:rPr>
        <w:t>r. 117.</w:t>
      </w:r>
    </w:p>
  </w:footnote>
  <w:footnote w:id="231">
    <w:p w14:paraId="57E27D19" w14:textId="75CB9271"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Corte IDH. </w:t>
      </w:r>
      <w:r w:rsidRPr="00AF31EC">
        <w:rPr>
          <w:rFonts w:cs="Verdana"/>
          <w:noProof/>
          <w:color w:val="auto"/>
          <w:lang w:val="es-419"/>
        </w:rPr>
        <w:t xml:space="preserve">Caso Ibsen Cárdenas e Ibsen Peña vs. Bolívia. </w:t>
      </w:r>
      <w:r w:rsidR="00B144F6">
        <w:rPr>
          <w:rFonts w:cs="Verdana"/>
          <w:noProof/>
          <w:color w:val="auto"/>
          <w:lang w:val="pt-BR"/>
        </w:rPr>
        <w:t>Mérito</w:t>
      </w:r>
      <w:r w:rsidRPr="00D30EFA">
        <w:rPr>
          <w:rFonts w:cs="Verdana"/>
          <w:noProof/>
          <w:color w:val="auto"/>
          <w:lang w:val="pt-BR"/>
        </w:rPr>
        <w:t>, Repara</w:t>
      </w:r>
      <w:r>
        <w:rPr>
          <w:rFonts w:cs="Verdana"/>
          <w:noProof/>
          <w:color w:val="auto"/>
          <w:lang w:val="pt-BR"/>
        </w:rPr>
        <w:t xml:space="preserve">ções e </w:t>
      </w:r>
      <w:r w:rsidR="00B144F6">
        <w:rPr>
          <w:rFonts w:cs="Verdana"/>
          <w:noProof/>
          <w:color w:val="auto"/>
          <w:lang w:val="pt-BR"/>
        </w:rPr>
        <w:t>Custas</w:t>
      </w:r>
      <w:r w:rsidRPr="00D30EFA">
        <w:rPr>
          <w:rFonts w:cs="Verdana"/>
          <w:noProof/>
          <w:color w:val="auto"/>
          <w:lang w:val="pt-BR"/>
        </w:rPr>
        <w:t>.</w:t>
      </w:r>
      <w:r w:rsidRPr="00D30EFA">
        <w:rPr>
          <w:noProof/>
          <w:color w:val="auto"/>
          <w:lang w:val="pt-BR"/>
        </w:rPr>
        <w:t xml:space="preserve"> </w:t>
      </w:r>
      <w:r>
        <w:rPr>
          <w:rFonts w:cs="Verdana"/>
          <w:noProof/>
          <w:color w:val="auto"/>
          <w:lang w:val="pt-BR"/>
        </w:rPr>
        <w:t>Sentenç</w:t>
      </w:r>
      <w:r w:rsidRPr="00D30EFA">
        <w:rPr>
          <w:rFonts w:cs="Verdana"/>
          <w:noProof/>
          <w:color w:val="auto"/>
          <w:lang w:val="pt-BR"/>
        </w:rPr>
        <w:t xml:space="preserve">a de 1 de </w:t>
      </w:r>
      <w:r>
        <w:rPr>
          <w:rFonts w:cs="Verdana"/>
          <w:noProof/>
          <w:color w:val="auto"/>
          <w:lang w:val="pt-BR"/>
        </w:rPr>
        <w:t>setembro de 2010 Série C Nº</w:t>
      </w:r>
      <w:r w:rsidRPr="00D30EFA">
        <w:rPr>
          <w:rFonts w:cs="Verdana"/>
          <w:noProof/>
          <w:color w:val="auto"/>
          <w:lang w:val="pt-BR"/>
        </w:rPr>
        <w:t xml:space="preserve"> 217</w:t>
      </w:r>
      <w:r w:rsidRPr="00D30EFA">
        <w:rPr>
          <w:noProof/>
          <w:color w:val="auto"/>
          <w:lang w:val="pt-BR"/>
        </w:rPr>
        <w:t>,</w:t>
      </w:r>
      <w:r w:rsidRPr="00D30EFA">
        <w:rPr>
          <w:bCs/>
          <w:noProof/>
          <w:color w:val="auto"/>
          <w:lang w:val="pt-BR"/>
        </w:rPr>
        <w:t xml:space="preserve"> </w:t>
      </w:r>
      <w:r>
        <w:rPr>
          <w:noProof/>
          <w:color w:val="auto"/>
          <w:lang w:val="pt-BR"/>
        </w:rPr>
        <w:t>pa</w:t>
      </w:r>
      <w:r w:rsidRPr="00D30EFA">
        <w:rPr>
          <w:noProof/>
          <w:color w:val="auto"/>
          <w:lang w:val="pt-BR"/>
        </w:rPr>
        <w:t>r. 207.</w:t>
      </w:r>
    </w:p>
  </w:footnote>
  <w:footnote w:id="232">
    <w:p w14:paraId="26E615B4" w14:textId="1A7D9678"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Corte IDH. </w:t>
      </w:r>
      <w:r w:rsidRPr="00D30EFA">
        <w:rPr>
          <w:bCs/>
          <w:noProof/>
          <w:color w:val="auto"/>
          <w:lang w:val="pt-BR"/>
        </w:rPr>
        <w:t>Caso Gomes Lund</w:t>
      </w:r>
      <w:r>
        <w:rPr>
          <w:bCs/>
          <w:noProof/>
          <w:color w:val="auto"/>
          <w:lang w:val="pt-BR"/>
        </w:rPr>
        <w:t xml:space="preserve"> e </w:t>
      </w:r>
      <w:r w:rsidRPr="00D30EFA">
        <w:rPr>
          <w:bCs/>
          <w:noProof/>
          <w:color w:val="auto"/>
          <w:lang w:val="pt-BR"/>
        </w:rPr>
        <w:t>o</w:t>
      </w:r>
      <w:r>
        <w:rPr>
          <w:bCs/>
          <w:noProof/>
          <w:color w:val="auto"/>
          <w:lang w:val="pt-BR"/>
        </w:rPr>
        <w:t xml:space="preserve">utros (Guerrilha do Araguaia) vs. Brasil. Exceções Preliminares, </w:t>
      </w:r>
      <w:r w:rsidR="00B144F6">
        <w:rPr>
          <w:bCs/>
          <w:noProof/>
          <w:color w:val="auto"/>
          <w:lang w:val="pt-BR"/>
        </w:rPr>
        <w:t>Mérito</w:t>
      </w:r>
      <w:r w:rsidRPr="00D30EFA">
        <w:rPr>
          <w:bCs/>
          <w:noProof/>
          <w:color w:val="auto"/>
          <w:lang w:val="pt-BR"/>
        </w:rPr>
        <w:t>, Repara</w:t>
      </w:r>
      <w:r>
        <w:rPr>
          <w:bCs/>
          <w:noProof/>
          <w:color w:val="auto"/>
          <w:lang w:val="pt-BR"/>
        </w:rPr>
        <w:t xml:space="preserve">ções e </w:t>
      </w:r>
      <w:r w:rsidR="00B144F6">
        <w:rPr>
          <w:bCs/>
          <w:noProof/>
          <w:color w:val="auto"/>
          <w:lang w:val="pt-BR"/>
        </w:rPr>
        <w:t>Custas</w:t>
      </w:r>
      <w:r>
        <w:rPr>
          <w:bCs/>
          <w:noProof/>
          <w:color w:val="auto"/>
          <w:lang w:val="pt-BR"/>
        </w:rPr>
        <w:t>. Sentenç</w:t>
      </w:r>
      <w:r w:rsidRPr="00D30EFA">
        <w:rPr>
          <w:bCs/>
          <w:noProof/>
          <w:color w:val="auto"/>
          <w:lang w:val="pt-BR"/>
        </w:rPr>
        <w:t xml:space="preserve">a de 24 de </w:t>
      </w:r>
      <w:r>
        <w:rPr>
          <w:bCs/>
          <w:noProof/>
          <w:color w:val="auto"/>
          <w:lang w:val="pt-BR"/>
        </w:rPr>
        <w:t>novembro de 2010. Série C Nº 219, pa</w:t>
      </w:r>
      <w:r w:rsidRPr="00D30EFA">
        <w:rPr>
          <w:bCs/>
          <w:noProof/>
          <w:color w:val="auto"/>
          <w:lang w:val="pt-BR"/>
        </w:rPr>
        <w:t xml:space="preserve">r. </w:t>
      </w:r>
      <w:r w:rsidRPr="00D30EFA">
        <w:rPr>
          <w:noProof/>
          <w:color w:val="auto"/>
          <w:lang w:val="pt-BR"/>
        </w:rPr>
        <w:t>171;</w:t>
      </w:r>
      <w:r>
        <w:rPr>
          <w:noProof/>
          <w:color w:val="auto"/>
          <w:lang w:val="pt-BR"/>
        </w:rPr>
        <w:t xml:space="preserve"> e </w:t>
      </w:r>
      <w:r w:rsidRPr="00D30EFA">
        <w:rPr>
          <w:noProof/>
          <w:color w:val="auto"/>
          <w:lang w:val="pt-BR"/>
        </w:rPr>
        <w:t>Corte IDH. Caso Gelma</w:t>
      </w:r>
      <w:r>
        <w:rPr>
          <w:noProof/>
          <w:color w:val="auto"/>
          <w:lang w:val="pt-BR"/>
        </w:rPr>
        <w:t xml:space="preserve">n vs. Uruguai. </w:t>
      </w:r>
      <w:r w:rsidR="00B144F6">
        <w:rPr>
          <w:noProof/>
          <w:color w:val="auto"/>
          <w:lang w:val="pt-BR"/>
        </w:rPr>
        <w:t>Mérito</w:t>
      </w:r>
      <w:r>
        <w:rPr>
          <w:noProof/>
          <w:color w:val="auto"/>
          <w:lang w:val="pt-BR"/>
        </w:rPr>
        <w:t xml:space="preserve"> e </w:t>
      </w:r>
      <w:r w:rsidRPr="00D30EFA">
        <w:rPr>
          <w:noProof/>
          <w:color w:val="auto"/>
          <w:lang w:val="pt-BR"/>
        </w:rPr>
        <w:t>Repara</w:t>
      </w:r>
      <w:r>
        <w:rPr>
          <w:noProof/>
          <w:color w:val="auto"/>
          <w:lang w:val="pt-BR"/>
        </w:rPr>
        <w:t>ções. Sentenç</w:t>
      </w:r>
      <w:r w:rsidRPr="00D30EFA">
        <w:rPr>
          <w:noProof/>
          <w:color w:val="auto"/>
          <w:lang w:val="pt-BR"/>
        </w:rPr>
        <w:t>a de 24 de fe</w:t>
      </w:r>
      <w:r>
        <w:rPr>
          <w:noProof/>
          <w:color w:val="auto"/>
          <w:lang w:val="pt-BR"/>
        </w:rPr>
        <w:t>vereiro de 2011. Série C Nº 221, pa</w:t>
      </w:r>
      <w:r w:rsidRPr="00D30EFA">
        <w:rPr>
          <w:noProof/>
          <w:color w:val="auto"/>
          <w:lang w:val="pt-BR"/>
        </w:rPr>
        <w:t>r. 225.</w:t>
      </w:r>
    </w:p>
  </w:footnote>
  <w:footnote w:id="233">
    <w:p w14:paraId="63DB6A43" w14:textId="32CA170A"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w:t>
      </w:r>
      <w:r w:rsidRPr="00D30EFA">
        <w:rPr>
          <w:rFonts w:cs="Verdana"/>
          <w:bCs/>
          <w:noProof/>
          <w:color w:val="auto"/>
          <w:lang w:val="pt-BR"/>
        </w:rPr>
        <w:t>Corte IDH. Caso Ma</w:t>
      </w:r>
      <w:r w:rsidR="00507393">
        <w:rPr>
          <w:rFonts w:cs="Verdana"/>
          <w:bCs/>
          <w:noProof/>
          <w:color w:val="auto"/>
          <w:lang w:val="pt-BR"/>
        </w:rPr>
        <w:t>s</w:t>
      </w:r>
      <w:r w:rsidRPr="00D30EFA">
        <w:rPr>
          <w:rFonts w:cs="Verdana"/>
          <w:bCs/>
          <w:noProof/>
          <w:color w:val="auto"/>
          <w:lang w:val="pt-BR"/>
        </w:rPr>
        <w:t>sacres de El Mozote</w:t>
      </w:r>
      <w:r>
        <w:rPr>
          <w:rFonts w:cs="Verdana"/>
          <w:bCs/>
          <w:noProof/>
          <w:color w:val="auto"/>
          <w:lang w:val="pt-BR"/>
        </w:rPr>
        <w:t xml:space="preserve"> e </w:t>
      </w:r>
      <w:r w:rsidRPr="00D30EFA">
        <w:rPr>
          <w:rFonts w:cs="Verdana"/>
          <w:bCs/>
          <w:noProof/>
          <w:color w:val="auto"/>
          <w:lang w:val="pt-BR"/>
        </w:rPr>
        <w:t xml:space="preserve">lugares </w:t>
      </w:r>
      <w:r w:rsidR="00820504">
        <w:rPr>
          <w:rFonts w:cs="Verdana"/>
          <w:bCs/>
          <w:noProof/>
          <w:color w:val="auto"/>
          <w:lang w:val="pt-BR"/>
        </w:rPr>
        <w:t>vizinhos</w:t>
      </w:r>
      <w:r>
        <w:rPr>
          <w:rFonts w:cs="Verdana"/>
          <w:bCs/>
          <w:noProof/>
          <w:color w:val="auto"/>
          <w:lang w:val="pt-BR"/>
        </w:rPr>
        <w:t xml:space="preserve"> vs. El Salvador. </w:t>
      </w:r>
      <w:r w:rsidR="00B144F6">
        <w:rPr>
          <w:rFonts w:cs="Verdana"/>
          <w:bCs/>
          <w:noProof/>
          <w:color w:val="auto"/>
          <w:lang w:val="pt-BR"/>
        </w:rPr>
        <w:t>Mérito</w:t>
      </w:r>
      <w:r w:rsidRPr="00D30EFA">
        <w:rPr>
          <w:rFonts w:cs="Verdana"/>
          <w:bCs/>
          <w:noProof/>
          <w:color w:val="auto"/>
          <w:lang w:val="pt-BR"/>
        </w:rPr>
        <w:t>, Repara</w:t>
      </w:r>
      <w:r>
        <w:rPr>
          <w:rFonts w:cs="Verdana"/>
          <w:bCs/>
          <w:noProof/>
          <w:color w:val="auto"/>
          <w:lang w:val="pt-BR"/>
        </w:rPr>
        <w:t xml:space="preserve">ções e </w:t>
      </w:r>
      <w:r w:rsidR="00B144F6">
        <w:rPr>
          <w:rFonts w:cs="Verdana"/>
          <w:bCs/>
          <w:noProof/>
          <w:color w:val="auto"/>
          <w:lang w:val="pt-BR"/>
        </w:rPr>
        <w:t>Custas</w:t>
      </w:r>
      <w:r>
        <w:rPr>
          <w:rFonts w:cs="Verdana"/>
          <w:bCs/>
          <w:noProof/>
          <w:color w:val="auto"/>
          <w:lang w:val="pt-BR"/>
        </w:rPr>
        <w:t>. Sentença de 25 de outubro de 2012 Série C Nº</w:t>
      </w:r>
      <w:r w:rsidRPr="00D30EFA">
        <w:rPr>
          <w:rFonts w:cs="Verdana"/>
          <w:bCs/>
          <w:noProof/>
          <w:color w:val="auto"/>
          <w:lang w:val="pt-BR"/>
        </w:rPr>
        <w:t xml:space="preserve"> 252. P</w:t>
      </w:r>
      <w:r>
        <w:rPr>
          <w:rFonts w:cs="Verdana"/>
          <w:bCs/>
          <w:noProof/>
          <w:color w:val="auto"/>
          <w:lang w:val="pt-BR"/>
        </w:rPr>
        <w:t>a</w:t>
      </w:r>
      <w:r w:rsidRPr="00D30EFA">
        <w:rPr>
          <w:rFonts w:cs="Verdana"/>
          <w:bCs/>
          <w:noProof/>
          <w:color w:val="auto"/>
          <w:lang w:val="pt-BR"/>
        </w:rPr>
        <w:t>r. 283.</w:t>
      </w:r>
    </w:p>
  </w:footnote>
  <w:footnote w:id="234">
    <w:p w14:paraId="73887E4E" w14:textId="323FF004"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Corte IDH. C</w:t>
      </w:r>
      <w:r>
        <w:rPr>
          <w:noProof/>
          <w:color w:val="auto"/>
          <w:lang w:val="pt-BR"/>
        </w:rPr>
        <w:t>aso Almonacid Arellano, Sentenç</w:t>
      </w:r>
      <w:r w:rsidRPr="00D30EFA">
        <w:rPr>
          <w:noProof/>
          <w:color w:val="auto"/>
          <w:lang w:val="pt-BR"/>
        </w:rPr>
        <w:t xml:space="preserve">a de 26 de </w:t>
      </w:r>
      <w:r>
        <w:rPr>
          <w:noProof/>
          <w:color w:val="auto"/>
          <w:lang w:val="pt-BR"/>
        </w:rPr>
        <w:t xml:space="preserve">setembro de 2006. Série C Nº 154, </w:t>
      </w:r>
      <w:r w:rsidR="00174BAC">
        <w:rPr>
          <w:noProof/>
          <w:color w:val="auto"/>
          <w:lang w:val="pt-BR"/>
        </w:rPr>
        <w:t>par</w:t>
      </w:r>
      <w:r w:rsidRPr="00D30EFA">
        <w:rPr>
          <w:noProof/>
          <w:color w:val="auto"/>
          <w:lang w:val="pt-BR"/>
        </w:rPr>
        <w:t>. 153.</w:t>
      </w:r>
    </w:p>
  </w:footnote>
  <w:footnote w:id="235">
    <w:p w14:paraId="56625ABD" w14:textId="77777777" w:rsidR="00487AEA" w:rsidRPr="00D30EFA" w:rsidRDefault="00487AEA" w:rsidP="00487AEA">
      <w:pPr>
        <w:pStyle w:val="FootnoteText"/>
        <w:ind w:firstLine="0"/>
        <w:contextualSpacing/>
        <w:rPr>
          <w:noProof/>
          <w:color w:val="auto"/>
          <w:lang w:val="pt-BR"/>
        </w:rPr>
      </w:pPr>
      <w:r w:rsidRPr="00D30EFA">
        <w:rPr>
          <w:rStyle w:val="FootnoteReference"/>
          <w:noProof/>
          <w:color w:val="auto"/>
          <w:lang w:val="pt-BR"/>
        </w:rPr>
        <w:footnoteRef/>
      </w:r>
      <w:r w:rsidRPr="00D30EFA">
        <w:rPr>
          <w:noProof/>
          <w:color w:val="auto"/>
          <w:lang w:val="pt-BR"/>
        </w:rPr>
        <w:t xml:space="preserve"> Demanda </w:t>
      </w:r>
      <w:r>
        <w:rPr>
          <w:noProof/>
          <w:color w:val="auto"/>
          <w:lang w:val="pt-BR"/>
        </w:rPr>
        <w:t>da Comissão</w:t>
      </w:r>
      <w:r w:rsidRPr="00D30EFA">
        <w:rPr>
          <w:noProof/>
          <w:color w:val="auto"/>
          <w:lang w:val="pt-BR"/>
        </w:rPr>
        <w:t xml:space="preserve"> Interamericana de </w:t>
      </w:r>
      <w:r>
        <w:rPr>
          <w:noProof/>
          <w:color w:val="auto"/>
          <w:lang w:val="pt-BR"/>
        </w:rPr>
        <w:t xml:space="preserve">Direitos Humanos ante </w:t>
      </w:r>
      <w:r w:rsidRPr="00D30EFA">
        <w:rPr>
          <w:noProof/>
          <w:color w:val="auto"/>
          <w:lang w:val="pt-BR"/>
        </w:rPr>
        <w:t xml:space="preserve">a Corte Interamericana de </w:t>
      </w:r>
      <w:r>
        <w:rPr>
          <w:noProof/>
          <w:color w:val="auto"/>
          <w:lang w:val="pt-BR"/>
        </w:rPr>
        <w:t xml:space="preserve">Direitos Humanos contra </w:t>
      </w:r>
      <w:r w:rsidRPr="00D30EFA">
        <w:rPr>
          <w:noProof/>
          <w:color w:val="auto"/>
          <w:lang w:val="pt-BR"/>
        </w:rPr>
        <w:t>a República Federativa de Brasil. Caso 11,552 - Julia Gomes Lund</w:t>
      </w:r>
      <w:r>
        <w:rPr>
          <w:noProof/>
          <w:color w:val="auto"/>
          <w:lang w:val="pt-BR"/>
        </w:rPr>
        <w:t xml:space="preserve"> e </w:t>
      </w:r>
      <w:r w:rsidRPr="00D30EFA">
        <w:rPr>
          <w:noProof/>
          <w:color w:val="auto"/>
          <w:lang w:val="pt-BR"/>
        </w:rPr>
        <w:t>O</w:t>
      </w:r>
      <w:r>
        <w:rPr>
          <w:noProof/>
          <w:color w:val="auto"/>
          <w:lang w:val="pt-BR"/>
        </w:rPr>
        <w:t>u</w:t>
      </w:r>
      <w:r w:rsidRPr="00D30EFA">
        <w:rPr>
          <w:noProof/>
          <w:color w:val="auto"/>
          <w:lang w:val="pt-BR"/>
        </w:rPr>
        <w:t>t</w:t>
      </w:r>
      <w:r>
        <w:rPr>
          <w:noProof/>
          <w:color w:val="auto"/>
          <w:lang w:val="pt-BR"/>
        </w:rPr>
        <w:t>ros (Guerrilha do Araguaia), de 26 de março de 2009, pa</w:t>
      </w:r>
      <w:r w:rsidRPr="00D30EFA">
        <w:rPr>
          <w:noProof/>
          <w:color w:val="auto"/>
          <w:lang w:val="pt-BR"/>
        </w:rPr>
        <w:t xml:space="preserve">r. 186. </w:t>
      </w:r>
    </w:p>
  </w:footnote>
  <w:footnote w:id="236">
    <w:p w14:paraId="163FEDCA" w14:textId="4B61ED03" w:rsidR="00487AEA" w:rsidRPr="00D30EFA" w:rsidRDefault="00487AEA" w:rsidP="00487AEA">
      <w:pPr>
        <w:jc w:val="both"/>
        <w:rPr>
          <w:rFonts w:ascii="Cambria" w:hAnsi="Cambria"/>
          <w:noProof/>
          <w:sz w:val="16"/>
          <w:szCs w:val="16"/>
        </w:rPr>
      </w:pPr>
      <w:r w:rsidRPr="00D30EFA">
        <w:rPr>
          <w:rStyle w:val="FootnoteReference"/>
          <w:rFonts w:ascii="Cambria" w:hAnsi="Cambria"/>
          <w:noProof/>
          <w:sz w:val="16"/>
          <w:szCs w:val="16"/>
        </w:rPr>
        <w:footnoteRef/>
      </w:r>
      <w:r w:rsidRPr="00D30EFA">
        <w:rPr>
          <w:rFonts w:ascii="Cambria" w:hAnsi="Cambria"/>
          <w:noProof/>
          <w:sz w:val="16"/>
          <w:szCs w:val="16"/>
        </w:rPr>
        <w:t xml:space="preserve"> Corte IDH. </w:t>
      </w:r>
      <w:r w:rsidRPr="00D30EFA">
        <w:rPr>
          <w:rStyle w:val="apple-converted-space"/>
          <w:rFonts w:ascii="Cambria" w:hAnsi="Cambria" w:cs="Open Sans"/>
          <w:noProof/>
          <w:sz w:val="16"/>
          <w:szCs w:val="16"/>
          <w:shd w:val="clear" w:color="auto" w:fill="FFFFFF"/>
        </w:rPr>
        <w:t> </w:t>
      </w:r>
      <w:r w:rsidRPr="00D30EFA">
        <w:rPr>
          <w:rFonts w:ascii="Cambria" w:hAnsi="Cambria" w:cs="Open Sans"/>
          <w:noProof/>
          <w:sz w:val="16"/>
          <w:szCs w:val="16"/>
          <w:shd w:val="clear" w:color="auto" w:fill="FFFFFF"/>
        </w:rPr>
        <w:t>Caso Herzog</w:t>
      </w:r>
      <w:r>
        <w:rPr>
          <w:rFonts w:ascii="Cambria" w:hAnsi="Cambria" w:cs="Open Sans"/>
          <w:noProof/>
          <w:sz w:val="16"/>
          <w:szCs w:val="16"/>
          <w:shd w:val="clear" w:color="auto" w:fill="FFFFFF"/>
        </w:rPr>
        <w:t xml:space="preserve"> e </w:t>
      </w:r>
      <w:r w:rsidRPr="00D30EFA">
        <w:rPr>
          <w:rFonts w:ascii="Cambria" w:hAnsi="Cambria" w:cs="Open Sans"/>
          <w:noProof/>
          <w:sz w:val="16"/>
          <w:szCs w:val="16"/>
          <w:shd w:val="clear" w:color="auto" w:fill="FFFFFF"/>
        </w:rPr>
        <w:t>o</w:t>
      </w:r>
      <w:r>
        <w:rPr>
          <w:rFonts w:ascii="Cambria" w:hAnsi="Cambria" w:cs="Open Sans"/>
          <w:noProof/>
          <w:sz w:val="16"/>
          <w:szCs w:val="16"/>
          <w:shd w:val="clear" w:color="auto" w:fill="FFFFFF"/>
        </w:rPr>
        <w:t xml:space="preserve">utros vs. Brasil. Exceções Preliminares, </w:t>
      </w:r>
      <w:r w:rsidR="00B144F6">
        <w:rPr>
          <w:rFonts w:ascii="Cambria" w:hAnsi="Cambria" w:cs="Open Sans"/>
          <w:noProof/>
          <w:sz w:val="16"/>
          <w:szCs w:val="16"/>
          <w:shd w:val="clear" w:color="auto" w:fill="FFFFFF"/>
        </w:rPr>
        <w:t>Mérito</w:t>
      </w:r>
      <w:r w:rsidRPr="00D30EFA">
        <w:rPr>
          <w:rFonts w:ascii="Cambria" w:hAnsi="Cambria" w:cs="Open Sans"/>
          <w:noProof/>
          <w:sz w:val="16"/>
          <w:szCs w:val="16"/>
          <w:shd w:val="clear" w:color="auto" w:fill="FFFFFF"/>
        </w:rPr>
        <w:t>, Repara</w:t>
      </w:r>
      <w:r>
        <w:rPr>
          <w:rFonts w:ascii="Cambria" w:hAnsi="Cambria" w:cs="Open Sans"/>
          <w:noProof/>
          <w:sz w:val="16"/>
          <w:szCs w:val="16"/>
          <w:shd w:val="clear" w:color="auto" w:fill="FFFFFF"/>
        </w:rPr>
        <w:t xml:space="preserve">ções e </w:t>
      </w:r>
      <w:r w:rsidR="00B144F6">
        <w:rPr>
          <w:rFonts w:ascii="Cambria" w:hAnsi="Cambria" w:cs="Open Sans"/>
          <w:noProof/>
          <w:sz w:val="16"/>
          <w:szCs w:val="16"/>
          <w:shd w:val="clear" w:color="auto" w:fill="FFFFFF"/>
        </w:rPr>
        <w:t>Custas</w:t>
      </w:r>
      <w:r>
        <w:rPr>
          <w:rFonts w:ascii="Cambria" w:hAnsi="Cambria" w:cs="Open Sans"/>
          <w:noProof/>
          <w:sz w:val="16"/>
          <w:szCs w:val="16"/>
          <w:shd w:val="clear" w:color="auto" w:fill="FFFFFF"/>
        </w:rPr>
        <w:t>. Sentença de 15 de março de 2018. Série C Nº</w:t>
      </w:r>
      <w:r w:rsidRPr="00D30EFA">
        <w:rPr>
          <w:rFonts w:ascii="Cambria" w:hAnsi="Cambria" w:cs="Open Sans"/>
          <w:noProof/>
          <w:sz w:val="16"/>
          <w:szCs w:val="16"/>
          <w:shd w:val="clear" w:color="auto" w:fill="FFFFFF"/>
        </w:rPr>
        <w:t xml:space="preserve"> 353</w:t>
      </w:r>
      <w:r w:rsidRPr="00D30EFA">
        <w:rPr>
          <w:rFonts w:ascii="Cambria" w:hAnsi="Cambria"/>
          <w:noProof/>
          <w:sz w:val="16"/>
          <w:szCs w:val="16"/>
        </w:rPr>
        <w:t xml:space="preserve">, </w:t>
      </w:r>
      <w:r>
        <w:rPr>
          <w:rFonts w:ascii="Cambria" w:hAnsi="Cambria"/>
          <w:noProof/>
          <w:sz w:val="16"/>
          <w:szCs w:val="16"/>
        </w:rPr>
        <w:t>par</w:t>
      </w:r>
      <w:r w:rsidRPr="00D30EFA">
        <w:rPr>
          <w:rFonts w:ascii="Cambria" w:hAnsi="Cambria"/>
          <w:noProof/>
          <w:sz w:val="16"/>
          <w:szCs w:val="16"/>
        </w:rPr>
        <w:t>. 214.</w:t>
      </w:r>
    </w:p>
  </w:footnote>
  <w:footnote w:id="237">
    <w:p w14:paraId="2D920BCA" w14:textId="06CE5A18" w:rsidR="00487AEA" w:rsidRPr="00D30EFA" w:rsidRDefault="00487AEA" w:rsidP="00487AEA">
      <w:pPr>
        <w:jc w:val="both"/>
        <w:rPr>
          <w:rFonts w:ascii="Cambria" w:hAnsi="Cambria"/>
          <w:noProof/>
          <w:sz w:val="16"/>
          <w:szCs w:val="16"/>
        </w:rPr>
      </w:pPr>
      <w:r w:rsidRPr="00D30EFA">
        <w:rPr>
          <w:rStyle w:val="FootnoteReference"/>
          <w:rFonts w:ascii="Cambria" w:hAnsi="Cambria"/>
          <w:noProof/>
          <w:sz w:val="16"/>
          <w:szCs w:val="16"/>
        </w:rPr>
        <w:footnoteRef/>
      </w:r>
      <w:r w:rsidRPr="00D30EFA">
        <w:rPr>
          <w:rFonts w:ascii="Cambria" w:hAnsi="Cambria"/>
          <w:noProof/>
          <w:sz w:val="16"/>
          <w:szCs w:val="16"/>
        </w:rPr>
        <w:t xml:space="preserve"> Corte IDH. </w:t>
      </w:r>
      <w:r w:rsidRPr="00D30EFA">
        <w:rPr>
          <w:rStyle w:val="apple-converted-space"/>
          <w:rFonts w:ascii="Cambria" w:hAnsi="Cambria" w:cs="Open Sans"/>
          <w:noProof/>
          <w:sz w:val="16"/>
          <w:szCs w:val="16"/>
          <w:shd w:val="clear" w:color="auto" w:fill="FFFFFF"/>
        </w:rPr>
        <w:t> </w:t>
      </w:r>
      <w:r w:rsidRPr="00D30EFA">
        <w:rPr>
          <w:rFonts w:ascii="Cambria" w:hAnsi="Cambria" w:cs="Open Sans"/>
          <w:noProof/>
          <w:sz w:val="16"/>
          <w:szCs w:val="16"/>
          <w:shd w:val="clear" w:color="auto" w:fill="FFFFFF"/>
        </w:rPr>
        <w:t>Caso Herzog</w:t>
      </w:r>
      <w:r>
        <w:rPr>
          <w:rFonts w:ascii="Cambria" w:hAnsi="Cambria" w:cs="Open Sans"/>
          <w:noProof/>
          <w:sz w:val="16"/>
          <w:szCs w:val="16"/>
          <w:shd w:val="clear" w:color="auto" w:fill="FFFFFF"/>
        </w:rPr>
        <w:t xml:space="preserve"> e </w:t>
      </w:r>
      <w:r w:rsidRPr="00D30EFA">
        <w:rPr>
          <w:rFonts w:ascii="Cambria" w:hAnsi="Cambria" w:cs="Open Sans"/>
          <w:noProof/>
          <w:sz w:val="16"/>
          <w:szCs w:val="16"/>
          <w:shd w:val="clear" w:color="auto" w:fill="FFFFFF"/>
        </w:rPr>
        <w:t>o</w:t>
      </w:r>
      <w:r>
        <w:rPr>
          <w:rFonts w:ascii="Cambria" w:hAnsi="Cambria" w:cs="Open Sans"/>
          <w:noProof/>
          <w:sz w:val="16"/>
          <w:szCs w:val="16"/>
          <w:shd w:val="clear" w:color="auto" w:fill="FFFFFF"/>
        </w:rPr>
        <w:t xml:space="preserve">utros vs. Brasil. Exceções Preliminares, </w:t>
      </w:r>
      <w:r w:rsidR="00B144F6">
        <w:rPr>
          <w:rFonts w:ascii="Cambria" w:hAnsi="Cambria" w:cs="Open Sans"/>
          <w:noProof/>
          <w:sz w:val="16"/>
          <w:szCs w:val="16"/>
          <w:shd w:val="clear" w:color="auto" w:fill="FFFFFF"/>
        </w:rPr>
        <w:t>Mérito</w:t>
      </w:r>
      <w:r w:rsidRPr="00D30EFA">
        <w:rPr>
          <w:rFonts w:ascii="Cambria" w:hAnsi="Cambria" w:cs="Open Sans"/>
          <w:noProof/>
          <w:sz w:val="16"/>
          <w:szCs w:val="16"/>
          <w:shd w:val="clear" w:color="auto" w:fill="FFFFFF"/>
        </w:rPr>
        <w:t>, Repara</w:t>
      </w:r>
      <w:r>
        <w:rPr>
          <w:rFonts w:ascii="Cambria" w:hAnsi="Cambria" w:cs="Open Sans"/>
          <w:noProof/>
          <w:sz w:val="16"/>
          <w:szCs w:val="16"/>
          <w:shd w:val="clear" w:color="auto" w:fill="FFFFFF"/>
        </w:rPr>
        <w:t xml:space="preserve">ções e </w:t>
      </w:r>
      <w:r w:rsidR="00B144F6">
        <w:rPr>
          <w:rFonts w:ascii="Cambria" w:hAnsi="Cambria" w:cs="Open Sans"/>
          <w:noProof/>
          <w:sz w:val="16"/>
          <w:szCs w:val="16"/>
          <w:shd w:val="clear" w:color="auto" w:fill="FFFFFF"/>
        </w:rPr>
        <w:t>Custas</w:t>
      </w:r>
      <w:r>
        <w:rPr>
          <w:rFonts w:ascii="Cambria" w:hAnsi="Cambria" w:cs="Open Sans"/>
          <w:noProof/>
          <w:sz w:val="16"/>
          <w:szCs w:val="16"/>
          <w:shd w:val="clear" w:color="auto" w:fill="FFFFFF"/>
        </w:rPr>
        <w:t>. Sentença de 15 de março de 2018. Série C Nº</w:t>
      </w:r>
      <w:r w:rsidRPr="00D30EFA">
        <w:rPr>
          <w:rFonts w:ascii="Cambria" w:hAnsi="Cambria" w:cs="Open Sans"/>
          <w:noProof/>
          <w:sz w:val="16"/>
          <w:szCs w:val="16"/>
          <w:shd w:val="clear" w:color="auto" w:fill="FFFFFF"/>
        </w:rPr>
        <w:t xml:space="preserve"> 353</w:t>
      </w:r>
      <w:r>
        <w:rPr>
          <w:rFonts w:ascii="Cambria" w:hAnsi="Cambria"/>
          <w:noProof/>
          <w:sz w:val="16"/>
          <w:szCs w:val="16"/>
        </w:rPr>
        <w:t>, pa</w:t>
      </w:r>
      <w:r w:rsidRPr="00D30EFA">
        <w:rPr>
          <w:rFonts w:ascii="Cambria" w:hAnsi="Cambria"/>
          <w:noProof/>
          <w:sz w:val="16"/>
          <w:szCs w:val="16"/>
        </w:rPr>
        <w:t>r. 215</w:t>
      </w:r>
    </w:p>
  </w:footnote>
  <w:footnote w:id="238">
    <w:p w14:paraId="56DB2111" w14:textId="159D375F" w:rsidR="00487AEA" w:rsidRPr="00452D87" w:rsidRDefault="00487AEA" w:rsidP="00487AEA">
      <w:pPr>
        <w:pStyle w:val="NormalWeb"/>
        <w:jc w:val="both"/>
        <w:rPr>
          <w:rFonts w:ascii="Cambria" w:hAnsi="Cambria"/>
          <w:sz w:val="16"/>
          <w:szCs w:val="16"/>
        </w:rPr>
      </w:pPr>
      <w:r w:rsidRPr="00D30EFA">
        <w:rPr>
          <w:rStyle w:val="FootnoteReference"/>
          <w:rFonts w:ascii="Cambria" w:hAnsi="Cambria"/>
          <w:noProof/>
          <w:sz w:val="16"/>
          <w:szCs w:val="16"/>
        </w:rPr>
        <w:footnoteRef/>
      </w:r>
      <w:r w:rsidRPr="00D30EFA">
        <w:rPr>
          <w:rFonts w:ascii="Cambria" w:hAnsi="Cambria"/>
          <w:noProof/>
          <w:sz w:val="16"/>
          <w:szCs w:val="16"/>
        </w:rPr>
        <w:t xml:space="preserve"> Corte IDH. </w:t>
      </w:r>
      <w:r w:rsidRPr="00D30EFA">
        <w:rPr>
          <w:rStyle w:val="apple-converted-space"/>
          <w:rFonts w:ascii="Cambria" w:hAnsi="Cambria" w:cs="Open Sans"/>
          <w:noProof/>
          <w:sz w:val="16"/>
          <w:szCs w:val="16"/>
          <w:shd w:val="clear" w:color="auto" w:fill="FFFFFF"/>
        </w:rPr>
        <w:t> </w:t>
      </w:r>
      <w:r w:rsidRPr="00D30EFA">
        <w:rPr>
          <w:rFonts w:ascii="Cambria" w:hAnsi="Cambria" w:cs="Open Sans"/>
          <w:noProof/>
          <w:sz w:val="16"/>
          <w:szCs w:val="16"/>
          <w:shd w:val="clear" w:color="auto" w:fill="FFFFFF"/>
        </w:rPr>
        <w:t>Caso Herzog</w:t>
      </w:r>
      <w:r>
        <w:rPr>
          <w:rFonts w:ascii="Cambria" w:hAnsi="Cambria" w:cs="Open Sans"/>
          <w:noProof/>
          <w:sz w:val="16"/>
          <w:szCs w:val="16"/>
          <w:shd w:val="clear" w:color="auto" w:fill="FFFFFF"/>
        </w:rPr>
        <w:t xml:space="preserve"> e </w:t>
      </w:r>
      <w:r w:rsidRPr="00D30EFA">
        <w:rPr>
          <w:rFonts w:ascii="Cambria" w:hAnsi="Cambria" w:cs="Open Sans"/>
          <w:noProof/>
          <w:sz w:val="16"/>
          <w:szCs w:val="16"/>
          <w:shd w:val="clear" w:color="auto" w:fill="FFFFFF"/>
        </w:rPr>
        <w:t>o</w:t>
      </w:r>
      <w:r>
        <w:rPr>
          <w:rFonts w:ascii="Cambria" w:hAnsi="Cambria" w:cs="Open Sans"/>
          <w:noProof/>
          <w:sz w:val="16"/>
          <w:szCs w:val="16"/>
          <w:shd w:val="clear" w:color="auto" w:fill="FFFFFF"/>
        </w:rPr>
        <w:t xml:space="preserve">utros vs. Brasil. Exceções Preliminares, </w:t>
      </w:r>
      <w:r w:rsidR="00B144F6">
        <w:rPr>
          <w:rFonts w:ascii="Cambria" w:hAnsi="Cambria" w:cs="Open Sans"/>
          <w:noProof/>
          <w:sz w:val="16"/>
          <w:szCs w:val="16"/>
          <w:shd w:val="clear" w:color="auto" w:fill="FFFFFF"/>
        </w:rPr>
        <w:t>Mérito</w:t>
      </w:r>
      <w:r w:rsidRPr="00D30EFA">
        <w:rPr>
          <w:rFonts w:ascii="Cambria" w:hAnsi="Cambria" w:cs="Open Sans"/>
          <w:noProof/>
          <w:sz w:val="16"/>
          <w:szCs w:val="16"/>
          <w:shd w:val="clear" w:color="auto" w:fill="FFFFFF"/>
        </w:rPr>
        <w:t>, Repara</w:t>
      </w:r>
      <w:r>
        <w:rPr>
          <w:rFonts w:ascii="Cambria" w:hAnsi="Cambria" w:cs="Open Sans"/>
          <w:noProof/>
          <w:sz w:val="16"/>
          <w:szCs w:val="16"/>
          <w:shd w:val="clear" w:color="auto" w:fill="FFFFFF"/>
        </w:rPr>
        <w:t xml:space="preserve">ções e </w:t>
      </w:r>
      <w:r w:rsidR="00B144F6">
        <w:rPr>
          <w:rFonts w:ascii="Cambria" w:hAnsi="Cambria" w:cs="Open Sans"/>
          <w:noProof/>
          <w:sz w:val="16"/>
          <w:szCs w:val="16"/>
          <w:shd w:val="clear" w:color="auto" w:fill="FFFFFF"/>
        </w:rPr>
        <w:t>Custas</w:t>
      </w:r>
      <w:r w:rsidRPr="00D30EFA">
        <w:rPr>
          <w:rFonts w:ascii="Cambria" w:hAnsi="Cambria" w:cs="Open Sans"/>
          <w:noProof/>
          <w:sz w:val="16"/>
          <w:szCs w:val="16"/>
          <w:shd w:val="clear" w:color="auto" w:fill="FFFFFF"/>
        </w:rPr>
        <w:t>. Sent</w:t>
      </w:r>
      <w:r>
        <w:rPr>
          <w:rFonts w:ascii="Cambria" w:hAnsi="Cambria" w:cs="Open Sans"/>
          <w:noProof/>
          <w:sz w:val="16"/>
          <w:szCs w:val="16"/>
          <w:shd w:val="clear" w:color="auto" w:fill="FFFFFF"/>
        </w:rPr>
        <w:t>ença de 15 de marzo de 2018. Série C Nº</w:t>
      </w:r>
      <w:r w:rsidRPr="00D30EFA">
        <w:rPr>
          <w:rFonts w:ascii="Cambria" w:hAnsi="Cambria" w:cs="Open Sans"/>
          <w:noProof/>
          <w:sz w:val="16"/>
          <w:szCs w:val="16"/>
          <w:shd w:val="clear" w:color="auto" w:fill="FFFFFF"/>
        </w:rPr>
        <w:t xml:space="preserve"> 353</w:t>
      </w:r>
      <w:r w:rsidRPr="00D30EFA">
        <w:rPr>
          <w:rFonts w:ascii="Cambria" w:hAnsi="Cambria"/>
          <w:noProof/>
          <w:sz w:val="16"/>
          <w:szCs w:val="16"/>
        </w:rPr>
        <w:t xml:space="preserve">, </w:t>
      </w:r>
      <w:r w:rsidR="00814379">
        <w:rPr>
          <w:rFonts w:ascii="Cambria" w:hAnsi="Cambria"/>
          <w:noProof/>
          <w:sz w:val="16"/>
          <w:szCs w:val="16"/>
        </w:rPr>
        <w:t>par</w:t>
      </w:r>
      <w:r w:rsidRPr="00D30EFA">
        <w:rPr>
          <w:rFonts w:ascii="Cambria" w:hAnsi="Cambria"/>
          <w:noProof/>
          <w:sz w:val="16"/>
          <w:szCs w:val="16"/>
        </w:rPr>
        <w:t>. 214; ONU. Comis</w:t>
      </w:r>
      <w:r>
        <w:rPr>
          <w:rFonts w:ascii="Cambria" w:hAnsi="Cambria"/>
          <w:noProof/>
          <w:sz w:val="16"/>
          <w:szCs w:val="16"/>
        </w:rPr>
        <w:t>são</w:t>
      </w:r>
      <w:r w:rsidRPr="00D30EFA">
        <w:rPr>
          <w:rFonts w:ascii="Cambria" w:hAnsi="Cambria"/>
          <w:noProof/>
          <w:sz w:val="16"/>
          <w:szCs w:val="16"/>
        </w:rPr>
        <w:t xml:space="preserve"> de </w:t>
      </w:r>
      <w:r>
        <w:rPr>
          <w:rFonts w:ascii="Cambria" w:hAnsi="Cambria"/>
          <w:noProof/>
          <w:sz w:val="16"/>
          <w:szCs w:val="16"/>
        </w:rPr>
        <w:t>Direito</w:t>
      </w:r>
      <w:r w:rsidRPr="00D30EFA">
        <w:rPr>
          <w:rFonts w:ascii="Cambria" w:hAnsi="Cambria"/>
          <w:noProof/>
          <w:sz w:val="16"/>
          <w:szCs w:val="16"/>
        </w:rPr>
        <w:t xml:space="preserve">s Humanos. </w:t>
      </w:r>
      <w:r w:rsidRPr="00174BAC">
        <w:rPr>
          <w:rFonts w:ascii="Cambria" w:hAnsi="Cambria"/>
          <w:noProof/>
          <w:sz w:val="16"/>
          <w:szCs w:val="16"/>
        </w:rPr>
        <w:t>Estudo apresentado pelo Secretário</w:t>
      </w:r>
      <w:r w:rsidR="00174BAC" w:rsidRPr="00174BAC">
        <w:rPr>
          <w:rFonts w:ascii="Cambria" w:hAnsi="Cambria"/>
          <w:noProof/>
          <w:sz w:val="16"/>
          <w:szCs w:val="16"/>
        </w:rPr>
        <w:t>-</w:t>
      </w:r>
      <w:r w:rsidRPr="00174BAC">
        <w:rPr>
          <w:rFonts w:ascii="Cambria" w:hAnsi="Cambria"/>
          <w:noProof/>
          <w:sz w:val="16"/>
          <w:szCs w:val="16"/>
        </w:rPr>
        <w:t xml:space="preserve">Geral sobre a questão da inaplicabilidade da prescrição a crimes de guerra e crimes </w:t>
      </w:r>
      <w:r w:rsidR="00174BAC" w:rsidRPr="00174BAC">
        <w:rPr>
          <w:rFonts w:ascii="Cambria" w:hAnsi="Cambria"/>
          <w:noProof/>
          <w:sz w:val="16"/>
          <w:szCs w:val="16"/>
        </w:rPr>
        <w:t xml:space="preserve">contra </w:t>
      </w:r>
      <w:r w:rsidRPr="00174BAC">
        <w:rPr>
          <w:rFonts w:ascii="Cambria" w:hAnsi="Cambria"/>
          <w:noProof/>
          <w:sz w:val="16"/>
          <w:szCs w:val="16"/>
        </w:rPr>
        <w:t>a humanidade</w:t>
      </w:r>
      <w:r w:rsidRPr="00D30EFA">
        <w:rPr>
          <w:rFonts w:ascii="Cambria" w:hAnsi="Cambria"/>
          <w:noProof/>
          <w:sz w:val="16"/>
          <w:szCs w:val="16"/>
        </w:rPr>
        <w:t>. E/CN.4/906. 15 de fe</w:t>
      </w:r>
      <w:r>
        <w:rPr>
          <w:rFonts w:ascii="Cambria" w:hAnsi="Cambria"/>
          <w:noProof/>
          <w:sz w:val="16"/>
          <w:szCs w:val="16"/>
        </w:rPr>
        <w:t>vereiro de 1966, pa</w:t>
      </w:r>
      <w:r w:rsidRPr="00D30EFA">
        <w:rPr>
          <w:rFonts w:ascii="Cambria" w:hAnsi="Cambria"/>
          <w:noProof/>
          <w:sz w:val="16"/>
          <w:szCs w:val="16"/>
        </w:rPr>
        <w:t>r. 157 a 160</w:t>
      </w:r>
      <w:r>
        <w:rPr>
          <w:rFonts w:ascii="Cambria" w:hAnsi="Cambria"/>
          <w:noProof/>
          <w:sz w:val="16"/>
          <w:szCs w:val="16"/>
        </w:rPr>
        <w:t>.</w:t>
      </w:r>
    </w:p>
  </w:footnote>
  <w:footnote w:id="239">
    <w:p w14:paraId="2F903EC0" w14:textId="77777777" w:rsidR="00477238" w:rsidRPr="007A020F" w:rsidRDefault="00477238" w:rsidP="00477238">
      <w:pPr>
        <w:pStyle w:val="FootnoteText"/>
        <w:ind w:firstLine="0"/>
        <w:rPr>
          <w:color w:val="auto"/>
          <w:lang w:val="pt-BR"/>
        </w:rPr>
      </w:pPr>
      <w:r w:rsidRPr="00452D87">
        <w:rPr>
          <w:rStyle w:val="FootnoteReference"/>
          <w:color w:val="auto"/>
        </w:rPr>
        <w:footnoteRef/>
      </w:r>
      <w:r w:rsidRPr="00AF31EC">
        <w:rPr>
          <w:color w:val="auto"/>
          <w:lang w:val="pt-BR"/>
        </w:rPr>
        <w:t xml:space="preserve"> </w:t>
      </w:r>
      <w:r w:rsidRPr="007A020F">
        <w:rPr>
          <w:color w:val="auto"/>
          <w:lang w:val="pt-BR"/>
        </w:rPr>
        <w:t>O artigo V</w:t>
      </w:r>
      <w:r w:rsidRPr="00F82480">
        <w:rPr>
          <w:color w:val="auto"/>
          <w:lang w:val="pt-BR"/>
        </w:rPr>
        <w:t xml:space="preserve">III </w:t>
      </w:r>
      <w:r>
        <w:rPr>
          <w:color w:val="auto"/>
          <w:lang w:val="pt-BR"/>
        </w:rPr>
        <w:t>estabele</w:t>
      </w:r>
      <w:r w:rsidRPr="00F82480">
        <w:rPr>
          <w:color w:val="auto"/>
          <w:lang w:val="pt-BR"/>
        </w:rPr>
        <w:t xml:space="preserve">ce: </w:t>
      </w:r>
      <w:r>
        <w:rPr>
          <w:color w:val="auto"/>
          <w:lang w:val="pt-BR"/>
        </w:rPr>
        <w:t>“</w:t>
      </w:r>
      <w:r w:rsidRPr="00F82480">
        <w:rPr>
          <w:spacing w:val="-3"/>
          <w:lang w:val="pt-BR"/>
        </w:rPr>
        <w:t>Toda pessoa tem direito de fixar sua residência no território do Estado de que é nacional, de transitar por ele livremente e de não abandoná-lo senão por sua própria vontade</w:t>
      </w:r>
      <w:r>
        <w:rPr>
          <w:spacing w:val="-3"/>
          <w:lang w:val="pt-BR"/>
        </w:rPr>
        <w:t>”</w:t>
      </w:r>
      <w:r w:rsidRPr="007A020F">
        <w:rPr>
          <w:color w:val="auto"/>
          <w:lang w:val="pt-BR"/>
        </w:rPr>
        <w:t>.</w:t>
      </w:r>
    </w:p>
  </w:footnote>
  <w:footnote w:id="240">
    <w:p w14:paraId="4BC418DA" w14:textId="77777777" w:rsidR="00477238" w:rsidRPr="007A020F" w:rsidRDefault="00477238" w:rsidP="00477238">
      <w:pPr>
        <w:pStyle w:val="FootnoteText"/>
        <w:ind w:firstLine="0"/>
        <w:rPr>
          <w:color w:val="auto"/>
          <w:lang w:val="pt-BR"/>
        </w:rPr>
      </w:pPr>
      <w:r w:rsidRPr="007A020F">
        <w:rPr>
          <w:rStyle w:val="FootnoteReference"/>
          <w:color w:val="auto"/>
          <w:lang w:val="pt-BR"/>
        </w:rPr>
        <w:footnoteRef/>
      </w:r>
      <w:r w:rsidRPr="007A020F">
        <w:rPr>
          <w:color w:val="auto"/>
          <w:lang w:val="pt-BR"/>
        </w:rPr>
        <w:t xml:space="preserve"> O artigo VII </w:t>
      </w:r>
      <w:r>
        <w:rPr>
          <w:color w:val="auto"/>
          <w:lang w:val="pt-BR"/>
        </w:rPr>
        <w:t>estabele</w:t>
      </w:r>
      <w:r w:rsidRPr="007A020F">
        <w:rPr>
          <w:color w:val="auto"/>
          <w:lang w:val="pt-BR"/>
        </w:rPr>
        <w:t>ce</w:t>
      </w:r>
      <w:r w:rsidRPr="002B69B5">
        <w:rPr>
          <w:color w:val="auto"/>
          <w:lang w:val="pt-BR"/>
        </w:rPr>
        <w:t xml:space="preserve">: </w:t>
      </w:r>
      <w:r>
        <w:rPr>
          <w:color w:val="auto"/>
          <w:lang w:val="pt-BR"/>
        </w:rPr>
        <w:t>“</w:t>
      </w:r>
      <w:r w:rsidRPr="002B69B5">
        <w:rPr>
          <w:spacing w:val="-3"/>
          <w:lang w:val="pt-BR"/>
        </w:rPr>
        <w:t>Toda mulher em estado de gravidez ou em época de lactação, assim como toda criança, têm direito à proteção, cuidados e auxílios especiais</w:t>
      </w:r>
      <w:r>
        <w:rPr>
          <w:spacing w:val="-3"/>
          <w:lang w:val="pt-BR"/>
        </w:rPr>
        <w:t>”</w:t>
      </w:r>
      <w:r w:rsidRPr="007A020F">
        <w:rPr>
          <w:color w:val="auto"/>
          <w:lang w:val="pt-BR"/>
        </w:rPr>
        <w:t xml:space="preserve">. </w:t>
      </w:r>
    </w:p>
  </w:footnote>
  <w:footnote w:id="241">
    <w:p w14:paraId="3CFA3983" w14:textId="77777777" w:rsidR="00477238" w:rsidRPr="007A020F" w:rsidRDefault="00477238" w:rsidP="00477238">
      <w:pPr>
        <w:pStyle w:val="FootnoteText"/>
        <w:ind w:firstLine="0"/>
        <w:rPr>
          <w:color w:val="auto"/>
          <w:lang w:val="pt-BR"/>
        </w:rPr>
      </w:pPr>
      <w:r w:rsidRPr="007A020F">
        <w:rPr>
          <w:rStyle w:val="FootnoteReference"/>
          <w:color w:val="auto"/>
          <w:lang w:val="pt-BR"/>
        </w:rPr>
        <w:footnoteRef/>
      </w:r>
      <w:r w:rsidRPr="007A020F">
        <w:rPr>
          <w:color w:val="auto"/>
          <w:lang w:val="pt-BR"/>
        </w:rPr>
        <w:t xml:space="preserve"> CIDH. Resolução no. 18/78. Caso 2088. Argentina. 18 de novembro de 1978.</w:t>
      </w:r>
    </w:p>
  </w:footnote>
  <w:footnote w:id="242">
    <w:p w14:paraId="667D3A05" w14:textId="77777777" w:rsidR="00477238" w:rsidRPr="007A020F" w:rsidRDefault="00477238" w:rsidP="00477238">
      <w:pPr>
        <w:pStyle w:val="FootnoteText"/>
        <w:ind w:firstLine="0"/>
        <w:rPr>
          <w:color w:val="auto"/>
          <w:lang w:val="pt-BR"/>
        </w:rPr>
      </w:pPr>
      <w:r w:rsidRPr="007A020F">
        <w:rPr>
          <w:rStyle w:val="FootnoteReference"/>
          <w:color w:val="auto"/>
          <w:lang w:val="pt-BR"/>
        </w:rPr>
        <w:footnoteRef/>
      </w:r>
      <w:r w:rsidRPr="007A020F">
        <w:rPr>
          <w:color w:val="auto"/>
          <w:lang w:val="pt-BR"/>
        </w:rPr>
        <w:t xml:space="preserve"> CIDH. Direitos humanos de migrantes, refugiados, apátridas, </w:t>
      </w:r>
      <w:r>
        <w:rPr>
          <w:color w:val="auto"/>
          <w:lang w:val="pt-BR"/>
        </w:rPr>
        <w:t>vít</w:t>
      </w:r>
      <w:r w:rsidRPr="007A020F">
        <w:rPr>
          <w:color w:val="auto"/>
          <w:lang w:val="pt-BR"/>
        </w:rPr>
        <w:t>imas de tr</w:t>
      </w:r>
      <w:r>
        <w:rPr>
          <w:color w:val="auto"/>
          <w:lang w:val="pt-BR"/>
        </w:rPr>
        <w:t>áfico</w:t>
      </w:r>
      <w:r w:rsidRPr="007A020F">
        <w:rPr>
          <w:color w:val="auto"/>
          <w:lang w:val="pt-BR"/>
        </w:rPr>
        <w:t xml:space="preserve"> de pessoas e desl</w:t>
      </w:r>
      <w:r>
        <w:rPr>
          <w:color w:val="auto"/>
          <w:lang w:val="pt-BR"/>
        </w:rPr>
        <w:t>oc</w:t>
      </w:r>
      <w:r w:rsidRPr="007A020F">
        <w:rPr>
          <w:color w:val="auto"/>
          <w:lang w:val="pt-BR"/>
        </w:rPr>
        <w:t xml:space="preserve">ados internos: Normas e </w:t>
      </w:r>
      <w:r>
        <w:rPr>
          <w:color w:val="auto"/>
          <w:lang w:val="pt-BR"/>
        </w:rPr>
        <w:t>padrões</w:t>
      </w:r>
      <w:r w:rsidRPr="007A020F">
        <w:rPr>
          <w:color w:val="auto"/>
          <w:lang w:val="pt-BR"/>
        </w:rPr>
        <w:t xml:space="preserve"> do Sistema Interamericano de Direitos Humanos. OEA/SerL/V/II.Doc.46/15. 31 de d</w:t>
      </w:r>
      <w:r>
        <w:rPr>
          <w:color w:val="auto"/>
          <w:lang w:val="pt-BR"/>
        </w:rPr>
        <w:t>ez</w:t>
      </w:r>
      <w:r w:rsidRPr="007A020F">
        <w:rPr>
          <w:color w:val="auto"/>
          <w:lang w:val="pt-BR"/>
        </w:rPr>
        <w:t xml:space="preserve">embro de 2015, </w:t>
      </w:r>
      <w:r>
        <w:rPr>
          <w:color w:val="auto"/>
          <w:lang w:val="pt-BR"/>
        </w:rPr>
        <w:t>par.</w:t>
      </w:r>
      <w:r w:rsidRPr="007A020F">
        <w:rPr>
          <w:color w:val="auto"/>
          <w:lang w:val="pt-BR"/>
        </w:rPr>
        <w:t xml:space="preserve"> 77</w:t>
      </w:r>
    </w:p>
  </w:footnote>
  <w:footnote w:id="243">
    <w:p w14:paraId="6D27AD14" w14:textId="77777777" w:rsidR="00477238" w:rsidRPr="007A020F" w:rsidRDefault="00477238" w:rsidP="00477238">
      <w:pPr>
        <w:jc w:val="both"/>
        <w:rPr>
          <w:rFonts w:ascii="Cambria" w:hAnsi="Cambria"/>
          <w:sz w:val="16"/>
          <w:szCs w:val="16"/>
        </w:rPr>
      </w:pPr>
      <w:r w:rsidRPr="007A020F">
        <w:rPr>
          <w:rStyle w:val="FootnoteReference"/>
          <w:rFonts w:ascii="Cambria" w:hAnsi="Cambria"/>
          <w:sz w:val="16"/>
          <w:szCs w:val="16"/>
        </w:rPr>
        <w:footnoteRef/>
      </w:r>
      <w:r w:rsidRPr="007A020F">
        <w:rPr>
          <w:rFonts w:ascii="Cambria" w:hAnsi="Cambria"/>
          <w:sz w:val="16"/>
          <w:szCs w:val="16"/>
        </w:rPr>
        <w:t xml:space="preserve"> </w:t>
      </w:r>
      <w:r w:rsidRPr="007A020F">
        <w:rPr>
          <w:rFonts w:ascii="Cambria" w:hAnsi="Cambria" w:cs="Open Sans"/>
          <w:sz w:val="16"/>
          <w:szCs w:val="16"/>
          <w:shd w:val="clear" w:color="auto" w:fill="FFFFFF"/>
        </w:rPr>
        <w:t xml:space="preserve">Corte IDH. Caso Vélez Restrepo e familiares Vs. Colômbia. Exceção Preliminar, </w:t>
      </w:r>
      <w:r>
        <w:rPr>
          <w:rFonts w:ascii="Cambria" w:hAnsi="Cambria" w:cs="Open Sans"/>
          <w:sz w:val="16"/>
          <w:szCs w:val="16"/>
          <w:shd w:val="clear" w:color="auto" w:fill="FFFFFF"/>
        </w:rPr>
        <w:t>Mérito</w:t>
      </w:r>
      <w:r w:rsidRPr="007A020F">
        <w:rPr>
          <w:rFonts w:ascii="Cambria" w:hAnsi="Cambria" w:cs="Open Sans"/>
          <w:sz w:val="16"/>
          <w:szCs w:val="16"/>
          <w:shd w:val="clear" w:color="auto" w:fill="FFFFFF"/>
        </w:rPr>
        <w:t xml:space="preserve">, Reparações e </w:t>
      </w:r>
      <w:r>
        <w:rPr>
          <w:rFonts w:ascii="Cambria" w:hAnsi="Cambria" w:cs="Open Sans"/>
          <w:sz w:val="16"/>
          <w:szCs w:val="16"/>
          <w:shd w:val="clear" w:color="auto" w:fill="FFFFFF"/>
        </w:rPr>
        <w:t>Custas</w:t>
      </w:r>
      <w:r w:rsidRPr="007A020F">
        <w:rPr>
          <w:rFonts w:ascii="Cambria" w:hAnsi="Cambria" w:cs="Open Sans"/>
          <w:sz w:val="16"/>
          <w:szCs w:val="16"/>
          <w:shd w:val="clear" w:color="auto" w:fill="FFFFFF"/>
        </w:rPr>
        <w:t xml:space="preserve">. </w:t>
      </w:r>
      <w:r>
        <w:rPr>
          <w:rFonts w:ascii="Cambria" w:hAnsi="Cambria" w:cs="Open Sans"/>
          <w:sz w:val="16"/>
          <w:szCs w:val="16"/>
          <w:shd w:val="clear" w:color="auto" w:fill="FFFFFF"/>
        </w:rPr>
        <w:t>Sentença</w:t>
      </w:r>
      <w:r w:rsidRPr="007A020F">
        <w:rPr>
          <w:rFonts w:ascii="Cambria" w:hAnsi="Cambria" w:cs="Open Sans"/>
          <w:sz w:val="16"/>
          <w:szCs w:val="16"/>
          <w:shd w:val="clear" w:color="auto" w:fill="FFFFFF"/>
        </w:rPr>
        <w:t xml:space="preserve"> de 3 de setembro de 2012. </w:t>
      </w:r>
      <w:r>
        <w:rPr>
          <w:rFonts w:ascii="Cambria" w:hAnsi="Cambria" w:cs="Open Sans"/>
          <w:sz w:val="16"/>
          <w:szCs w:val="16"/>
          <w:shd w:val="clear" w:color="auto" w:fill="FFFFFF"/>
        </w:rPr>
        <w:t>Série</w:t>
      </w:r>
      <w:r w:rsidRPr="007A020F">
        <w:rPr>
          <w:rFonts w:ascii="Cambria" w:hAnsi="Cambria" w:cs="Open Sans"/>
          <w:sz w:val="16"/>
          <w:szCs w:val="16"/>
          <w:shd w:val="clear" w:color="auto" w:fill="FFFFFF"/>
        </w:rPr>
        <w:t xml:space="preserve"> C No. 248</w:t>
      </w:r>
      <w:r w:rsidRPr="007A020F">
        <w:rPr>
          <w:rFonts w:ascii="Cambria" w:hAnsi="Cambria"/>
          <w:sz w:val="16"/>
          <w:szCs w:val="16"/>
        </w:rPr>
        <w:t xml:space="preserve">, </w:t>
      </w:r>
      <w:r>
        <w:rPr>
          <w:rFonts w:ascii="Cambria" w:hAnsi="Cambria"/>
          <w:sz w:val="16"/>
          <w:szCs w:val="16"/>
        </w:rPr>
        <w:t>par.</w:t>
      </w:r>
      <w:r w:rsidRPr="007A020F">
        <w:rPr>
          <w:rFonts w:ascii="Cambria" w:hAnsi="Cambria"/>
          <w:sz w:val="16"/>
          <w:szCs w:val="16"/>
        </w:rPr>
        <w:t xml:space="preserve"> 220.</w:t>
      </w:r>
    </w:p>
  </w:footnote>
  <w:footnote w:id="244">
    <w:p w14:paraId="2627BB3F" w14:textId="77777777" w:rsidR="00477238" w:rsidRPr="007A020F" w:rsidRDefault="00477238" w:rsidP="00477238">
      <w:pPr>
        <w:contextualSpacing/>
        <w:jc w:val="both"/>
        <w:rPr>
          <w:rFonts w:ascii="Cambria" w:hAnsi="Cambria" w:cs="Arial"/>
          <w:sz w:val="16"/>
          <w:szCs w:val="16"/>
        </w:rPr>
      </w:pPr>
      <w:r w:rsidRPr="007A020F">
        <w:rPr>
          <w:rStyle w:val="FootnoteReference"/>
          <w:rFonts w:ascii="Cambria" w:hAnsi="Cambria"/>
          <w:sz w:val="16"/>
          <w:szCs w:val="16"/>
        </w:rPr>
        <w:footnoteRef/>
      </w:r>
      <w:r w:rsidRPr="007A020F">
        <w:rPr>
          <w:rFonts w:ascii="Cambria" w:hAnsi="Cambria"/>
          <w:sz w:val="16"/>
          <w:szCs w:val="16"/>
        </w:rPr>
        <w:t xml:space="preserve"> Corte IDH. </w:t>
      </w:r>
      <w:r>
        <w:rPr>
          <w:rFonts w:ascii="Cambria" w:hAnsi="Cambria"/>
          <w:sz w:val="16"/>
          <w:szCs w:val="16"/>
        </w:rPr>
        <w:t xml:space="preserve">Parecer </w:t>
      </w:r>
      <w:r w:rsidRPr="007A020F">
        <w:rPr>
          <w:rFonts w:ascii="Cambria" w:hAnsi="Cambria" w:cs="Arial"/>
          <w:sz w:val="16"/>
          <w:szCs w:val="16"/>
        </w:rPr>
        <w:t>Consultiv</w:t>
      </w:r>
      <w:r>
        <w:rPr>
          <w:rFonts w:ascii="Cambria" w:hAnsi="Cambria" w:cs="Arial"/>
          <w:sz w:val="16"/>
          <w:szCs w:val="16"/>
        </w:rPr>
        <w:t>o</w:t>
      </w:r>
      <w:r w:rsidRPr="007A020F">
        <w:rPr>
          <w:rFonts w:ascii="Cambria" w:hAnsi="Cambria" w:cs="Arial"/>
          <w:sz w:val="16"/>
          <w:szCs w:val="16"/>
        </w:rPr>
        <w:t xml:space="preserve"> Oc-21/14 </w:t>
      </w:r>
      <w:r>
        <w:rPr>
          <w:rFonts w:ascii="Cambria" w:hAnsi="Cambria" w:cs="Arial"/>
          <w:sz w:val="16"/>
          <w:szCs w:val="16"/>
        </w:rPr>
        <w:t>d</w:t>
      </w:r>
      <w:r w:rsidRPr="007A020F">
        <w:rPr>
          <w:rFonts w:ascii="Cambria" w:hAnsi="Cambria" w:cs="Arial"/>
          <w:sz w:val="16"/>
          <w:szCs w:val="16"/>
        </w:rPr>
        <w:t xml:space="preserve">e 19 </w:t>
      </w:r>
      <w:r>
        <w:rPr>
          <w:rFonts w:ascii="Cambria" w:hAnsi="Cambria" w:cs="Arial"/>
          <w:sz w:val="16"/>
          <w:szCs w:val="16"/>
        </w:rPr>
        <w:t>d</w:t>
      </w:r>
      <w:r w:rsidRPr="007A020F">
        <w:rPr>
          <w:rFonts w:ascii="Cambria" w:hAnsi="Cambria" w:cs="Arial"/>
          <w:sz w:val="16"/>
          <w:szCs w:val="16"/>
        </w:rPr>
        <w:t xml:space="preserve">e </w:t>
      </w:r>
      <w:r>
        <w:rPr>
          <w:rFonts w:ascii="Cambria" w:hAnsi="Cambria" w:cs="Arial"/>
          <w:sz w:val="16"/>
          <w:szCs w:val="16"/>
        </w:rPr>
        <w:t>a</w:t>
      </w:r>
      <w:r w:rsidRPr="007A020F">
        <w:rPr>
          <w:rFonts w:ascii="Cambria" w:hAnsi="Cambria" w:cs="Arial"/>
          <w:sz w:val="16"/>
          <w:szCs w:val="16"/>
        </w:rPr>
        <w:t xml:space="preserve">gosto </w:t>
      </w:r>
      <w:r>
        <w:rPr>
          <w:rFonts w:ascii="Cambria" w:hAnsi="Cambria" w:cs="Arial"/>
          <w:sz w:val="16"/>
          <w:szCs w:val="16"/>
        </w:rPr>
        <w:t>d</w:t>
      </w:r>
      <w:r w:rsidRPr="007A020F">
        <w:rPr>
          <w:rFonts w:ascii="Cambria" w:hAnsi="Cambria" w:cs="Arial"/>
          <w:sz w:val="16"/>
          <w:szCs w:val="16"/>
        </w:rPr>
        <w:t xml:space="preserve">e 2014 </w:t>
      </w:r>
      <w:r>
        <w:rPr>
          <w:rFonts w:ascii="Cambria" w:hAnsi="Cambria" w:cs="Arial"/>
          <w:sz w:val="16"/>
          <w:szCs w:val="16"/>
        </w:rPr>
        <w:t>s</w:t>
      </w:r>
      <w:r w:rsidRPr="007A020F">
        <w:rPr>
          <w:rFonts w:ascii="Cambria" w:hAnsi="Cambria" w:cs="Arial"/>
          <w:sz w:val="16"/>
          <w:szCs w:val="16"/>
        </w:rPr>
        <w:t>olicitad</w:t>
      </w:r>
      <w:r>
        <w:rPr>
          <w:rFonts w:ascii="Cambria" w:hAnsi="Cambria" w:cs="Arial"/>
          <w:sz w:val="16"/>
          <w:szCs w:val="16"/>
        </w:rPr>
        <w:t>o</w:t>
      </w:r>
      <w:r w:rsidRPr="007A020F">
        <w:rPr>
          <w:rFonts w:ascii="Cambria" w:hAnsi="Cambria" w:cs="Arial"/>
          <w:sz w:val="16"/>
          <w:szCs w:val="16"/>
        </w:rPr>
        <w:t xml:space="preserve"> pela República Argentina, República Federativa </w:t>
      </w:r>
      <w:r>
        <w:rPr>
          <w:rFonts w:ascii="Cambria" w:hAnsi="Cambria" w:cs="Arial"/>
          <w:sz w:val="16"/>
          <w:szCs w:val="16"/>
        </w:rPr>
        <w:t>do</w:t>
      </w:r>
      <w:r w:rsidRPr="007A020F">
        <w:rPr>
          <w:rFonts w:ascii="Cambria" w:hAnsi="Cambria" w:cs="Arial"/>
          <w:sz w:val="16"/>
          <w:szCs w:val="16"/>
        </w:rPr>
        <w:t xml:space="preserve"> Brasil, República do Paragua</w:t>
      </w:r>
      <w:r>
        <w:rPr>
          <w:rFonts w:ascii="Cambria" w:hAnsi="Cambria" w:cs="Arial"/>
          <w:sz w:val="16"/>
          <w:szCs w:val="16"/>
        </w:rPr>
        <w:t>i</w:t>
      </w:r>
      <w:r w:rsidRPr="007A020F">
        <w:rPr>
          <w:rFonts w:ascii="Cambria" w:hAnsi="Cambria" w:cs="Arial"/>
          <w:sz w:val="16"/>
          <w:szCs w:val="16"/>
        </w:rPr>
        <w:t xml:space="preserve"> e República Oriental do Urugua</w:t>
      </w:r>
      <w:r>
        <w:rPr>
          <w:rFonts w:ascii="Cambria" w:hAnsi="Cambria" w:cs="Arial"/>
          <w:sz w:val="16"/>
          <w:szCs w:val="16"/>
        </w:rPr>
        <w:t>i.</w:t>
      </w:r>
      <w:r w:rsidRPr="007A020F">
        <w:rPr>
          <w:rFonts w:ascii="Cambria" w:hAnsi="Cambria" w:cs="Arial"/>
          <w:sz w:val="16"/>
          <w:szCs w:val="16"/>
        </w:rPr>
        <w:t xml:space="preserve"> Direitos e Garantias </w:t>
      </w:r>
      <w:r>
        <w:rPr>
          <w:rFonts w:ascii="Cambria" w:hAnsi="Cambria" w:cs="Arial"/>
          <w:sz w:val="16"/>
          <w:szCs w:val="16"/>
        </w:rPr>
        <w:t>d</w:t>
      </w:r>
      <w:r w:rsidRPr="007A020F">
        <w:rPr>
          <w:rFonts w:ascii="Cambria" w:hAnsi="Cambria" w:cs="Arial"/>
          <w:sz w:val="16"/>
          <w:szCs w:val="16"/>
        </w:rPr>
        <w:t xml:space="preserve">e </w:t>
      </w:r>
      <w:r>
        <w:rPr>
          <w:rFonts w:ascii="Cambria" w:hAnsi="Cambria" w:cs="Arial"/>
          <w:sz w:val="16"/>
          <w:szCs w:val="16"/>
        </w:rPr>
        <w:t>Crianças no</w:t>
      </w:r>
      <w:r w:rsidRPr="007A020F">
        <w:rPr>
          <w:rFonts w:ascii="Cambria" w:hAnsi="Cambria" w:cs="Arial"/>
          <w:sz w:val="16"/>
          <w:szCs w:val="16"/>
        </w:rPr>
        <w:t xml:space="preserve"> Contexto da Migração </w:t>
      </w:r>
      <w:r>
        <w:rPr>
          <w:rFonts w:ascii="Cambria" w:hAnsi="Cambria" w:cs="Arial"/>
          <w:sz w:val="16"/>
          <w:szCs w:val="16"/>
        </w:rPr>
        <w:t>e</w:t>
      </w:r>
      <w:r w:rsidRPr="007A020F">
        <w:rPr>
          <w:rFonts w:ascii="Cambria" w:hAnsi="Cambria" w:cs="Arial"/>
          <w:sz w:val="16"/>
          <w:szCs w:val="16"/>
        </w:rPr>
        <w:t>/</w:t>
      </w:r>
      <w:r>
        <w:rPr>
          <w:rFonts w:ascii="Cambria" w:hAnsi="Cambria" w:cs="Arial"/>
          <w:sz w:val="16"/>
          <w:szCs w:val="16"/>
        </w:rPr>
        <w:t>ou</w:t>
      </w:r>
      <w:r w:rsidRPr="007A020F">
        <w:rPr>
          <w:rFonts w:ascii="Cambria" w:hAnsi="Cambria" w:cs="Arial"/>
          <w:sz w:val="16"/>
          <w:szCs w:val="16"/>
        </w:rPr>
        <w:t xml:space="preserve"> em Necessidade </w:t>
      </w:r>
      <w:r>
        <w:rPr>
          <w:rFonts w:ascii="Cambria" w:hAnsi="Cambria" w:cs="Arial"/>
          <w:sz w:val="16"/>
          <w:szCs w:val="16"/>
        </w:rPr>
        <w:t>d</w:t>
      </w:r>
      <w:r w:rsidRPr="007A020F">
        <w:rPr>
          <w:rFonts w:ascii="Cambria" w:hAnsi="Cambria" w:cs="Arial"/>
          <w:sz w:val="16"/>
          <w:szCs w:val="16"/>
        </w:rPr>
        <w:t>e Prote</w:t>
      </w:r>
      <w:r>
        <w:rPr>
          <w:rFonts w:ascii="Cambria" w:hAnsi="Cambria" w:cs="Arial"/>
          <w:sz w:val="16"/>
          <w:szCs w:val="16"/>
        </w:rPr>
        <w:t>ç</w:t>
      </w:r>
      <w:r w:rsidRPr="007A020F">
        <w:rPr>
          <w:rFonts w:ascii="Cambria" w:hAnsi="Cambria" w:cs="Arial"/>
          <w:sz w:val="16"/>
          <w:szCs w:val="16"/>
        </w:rPr>
        <w:t>ão Internacional, p</w:t>
      </w:r>
      <w:r>
        <w:rPr>
          <w:rFonts w:ascii="Cambria" w:hAnsi="Cambria" w:cs="Arial"/>
          <w:sz w:val="16"/>
          <w:szCs w:val="16"/>
        </w:rPr>
        <w:t>a</w:t>
      </w:r>
      <w:r w:rsidRPr="007A020F">
        <w:rPr>
          <w:rFonts w:ascii="Cambria" w:hAnsi="Cambria" w:cs="Arial"/>
          <w:sz w:val="16"/>
          <w:szCs w:val="16"/>
        </w:rPr>
        <w:t>r. 66</w:t>
      </w:r>
    </w:p>
  </w:footnote>
  <w:footnote w:id="245">
    <w:p w14:paraId="5D4737C7" w14:textId="77777777" w:rsidR="00477238" w:rsidRPr="007A020F" w:rsidRDefault="00477238" w:rsidP="00477238">
      <w:pPr>
        <w:pStyle w:val="FootnoteText"/>
        <w:ind w:firstLine="0"/>
        <w:rPr>
          <w:color w:val="auto"/>
          <w:lang w:val="pt-BR"/>
        </w:rPr>
      </w:pPr>
      <w:r w:rsidRPr="007A020F">
        <w:rPr>
          <w:rStyle w:val="FootnoteReference"/>
          <w:color w:val="auto"/>
          <w:lang w:val="pt-BR"/>
        </w:rPr>
        <w:footnoteRef/>
      </w:r>
      <w:r w:rsidRPr="007A020F">
        <w:rPr>
          <w:color w:val="auto"/>
          <w:lang w:val="pt-BR"/>
        </w:rPr>
        <w:t xml:space="preserve"> </w:t>
      </w:r>
      <w:r w:rsidRPr="007A020F">
        <w:rPr>
          <w:rFonts w:cs="Open Sans"/>
          <w:color w:val="auto"/>
          <w:shd w:val="clear" w:color="auto" w:fill="FFFFFF"/>
          <w:lang w:val="pt-BR"/>
        </w:rPr>
        <w:t xml:space="preserve">Corte IDH. Caso Vélez Restrepo e familiares Vs. Colômbia. </w:t>
      </w:r>
      <w:r>
        <w:rPr>
          <w:rFonts w:cs="Open Sans"/>
          <w:color w:val="auto"/>
          <w:shd w:val="clear" w:color="auto" w:fill="FFFFFF"/>
          <w:lang w:val="pt-BR"/>
        </w:rPr>
        <w:t>Exceç</w:t>
      </w:r>
      <w:r w:rsidRPr="007A020F">
        <w:rPr>
          <w:rFonts w:cs="Open Sans"/>
          <w:color w:val="auto"/>
          <w:shd w:val="clear" w:color="auto" w:fill="FFFFFF"/>
          <w:lang w:val="pt-BR"/>
        </w:rPr>
        <w:t xml:space="preserve">ão Preliminar, </w:t>
      </w:r>
      <w:r>
        <w:rPr>
          <w:rFonts w:cs="Open Sans"/>
          <w:color w:val="auto"/>
          <w:shd w:val="clear" w:color="auto" w:fill="FFFFFF"/>
          <w:lang w:val="pt-BR"/>
        </w:rPr>
        <w:t>Mérito</w:t>
      </w:r>
      <w:r w:rsidRPr="007A020F">
        <w:rPr>
          <w:rFonts w:cs="Open Sans"/>
          <w:color w:val="auto"/>
          <w:shd w:val="clear" w:color="auto" w:fill="FFFFFF"/>
          <w:lang w:val="pt-BR"/>
        </w:rPr>
        <w:t xml:space="preserve">, Reparações e </w:t>
      </w:r>
      <w:r>
        <w:rPr>
          <w:rFonts w:cs="Open Sans"/>
          <w:color w:val="auto"/>
          <w:shd w:val="clear" w:color="auto" w:fill="FFFFFF"/>
          <w:lang w:val="pt-BR"/>
        </w:rPr>
        <w:t>Custas</w:t>
      </w:r>
      <w:r w:rsidRPr="007A020F">
        <w:rPr>
          <w:rFonts w:cs="Open Sans"/>
          <w:color w:val="auto"/>
          <w:shd w:val="clear" w:color="auto" w:fill="FFFFFF"/>
          <w:lang w:val="pt-BR"/>
        </w:rPr>
        <w:t xml:space="preserve">. </w:t>
      </w:r>
      <w:r>
        <w:rPr>
          <w:rFonts w:cs="Open Sans"/>
          <w:color w:val="auto"/>
          <w:shd w:val="clear" w:color="auto" w:fill="FFFFFF"/>
          <w:lang w:val="pt-BR"/>
        </w:rPr>
        <w:t>Sentença</w:t>
      </w:r>
      <w:r w:rsidRPr="007A020F">
        <w:rPr>
          <w:rFonts w:cs="Open Sans"/>
          <w:color w:val="auto"/>
          <w:shd w:val="clear" w:color="auto" w:fill="FFFFFF"/>
          <w:lang w:val="pt-BR"/>
        </w:rPr>
        <w:t xml:space="preserve"> de 3 de setembro de 2012. </w:t>
      </w:r>
      <w:r>
        <w:rPr>
          <w:rFonts w:cs="Open Sans"/>
          <w:color w:val="auto"/>
          <w:shd w:val="clear" w:color="auto" w:fill="FFFFFF"/>
          <w:lang w:val="pt-BR"/>
        </w:rPr>
        <w:t>Série</w:t>
      </w:r>
      <w:r w:rsidRPr="007A020F">
        <w:rPr>
          <w:rFonts w:cs="Open Sans"/>
          <w:color w:val="auto"/>
          <w:shd w:val="clear" w:color="auto" w:fill="FFFFFF"/>
          <w:lang w:val="pt-BR"/>
        </w:rPr>
        <w:t xml:space="preserve"> C No. 248</w:t>
      </w:r>
      <w:r w:rsidRPr="007A020F">
        <w:rPr>
          <w:color w:val="auto"/>
          <w:lang w:val="pt-BR"/>
        </w:rPr>
        <w:t xml:space="preserve">, </w:t>
      </w:r>
      <w:r>
        <w:rPr>
          <w:color w:val="auto"/>
          <w:lang w:val="pt-BR"/>
        </w:rPr>
        <w:t>par.</w:t>
      </w:r>
      <w:r w:rsidRPr="007A020F">
        <w:rPr>
          <w:color w:val="auto"/>
          <w:lang w:val="pt-BR"/>
        </w:rPr>
        <w:t xml:space="preserve"> 221</w:t>
      </w:r>
    </w:p>
  </w:footnote>
  <w:footnote w:id="246">
    <w:p w14:paraId="1033A99C" w14:textId="77777777" w:rsidR="00477238" w:rsidRPr="007A020F" w:rsidRDefault="00477238" w:rsidP="00477238">
      <w:pPr>
        <w:pStyle w:val="FootnoteText"/>
        <w:ind w:firstLine="0"/>
        <w:contextualSpacing/>
        <w:rPr>
          <w:color w:val="auto"/>
          <w:lang w:val="pt-BR"/>
        </w:rPr>
      </w:pPr>
      <w:r w:rsidRPr="007A020F">
        <w:rPr>
          <w:rStyle w:val="FootnoteReference"/>
          <w:color w:val="auto"/>
          <w:lang w:val="pt-BR" w:eastAsia="x-none"/>
        </w:rPr>
        <w:footnoteRef/>
      </w:r>
      <w:r w:rsidRPr="007A020F">
        <w:rPr>
          <w:color w:val="auto"/>
          <w:lang w:val="pt-BR" w:eastAsia="x-none"/>
        </w:rPr>
        <w:t xml:space="preserve"> Corte IDH. Caso Cantoral Huamaní e García Santa Cruz Vs. Peru. </w:t>
      </w:r>
      <w:r>
        <w:rPr>
          <w:color w:val="auto"/>
          <w:lang w:val="pt-BR" w:eastAsia="x-none"/>
        </w:rPr>
        <w:t>Exceç</w:t>
      </w:r>
      <w:r w:rsidRPr="007A020F">
        <w:rPr>
          <w:color w:val="auto"/>
          <w:lang w:val="pt-BR" w:eastAsia="x-none"/>
        </w:rPr>
        <w:t xml:space="preserve">ão Preliminar, </w:t>
      </w:r>
      <w:r>
        <w:rPr>
          <w:color w:val="auto"/>
          <w:lang w:val="pt-BR" w:eastAsia="x-none"/>
        </w:rPr>
        <w:t>Mérito</w:t>
      </w:r>
      <w:r w:rsidRPr="007A020F">
        <w:rPr>
          <w:color w:val="auto"/>
          <w:lang w:val="pt-BR" w:eastAsia="x-none"/>
        </w:rPr>
        <w:t xml:space="preserve">, Reparações e </w:t>
      </w:r>
      <w:r>
        <w:rPr>
          <w:color w:val="auto"/>
          <w:lang w:val="pt-BR" w:eastAsia="x-none"/>
        </w:rPr>
        <w:t>Custas</w:t>
      </w:r>
      <w:r w:rsidRPr="007A020F">
        <w:rPr>
          <w:color w:val="auto"/>
          <w:lang w:val="pt-BR" w:eastAsia="x-none"/>
        </w:rPr>
        <w:t xml:space="preserve">. </w:t>
      </w:r>
      <w:r>
        <w:rPr>
          <w:color w:val="auto"/>
          <w:lang w:val="pt-BR" w:eastAsia="x-none"/>
        </w:rPr>
        <w:t>Sentença</w:t>
      </w:r>
      <w:r w:rsidRPr="007A020F">
        <w:rPr>
          <w:color w:val="auto"/>
          <w:lang w:val="pt-BR" w:eastAsia="x-none"/>
        </w:rPr>
        <w:t xml:space="preserve"> de 10 de julho de 2007. </w:t>
      </w:r>
      <w:r>
        <w:rPr>
          <w:color w:val="auto"/>
          <w:lang w:val="pt-BR" w:eastAsia="x-none"/>
        </w:rPr>
        <w:t>Série</w:t>
      </w:r>
      <w:r w:rsidRPr="007A020F">
        <w:rPr>
          <w:color w:val="auto"/>
          <w:lang w:val="pt-BR" w:eastAsia="x-none"/>
        </w:rPr>
        <w:t xml:space="preserve"> C No. 167. </w:t>
      </w:r>
      <w:r>
        <w:rPr>
          <w:color w:val="auto"/>
          <w:lang w:val="pt-BR" w:eastAsia="x-none"/>
        </w:rPr>
        <w:t>Par.</w:t>
      </w:r>
      <w:r w:rsidRPr="007A020F">
        <w:rPr>
          <w:color w:val="auto"/>
          <w:lang w:val="pt-BR" w:eastAsia="x-none"/>
        </w:rPr>
        <w:t xml:space="preserve"> 112; Corte IDH. Caso Bueno Alves Vs. Argentina. </w:t>
      </w:r>
      <w:r>
        <w:rPr>
          <w:color w:val="auto"/>
          <w:lang w:val="pt-BR" w:eastAsia="x-none"/>
        </w:rPr>
        <w:t>Sentença</w:t>
      </w:r>
      <w:r w:rsidRPr="007A020F">
        <w:rPr>
          <w:color w:val="auto"/>
          <w:lang w:val="pt-BR" w:eastAsia="x-none"/>
        </w:rPr>
        <w:t xml:space="preserve"> de 11 de maio de 2007. </w:t>
      </w:r>
      <w:r>
        <w:rPr>
          <w:color w:val="auto"/>
          <w:lang w:val="pt-BR" w:eastAsia="x-none"/>
        </w:rPr>
        <w:t>Série</w:t>
      </w:r>
      <w:r w:rsidRPr="007A020F">
        <w:rPr>
          <w:color w:val="auto"/>
          <w:lang w:val="pt-BR" w:eastAsia="x-none"/>
        </w:rPr>
        <w:t xml:space="preserve"> C. No. 164. </w:t>
      </w:r>
      <w:r>
        <w:rPr>
          <w:color w:val="auto"/>
          <w:lang w:val="pt-BR" w:eastAsia="x-none"/>
        </w:rPr>
        <w:t>Par.</w:t>
      </w:r>
      <w:r w:rsidRPr="007A020F">
        <w:rPr>
          <w:color w:val="auto"/>
          <w:lang w:val="pt-BR" w:eastAsia="x-none"/>
        </w:rPr>
        <w:t xml:space="preserve"> 102.</w:t>
      </w:r>
    </w:p>
  </w:footnote>
  <w:footnote w:id="247">
    <w:p w14:paraId="28FE70C2" w14:textId="77777777" w:rsidR="00477238" w:rsidRPr="007A020F" w:rsidRDefault="00477238" w:rsidP="00477238">
      <w:pPr>
        <w:pStyle w:val="FootnoteText"/>
        <w:ind w:firstLine="0"/>
        <w:contextualSpacing/>
        <w:rPr>
          <w:color w:val="auto"/>
          <w:lang w:val="pt-BR"/>
        </w:rPr>
      </w:pPr>
      <w:r w:rsidRPr="007A020F">
        <w:rPr>
          <w:rStyle w:val="FootnoteReference"/>
          <w:color w:val="auto"/>
          <w:lang w:val="pt-BR" w:eastAsia="x-none"/>
        </w:rPr>
        <w:footnoteRef/>
      </w:r>
      <w:r w:rsidRPr="007A020F">
        <w:rPr>
          <w:color w:val="auto"/>
          <w:lang w:val="pt-BR" w:eastAsia="x-none"/>
        </w:rPr>
        <w:t xml:space="preserve"> Corte IDH. Caso Cantoral Huamaní e García Santa Cruz Vs. Peru. </w:t>
      </w:r>
      <w:r>
        <w:rPr>
          <w:color w:val="auto"/>
          <w:lang w:val="pt-BR" w:eastAsia="x-none"/>
        </w:rPr>
        <w:t>Exceç</w:t>
      </w:r>
      <w:r w:rsidRPr="007A020F">
        <w:rPr>
          <w:color w:val="auto"/>
          <w:lang w:val="pt-BR" w:eastAsia="x-none"/>
        </w:rPr>
        <w:t xml:space="preserve">ão Preliminar, </w:t>
      </w:r>
      <w:r>
        <w:rPr>
          <w:color w:val="auto"/>
          <w:lang w:val="pt-BR" w:eastAsia="x-none"/>
        </w:rPr>
        <w:t>Mérito</w:t>
      </w:r>
      <w:r w:rsidRPr="007A020F">
        <w:rPr>
          <w:color w:val="auto"/>
          <w:lang w:val="pt-BR" w:eastAsia="x-none"/>
        </w:rPr>
        <w:t xml:space="preserve">, Reparações e </w:t>
      </w:r>
      <w:r>
        <w:rPr>
          <w:color w:val="auto"/>
          <w:lang w:val="pt-BR" w:eastAsia="x-none"/>
        </w:rPr>
        <w:t>Custas</w:t>
      </w:r>
      <w:r w:rsidRPr="007A020F">
        <w:rPr>
          <w:color w:val="auto"/>
          <w:lang w:val="pt-BR" w:eastAsia="x-none"/>
        </w:rPr>
        <w:t xml:space="preserve">. </w:t>
      </w:r>
      <w:r>
        <w:rPr>
          <w:color w:val="auto"/>
          <w:lang w:val="pt-BR" w:eastAsia="x-none"/>
        </w:rPr>
        <w:t>Sentença</w:t>
      </w:r>
      <w:r w:rsidRPr="007A020F">
        <w:rPr>
          <w:color w:val="auto"/>
          <w:lang w:val="pt-BR" w:eastAsia="x-none"/>
        </w:rPr>
        <w:t xml:space="preserve"> de 10 de julho de 2007. </w:t>
      </w:r>
      <w:r>
        <w:rPr>
          <w:color w:val="auto"/>
          <w:lang w:val="pt-BR" w:eastAsia="x-none"/>
        </w:rPr>
        <w:t>Série</w:t>
      </w:r>
      <w:r w:rsidRPr="007A020F">
        <w:rPr>
          <w:color w:val="auto"/>
          <w:lang w:val="pt-BR" w:eastAsia="x-none"/>
        </w:rPr>
        <w:t xml:space="preserve"> C No. 167. </w:t>
      </w:r>
      <w:r>
        <w:rPr>
          <w:color w:val="auto"/>
          <w:lang w:val="pt-BR" w:eastAsia="x-none"/>
        </w:rPr>
        <w:t>Par.</w:t>
      </w:r>
      <w:r w:rsidRPr="007A020F">
        <w:rPr>
          <w:color w:val="auto"/>
          <w:lang w:val="pt-BR" w:eastAsia="x-none"/>
        </w:rPr>
        <w:t xml:space="preserve"> 112; Corte IDH. Caso Vargas Areco Vs. Paragua</w:t>
      </w:r>
      <w:r>
        <w:rPr>
          <w:color w:val="auto"/>
          <w:lang w:val="pt-BR" w:eastAsia="x-none"/>
        </w:rPr>
        <w:t>i</w:t>
      </w:r>
      <w:r w:rsidRPr="007A020F">
        <w:rPr>
          <w:color w:val="auto"/>
          <w:lang w:val="pt-BR" w:eastAsia="x-none"/>
        </w:rPr>
        <w:t xml:space="preserve">. </w:t>
      </w:r>
      <w:r>
        <w:rPr>
          <w:color w:val="auto"/>
          <w:lang w:val="pt-BR" w:eastAsia="x-none"/>
        </w:rPr>
        <w:t>Sentença</w:t>
      </w:r>
      <w:r w:rsidRPr="007A020F">
        <w:rPr>
          <w:color w:val="auto"/>
          <w:lang w:val="pt-BR" w:eastAsia="x-none"/>
        </w:rPr>
        <w:t xml:space="preserve"> de 26 de setembro de 2006. </w:t>
      </w:r>
      <w:r>
        <w:rPr>
          <w:color w:val="auto"/>
          <w:lang w:val="pt-BR" w:eastAsia="x-none"/>
        </w:rPr>
        <w:t>Série</w:t>
      </w:r>
      <w:r w:rsidRPr="007A020F">
        <w:rPr>
          <w:color w:val="auto"/>
          <w:lang w:val="pt-BR" w:eastAsia="x-none"/>
        </w:rPr>
        <w:t xml:space="preserve"> C No. 155. </w:t>
      </w:r>
      <w:r>
        <w:rPr>
          <w:color w:val="auto"/>
          <w:lang w:val="pt-BR" w:eastAsia="x-none"/>
        </w:rPr>
        <w:t>Par.</w:t>
      </w:r>
      <w:r w:rsidRPr="007A020F">
        <w:rPr>
          <w:color w:val="auto"/>
          <w:lang w:val="pt-BR" w:eastAsia="x-none"/>
        </w:rPr>
        <w:t xml:space="preserve"> 96.</w:t>
      </w:r>
    </w:p>
  </w:footnote>
  <w:footnote w:id="248">
    <w:p w14:paraId="443886F6" w14:textId="77777777" w:rsidR="00477238" w:rsidRPr="007A020F" w:rsidRDefault="00477238" w:rsidP="00477238">
      <w:pPr>
        <w:pStyle w:val="FootnoteText"/>
        <w:ind w:firstLine="0"/>
        <w:contextualSpacing/>
        <w:rPr>
          <w:color w:val="auto"/>
          <w:lang w:val="pt-BR"/>
        </w:rPr>
      </w:pPr>
      <w:r w:rsidRPr="007A020F">
        <w:rPr>
          <w:rStyle w:val="FootnoteReference"/>
          <w:color w:val="auto"/>
          <w:lang w:val="pt-BR" w:eastAsia="x-none"/>
        </w:rPr>
        <w:footnoteRef/>
      </w:r>
      <w:r w:rsidRPr="007A020F">
        <w:rPr>
          <w:color w:val="auto"/>
          <w:lang w:val="pt-BR" w:eastAsia="x-none"/>
        </w:rPr>
        <w:t xml:space="preserve"> Corte IDH. Caso Valle Jaramillo e outros Vs. Colômbia. </w:t>
      </w:r>
      <w:r>
        <w:rPr>
          <w:color w:val="auto"/>
          <w:lang w:val="pt-BR" w:eastAsia="x-none"/>
        </w:rPr>
        <w:t>Mérito</w:t>
      </w:r>
      <w:r w:rsidRPr="007A020F">
        <w:rPr>
          <w:color w:val="auto"/>
          <w:lang w:val="pt-BR" w:eastAsia="x-none"/>
        </w:rPr>
        <w:t xml:space="preserve">, Reparações e </w:t>
      </w:r>
      <w:r>
        <w:rPr>
          <w:color w:val="auto"/>
          <w:lang w:val="pt-BR" w:eastAsia="x-none"/>
        </w:rPr>
        <w:t>Custas</w:t>
      </w:r>
      <w:r w:rsidRPr="007A020F">
        <w:rPr>
          <w:color w:val="auto"/>
          <w:lang w:val="pt-BR" w:eastAsia="x-none"/>
        </w:rPr>
        <w:t xml:space="preserve">. </w:t>
      </w:r>
      <w:r>
        <w:rPr>
          <w:color w:val="auto"/>
          <w:lang w:val="pt-BR" w:eastAsia="x-none"/>
        </w:rPr>
        <w:t>Sentença</w:t>
      </w:r>
      <w:r w:rsidRPr="007A020F">
        <w:rPr>
          <w:color w:val="auto"/>
          <w:lang w:val="pt-BR" w:eastAsia="x-none"/>
        </w:rPr>
        <w:t xml:space="preserve"> de 27 de novembro de 2008. </w:t>
      </w:r>
      <w:r>
        <w:rPr>
          <w:color w:val="auto"/>
          <w:lang w:val="pt-BR" w:eastAsia="x-none"/>
        </w:rPr>
        <w:t>Série</w:t>
      </w:r>
      <w:r w:rsidRPr="007A020F">
        <w:rPr>
          <w:color w:val="auto"/>
          <w:lang w:val="pt-BR" w:eastAsia="x-none"/>
        </w:rPr>
        <w:t xml:space="preserve"> C No. 192. </w:t>
      </w:r>
      <w:r>
        <w:rPr>
          <w:color w:val="auto"/>
          <w:lang w:val="pt-BR" w:eastAsia="x-none"/>
        </w:rPr>
        <w:t>Par.</w:t>
      </w:r>
      <w:r w:rsidRPr="007A020F">
        <w:rPr>
          <w:color w:val="auto"/>
          <w:lang w:val="pt-BR" w:eastAsia="x-none"/>
        </w:rPr>
        <w:t xml:space="preserve"> 98; Corte IDH. Caso Velásquez Rodríguez Vs. Honduras. </w:t>
      </w:r>
      <w:r>
        <w:rPr>
          <w:color w:val="auto"/>
          <w:lang w:val="pt-BR" w:eastAsia="x-none"/>
        </w:rPr>
        <w:t>Sentença</w:t>
      </w:r>
      <w:r w:rsidRPr="007A020F">
        <w:rPr>
          <w:color w:val="auto"/>
          <w:lang w:val="pt-BR" w:eastAsia="x-none"/>
        </w:rPr>
        <w:t xml:space="preserve"> de 29 de julho de 1988, </w:t>
      </w:r>
      <w:r>
        <w:rPr>
          <w:color w:val="auto"/>
          <w:lang w:val="pt-BR" w:eastAsia="x-none"/>
        </w:rPr>
        <w:t>Série</w:t>
      </w:r>
      <w:r w:rsidRPr="007A020F">
        <w:rPr>
          <w:color w:val="auto"/>
          <w:lang w:val="pt-BR" w:eastAsia="x-none"/>
        </w:rPr>
        <w:t xml:space="preserve"> C No. 4. </w:t>
      </w:r>
      <w:r>
        <w:rPr>
          <w:color w:val="auto"/>
          <w:lang w:val="pt-BR" w:eastAsia="x-none"/>
        </w:rPr>
        <w:t>Par.</w:t>
      </w:r>
      <w:r w:rsidRPr="007A020F">
        <w:rPr>
          <w:color w:val="auto"/>
          <w:lang w:val="pt-BR" w:eastAsia="x-none"/>
        </w:rPr>
        <w:t xml:space="preserve"> 166; Corte IDH. Caso Heliodoro Portugal Vs. Panamá. </w:t>
      </w:r>
      <w:r>
        <w:rPr>
          <w:color w:val="auto"/>
          <w:lang w:val="pt-BR" w:eastAsia="x-none"/>
        </w:rPr>
        <w:t>Sentença</w:t>
      </w:r>
      <w:r w:rsidRPr="007A020F">
        <w:rPr>
          <w:color w:val="auto"/>
          <w:lang w:val="pt-BR" w:eastAsia="x-none"/>
        </w:rPr>
        <w:t xml:space="preserve"> de 12 de agosto de 2008. </w:t>
      </w:r>
      <w:r>
        <w:rPr>
          <w:color w:val="auto"/>
          <w:lang w:val="pt-BR" w:eastAsia="x-none"/>
        </w:rPr>
        <w:t>Série</w:t>
      </w:r>
      <w:r w:rsidRPr="007A020F">
        <w:rPr>
          <w:color w:val="auto"/>
          <w:lang w:val="pt-BR" w:eastAsia="x-none"/>
        </w:rPr>
        <w:t xml:space="preserve"> C No. 186. </w:t>
      </w:r>
      <w:r>
        <w:rPr>
          <w:color w:val="auto"/>
          <w:lang w:val="pt-BR" w:eastAsia="x-none"/>
        </w:rPr>
        <w:t>Par.</w:t>
      </w:r>
      <w:r w:rsidRPr="007A020F">
        <w:rPr>
          <w:color w:val="auto"/>
          <w:lang w:val="pt-BR" w:eastAsia="x-none"/>
        </w:rPr>
        <w:t xml:space="preserve"> 142; Corte IDH. Caso García Prieto e outros Vs. </w:t>
      </w:r>
      <w:r>
        <w:rPr>
          <w:color w:val="auto"/>
          <w:lang w:val="pt-BR" w:eastAsia="x-none"/>
        </w:rPr>
        <w:t>El</w:t>
      </w:r>
      <w:r w:rsidRPr="007A020F">
        <w:rPr>
          <w:color w:val="auto"/>
          <w:lang w:val="pt-BR" w:eastAsia="x-none"/>
        </w:rPr>
        <w:t xml:space="preserve"> Salvador. </w:t>
      </w:r>
      <w:r>
        <w:rPr>
          <w:color w:val="auto"/>
          <w:lang w:val="pt-BR" w:eastAsia="x-none"/>
        </w:rPr>
        <w:t>Sentença</w:t>
      </w:r>
      <w:r w:rsidRPr="007A020F">
        <w:rPr>
          <w:color w:val="auto"/>
          <w:lang w:val="pt-BR" w:eastAsia="x-none"/>
        </w:rPr>
        <w:t xml:space="preserve"> de 20 de novembro de 2007, </w:t>
      </w:r>
      <w:r>
        <w:rPr>
          <w:color w:val="auto"/>
          <w:lang w:val="pt-BR" w:eastAsia="x-none"/>
        </w:rPr>
        <w:t>Série</w:t>
      </w:r>
      <w:r w:rsidRPr="007A020F">
        <w:rPr>
          <w:color w:val="auto"/>
          <w:lang w:val="pt-BR" w:eastAsia="x-none"/>
        </w:rPr>
        <w:t xml:space="preserve"> C No. 168. </w:t>
      </w:r>
      <w:r>
        <w:rPr>
          <w:color w:val="auto"/>
          <w:lang w:val="pt-BR" w:eastAsia="x-none"/>
        </w:rPr>
        <w:t>Par.</w:t>
      </w:r>
      <w:r w:rsidRPr="007A020F">
        <w:rPr>
          <w:color w:val="auto"/>
          <w:lang w:val="pt-BR" w:eastAsia="x-none"/>
        </w:rPr>
        <w:t xml:space="preserve"> 99. </w:t>
      </w:r>
    </w:p>
  </w:footnote>
  <w:footnote w:id="249">
    <w:p w14:paraId="479E65F5" w14:textId="77777777" w:rsidR="00477238" w:rsidRPr="007A020F" w:rsidRDefault="00477238" w:rsidP="00477238">
      <w:pPr>
        <w:pStyle w:val="FootnoteText"/>
        <w:ind w:firstLine="0"/>
        <w:contextualSpacing/>
        <w:rPr>
          <w:color w:val="auto"/>
          <w:lang w:val="pt-BR"/>
        </w:rPr>
      </w:pPr>
      <w:r w:rsidRPr="007A020F">
        <w:rPr>
          <w:rStyle w:val="FootnoteReference"/>
          <w:color w:val="auto"/>
          <w:lang w:val="pt-BR"/>
        </w:rPr>
        <w:footnoteRef/>
      </w:r>
      <w:r w:rsidRPr="007A020F">
        <w:rPr>
          <w:color w:val="auto"/>
          <w:lang w:val="pt-BR"/>
        </w:rPr>
        <w:t xml:space="preserve"> Corte I.D.H., Caso d</w:t>
      </w:r>
      <w:r>
        <w:rPr>
          <w:color w:val="auto"/>
          <w:lang w:val="pt-BR"/>
        </w:rPr>
        <w:t>o</w:t>
      </w:r>
      <w:r w:rsidRPr="007A020F">
        <w:rPr>
          <w:color w:val="auto"/>
          <w:lang w:val="pt-BR"/>
        </w:rPr>
        <w:t xml:space="preserve"> Mas</w:t>
      </w:r>
      <w:r>
        <w:rPr>
          <w:color w:val="auto"/>
          <w:lang w:val="pt-BR"/>
        </w:rPr>
        <w:t>s</w:t>
      </w:r>
      <w:r w:rsidRPr="007A020F">
        <w:rPr>
          <w:color w:val="auto"/>
          <w:lang w:val="pt-BR"/>
        </w:rPr>
        <w:t>acre</w:t>
      </w:r>
      <w:r>
        <w:rPr>
          <w:color w:val="auto"/>
          <w:lang w:val="pt-BR"/>
        </w:rPr>
        <w:t xml:space="preserve"> de las </w:t>
      </w:r>
      <w:r w:rsidRPr="007A020F">
        <w:rPr>
          <w:color w:val="auto"/>
          <w:lang w:val="pt-BR"/>
        </w:rPr>
        <w:t xml:space="preserve">Dos Erres v. Guatemala. </w:t>
      </w:r>
      <w:r>
        <w:rPr>
          <w:color w:val="auto"/>
          <w:lang w:val="pt-BR"/>
        </w:rPr>
        <w:t>Exceç</w:t>
      </w:r>
      <w:r w:rsidRPr="007A020F">
        <w:rPr>
          <w:color w:val="auto"/>
          <w:lang w:val="pt-BR"/>
        </w:rPr>
        <w:t xml:space="preserve">ões Preliminares, </w:t>
      </w:r>
      <w:r>
        <w:rPr>
          <w:color w:val="auto"/>
          <w:lang w:val="pt-BR"/>
        </w:rPr>
        <w:t>Mérito</w:t>
      </w:r>
      <w:r w:rsidRPr="007A020F">
        <w:rPr>
          <w:color w:val="auto"/>
          <w:lang w:val="pt-BR"/>
        </w:rPr>
        <w:t xml:space="preserve">, Reparações e </w:t>
      </w:r>
      <w:r>
        <w:rPr>
          <w:color w:val="auto"/>
          <w:lang w:val="pt-BR"/>
        </w:rPr>
        <w:t>Custas</w:t>
      </w:r>
      <w:r w:rsidRPr="007A020F">
        <w:rPr>
          <w:color w:val="auto"/>
          <w:lang w:val="pt-BR"/>
        </w:rPr>
        <w:t xml:space="preserve">. </w:t>
      </w:r>
      <w:r>
        <w:rPr>
          <w:color w:val="auto"/>
          <w:lang w:val="pt-BR"/>
        </w:rPr>
        <w:t>Sentença</w:t>
      </w:r>
      <w:r w:rsidRPr="007A020F">
        <w:rPr>
          <w:color w:val="auto"/>
          <w:lang w:val="pt-BR"/>
        </w:rPr>
        <w:t xml:space="preserve"> do 24 de novembro de 2009. </w:t>
      </w:r>
      <w:r>
        <w:rPr>
          <w:color w:val="auto"/>
          <w:lang w:val="pt-BR"/>
        </w:rPr>
        <w:t>Série</w:t>
      </w:r>
      <w:r w:rsidRPr="007A020F">
        <w:rPr>
          <w:color w:val="auto"/>
          <w:lang w:val="pt-BR"/>
        </w:rPr>
        <w:t xml:space="preserve"> C No. 211, par. 215. </w:t>
      </w:r>
    </w:p>
  </w:footnote>
  <w:footnote w:id="250">
    <w:p w14:paraId="22BA32A2" w14:textId="77777777" w:rsidR="00477238" w:rsidRPr="007A020F" w:rsidRDefault="00477238" w:rsidP="00477238">
      <w:pPr>
        <w:pStyle w:val="FootnoteText"/>
        <w:ind w:firstLine="0"/>
        <w:contextualSpacing/>
        <w:rPr>
          <w:color w:val="auto"/>
          <w:lang w:val="pt-BR"/>
        </w:rPr>
      </w:pPr>
      <w:r w:rsidRPr="007A020F">
        <w:rPr>
          <w:rStyle w:val="FootnoteReference"/>
          <w:color w:val="auto"/>
          <w:lang w:val="pt-BR"/>
        </w:rPr>
        <w:footnoteRef/>
      </w:r>
      <w:r w:rsidRPr="007A020F">
        <w:rPr>
          <w:color w:val="auto"/>
          <w:lang w:val="pt-BR"/>
        </w:rPr>
        <w:t xml:space="preserve"> Corte IDH. </w:t>
      </w:r>
      <w:r w:rsidRPr="007A020F">
        <w:rPr>
          <w:bCs/>
          <w:color w:val="auto"/>
          <w:lang w:val="pt-BR"/>
        </w:rPr>
        <w:t xml:space="preserve">Caso Gomes Lund e outros (Guerrilha do Araguaia) Vs. Brasil. </w:t>
      </w:r>
      <w:r>
        <w:rPr>
          <w:bCs/>
          <w:color w:val="auto"/>
          <w:lang w:val="pt-BR"/>
        </w:rPr>
        <w:t>Exceç</w:t>
      </w:r>
      <w:r w:rsidRPr="007A020F">
        <w:rPr>
          <w:bCs/>
          <w:color w:val="auto"/>
          <w:lang w:val="pt-BR"/>
        </w:rPr>
        <w:t xml:space="preserve">ões Preliminares, </w:t>
      </w:r>
      <w:r>
        <w:rPr>
          <w:bCs/>
          <w:color w:val="auto"/>
          <w:lang w:val="pt-BR"/>
        </w:rPr>
        <w:t>Mérito</w:t>
      </w:r>
      <w:r w:rsidRPr="007A020F">
        <w:rPr>
          <w:bCs/>
          <w:color w:val="auto"/>
          <w:lang w:val="pt-BR"/>
        </w:rPr>
        <w:t xml:space="preserve">, Reparações e </w:t>
      </w:r>
      <w:r>
        <w:rPr>
          <w:bCs/>
          <w:color w:val="auto"/>
          <w:lang w:val="pt-BR"/>
        </w:rPr>
        <w:t>Custas</w:t>
      </w:r>
      <w:r w:rsidRPr="007A020F">
        <w:rPr>
          <w:bCs/>
          <w:color w:val="auto"/>
          <w:lang w:val="pt-BR"/>
        </w:rPr>
        <w:t xml:space="preserve">. </w:t>
      </w:r>
      <w:r>
        <w:rPr>
          <w:bCs/>
          <w:color w:val="auto"/>
          <w:lang w:val="pt-BR"/>
        </w:rPr>
        <w:t>Sentença</w:t>
      </w:r>
      <w:r w:rsidRPr="007A020F">
        <w:rPr>
          <w:bCs/>
          <w:color w:val="auto"/>
          <w:lang w:val="pt-BR"/>
        </w:rPr>
        <w:t xml:space="preserve"> de 24 de novembro de 2010. </w:t>
      </w:r>
      <w:r>
        <w:rPr>
          <w:bCs/>
          <w:color w:val="auto"/>
          <w:lang w:val="pt-BR"/>
        </w:rPr>
        <w:t>Série</w:t>
      </w:r>
      <w:r w:rsidRPr="007A020F">
        <w:rPr>
          <w:bCs/>
          <w:color w:val="auto"/>
          <w:lang w:val="pt-BR"/>
        </w:rPr>
        <w:t xml:space="preserve"> C No. 219, </w:t>
      </w:r>
      <w:r>
        <w:rPr>
          <w:bCs/>
          <w:color w:val="auto"/>
          <w:lang w:val="pt-BR"/>
        </w:rPr>
        <w:t>par.</w:t>
      </w:r>
      <w:r w:rsidRPr="007A020F">
        <w:rPr>
          <w:bCs/>
          <w:color w:val="auto"/>
          <w:lang w:val="pt-BR"/>
        </w:rPr>
        <w:t xml:space="preserve"> 235.</w:t>
      </w:r>
    </w:p>
  </w:footnote>
  <w:footnote w:id="251">
    <w:p w14:paraId="5C354764" w14:textId="77777777" w:rsidR="00477238" w:rsidRPr="007A020F" w:rsidRDefault="00477238" w:rsidP="00477238">
      <w:pPr>
        <w:jc w:val="both"/>
        <w:rPr>
          <w:rFonts w:ascii="Cambria" w:hAnsi="Cambria" w:cs="Arial"/>
          <w:sz w:val="16"/>
          <w:szCs w:val="16"/>
        </w:rPr>
      </w:pPr>
      <w:r w:rsidRPr="007A020F">
        <w:rPr>
          <w:rStyle w:val="FootnoteReference"/>
          <w:rFonts w:ascii="Cambria" w:hAnsi="Cambria"/>
          <w:sz w:val="16"/>
          <w:szCs w:val="16"/>
        </w:rPr>
        <w:footnoteRef/>
      </w:r>
      <w:r w:rsidRPr="007A020F">
        <w:rPr>
          <w:rFonts w:ascii="Cambria" w:hAnsi="Cambria"/>
          <w:sz w:val="16"/>
          <w:szCs w:val="16"/>
        </w:rPr>
        <w:t xml:space="preserve"> </w:t>
      </w:r>
      <w:r w:rsidRPr="007A020F">
        <w:rPr>
          <w:rFonts w:ascii="Cambria" w:hAnsi="Cambria" w:cs="Arial"/>
          <w:sz w:val="16"/>
          <w:szCs w:val="16"/>
        </w:rPr>
        <w:t xml:space="preserve">Corte IDH. Caso V.R.P., V.P.C. e outros Vs. Nicarágua. </w:t>
      </w:r>
      <w:r>
        <w:rPr>
          <w:rFonts w:ascii="Cambria" w:hAnsi="Cambria" w:cs="Arial"/>
          <w:sz w:val="16"/>
          <w:szCs w:val="16"/>
        </w:rPr>
        <w:t>Exceç</w:t>
      </w:r>
      <w:r w:rsidRPr="007A020F">
        <w:rPr>
          <w:rFonts w:ascii="Cambria" w:hAnsi="Cambria" w:cs="Arial"/>
          <w:sz w:val="16"/>
          <w:szCs w:val="16"/>
        </w:rPr>
        <w:t xml:space="preserve">ões Preliminares, </w:t>
      </w:r>
      <w:r>
        <w:rPr>
          <w:rFonts w:ascii="Cambria" w:hAnsi="Cambria" w:cs="Arial"/>
          <w:sz w:val="16"/>
          <w:szCs w:val="16"/>
        </w:rPr>
        <w:t>Mérito</w:t>
      </w:r>
      <w:r w:rsidRPr="007A020F">
        <w:rPr>
          <w:rFonts w:ascii="Cambria" w:hAnsi="Cambria" w:cs="Arial"/>
          <w:sz w:val="16"/>
          <w:szCs w:val="16"/>
        </w:rPr>
        <w:t xml:space="preserve">, Reparações e </w:t>
      </w:r>
      <w:r>
        <w:rPr>
          <w:rFonts w:ascii="Cambria" w:hAnsi="Cambria" w:cs="Arial"/>
          <w:sz w:val="16"/>
          <w:szCs w:val="16"/>
        </w:rPr>
        <w:t>Custas</w:t>
      </w:r>
      <w:r w:rsidRPr="007A020F">
        <w:rPr>
          <w:rFonts w:ascii="Cambria" w:hAnsi="Cambria" w:cs="Arial"/>
          <w:sz w:val="16"/>
          <w:szCs w:val="16"/>
        </w:rPr>
        <w:t xml:space="preserve">. </w:t>
      </w:r>
      <w:r>
        <w:rPr>
          <w:rFonts w:ascii="Cambria" w:hAnsi="Cambria" w:cs="Arial"/>
          <w:sz w:val="16"/>
          <w:szCs w:val="16"/>
        </w:rPr>
        <w:t>Sentença</w:t>
      </w:r>
      <w:r w:rsidRPr="007A020F">
        <w:rPr>
          <w:rFonts w:ascii="Cambria" w:hAnsi="Cambria" w:cs="Arial"/>
          <w:sz w:val="16"/>
          <w:szCs w:val="16"/>
        </w:rPr>
        <w:t xml:space="preserve"> de 8 de mar</w:t>
      </w:r>
      <w:r>
        <w:rPr>
          <w:rFonts w:ascii="Cambria" w:hAnsi="Cambria" w:cs="Arial"/>
          <w:sz w:val="16"/>
          <w:szCs w:val="16"/>
        </w:rPr>
        <w:t>ç</w:t>
      </w:r>
      <w:r w:rsidRPr="007A020F">
        <w:rPr>
          <w:rFonts w:ascii="Cambria" w:hAnsi="Cambria" w:cs="Arial"/>
          <w:sz w:val="16"/>
          <w:szCs w:val="16"/>
        </w:rPr>
        <w:t xml:space="preserve">o de 2018. </w:t>
      </w:r>
      <w:r>
        <w:rPr>
          <w:rFonts w:ascii="Cambria" w:hAnsi="Cambria" w:cs="Arial"/>
          <w:sz w:val="16"/>
          <w:szCs w:val="16"/>
        </w:rPr>
        <w:t>Série</w:t>
      </w:r>
      <w:r w:rsidRPr="007A020F">
        <w:rPr>
          <w:rFonts w:ascii="Cambria" w:hAnsi="Cambria" w:cs="Arial"/>
          <w:sz w:val="16"/>
          <w:szCs w:val="16"/>
        </w:rPr>
        <w:t xml:space="preserve"> C No. 350., P</w:t>
      </w:r>
      <w:r>
        <w:rPr>
          <w:rFonts w:ascii="Cambria" w:hAnsi="Cambria" w:cs="Arial"/>
          <w:sz w:val="16"/>
          <w:szCs w:val="16"/>
        </w:rPr>
        <w:t>ar</w:t>
      </w:r>
      <w:r w:rsidRPr="007A020F">
        <w:rPr>
          <w:rFonts w:ascii="Cambria" w:hAnsi="Cambria" w:cs="Arial"/>
          <w:sz w:val="16"/>
          <w:szCs w:val="16"/>
        </w:rPr>
        <w:t>á</w:t>
      </w:r>
      <w:r>
        <w:rPr>
          <w:rFonts w:ascii="Cambria" w:hAnsi="Cambria" w:cs="Arial"/>
          <w:sz w:val="16"/>
          <w:szCs w:val="16"/>
        </w:rPr>
        <w:t>g</w:t>
      </w:r>
      <w:r w:rsidRPr="007A020F">
        <w:rPr>
          <w:rFonts w:ascii="Cambria" w:hAnsi="Cambria" w:cs="Arial"/>
          <w:sz w:val="16"/>
          <w:szCs w:val="16"/>
        </w:rPr>
        <w:t>rafo 310</w:t>
      </w:r>
    </w:p>
  </w:footnote>
  <w:footnote w:id="252">
    <w:p w14:paraId="0300BFAB" w14:textId="77777777" w:rsidR="00477238" w:rsidRPr="007A020F" w:rsidRDefault="00477238" w:rsidP="00477238">
      <w:pPr>
        <w:pStyle w:val="FootnoteText"/>
        <w:ind w:firstLine="0"/>
        <w:contextualSpacing/>
        <w:rPr>
          <w:color w:val="auto"/>
          <w:lang w:val="pt-BR"/>
        </w:rPr>
      </w:pPr>
      <w:r w:rsidRPr="007A020F">
        <w:rPr>
          <w:rStyle w:val="FootnoteReference"/>
          <w:color w:val="auto"/>
          <w:lang w:val="pt-BR"/>
        </w:rPr>
        <w:footnoteRef/>
      </w:r>
      <w:r w:rsidRPr="007A020F">
        <w:rPr>
          <w:color w:val="auto"/>
          <w:lang w:val="pt-BR"/>
        </w:rPr>
        <w:t xml:space="preserve"> </w:t>
      </w:r>
      <w:r w:rsidRPr="007A020F">
        <w:rPr>
          <w:rFonts w:cs="Arial"/>
          <w:color w:val="auto"/>
          <w:lang w:val="pt-BR"/>
        </w:rPr>
        <w:t xml:space="preserve">Brasil. </w:t>
      </w:r>
      <w:r w:rsidRPr="007A020F">
        <w:rPr>
          <w:color w:val="auto"/>
          <w:lang w:val="pt-BR"/>
        </w:rPr>
        <w:t xml:space="preserve">Presidência da República. </w:t>
      </w:r>
      <w:r>
        <w:rPr>
          <w:color w:val="auto"/>
          <w:lang w:val="pt-BR"/>
        </w:rPr>
        <w:t>Lei</w:t>
      </w:r>
      <w:r w:rsidRPr="007A020F">
        <w:rPr>
          <w:color w:val="auto"/>
          <w:lang w:val="pt-BR"/>
        </w:rPr>
        <w:t xml:space="preserve"> No. 9.140 d</w:t>
      </w:r>
      <w:r>
        <w:rPr>
          <w:color w:val="auto"/>
          <w:lang w:val="pt-BR"/>
        </w:rPr>
        <w:t>e</w:t>
      </w:r>
      <w:r w:rsidRPr="007A020F">
        <w:rPr>
          <w:color w:val="auto"/>
          <w:lang w:val="pt-BR"/>
        </w:rPr>
        <w:t xml:space="preserve"> 4 de d</w:t>
      </w:r>
      <w:r>
        <w:rPr>
          <w:color w:val="auto"/>
          <w:lang w:val="pt-BR"/>
        </w:rPr>
        <w:t>ez</w:t>
      </w:r>
      <w:r w:rsidRPr="007A020F">
        <w:rPr>
          <w:color w:val="auto"/>
          <w:lang w:val="pt-BR"/>
        </w:rPr>
        <w:t xml:space="preserve">embro de 1995. </w:t>
      </w:r>
      <w:r>
        <w:rPr>
          <w:color w:val="auto"/>
          <w:lang w:val="pt-BR"/>
        </w:rPr>
        <w:t>É</w:t>
      </w:r>
      <w:r w:rsidRPr="007A020F">
        <w:rPr>
          <w:color w:val="auto"/>
          <w:lang w:val="pt-BR"/>
        </w:rPr>
        <w:t xml:space="preserve"> pertinente mencionar que </w:t>
      </w:r>
      <w:r>
        <w:rPr>
          <w:color w:val="auto"/>
          <w:lang w:val="pt-BR"/>
        </w:rPr>
        <w:t>ess</w:t>
      </w:r>
      <w:r w:rsidRPr="007A020F">
        <w:rPr>
          <w:color w:val="auto"/>
          <w:lang w:val="pt-BR"/>
        </w:rPr>
        <w:t xml:space="preserve">a </w:t>
      </w:r>
      <w:r>
        <w:rPr>
          <w:color w:val="auto"/>
          <w:lang w:val="pt-BR"/>
        </w:rPr>
        <w:t>Lei</w:t>
      </w:r>
      <w:r w:rsidRPr="007A020F">
        <w:rPr>
          <w:color w:val="auto"/>
          <w:lang w:val="pt-BR"/>
        </w:rPr>
        <w:t xml:space="preserve"> posteriormente f</w:t>
      </w:r>
      <w:r>
        <w:rPr>
          <w:color w:val="auto"/>
          <w:lang w:val="pt-BR"/>
        </w:rPr>
        <w:t>oi</w:t>
      </w:r>
      <w:r w:rsidRPr="007A020F">
        <w:rPr>
          <w:color w:val="auto"/>
          <w:lang w:val="pt-BR"/>
        </w:rPr>
        <w:t xml:space="preserve"> modificada pela </w:t>
      </w:r>
      <w:r>
        <w:rPr>
          <w:color w:val="auto"/>
          <w:lang w:val="pt-BR"/>
        </w:rPr>
        <w:t>Lei</w:t>
      </w:r>
      <w:r w:rsidRPr="007A020F">
        <w:rPr>
          <w:color w:val="auto"/>
          <w:lang w:val="pt-BR"/>
        </w:rPr>
        <w:t xml:space="preserve"> 10.536/2002 e pela </w:t>
      </w:r>
      <w:r>
        <w:rPr>
          <w:color w:val="auto"/>
          <w:lang w:val="pt-BR"/>
        </w:rPr>
        <w:t>Lei</w:t>
      </w:r>
      <w:r w:rsidRPr="007A020F">
        <w:rPr>
          <w:color w:val="auto"/>
          <w:lang w:val="pt-BR"/>
        </w:rPr>
        <w:t xml:space="preserve"> 10.875/2004.</w:t>
      </w:r>
    </w:p>
  </w:footnote>
  <w:footnote w:id="253">
    <w:p w14:paraId="4EC5ABA8" w14:textId="77777777" w:rsidR="00477238" w:rsidRPr="007A020F" w:rsidRDefault="00477238" w:rsidP="00477238">
      <w:pPr>
        <w:pStyle w:val="FootnoteText"/>
        <w:ind w:firstLine="0"/>
        <w:rPr>
          <w:lang w:val="pt-BR"/>
        </w:rPr>
      </w:pPr>
      <w:r w:rsidRPr="007A020F">
        <w:rPr>
          <w:rStyle w:val="FootnoteReference"/>
          <w:lang w:val="pt-BR"/>
        </w:rPr>
        <w:footnoteRef/>
      </w:r>
      <w:r w:rsidRPr="007A020F">
        <w:rPr>
          <w:lang w:val="pt-BR"/>
        </w:rPr>
        <w:t xml:space="preserve"> </w:t>
      </w:r>
      <w:r>
        <w:rPr>
          <w:lang w:val="pt-BR"/>
        </w:rPr>
        <w:t>D</w:t>
      </w:r>
      <w:r w:rsidRPr="007A020F">
        <w:rPr>
          <w:lang w:val="pt-BR"/>
        </w:rPr>
        <w:t>e R$ 22.000,00 (vinte e do</w:t>
      </w:r>
      <w:r>
        <w:rPr>
          <w:lang w:val="pt-BR"/>
        </w:rPr>
        <w:t>i</w:t>
      </w:r>
      <w:r w:rsidRPr="007A020F">
        <w:rPr>
          <w:lang w:val="pt-BR"/>
        </w:rPr>
        <w:t>s mil reais) a Eduarda Leite Crispim e de R$ 38.000,00 (trinta e o</w:t>
      </w:r>
      <w:r>
        <w:rPr>
          <w:lang w:val="pt-BR"/>
        </w:rPr>
        <w:t>it</w:t>
      </w:r>
      <w:r w:rsidRPr="007A020F">
        <w:rPr>
          <w:lang w:val="pt-BR"/>
        </w:rPr>
        <w:t>o mil reais) devido às violações sofridas por s</w:t>
      </w:r>
      <w:r>
        <w:rPr>
          <w:lang w:val="pt-BR"/>
        </w:rPr>
        <w:t>e</w:t>
      </w:r>
      <w:r w:rsidRPr="007A020F">
        <w:rPr>
          <w:lang w:val="pt-BR"/>
        </w:rPr>
        <w:t>u pa</w:t>
      </w:r>
      <w:r>
        <w:rPr>
          <w:lang w:val="pt-BR"/>
        </w:rPr>
        <w:t>i</w:t>
      </w:r>
      <w:r w:rsidRPr="007A020F">
        <w:rPr>
          <w:lang w:val="pt-BR"/>
        </w:rPr>
        <w:t xml:space="preserve"> por parte da </w:t>
      </w:r>
      <w:r>
        <w:rPr>
          <w:lang w:val="pt-BR"/>
        </w:rPr>
        <w:t>Comissão</w:t>
      </w:r>
      <w:r w:rsidRPr="007A020F">
        <w:rPr>
          <w:lang w:val="pt-BR"/>
        </w:rPr>
        <w:t xml:space="preserve"> Estadual de Ex</w:t>
      </w:r>
      <w:r>
        <w:rPr>
          <w:lang w:val="pt-BR"/>
        </w:rPr>
        <w:t>-Presos</w:t>
      </w:r>
      <w:r w:rsidRPr="007A020F">
        <w:rPr>
          <w:lang w:val="pt-BR"/>
        </w:rPr>
        <w:t xml:space="preserve"> Políticos. A CIDH reconhece </w:t>
      </w:r>
      <w:r>
        <w:rPr>
          <w:lang w:val="pt-BR"/>
        </w:rPr>
        <w:t>também</w:t>
      </w:r>
      <w:r w:rsidRPr="007A020F">
        <w:rPr>
          <w:lang w:val="pt-BR"/>
        </w:rPr>
        <w:t xml:space="preserve"> as </w:t>
      </w:r>
      <w:r>
        <w:rPr>
          <w:lang w:val="pt-BR"/>
        </w:rPr>
        <w:t xml:space="preserve">seguintes </w:t>
      </w:r>
      <w:r w:rsidRPr="007A020F">
        <w:rPr>
          <w:lang w:val="pt-BR"/>
        </w:rPr>
        <w:t>a</w:t>
      </w:r>
      <w:r>
        <w:rPr>
          <w:lang w:val="pt-BR"/>
        </w:rPr>
        <w:t>ç</w:t>
      </w:r>
      <w:r w:rsidRPr="007A020F">
        <w:rPr>
          <w:lang w:val="pt-BR"/>
        </w:rPr>
        <w:t xml:space="preserve">ões da </w:t>
      </w:r>
      <w:r>
        <w:rPr>
          <w:lang w:val="pt-BR"/>
        </w:rPr>
        <w:t>Comissão</w:t>
      </w:r>
      <w:r w:rsidRPr="007A020F">
        <w:rPr>
          <w:lang w:val="pt-BR"/>
        </w:rPr>
        <w:t xml:space="preserve"> de Anistia: (a) reconhec</w:t>
      </w:r>
      <w:r>
        <w:rPr>
          <w:lang w:val="pt-BR"/>
        </w:rPr>
        <w:t>eu</w:t>
      </w:r>
      <w:r w:rsidRPr="007A020F">
        <w:rPr>
          <w:lang w:val="pt-BR"/>
        </w:rPr>
        <w:t xml:space="preserve"> Eduardo Collen Leite como anistiado político </w:t>
      </w:r>
      <w:r w:rsidRPr="007A020F">
        <w:rPr>
          <w:i/>
          <w:iCs/>
          <w:lang w:val="pt-BR"/>
        </w:rPr>
        <w:t xml:space="preserve">post mortem </w:t>
      </w:r>
      <w:r w:rsidRPr="007910B8">
        <w:rPr>
          <w:lang w:val="pt-BR"/>
        </w:rPr>
        <w:t>e</w:t>
      </w:r>
      <w:r w:rsidRPr="007A020F">
        <w:rPr>
          <w:i/>
          <w:iCs/>
          <w:lang w:val="pt-BR"/>
        </w:rPr>
        <w:t xml:space="preserve"> </w:t>
      </w:r>
      <w:r w:rsidRPr="007A020F">
        <w:rPr>
          <w:lang w:val="pt-BR"/>
        </w:rPr>
        <w:t>concede</w:t>
      </w:r>
      <w:r>
        <w:rPr>
          <w:lang w:val="pt-BR"/>
        </w:rPr>
        <w:t>u</w:t>
      </w:r>
      <w:r w:rsidRPr="007A020F">
        <w:rPr>
          <w:lang w:val="pt-BR"/>
        </w:rPr>
        <w:t xml:space="preserve"> à senhora Denise Peres Crispim reparações econ</w:t>
      </w:r>
      <w:r>
        <w:rPr>
          <w:lang w:val="pt-BR"/>
        </w:rPr>
        <w:t>ô</w:t>
      </w:r>
      <w:r w:rsidRPr="007A020F">
        <w:rPr>
          <w:lang w:val="pt-BR"/>
        </w:rPr>
        <w:t>micas</w:t>
      </w:r>
      <w:r>
        <w:rPr>
          <w:lang w:val="pt-BR"/>
        </w:rPr>
        <w:t xml:space="preserve"> </w:t>
      </w:r>
      <w:r w:rsidRPr="007A020F">
        <w:rPr>
          <w:lang w:val="pt-BR"/>
        </w:rPr>
        <w:t xml:space="preserve">de caráter indenizatório no </w:t>
      </w:r>
      <w:r>
        <w:rPr>
          <w:lang w:val="pt-BR"/>
        </w:rPr>
        <w:t>valor</w:t>
      </w:r>
      <w:r w:rsidRPr="007A020F">
        <w:rPr>
          <w:lang w:val="pt-BR"/>
        </w:rPr>
        <w:t xml:space="preserve"> de R$ 100.000,00 (c</w:t>
      </w:r>
      <w:r>
        <w:rPr>
          <w:lang w:val="pt-BR"/>
        </w:rPr>
        <w:t>em</w:t>
      </w:r>
      <w:r w:rsidRPr="007A020F">
        <w:rPr>
          <w:lang w:val="pt-BR"/>
        </w:rPr>
        <w:t xml:space="preserve"> mil reais); (b) reconhec</w:t>
      </w:r>
      <w:r>
        <w:rPr>
          <w:lang w:val="pt-BR"/>
        </w:rPr>
        <w:t>eu</w:t>
      </w:r>
      <w:r w:rsidRPr="007A020F">
        <w:rPr>
          <w:lang w:val="pt-BR"/>
        </w:rPr>
        <w:t xml:space="preserve"> a anistia política e conced</w:t>
      </w:r>
      <w:r>
        <w:rPr>
          <w:lang w:val="pt-BR"/>
        </w:rPr>
        <w:t>eu</w:t>
      </w:r>
      <w:r w:rsidRPr="007A020F">
        <w:rPr>
          <w:lang w:val="pt-BR"/>
        </w:rPr>
        <w:t xml:space="preserve"> reparação econ</w:t>
      </w:r>
      <w:r>
        <w:rPr>
          <w:lang w:val="pt-BR"/>
        </w:rPr>
        <w:t>ô</w:t>
      </w:r>
      <w:r w:rsidRPr="007A020F">
        <w:rPr>
          <w:lang w:val="pt-BR"/>
        </w:rPr>
        <w:t xml:space="preserve">mica no </w:t>
      </w:r>
      <w:r>
        <w:rPr>
          <w:lang w:val="pt-BR"/>
        </w:rPr>
        <w:t>valor</w:t>
      </w:r>
      <w:r w:rsidRPr="007A020F">
        <w:rPr>
          <w:lang w:val="pt-BR"/>
        </w:rPr>
        <w:t xml:space="preserve"> de R$ 505.553,08 (quinhentos </w:t>
      </w:r>
      <w:r>
        <w:rPr>
          <w:lang w:val="pt-BR"/>
        </w:rPr>
        <w:t xml:space="preserve">e </w:t>
      </w:r>
      <w:r w:rsidRPr="007A020F">
        <w:rPr>
          <w:lang w:val="pt-BR"/>
        </w:rPr>
        <w:t xml:space="preserve">cinco mil, quinhentos </w:t>
      </w:r>
      <w:r>
        <w:rPr>
          <w:lang w:val="pt-BR"/>
        </w:rPr>
        <w:t xml:space="preserve">e </w:t>
      </w:r>
      <w:r w:rsidRPr="007A020F">
        <w:rPr>
          <w:lang w:val="pt-BR"/>
        </w:rPr>
        <w:t>cinquenta e três reais e o</w:t>
      </w:r>
      <w:r>
        <w:rPr>
          <w:lang w:val="pt-BR"/>
        </w:rPr>
        <w:t>it</w:t>
      </w:r>
      <w:r w:rsidRPr="007A020F">
        <w:rPr>
          <w:lang w:val="pt-BR"/>
        </w:rPr>
        <w:t>o centavos) e a pens</w:t>
      </w:r>
      <w:r>
        <w:rPr>
          <w:lang w:val="pt-BR"/>
        </w:rPr>
        <w:t>ão</w:t>
      </w:r>
      <w:r w:rsidRPr="007A020F">
        <w:rPr>
          <w:lang w:val="pt-BR"/>
        </w:rPr>
        <w:t xml:space="preserve"> mensal de R$ 5.561,64 (cinco mil, quinhentos </w:t>
      </w:r>
      <w:r>
        <w:rPr>
          <w:lang w:val="pt-BR"/>
        </w:rPr>
        <w:t xml:space="preserve">e </w:t>
      </w:r>
      <w:r w:rsidRPr="007A020F">
        <w:rPr>
          <w:lang w:val="pt-BR"/>
        </w:rPr>
        <w:t>sessenta e um reais e sessenta e quatro centavos); (c) inclu</w:t>
      </w:r>
      <w:r>
        <w:rPr>
          <w:lang w:val="pt-BR"/>
        </w:rPr>
        <w:t>iu</w:t>
      </w:r>
      <w:r w:rsidRPr="007A020F">
        <w:rPr>
          <w:lang w:val="pt-BR"/>
        </w:rPr>
        <w:t xml:space="preserve"> o nome de Eduardo Collen Leite na </w:t>
      </w:r>
      <w:r>
        <w:rPr>
          <w:lang w:val="pt-BR"/>
        </w:rPr>
        <w:t>certid</w:t>
      </w:r>
      <w:r w:rsidRPr="007A020F">
        <w:rPr>
          <w:lang w:val="pt-BR"/>
        </w:rPr>
        <w:t>ão de nascimento de Eduarda Crispim Leite</w:t>
      </w:r>
      <w:r w:rsidRPr="007A020F">
        <w:rPr>
          <w:rFonts w:cs="Arial"/>
          <w:lang w:val="pt-BR"/>
        </w:rPr>
        <w:t xml:space="preserve">; d) </w:t>
      </w:r>
      <w:r w:rsidRPr="007A020F">
        <w:rPr>
          <w:lang w:val="pt-BR"/>
        </w:rPr>
        <w:t>recon</w:t>
      </w:r>
      <w:r>
        <w:rPr>
          <w:lang w:val="pt-BR"/>
        </w:rPr>
        <w:t>heceu</w:t>
      </w:r>
      <w:r w:rsidRPr="007A020F">
        <w:rPr>
          <w:lang w:val="pt-BR"/>
        </w:rPr>
        <w:t xml:space="preserve"> Eduarda Crispim Leite como anistiada política e conced</w:t>
      </w:r>
      <w:r>
        <w:rPr>
          <w:lang w:val="pt-BR"/>
        </w:rPr>
        <w:t>eu</w:t>
      </w:r>
      <w:r w:rsidRPr="007A020F">
        <w:rPr>
          <w:lang w:val="pt-BR"/>
        </w:rPr>
        <w:t xml:space="preserve"> uma reparação econ</w:t>
      </w:r>
      <w:r>
        <w:rPr>
          <w:lang w:val="pt-BR"/>
        </w:rPr>
        <w:t>ô</w:t>
      </w:r>
      <w:r w:rsidRPr="007A020F">
        <w:rPr>
          <w:lang w:val="pt-BR"/>
        </w:rPr>
        <w:t>mica de R$ 100.000,00 (c</w:t>
      </w:r>
      <w:r>
        <w:rPr>
          <w:lang w:val="pt-BR"/>
        </w:rPr>
        <w:t>em</w:t>
      </w:r>
      <w:r w:rsidRPr="007A020F">
        <w:rPr>
          <w:lang w:val="pt-BR"/>
        </w:rPr>
        <w:t xml:space="preserve"> mil reais) a título de indenização; e (e) determin</w:t>
      </w:r>
      <w:r>
        <w:rPr>
          <w:lang w:val="pt-BR"/>
        </w:rPr>
        <w:t>ou</w:t>
      </w:r>
      <w:r w:rsidRPr="007A020F">
        <w:rPr>
          <w:lang w:val="pt-BR"/>
        </w:rPr>
        <w:t xml:space="preserve"> que se reconhe</w:t>
      </w:r>
      <w:r>
        <w:rPr>
          <w:lang w:val="pt-BR"/>
        </w:rPr>
        <w:t>cesse</w:t>
      </w:r>
      <w:r w:rsidRPr="007A020F">
        <w:rPr>
          <w:lang w:val="pt-BR"/>
        </w:rPr>
        <w:t xml:space="preserve"> o diploma de “Restauradora de pinturas e esculturas” do Instituto Central d</w:t>
      </w:r>
      <w:r>
        <w:rPr>
          <w:lang w:val="pt-BR"/>
        </w:rPr>
        <w:t>e</w:t>
      </w:r>
      <w:r w:rsidRPr="007A020F">
        <w:rPr>
          <w:lang w:val="pt-BR"/>
        </w:rPr>
        <w:t xml:space="preserve"> Restauro Rom</w:t>
      </w:r>
      <w:r>
        <w:rPr>
          <w:lang w:val="pt-BR"/>
        </w:rPr>
        <w:t>a</w:t>
      </w:r>
      <w:r w:rsidRPr="007A020F">
        <w:rPr>
          <w:lang w:val="pt-BR"/>
        </w:rPr>
        <w:t xml:space="preserve"> de Eduarda Crispim Leite como equivalente ao bach</w:t>
      </w:r>
      <w:r>
        <w:rPr>
          <w:lang w:val="pt-BR"/>
        </w:rPr>
        <w:t>ar</w:t>
      </w:r>
      <w:r w:rsidRPr="007A020F">
        <w:rPr>
          <w:lang w:val="pt-BR"/>
        </w:rPr>
        <w:t>e</w:t>
      </w:r>
      <w:r>
        <w:rPr>
          <w:lang w:val="pt-BR"/>
        </w:rPr>
        <w:t>lado</w:t>
      </w:r>
      <w:r w:rsidRPr="007A020F">
        <w:rPr>
          <w:lang w:val="pt-BR"/>
        </w:rPr>
        <w:t xml:space="preserve"> em Artes Plásticas para fins de validação em território brasileiro.</w:t>
      </w:r>
    </w:p>
  </w:footnote>
  <w:footnote w:id="254">
    <w:p w14:paraId="10573024" w14:textId="77777777" w:rsidR="00477238" w:rsidRPr="00375F6E" w:rsidRDefault="00477238" w:rsidP="00477238">
      <w:pPr>
        <w:pStyle w:val="FootnoteText"/>
        <w:ind w:firstLine="0"/>
        <w:contextualSpacing/>
        <w:rPr>
          <w:color w:val="auto"/>
          <w:lang w:val="es-ES_tradnl"/>
        </w:rPr>
      </w:pPr>
      <w:r w:rsidRPr="007A020F">
        <w:rPr>
          <w:rStyle w:val="FootnoteReference"/>
          <w:color w:val="auto"/>
          <w:lang w:val="pt-BR"/>
        </w:rPr>
        <w:footnoteRef/>
      </w:r>
      <w:r w:rsidRPr="007A020F">
        <w:rPr>
          <w:color w:val="auto"/>
          <w:lang w:val="pt-BR"/>
        </w:rPr>
        <w:t xml:space="preserve"> Corte IDH. Caso Almonacid Arellano, </w:t>
      </w:r>
      <w:r>
        <w:rPr>
          <w:color w:val="auto"/>
          <w:lang w:val="pt-BR"/>
        </w:rPr>
        <w:t>Sentença</w:t>
      </w:r>
      <w:r w:rsidRPr="007A020F">
        <w:rPr>
          <w:color w:val="auto"/>
          <w:lang w:val="pt-BR"/>
        </w:rPr>
        <w:t xml:space="preserve"> de 26 de setembro de 2006. </w:t>
      </w:r>
      <w:r>
        <w:rPr>
          <w:color w:val="auto"/>
          <w:lang w:val="pt-BR"/>
        </w:rPr>
        <w:t>Série</w:t>
      </w:r>
      <w:r w:rsidRPr="007A020F">
        <w:rPr>
          <w:color w:val="auto"/>
          <w:lang w:val="pt-BR"/>
        </w:rPr>
        <w:t xml:space="preserve"> C No. 154, </w:t>
      </w:r>
      <w:r>
        <w:rPr>
          <w:color w:val="auto"/>
          <w:lang w:val="pt-BR"/>
        </w:rPr>
        <w:t>par.</w:t>
      </w:r>
      <w:r w:rsidRPr="007A020F">
        <w:rPr>
          <w:color w:val="auto"/>
          <w:lang w:val="pt-BR"/>
        </w:rPr>
        <w:t xml:space="preserve"> 150. V</w:t>
      </w:r>
      <w:r>
        <w:rPr>
          <w:color w:val="auto"/>
          <w:lang w:val="pt-BR"/>
        </w:rPr>
        <w:t>eja também</w:t>
      </w:r>
      <w:r w:rsidRPr="007A020F">
        <w:rPr>
          <w:color w:val="auto"/>
          <w:lang w:val="pt-BR"/>
        </w:rPr>
        <w:t xml:space="preserve"> Corte IDH. Caso Barrios Altos. </w:t>
      </w:r>
      <w:r>
        <w:rPr>
          <w:color w:val="auto"/>
          <w:lang w:val="pt-BR"/>
        </w:rPr>
        <w:t>Sentença</w:t>
      </w:r>
      <w:r w:rsidRPr="007A020F">
        <w:rPr>
          <w:color w:val="auto"/>
          <w:lang w:val="pt-BR"/>
        </w:rPr>
        <w:t xml:space="preserve"> de 14 de mar</w:t>
      </w:r>
      <w:r>
        <w:rPr>
          <w:color w:val="auto"/>
          <w:lang w:val="pt-BR"/>
        </w:rPr>
        <w:t>ç</w:t>
      </w:r>
      <w:r w:rsidRPr="007A020F">
        <w:rPr>
          <w:color w:val="auto"/>
          <w:lang w:val="pt-BR"/>
        </w:rPr>
        <w:t xml:space="preserve">o de 2001. </w:t>
      </w:r>
      <w:r>
        <w:rPr>
          <w:color w:val="auto"/>
          <w:lang w:val="pt-BR"/>
        </w:rPr>
        <w:t>Série</w:t>
      </w:r>
      <w:r w:rsidRPr="007A020F">
        <w:rPr>
          <w:color w:val="auto"/>
          <w:lang w:val="pt-BR"/>
        </w:rPr>
        <w:t xml:space="preserve"> C No. 75, </w:t>
      </w:r>
      <w:r>
        <w:rPr>
          <w:color w:val="auto"/>
          <w:lang w:val="pt-BR"/>
        </w:rPr>
        <w:t>par.</w:t>
      </w:r>
      <w:r w:rsidRPr="007A020F">
        <w:rPr>
          <w:color w:val="auto"/>
          <w:lang w:val="pt-BR"/>
        </w:rPr>
        <w:t xml:space="preserve"> 48.</w:t>
      </w:r>
      <w:r w:rsidRPr="00375F6E">
        <w:rPr>
          <w:color w:val="auto"/>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9A8F" w14:textId="128330D1" w:rsidR="00DA5DAC" w:rsidRDefault="00AF31EC" w:rsidP="00FC0CB6">
    <w:pPr>
      <w:pStyle w:val="Header"/>
      <w:tabs>
        <w:tab w:val="clear" w:pos="4320"/>
        <w:tab w:val="clear" w:pos="8640"/>
      </w:tabs>
      <w:ind w:firstLine="0"/>
      <w:jc w:val="center"/>
      <w:rPr>
        <w:sz w:val="22"/>
        <w:szCs w:val="22"/>
      </w:rPr>
    </w:pPr>
    <w:r>
      <w:rPr>
        <w:noProof/>
        <w:sz w:val="22"/>
        <w:szCs w:val="22"/>
      </w:rPr>
      <w:drawing>
        <wp:inline distT="0" distB="0" distL="0" distR="0" wp14:anchorId="4DF4751A" wp14:editId="363D429C">
          <wp:extent cx="1972237" cy="986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7C8243D3" w14:textId="77777777" w:rsidR="00DA5DAC" w:rsidRDefault="00DA5DAC" w:rsidP="00FC0CB6">
    <w:pPr>
      <w:pStyle w:val="Header"/>
      <w:tabs>
        <w:tab w:val="clear" w:pos="4320"/>
        <w:tab w:val="clear" w:pos="8640"/>
      </w:tabs>
      <w:ind w:firstLine="0"/>
      <w:jc w:val="center"/>
    </w:pPr>
    <w:r>
      <w:rPr>
        <w:noProof/>
        <w:sz w:val="22"/>
        <w:szCs w:val="22"/>
        <w:lang w:val="en-US" w:eastAsia="en-US"/>
      </w:rPr>
      <mc:AlternateContent>
        <mc:Choice Requires="wps">
          <w:drawing>
            <wp:inline distT="0" distB="0" distL="0" distR="0" wp14:anchorId="49A8C4AC" wp14:editId="6A8DD55F">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4D702E85"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61C5"/>
    <w:multiLevelType w:val="multilevel"/>
    <w:tmpl w:val="2810681A"/>
    <w:styleLink w:val="List1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0E9933AD"/>
    <w:multiLevelType w:val="multilevel"/>
    <w:tmpl w:val="53C40FB2"/>
    <w:styleLink w:val="List6"/>
    <w:lvl w:ilvl="0">
      <w:start w:val="67"/>
      <w:numFmt w:val="decimal"/>
      <w:lvlText w:val="%1."/>
      <w:lvlJc w:val="left"/>
      <w:rPr>
        <w:rFonts w:ascii="Times New Roman" w:eastAsia="Times New Roman" w:hAnsi="Times New Roman" w:cs="Times New Roman"/>
        <w:color w:val="000000"/>
        <w:position w:val="0"/>
        <w:lang w:val="es-ES_tradnl"/>
      </w:rPr>
    </w:lvl>
    <w:lvl w:ilvl="1">
      <w:start w:val="1"/>
      <w:numFmt w:val="lowerLetter"/>
      <w:lvlText w:val="%2."/>
      <w:lvlJc w:val="left"/>
      <w:rPr>
        <w:rFonts w:ascii="Cambria" w:eastAsia="Cambria" w:hAnsi="Cambria" w:cs="Cambria"/>
        <w:color w:val="000000"/>
        <w:position w:val="0"/>
        <w:lang w:val="es-ES_tradnl"/>
      </w:rPr>
    </w:lvl>
    <w:lvl w:ilvl="2">
      <w:start w:val="1"/>
      <w:numFmt w:val="lowerRoman"/>
      <w:lvlText w:val="%3."/>
      <w:lvlJc w:val="left"/>
      <w:rPr>
        <w:rFonts w:ascii="Cambria" w:eastAsia="Cambria" w:hAnsi="Cambria" w:cs="Cambria"/>
        <w:color w:val="000000"/>
        <w:position w:val="0"/>
        <w:lang w:val="es-ES_tradnl"/>
      </w:rPr>
    </w:lvl>
    <w:lvl w:ilvl="3">
      <w:start w:val="1"/>
      <w:numFmt w:val="decimal"/>
      <w:lvlText w:val="%4."/>
      <w:lvlJc w:val="left"/>
      <w:rPr>
        <w:rFonts w:ascii="Cambria" w:eastAsia="Cambria" w:hAnsi="Cambria" w:cs="Cambria"/>
        <w:color w:val="000000"/>
        <w:position w:val="0"/>
        <w:lang w:val="es-ES_tradnl"/>
      </w:rPr>
    </w:lvl>
    <w:lvl w:ilvl="4">
      <w:start w:val="1"/>
      <w:numFmt w:val="lowerLetter"/>
      <w:lvlText w:val="%5."/>
      <w:lvlJc w:val="left"/>
      <w:rPr>
        <w:rFonts w:ascii="Cambria" w:eastAsia="Cambria" w:hAnsi="Cambria" w:cs="Cambria"/>
        <w:color w:val="000000"/>
        <w:position w:val="0"/>
        <w:lang w:val="es-ES_tradnl"/>
      </w:rPr>
    </w:lvl>
    <w:lvl w:ilvl="5">
      <w:start w:val="1"/>
      <w:numFmt w:val="lowerRoman"/>
      <w:lvlText w:val="%6."/>
      <w:lvlJc w:val="left"/>
      <w:rPr>
        <w:rFonts w:ascii="Cambria" w:eastAsia="Cambria" w:hAnsi="Cambria" w:cs="Cambria"/>
        <w:color w:val="000000"/>
        <w:position w:val="0"/>
        <w:lang w:val="es-ES_tradnl"/>
      </w:rPr>
    </w:lvl>
    <w:lvl w:ilvl="6">
      <w:start w:val="1"/>
      <w:numFmt w:val="decimal"/>
      <w:lvlText w:val="%7."/>
      <w:lvlJc w:val="left"/>
      <w:rPr>
        <w:rFonts w:ascii="Cambria" w:eastAsia="Cambria" w:hAnsi="Cambria" w:cs="Cambria"/>
        <w:color w:val="000000"/>
        <w:position w:val="0"/>
        <w:lang w:val="es-ES_tradnl"/>
      </w:rPr>
    </w:lvl>
    <w:lvl w:ilvl="7">
      <w:start w:val="1"/>
      <w:numFmt w:val="lowerLetter"/>
      <w:lvlText w:val="%8."/>
      <w:lvlJc w:val="left"/>
      <w:rPr>
        <w:rFonts w:ascii="Cambria" w:eastAsia="Cambria" w:hAnsi="Cambria" w:cs="Cambria"/>
        <w:color w:val="000000"/>
        <w:position w:val="0"/>
        <w:lang w:val="es-ES_tradnl"/>
      </w:rPr>
    </w:lvl>
    <w:lvl w:ilvl="8">
      <w:start w:val="1"/>
      <w:numFmt w:val="lowerRoman"/>
      <w:lvlText w:val="%9."/>
      <w:lvlJc w:val="left"/>
      <w:rPr>
        <w:rFonts w:ascii="Cambria" w:eastAsia="Cambria" w:hAnsi="Cambria" w:cs="Cambria"/>
        <w:color w:val="000000"/>
        <w:position w:val="0"/>
        <w:lang w:val="es-ES_tradnl"/>
      </w:rPr>
    </w:lvl>
  </w:abstractNum>
  <w:abstractNum w:abstractNumId="2" w15:restartNumberingAfterBreak="0">
    <w:nsid w:val="0EFD3565"/>
    <w:multiLevelType w:val="hybridMultilevel"/>
    <w:tmpl w:val="B7F021A2"/>
    <w:lvl w:ilvl="0" w:tplc="32BA8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11FF9"/>
    <w:multiLevelType w:val="multilevel"/>
    <w:tmpl w:val="E4E49050"/>
    <w:styleLink w:val="List41"/>
    <w:lvl w:ilvl="0">
      <w:start w:val="1"/>
      <w:numFmt w:val="decimal"/>
      <w:lvlText w:val="%1."/>
      <w:lvlJc w:val="left"/>
      <w:pPr>
        <w:tabs>
          <w:tab w:val="num" w:pos="86"/>
        </w:tabs>
        <w:ind w:left="86" w:hanging="86"/>
      </w:pPr>
      <w:rPr>
        <w:rFonts w:ascii="Times New Roman" w:eastAsia="Times New Roman" w:hAnsi="Times New Roman" w:cs="Times New Roman"/>
        <w:b/>
        <w:bCs/>
        <w:color w:val="000000"/>
        <w:position w:val="0"/>
        <w:sz w:val="20"/>
        <w:szCs w:val="20"/>
        <w:u w:color="000000"/>
        <w:lang w:val="es-ES_tradnl"/>
      </w:rPr>
    </w:lvl>
    <w:lvl w:ilvl="1">
      <w:start w:val="1"/>
      <w:numFmt w:val="decimal"/>
      <w:lvlText w:val="%1.%2."/>
      <w:lvlJc w:val="left"/>
      <w:pPr>
        <w:tabs>
          <w:tab w:val="num" w:pos="1380"/>
        </w:tabs>
        <w:ind w:left="1380" w:hanging="300"/>
      </w:pPr>
      <w:rPr>
        <w:rFonts w:ascii="Cambria" w:eastAsia="Cambria" w:hAnsi="Cambria" w:cs="Cambria"/>
        <w:b/>
        <w:bCs/>
        <w:color w:val="000000"/>
        <w:position w:val="0"/>
        <w:sz w:val="20"/>
        <w:szCs w:val="20"/>
        <w:u w:color="000000"/>
        <w:lang w:val="es-ES_tradnl"/>
      </w:rPr>
    </w:lvl>
    <w:lvl w:ilvl="2">
      <w:start w:val="1"/>
      <w:numFmt w:val="decimal"/>
      <w:lvlText w:val="%1.%2.%3."/>
      <w:lvlJc w:val="left"/>
      <w:pPr>
        <w:tabs>
          <w:tab w:val="num" w:pos="2040"/>
        </w:tabs>
        <w:ind w:left="2040" w:hanging="600"/>
      </w:pPr>
      <w:rPr>
        <w:rFonts w:ascii="Cambria" w:eastAsia="Cambria" w:hAnsi="Cambria" w:cs="Cambria"/>
        <w:b/>
        <w:bCs/>
        <w:color w:val="000000"/>
        <w:position w:val="0"/>
        <w:sz w:val="20"/>
        <w:szCs w:val="20"/>
        <w:u w:color="00000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u w:color="00000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u w:color="00000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u w:color="00000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u w:color="00000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u w:color="00000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u w:color="000000"/>
        <w:lang w:val="es-ES_tradnl"/>
      </w:rPr>
    </w:lvl>
  </w:abstractNum>
  <w:abstractNum w:abstractNumId="4" w15:restartNumberingAfterBreak="0">
    <w:nsid w:val="199D41AF"/>
    <w:multiLevelType w:val="multilevel"/>
    <w:tmpl w:val="F4AC0AA6"/>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1A6258CB"/>
    <w:multiLevelType w:val="multilevel"/>
    <w:tmpl w:val="F4AC0AA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1DA61E90"/>
    <w:multiLevelType w:val="multilevel"/>
    <w:tmpl w:val="D10C3E3A"/>
    <w:lvl w:ilvl="0">
      <w:start w:val="1"/>
      <w:numFmt w:val="decimal"/>
      <w:lvlText w:val="%1."/>
      <w:lvlJc w:val="left"/>
      <w:rPr>
        <w:rFonts w:ascii="Cambria" w:eastAsia="Cambria" w:hAnsi="Cambria" w:cs="Cambria"/>
        <w:b w:val="0"/>
        <w:color w:val="000000"/>
        <w:position w:val="0"/>
        <w:sz w:val="20"/>
        <w:szCs w:val="20"/>
        <w:u w:color="FF0000"/>
        <w:rtl w:val="0"/>
        <w:lang w:val="es-ES_tradnl"/>
      </w:rPr>
    </w:lvl>
    <w:lvl w:ilvl="1">
      <w:start w:val="1"/>
      <w:numFmt w:val="lowerLetter"/>
      <w:lvlText w:val="%2."/>
      <w:lvlJc w:val="left"/>
      <w:rPr>
        <w:rFonts w:ascii="Cambria" w:eastAsia="Cambria" w:hAnsi="Cambria" w:cs="Cambria"/>
        <w:color w:val="000000"/>
        <w:position w:val="0"/>
        <w:u w:color="000000"/>
        <w:rtl w:val="0"/>
        <w:lang w:val="es-ES_tradnl"/>
      </w:rPr>
    </w:lvl>
    <w:lvl w:ilvl="2">
      <w:start w:val="1"/>
      <w:numFmt w:val="lowerRoman"/>
      <w:lvlText w:val="%3."/>
      <w:lvlJc w:val="left"/>
      <w:rPr>
        <w:rFonts w:ascii="Cambria" w:eastAsia="Cambria" w:hAnsi="Cambria" w:cs="Cambria"/>
        <w:color w:val="000000"/>
        <w:position w:val="0"/>
        <w:u w:color="000000"/>
        <w:rtl w:val="0"/>
        <w:lang w:val="es-ES_tradnl"/>
      </w:rPr>
    </w:lvl>
    <w:lvl w:ilvl="3">
      <w:start w:val="1"/>
      <w:numFmt w:val="decimal"/>
      <w:lvlText w:val="%4."/>
      <w:lvlJc w:val="left"/>
      <w:rPr>
        <w:rFonts w:ascii="Cambria" w:eastAsia="Cambria" w:hAnsi="Cambria" w:cs="Cambria"/>
        <w:color w:val="000000"/>
        <w:position w:val="0"/>
        <w:u w:color="000000"/>
        <w:rtl w:val="0"/>
        <w:lang w:val="es-ES_tradnl"/>
      </w:rPr>
    </w:lvl>
    <w:lvl w:ilvl="4">
      <w:start w:val="1"/>
      <w:numFmt w:val="lowerLetter"/>
      <w:lvlText w:val="%5."/>
      <w:lvlJc w:val="left"/>
      <w:rPr>
        <w:rFonts w:ascii="Cambria" w:eastAsia="Cambria" w:hAnsi="Cambria" w:cs="Cambria"/>
        <w:color w:val="000000"/>
        <w:position w:val="0"/>
        <w:u w:color="000000"/>
        <w:rtl w:val="0"/>
        <w:lang w:val="es-ES_tradnl"/>
      </w:rPr>
    </w:lvl>
    <w:lvl w:ilvl="5">
      <w:start w:val="1"/>
      <w:numFmt w:val="lowerRoman"/>
      <w:lvlText w:val="%6."/>
      <w:lvlJc w:val="left"/>
      <w:rPr>
        <w:rFonts w:ascii="Cambria" w:eastAsia="Cambria" w:hAnsi="Cambria" w:cs="Cambria"/>
        <w:color w:val="000000"/>
        <w:position w:val="0"/>
        <w:u w:color="000000"/>
        <w:rtl w:val="0"/>
        <w:lang w:val="es-ES_tradnl"/>
      </w:rPr>
    </w:lvl>
    <w:lvl w:ilvl="6">
      <w:start w:val="1"/>
      <w:numFmt w:val="decimal"/>
      <w:lvlText w:val="%7."/>
      <w:lvlJc w:val="left"/>
      <w:rPr>
        <w:rFonts w:ascii="Cambria" w:eastAsia="Cambria" w:hAnsi="Cambria" w:cs="Cambria"/>
        <w:color w:val="000000"/>
        <w:position w:val="0"/>
        <w:u w:color="000000"/>
        <w:rtl w:val="0"/>
        <w:lang w:val="es-ES_tradnl"/>
      </w:rPr>
    </w:lvl>
    <w:lvl w:ilvl="7">
      <w:start w:val="1"/>
      <w:numFmt w:val="lowerLetter"/>
      <w:lvlText w:val="%8."/>
      <w:lvlJc w:val="left"/>
      <w:rPr>
        <w:rFonts w:ascii="Cambria" w:eastAsia="Cambria" w:hAnsi="Cambria" w:cs="Cambria"/>
        <w:color w:val="000000"/>
        <w:position w:val="0"/>
        <w:u w:color="000000"/>
        <w:rtl w:val="0"/>
        <w:lang w:val="es-ES_tradnl"/>
      </w:rPr>
    </w:lvl>
    <w:lvl w:ilvl="8">
      <w:start w:val="1"/>
      <w:numFmt w:val="lowerRoman"/>
      <w:lvlText w:val="%9."/>
      <w:lvlJc w:val="left"/>
      <w:rPr>
        <w:rFonts w:ascii="Cambria" w:eastAsia="Cambria" w:hAnsi="Cambria" w:cs="Cambria"/>
        <w:color w:val="000000"/>
        <w:position w:val="0"/>
        <w:u w:color="000000"/>
        <w:rtl w:val="0"/>
        <w:lang w:val="es-ES_tradnl"/>
      </w:rPr>
    </w:lvl>
  </w:abstractNum>
  <w:abstractNum w:abstractNumId="7" w15:restartNumberingAfterBreak="0">
    <w:nsid w:val="1DFB66A8"/>
    <w:multiLevelType w:val="multilevel"/>
    <w:tmpl w:val="D10C3E3A"/>
    <w:lvl w:ilvl="0">
      <w:start w:val="1"/>
      <w:numFmt w:val="decimal"/>
      <w:lvlText w:val="%1."/>
      <w:lvlJc w:val="left"/>
      <w:rPr>
        <w:rFonts w:ascii="Cambria" w:eastAsia="Cambria" w:hAnsi="Cambria" w:cs="Cambria"/>
        <w:b w:val="0"/>
        <w:color w:val="000000"/>
        <w:position w:val="0"/>
        <w:sz w:val="20"/>
        <w:szCs w:val="20"/>
        <w:u w:color="FF0000"/>
        <w:rtl w:val="0"/>
        <w:lang w:val="es-ES_tradnl"/>
      </w:rPr>
    </w:lvl>
    <w:lvl w:ilvl="1">
      <w:start w:val="1"/>
      <w:numFmt w:val="lowerLetter"/>
      <w:lvlText w:val="%2."/>
      <w:lvlJc w:val="left"/>
      <w:rPr>
        <w:rFonts w:ascii="Cambria" w:eastAsia="Cambria" w:hAnsi="Cambria" w:cs="Cambria"/>
        <w:color w:val="000000"/>
        <w:position w:val="0"/>
        <w:u w:color="000000"/>
        <w:rtl w:val="0"/>
        <w:lang w:val="es-ES_tradnl"/>
      </w:rPr>
    </w:lvl>
    <w:lvl w:ilvl="2">
      <w:start w:val="1"/>
      <w:numFmt w:val="lowerRoman"/>
      <w:lvlText w:val="%3."/>
      <w:lvlJc w:val="left"/>
      <w:rPr>
        <w:rFonts w:ascii="Cambria" w:eastAsia="Cambria" w:hAnsi="Cambria" w:cs="Cambria"/>
        <w:color w:val="000000"/>
        <w:position w:val="0"/>
        <w:u w:color="000000"/>
        <w:rtl w:val="0"/>
        <w:lang w:val="es-ES_tradnl"/>
      </w:rPr>
    </w:lvl>
    <w:lvl w:ilvl="3">
      <w:start w:val="1"/>
      <w:numFmt w:val="decimal"/>
      <w:lvlText w:val="%4."/>
      <w:lvlJc w:val="left"/>
      <w:rPr>
        <w:rFonts w:ascii="Cambria" w:eastAsia="Cambria" w:hAnsi="Cambria" w:cs="Cambria"/>
        <w:color w:val="000000"/>
        <w:position w:val="0"/>
        <w:u w:color="000000"/>
        <w:rtl w:val="0"/>
        <w:lang w:val="es-ES_tradnl"/>
      </w:rPr>
    </w:lvl>
    <w:lvl w:ilvl="4">
      <w:start w:val="1"/>
      <w:numFmt w:val="lowerLetter"/>
      <w:lvlText w:val="%5."/>
      <w:lvlJc w:val="left"/>
      <w:rPr>
        <w:rFonts w:ascii="Cambria" w:eastAsia="Cambria" w:hAnsi="Cambria" w:cs="Cambria"/>
        <w:color w:val="000000"/>
        <w:position w:val="0"/>
        <w:u w:color="000000"/>
        <w:rtl w:val="0"/>
        <w:lang w:val="es-ES_tradnl"/>
      </w:rPr>
    </w:lvl>
    <w:lvl w:ilvl="5">
      <w:start w:val="1"/>
      <w:numFmt w:val="lowerRoman"/>
      <w:lvlText w:val="%6."/>
      <w:lvlJc w:val="left"/>
      <w:rPr>
        <w:rFonts w:ascii="Cambria" w:eastAsia="Cambria" w:hAnsi="Cambria" w:cs="Cambria"/>
        <w:color w:val="000000"/>
        <w:position w:val="0"/>
        <w:u w:color="000000"/>
        <w:rtl w:val="0"/>
        <w:lang w:val="es-ES_tradnl"/>
      </w:rPr>
    </w:lvl>
    <w:lvl w:ilvl="6">
      <w:start w:val="1"/>
      <w:numFmt w:val="decimal"/>
      <w:lvlText w:val="%7."/>
      <w:lvlJc w:val="left"/>
      <w:rPr>
        <w:rFonts w:ascii="Cambria" w:eastAsia="Cambria" w:hAnsi="Cambria" w:cs="Cambria"/>
        <w:color w:val="000000"/>
        <w:position w:val="0"/>
        <w:u w:color="000000"/>
        <w:rtl w:val="0"/>
        <w:lang w:val="es-ES_tradnl"/>
      </w:rPr>
    </w:lvl>
    <w:lvl w:ilvl="7">
      <w:start w:val="1"/>
      <w:numFmt w:val="lowerLetter"/>
      <w:lvlText w:val="%8."/>
      <w:lvlJc w:val="left"/>
      <w:rPr>
        <w:rFonts w:ascii="Cambria" w:eastAsia="Cambria" w:hAnsi="Cambria" w:cs="Cambria"/>
        <w:color w:val="000000"/>
        <w:position w:val="0"/>
        <w:u w:color="000000"/>
        <w:rtl w:val="0"/>
        <w:lang w:val="es-ES_tradnl"/>
      </w:rPr>
    </w:lvl>
    <w:lvl w:ilvl="8">
      <w:start w:val="1"/>
      <w:numFmt w:val="lowerRoman"/>
      <w:lvlText w:val="%9."/>
      <w:lvlJc w:val="left"/>
      <w:rPr>
        <w:rFonts w:ascii="Cambria" w:eastAsia="Cambria" w:hAnsi="Cambria" w:cs="Cambria"/>
        <w:color w:val="000000"/>
        <w:position w:val="0"/>
        <w:u w:color="000000"/>
        <w:rtl w:val="0"/>
        <w:lang w:val="es-ES_tradnl"/>
      </w:rPr>
    </w:lvl>
  </w:abstractNum>
  <w:abstractNum w:abstractNumId="8" w15:restartNumberingAfterBreak="0">
    <w:nsid w:val="21CE0F76"/>
    <w:multiLevelType w:val="multilevel"/>
    <w:tmpl w:val="D10C3E3A"/>
    <w:lvl w:ilvl="0">
      <w:start w:val="1"/>
      <w:numFmt w:val="decimal"/>
      <w:lvlText w:val="%1."/>
      <w:lvlJc w:val="left"/>
      <w:rPr>
        <w:rFonts w:ascii="Cambria" w:eastAsia="Cambria" w:hAnsi="Cambria" w:cs="Cambria"/>
        <w:b w:val="0"/>
        <w:color w:val="000000"/>
        <w:position w:val="0"/>
        <w:sz w:val="20"/>
        <w:szCs w:val="20"/>
        <w:u w:color="FF0000"/>
        <w:rtl w:val="0"/>
        <w:lang w:val="es-ES_tradnl"/>
      </w:rPr>
    </w:lvl>
    <w:lvl w:ilvl="1">
      <w:start w:val="1"/>
      <w:numFmt w:val="lowerLetter"/>
      <w:lvlText w:val="%2."/>
      <w:lvlJc w:val="left"/>
      <w:rPr>
        <w:rFonts w:ascii="Cambria" w:eastAsia="Cambria" w:hAnsi="Cambria" w:cs="Cambria"/>
        <w:color w:val="000000"/>
        <w:position w:val="0"/>
        <w:u w:color="000000"/>
        <w:rtl w:val="0"/>
        <w:lang w:val="es-ES_tradnl"/>
      </w:rPr>
    </w:lvl>
    <w:lvl w:ilvl="2">
      <w:start w:val="1"/>
      <w:numFmt w:val="lowerRoman"/>
      <w:lvlText w:val="%3."/>
      <w:lvlJc w:val="left"/>
      <w:rPr>
        <w:rFonts w:ascii="Cambria" w:eastAsia="Cambria" w:hAnsi="Cambria" w:cs="Cambria"/>
        <w:color w:val="000000"/>
        <w:position w:val="0"/>
        <w:u w:color="000000"/>
        <w:rtl w:val="0"/>
        <w:lang w:val="es-ES_tradnl"/>
      </w:rPr>
    </w:lvl>
    <w:lvl w:ilvl="3">
      <w:start w:val="1"/>
      <w:numFmt w:val="decimal"/>
      <w:lvlText w:val="%4."/>
      <w:lvlJc w:val="left"/>
      <w:rPr>
        <w:rFonts w:ascii="Cambria" w:eastAsia="Cambria" w:hAnsi="Cambria" w:cs="Cambria"/>
        <w:color w:val="000000"/>
        <w:position w:val="0"/>
        <w:u w:color="000000"/>
        <w:rtl w:val="0"/>
        <w:lang w:val="es-ES_tradnl"/>
      </w:rPr>
    </w:lvl>
    <w:lvl w:ilvl="4">
      <w:start w:val="1"/>
      <w:numFmt w:val="lowerLetter"/>
      <w:lvlText w:val="%5."/>
      <w:lvlJc w:val="left"/>
      <w:rPr>
        <w:rFonts w:ascii="Cambria" w:eastAsia="Cambria" w:hAnsi="Cambria" w:cs="Cambria"/>
        <w:color w:val="000000"/>
        <w:position w:val="0"/>
        <w:u w:color="000000"/>
        <w:rtl w:val="0"/>
        <w:lang w:val="es-ES_tradnl"/>
      </w:rPr>
    </w:lvl>
    <w:lvl w:ilvl="5">
      <w:start w:val="1"/>
      <w:numFmt w:val="lowerRoman"/>
      <w:lvlText w:val="%6."/>
      <w:lvlJc w:val="left"/>
      <w:rPr>
        <w:rFonts w:ascii="Cambria" w:eastAsia="Cambria" w:hAnsi="Cambria" w:cs="Cambria"/>
        <w:color w:val="000000"/>
        <w:position w:val="0"/>
        <w:u w:color="000000"/>
        <w:rtl w:val="0"/>
        <w:lang w:val="es-ES_tradnl"/>
      </w:rPr>
    </w:lvl>
    <w:lvl w:ilvl="6">
      <w:start w:val="1"/>
      <w:numFmt w:val="decimal"/>
      <w:lvlText w:val="%7."/>
      <w:lvlJc w:val="left"/>
      <w:rPr>
        <w:rFonts w:ascii="Cambria" w:eastAsia="Cambria" w:hAnsi="Cambria" w:cs="Cambria"/>
        <w:color w:val="000000"/>
        <w:position w:val="0"/>
        <w:u w:color="000000"/>
        <w:rtl w:val="0"/>
        <w:lang w:val="es-ES_tradnl"/>
      </w:rPr>
    </w:lvl>
    <w:lvl w:ilvl="7">
      <w:start w:val="1"/>
      <w:numFmt w:val="lowerLetter"/>
      <w:lvlText w:val="%8."/>
      <w:lvlJc w:val="left"/>
      <w:rPr>
        <w:rFonts w:ascii="Cambria" w:eastAsia="Cambria" w:hAnsi="Cambria" w:cs="Cambria"/>
        <w:color w:val="000000"/>
        <w:position w:val="0"/>
        <w:u w:color="000000"/>
        <w:rtl w:val="0"/>
        <w:lang w:val="es-ES_tradnl"/>
      </w:rPr>
    </w:lvl>
    <w:lvl w:ilvl="8">
      <w:start w:val="1"/>
      <w:numFmt w:val="lowerRoman"/>
      <w:lvlText w:val="%9."/>
      <w:lvlJc w:val="left"/>
      <w:rPr>
        <w:rFonts w:ascii="Cambria" w:eastAsia="Cambria" w:hAnsi="Cambria" w:cs="Cambria"/>
        <w:color w:val="000000"/>
        <w:position w:val="0"/>
        <w:u w:color="000000"/>
        <w:rtl w:val="0"/>
        <w:lang w:val="es-ES_tradnl"/>
      </w:rPr>
    </w:lvl>
  </w:abstractNum>
  <w:abstractNum w:abstractNumId="9" w15:restartNumberingAfterBreak="0">
    <w:nsid w:val="25247D32"/>
    <w:multiLevelType w:val="multilevel"/>
    <w:tmpl w:val="6C7E9AA2"/>
    <w:styleLink w:val="List14"/>
    <w:lvl w:ilvl="0">
      <w:start w:val="3"/>
      <w:numFmt w:val="decimal"/>
      <w:lvlText w:val="%1."/>
      <w:lvlJc w:val="left"/>
      <w:rPr>
        <w:rFonts w:ascii="Times New Roman" w:eastAsia="Times New Roman" w:hAnsi="Times New Roman" w:cs="Times New Roman"/>
        <w:b/>
        <w:bCs/>
        <w:position w:val="0"/>
      </w:rPr>
    </w:lvl>
    <w:lvl w:ilvl="1">
      <w:start w:val="1"/>
      <w:numFmt w:val="lowerLetter"/>
      <w:lvlText w:val="%2."/>
      <w:lvlJc w:val="left"/>
      <w:rPr>
        <w:rFonts w:ascii="Cambria" w:eastAsia="Cambria" w:hAnsi="Cambria" w:cs="Cambria"/>
        <w:b/>
        <w:bCs/>
        <w:position w:val="0"/>
      </w:rPr>
    </w:lvl>
    <w:lvl w:ilvl="2">
      <w:start w:val="1"/>
      <w:numFmt w:val="lowerRoman"/>
      <w:lvlText w:val="%3."/>
      <w:lvlJc w:val="left"/>
      <w:rPr>
        <w:rFonts w:ascii="Cambria" w:eastAsia="Cambria" w:hAnsi="Cambria" w:cs="Cambria"/>
        <w:b/>
        <w:bCs/>
        <w:position w:val="0"/>
      </w:rPr>
    </w:lvl>
    <w:lvl w:ilvl="3">
      <w:start w:val="1"/>
      <w:numFmt w:val="decimal"/>
      <w:lvlText w:val="%4."/>
      <w:lvlJc w:val="left"/>
      <w:rPr>
        <w:rFonts w:ascii="Cambria" w:eastAsia="Cambria" w:hAnsi="Cambria" w:cs="Cambria"/>
        <w:b/>
        <w:bCs/>
        <w:position w:val="0"/>
      </w:rPr>
    </w:lvl>
    <w:lvl w:ilvl="4">
      <w:start w:val="1"/>
      <w:numFmt w:val="lowerLetter"/>
      <w:lvlText w:val="%5."/>
      <w:lvlJc w:val="left"/>
      <w:rPr>
        <w:rFonts w:ascii="Cambria" w:eastAsia="Cambria" w:hAnsi="Cambria" w:cs="Cambria"/>
        <w:b/>
        <w:bCs/>
        <w:position w:val="0"/>
      </w:rPr>
    </w:lvl>
    <w:lvl w:ilvl="5">
      <w:start w:val="1"/>
      <w:numFmt w:val="lowerRoman"/>
      <w:lvlText w:val="%6."/>
      <w:lvlJc w:val="left"/>
      <w:rPr>
        <w:rFonts w:ascii="Cambria" w:eastAsia="Cambria" w:hAnsi="Cambria" w:cs="Cambria"/>
        <w:b/>
        <w:bCs/>
        <w:position w:val="0"/>
      </w:rPr>
    </w:lvl>
    <w:lvl w:ilvl="6">
      <w:start w:val="1"/>
      <w:numFmt w:val="decimal"/>
      <w:lvlText w:val="%7."/>
      <w:lvlJc w:val="left"/>
      <w:rPr>
        <w:rFonts w:ascii="Cambria" w:eastAsia="Cambria" w:hAnsi="Cambria" w:cs="Cambria"/>
        <w:b/>
        <w:bCs/>
        <w:position w:val="0"/>
      </w:rPr>
    </w:lvl>
    <w:lvl w:ilvl="7">
      <w:start w:val="1"/>
      <w:numFmt w:val="lowerLetter"/>
      <w:lvlText w:val="%8."/>
      <w:lvlJc w:val="left"/>
      <w:rPr>
        <w:rFonts w:ascii="Cambria" w:eastAsia="Cambria" w:hAnsi="Cambria" w:cs="Cambria"/>
        <w:b/>
        <w:bCs/>
        <w:position w:val="0"/>
      </w:rPr>
    </w:lvl>
    <w:lvl w:ilvl="8">
      <w:start w:val="1"/>
      <w:numFmt w:val="lowerRoman"/>
      <w:lvlText w:val="%9."/>
      <w:lvlJc w:val="left"/>
      <w:rPr>
        <w:rFonts w:ascii="Cambria" w:eastAsia="Cambria" w:hAnsi="Cambria" w:cs="Cambria"/>
        <w:b/>
        <w:bCs/>
        <w:position w:val="0"/>
      </w:rPr>
    </w:lvl>
  </w:abstractNum>
  <w:abstractNum w:abstractNumId="10" w15:restartNumberingAfterBreak="0">
    <w:nsid w:val="266B1560"/>
    <w:multiLevelType w:val="multilevel"/>
    <w:tmpl w:val="D10C3E3A"/>
    <w:lvl w:ilvl="0">
      <w:start w:val="1"/>
      <w:numFmt w:val="decimal"/>
      <w:lvlText w:val="%1."/>
      <w:lvlJc w:val="left"/>
      <w:rPr>
        <w:rFonts w:ascii="Cambria" w:eastAsia="Cambria" w:hAnsi="Cambria" w:cs="Cambria"/>
        <w:b w:val="0"/>
        <w:color w:val="000000"/>
        <w:position w:val="0"/>
        <w:sz w:val="20"/>
        <w:szCs w:val="20"/>
        <w:u w:color="FF0000"/>
        <w:rtl w:val="0"/>
        <w:lang w:val="es-ES_tradnl"/>
      </w:rPr>
    </w:lvl>
    <w:lvl w:ilvl="1">
      <w:start w:val="1"/>
      <w:numFmt w:val="lowerLetter"/>
      <w:lvlText w:val="%2."/>
      <w:lvlJc w:val="left"/>
      <w:rPr>
        <w:rFonts w:ascii="Cambria" w:eastAsia="Cambria" w:hAnsi="Cambria" w:cs="Cambria"/>
        <w:color w:val="000000"/>
        <w:position w:val="0"/>
        <w:u w:color="000000"/>
        <w:rtl w:val="0"/>
        <w:lang w:val="es-ES_tradnl"/>
      </w:rPr>
    </w:lvl>
    <w:lvl w:ilvl="2">
      <w:start w:val="1"/>
      <w:numFmt w:val="lowerRoman"/>
      <w:lvlText w:val="%3."/>
      <w:lvlJc w:val="left"/>
      <w:rPr>
        <w:rFonts w:ascii="Cambria" w:eastAsia="Cambria" w:hAnsi="Cambria" w:cs="Cambria"/>
        <w:color w:val="000000"/>
        <w:position w:val="0"/>
        <w:u w:color="000000"/>
        <w:rtl w:val="0"/>
        <w:lang w:val="es-ES_tradnl"/>
      </w:rPr>
    </w:lvl>
    <w:lvl w:ilvl="3">
      <w:start w:val="1"/>
      <w:numFmt w:val="decimal"/>
      <w:lvlText w:val="%4."/>
      <w:lvlJc w:val="left"/>
      <w:rPr>
        <w:rFonts w:ascii="Cambria" w:eastAsia="Cambria" w:hAnsi="Cambria" w:cs="Cambria"/>
        <w:color w:val="000000"/>
        <w:position w:val="0"/>
        <w:u w:color="000000"/>
        <w:rtl w:val="0"/>
        <w:lang w:val="es-ES_tradnl"/>
      </w:rPr>
    </w:lvl>
    <w:lvl w:ilvl="4">
      <w:start w:val="1"/>
      <w:numFmt w:val="lowerLetter"/>
      <w:lvlText w:val="%5."/>
      <w:lvlJc w:val="left"/>
      <w:rPr>
        <w:rFonts w:ascii="Cambria" w:eastAsia="Cambria" w:hAnsi="Cambria" w:cs="Cambria"/>
        <w:color w:val="000000"/>
        <w:position w:val="0"/>
        <w:u w:color="000000"/>
        <w:rtl w:val="0"/>
        <w:lang w:val="es-ES_tradnl"/>
      </w:rPr>
    </w:lvl>
    <w:lvl w:ilvl="5">
      <w:start w:val="1"/>
      <w:numFmt w:val="lowerRoman"/>
      <w:lvlText w:val="%6."/>
      <w:lvlJc w:val="left"/>
      <w:rPr>
        <w:rFonts w:ascii="Cambria" w:eastAsia="Cambria" w:hAnsi="Cambria" w:cs="Cambria"/>
        <w:color w:val="000000"/>
        <w:position w:val="0"/>
        <w:u w:color="000000"/>
        <w:rtl w:val="0"/>
        <w:lang w:val="es-ES_tradnl"/>
      </w:rPr>
    </w:lvl>
    <w:lvl w:ilvl="6">
      <w:start w:val="1"/>
      <w:numFmt w:val="decimal"/>
      <w:lvlText w:val="%7."/>
      <w:lvlJc w:val="left"/>
      <w:rPr>
        <w:rFonts w:ascii="Cambria" w:eastAsia="Cambria" w:hAnsi="Cambria" w:cs="Cambria"/>
        <w:color w:val="000000"/>
        <w:position w:val="0"/>
        <w:u w:color="000000"/>
        <w:rtl w:val="0"/>
        <w:lang w:val="es-ES_tradnl"/>
      </w:rPr>
    </w:lvl>
    <w:lvl w:ilvl="7">
      <w:start w:val="1"/>
      <w:numFmt w:val="lowerLetter"/>
      <w:lvlText w:val="%8."/>
      <w:lvlJc w:val="left"/>
      <w:rPr>
        <w:rFonts w:ascii="Cambria" w:eastAsia="Cambria" w:hAnsi="Cambria" w:cs="Cambria"/>
        <w:color w:val="000000"/>
        <w:position w:val="0"/>
        <w:u w:color="000000"/>
        <w:rtl w:val="0"/>
        <w:lang w:val="es-ES_tradnl"/>
      </w:rPr>
    </w:lvl>
    <w:lvl w:ilvl="8">
      <w:start w:val="1"/>
      <w:numFmt w:val="lowerRoman"/>
      <w:lvlText w:val="%9."/>
      <w:lvlJc w:val="left"/>
      <w:rPr>
        <w:rFonts w:ascii="Cambria" w:eastAsia="Cambria" w:hAnsi="Cambria" w:cs="Cambria"/>
        <w:color w:val="000000"/>
        <w:position w:val="0"/>
        <w:u w:color="000000"/>
        <w:rtl w:val="0"/>
        <w:lang w:val="es-ES_tradnl"/>
      </w:rPr>
    </w:lvl>
  </w:abstractNum>
  <w:abstractNum w:abstractNumId="11" w15:restartNumberingAfterBreak="0">
    <w:nsid w:val="287E324D"/>
    <w:multiLevelType w:val="multilevel"/>
    <w:tmpl w:val="EFCAB6EE"/>
    <w:styleLink w:val="List9"/>
    <w:lvl w:ilvl="0">
      <w:start w:val="1"/>
      <w:numFmt w:val="decimal"/>
      <w:lvlText w:val="%1."/>
      <w:lvlJc w:val="left"/>
      <w:pPr>
        <w:tabs>
          <w:tab w:val="num" w:pos="1020"/>
        </w:tabs>
        <w:ind w:left="1020" w:hanging="300"/>
      </w:pPr>
      <w:rPr>
        <w:rFonts w:ascii="Cambria" w:eastAsia="Cambria" w:hAnsi="Cambria" w:cs="Cambria"/>
        <w:b/>
        <w:bCs/>
        <w:color w:val="000000"/>
        <w:position w:val="0"/>
        <w:sz w:val="20"/>
        <w:szCs w:val="20"/>
        <w:rtl w:val="0"/>
        <w:lang w:val="es-ES_tradnl"/>
      </w:rPr>
    </w:lvl>
    <w:lvl w:ilvl="1">
      <w:start w:val="1"/>
      <w:numFmt w:val="decimal"/>
      <w:lvlText w:val="%1.%2."/>
      <w:lvlJc w:val="left"/>
      <w:pPr>
        <w:tabs>
          <w:tab w:val="num" w:pos="1380"/>
        </w:tabs>
        <w:ind w:left="1380" w:hanging="300"/>
      </w:pPr>
      <w:rPr>
        <w:rFonts w:ascii="Cambria" w:eastAsia="Cambria" w:hAnsi="Cambria" w:cs="Cambria"/>
        <w:b/>
        <w:bCs/>
        <w:color w:val="000000"/>
        <w:position w:val="0"/>
        <w:sz w:val="20"/>
        <w:szCs w:val="20"/>
        <w:rtl w:val="0"/>
        <w:lang w:val="es-ES_tradnl"/>
      </w:rPr>
    </w:lvl>
    <w:lvl w:ilvl="2">
      <w:start w:val="1"/>
      <w:numFmt w:val="decimal"/>
      <w:lvlText w:val="%1.%2.%3."/>
      <w:lvlJc w:val="left"/>
      <w:pPr>
        <w:tabs>
          <w:tab w:val="num" w:pos="806"/>
        </w:tabs>
        <w:ind w:left="806" w:hanging="806"/>
      </w:pPr>
      <w:rPr>
        <w:rFonts w:ascii="Cambria" w:eastAsia="Cambria" w:hAnsi="Cambria" w:cs="Cambria"/>
        <w:b/>
        <w:bCs/>
        <w:color w:val="000000"/>
        <w:position w:val="0"/>
        <w:sz w:val="20"/>
        <w:szCs w:val="20"/>
        <w:rtl w:val="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rtl w:val="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rtl w:val="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rtl w:val="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rtl w:val="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rtl w:val="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rtl w:val="0"/>
        <w:lang w:val="es-ES_tradnl"/>
      </w:rPr>
    </w:lvl>
  </w:abstractNum>
  <w:abstractNum w:abstractNumId="12" w15:restartNumberingAfterBreak="0">
    <w:nsid w:val="2C36448F"/>
    <w:multiLevelType w:val="multilevel"/>
    <w:tmpl w:val="E1E234CA"/>
    <w:styleLink w:val="List7"/>
    <w:lvl w:ilvl="0">
      <w:start w:val="1"/>
      <w:numFmt w:val="decimal"/>
      <w:lvlText w:val="%1."/>
      <w:lvlJc w:val="left"/>
      <w:pPr>
        <w:tabs>
          <w:tab w:val="num" w:pos="1020"/>
        </w:tabs>
        <w:ind w:left="1020" w:hanging="300"/>
      </w:pPr>
      <w:rPr>
        <w:rFonts w:ascii="Cambria" w:eastAsia="Cambria" w:hAnsi="Cambria" w:cs="Cambria"/>
        <w:b/>
        <w:bCs/>
        <w:color w:val="000000"/>
        <w:position w:val="0"/>
        <w:sz w:val="20"/>
        <w:szCs w:val="20"/>
        <w:lang w:val="es-ES_tradnl"/>
      </w:rPr>
    </w:lvl>
    <w:lvl w:ilvl="1">
      <w:start w:val="1"/>
      <w:numFmt w:val="decimal"/>
      <w:lvlText w:val="%1.%2."/>
      <w:lvlJc w:val="left"/>
      <w:pPr>
        <w:tabs>
          <w:tab w:val="num" w:pos="1380"/>
        </w:tabs>
        <w:ind w:left="1380" w:hanging="300"/>
      </w:pPr>
      <w:rPr>
        <w:rFonts w:ascii="Cambria" w:eastAsia="Cambria" w:hAnsi="Cambria" w:cs="Cambria"/>
        <w:b/>
        <w:bCs/>
        <w:color w:val="000000"/>
        <w:position w:val="0"/>
        <w:sz w:val="20"/>
        <w:szCs w:val="20"/>
        <w:lang w:val="es-ES_tradnl"/>
      </w:rPr>
    </w:lvl>
    <w:lvl w:ilvl="2">
      <w:start w:val="4"/>
      <w:numFmt w:val="decimal"/>
      <w:lvlText w:val="%1.%2.%3."/>
      <w:lvlJc w:val="left"/>
      <w:pPr>
        <w:tabs>
          <w:tab w:val="num" w:pos="2160"/>
        </w:tabs>
        <w:ind w:left="2160" w:hanging="720"/>
      </w:pPr>
      <w:rPr>
        <w:rFonts w:ascii="Times New Roman" w:eastAsia="Times New Roman" w:hAnsi="Times New Roman" w:cs="Times New Roman"/>
        <w:b/>
        <w:bCs/>
        <w:color w:val="000000"/>
        <w:position w:val="0"/>
        <w:sz w:val="20"/>
        <w:szCs w:val="2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lang w:val="es-ES_tradnl"/>
      </w:rPr>
    </w:lvl>
  </w:abstractNum>
  <w:abstractNum w:abstractNumId="13" w15:restartNumberingAfterBreak="0">
    <w:nsid w:val="30043980"/>
    <w:multiLevelType w:val="hybridMultilevel"/>
    <w:tmpl w:val="E6BEBA70"/>
    <w:lvl w:ilvl="0" w:tplc="883CCD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5B6644"/>
    <w:multiLevelType w:val="multilevel"/>
    <w:tmpl w:val="1E202842"/>
    <w:styleLink w:val="List11"/>
    <w:lvl w:ilvl="0">
      <w:start w:val="1"/>
      <w:numFmt w:val="decimal"/>
      <w:lvlText w:val="%1."/>
      <w:lvlJc w:val="left"/>
      <w:rPr>
        <w:rFonts w:ascii="Cambria" w:eastAsia="Cambria" w:hAnsi="Cambria" w:cs="Cambria"/>
        <w:color w:val="000000"/>
        <w:position w:val="0"/>
        <w:rtl w:val="0"/>
        <w:lang w:val="es-ES_tradnl"/>
      </w:rPr>
    </w:lvl>
    <w:lvl w:ilvl="1">
      <w:start w:val="1"/>
      <w:numFmt w:val="lowerLetter"/>
      <w:lvlText w:val="%2."/>
      <w:lvlJc w:val="left"/>
      <w:rPr>
        <w:rFonts w:ascii="Cambria" w:eastAsia="Cambria" w:hAnsi="Cambria" w:cs="Cambria"/>
        <w:color w:val="000000"/>
        <w:position w:val="0"/>
        <w:rtl w:val="0"/>
        <w:lang w:val="es-ES_tradnl"/>
      </w:rPr>
    </w:lvl>
    <w:lvl w:ilvl="2">
      <w:start w:val="1"/>
      <w:numFmt w:val="lowerRoman"/>
      <w:lvlText w:val="%3."/>
      <w:lvlJc w:val="left"/>
      <w:rPr>
        <w:rFonts w:ascii="Cambria" w:eastAsia="Cambria" w:hAnsi="Cambria" w:cs="Cambria"/>
        <w:color w:val="000000"/>
        <w:position w:val="0"/>
        <w:rtl w:val="0"/>
        <w:lang w:val="es-ES_tradnl"/>
      </w:rPr>
    </w:lvl>
    <w:lvl w:ilvl="3">
      <w:start w:val="1"/>
      <w:numFmt w:val="decimal"/>
      <w:lvlText w:val="%4."/>
      <w:lvlJc w:val="left"/>
      <w:rPr>
        <w:rFonts w:ascii="Cambria" w:eastAsia="Cambria" w:hAnsi="Cambria" w:cs="Cambria"/>
        <w:color w:val="000000"/>
        <w:position w:val="0"/>
        <w:rtl w:val="0"/>
        <w:lang w:val="es-ES_tradnl"/>
      </w:rPr>
    </w:lvl>
    <w:lvl w:ilvl="4">
      <w:start w:val="1"/>
      <w:numFmt w:val="lowerLetter"/>
      <w:lvlText w:val="%5."/>
      <w:lvlJc w:val="left"/>
      <w:rPr>
        <w:rFonts w:ascii="Cambria" w:eastAsia="Cambria" w:hAnsi="Cambria" w:cs="Cambria"/>
        <w:color w:val="000000"/>
        <w:position w:val="0"/>
        <w:rtl w:val="0"/>
        <w:lang w:val="es-ES_tradnl"/>
      </w:rPr>
    </w:lvl>
    <w:lvl w:ilvl="5">
      <w:start w:val="1"/>
      <w:numFmt w:val="lowerRoman"/>
      <w:lvlText w:val="%6."/>
      <w:lvlJc w:val="left"/>
      <w:rPr>
        <w:rFonts w:ascii="Cambria" w:eastAsia="Cambria" w:hAnsi="Cambria" w:cs="Cambria"/>
        <w:color w:val="000000"/>
        <w:position w:val="0"/>
        <w:rtl w:val="0"/>
        <w:lang w:val="es-ES_tradnl"/>
      </w:rPr>
    </w:lvl>
    <w:lvl w:ilvl="6">
      <w:start w:val="1"/>
      <w:numFmt w:val="decimal"/>
      <w:lvlText w:val="%7."/>
      <w:lvlJc w:val="left"/>
      <w:rPr>
        <w:rFonts w:ascii="Cambria" w:eastAsia="Cambria" w:hAnsi="Cambria" w:cs="Cambria"/>
        <w:color w:val="000000"/>
        <w:position w:val="0"/>
        <w:rtl w:val="0"/>
        <w:lang w:val="es-ES_tradnl"/>
      </w:rPr>
    </w:lvl>
    <w:lvl w:ilvl="7">
      <w:start w:val="1"/>
      <w:numFmt w:val="lowerLetter"/>
      <w:lvlText w:val="%8."/>
      <w:lvlJc w:val="left"/>
      <w:rPr>
        <w:rFonts w:ascii="Cambria" w:eastAsia="Cambria" w:hAnsi="Cambria" w:cs="Cambria"/>
        <w:color w:val="000000"/>
        <w:position w:val="0"/>
        <w:rtl w:val="0"/>
        <w:lang w:val="es-ES_tradnl"/>
      </w:rPr>
    </w:lvl>
    <w:lvl w:ilvl="8">
      <w:start w:val="1"/>
      <w:numFmt w:val="lowerRoman"/>
      <w:lvlText w:val="%9."/>
      <w:lvlJc w:val="left"/>
      <w:rPr>
        <w:rFonts w:ascii="Cambria" w:eastAsia="Cambria" w:hAnsi="Cambria" w:cs="Cambria"/>
        <w:color w:val="000000"/>
        <w:position w:val="0"/>
        <w:rtl w:val="0"/>
        <w:lang w:val="es-ES_tradnl"/>
      </w:rPr>
    </w:lvl>
  </w:abstractNum>
  <w:abstractNum w:abstractNumId="15" w15:restartNumberingAfterBreak="0">
    <w:nsid w:val="358B4DA5"/>
    <w:multiLevelType w:val="multilevel"/>
    <w:tmpl w:val="CB761F26"/>
    <w:styleLink w:val="List10"/>
    <w:lvl w:ilvl="0">
      <w:start w:val="1"/>
      <w:numFmt w:val="decimal"/>
      <w:lvlText w:val="%1."/>
      <w:lvlJc w:val="left"/>
      <w:pPr>
        <w:tabs>
          <w:tab w:val="num" w:pos="1020"/>
        </w:tabs>
        <w:ind w:left="1020" w:hanging="300"/>
      </w:pPr>
      <w:rPr>
        <w:rFonts w:ascii="Cambria" w:eastAsia="Cambria" w:hAnsi="Cambria" w:cs="Cambria"/>
        <w:b/>
        <w:bCs/>
        <w:color w:val="000000"/>
        <w:position w:val="0"/>
        <w:sz w:val="20"/>
        <w:szCs w:val="20"/>
        <w:lang w:val="es-ES_tradnl"/>
      </w:rPr>
    </w:lvl>
    <w:lvl w:ilvl="1">
      <w:start w:val="1"/>
      <w:numFmt w:val="decimal"/>
      <w:lvlText w:val="%1.%2."/>
      <w:lvlJc w:val="left"/>
      <w:pPr>
        <w:tabs>
          <w:tab w:val="num" w:pos="1380"/>
        </w:tabs>
        <w:ind w:left="1380" w:hanging="300"/>
      </w:pPr>
      <w:rPr>
        <w:rFonts w:ascii="Cambria" w:eastAsia="Cambria" w:hAnsi="Cambria" w:cs="Cambria"/>
        <w:b/>
        <w:bCs/>
        <w:color w:val="000000"/>
        <w:position w:val="0"/>
        <w:sz w:val="20"/>
        <w:szCs w:val="20"/>
        <w:lang w:val="es-ES_tradnl"/>
      </w:rPr>
    </w:lvl>
    <w:lvl w:ilvl="2">
      <w:start w:val="2"/>
      <w:numFmt w:val="decimal"/>
      <w:lvlText w:val="%1.%2.%3."/>
      <w:lvlJc w:val="left"/>
      <w:pPr>
        <w:tabs>
          <w:tab w:val="num" w:pos="86"/>
        </w:tabs>
        <w:ind w:left="86" w:hanging="86"/>
      </w:pPr>
      <w:rPr>
        <w:rFonts w:ascii="Times New Roman" w:eastAsia="Times New Roman" w:hAnsi="Times New Roman" w:cs="Times New Roman"/>
        <w:b/>
        <w:bCs/>
        <w:color w:val="000000"/>
        <w:position w:val="0"/>
        <w:sz w:val="20"/>
        <w:szCs w:val="2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lang w:val="es-ES_tradnl"/>
      </w:rPr>
    </w:lvl>
  </w:abstractNum>
  <w:abstractNum w:abstractNumId="16" w15:restartNumberingAfterBreak="0">
    <w:nsid w:val="35B51E09"/>
    <w:multiLevelType w:val="multilevel"/>
    <w:tmpl w:val="1C3EC828"/>
    <w:styleLink w:val="List13"/>
    <w:lvl w:ilvl="0">
      <w:start w:val="1"/>
      <w:numFmt w:val="upperLetter"/>
      <w:lvlText w:val="%1."/>
      <w:lvlJc w:val="left"/>
      <w:rPr>
        <w:rFonts w:ascii="Times New Roman" w:eastAsia="Times New Roman" w:hAnsi="Times New Roman" w:cs="Times New Roman"/>
        <w:b/>
        <w:bCs/>
        <w:color w:val="FF0000"/>
        <w:position w:val="0"/>
        <w:u w:color="FF0000"/>
        <w:lang w:val="es-ES_tradnl"/>
      </w:rPr>
    </w:lvl>
    <w:lvl w:ilvl="1">
      <w:start w:val="1"/>
      <w:numFmt w:val="lowerLetter"/>
      <w:lvlText w:val="%2."/>
      <w:lvlJc w:val="left"/>
      <w:rPr>
        <w:rFonts w:ascii="Cambria" w:eastAsia="Cambria" w:hAnsi="Cambria" w:cs="Cambria"/>
        <w:b/>
        <w:bCs/>
        <w:color w:val="FF0000"/>
        <w:position w:val="0"/>
        <w:u w:color="FF0000"/>
        <w:lang w:val="es-ES_tradnl"/>
      </w:rPr>
    </w:lvl>
    <w:lvl w:ilvl="2">
      <w:start w:val="1"/>
      <w:numFmt w:val="lowerRoman"/>
      <w:lvlText w:val="%3."/>
      <w:lvlJc w:val="left"/>
      <w:rPr>
        <w:rFonts w:ascii="Cambria" w:eastAsia="Cambria" w:hAnsi="Cambria" w:cs="Cambria"/>
        <w:b/>
        <w:bCs/>
        <w:color w:val="FF0000"/>
        <w:position w:val="0"/>
        <w:u w:color="FF0000"/>
        <w:lang w:val="es-ES_tradnl"/>
      </w:rPr>
    </w:lvl>
    <w:lvl w:ilvl="3">
      <w:start w:val="1"/>
      <w:numFmt w:val="decimal"/>
      <w:lvlText w:val="%4."/>
      <w:lvlJc w:val="left"/>
      <w:rPr>
        <w:rFonts w:ascii="Cambria" w:eastAsia="Cambria" w:hAnsi="Cambria" w:cs="Cambria"/>
        <w:b/>
        <w:bCs/>
        <w:color w:val="FF0000"/>
        <w:position w:val="0"/>
        <w:u w:color="FF0000"/>
        <w:lang w:val="es-ES_tradnl"/>
      </w:rPr>
    </w:lvl>
    <w:lvl w:ilvl="4">
      <w:start w:val="1"/>
      <w:numFmt w:val="lowerLetter"/>
      <w:lvlText w:val="%5."/>
      <w:lvlJc w:val="left"/>
      <w:rPr>
        <w:rFonts w:ascii="Cambria" w:eastAsia="Cambria" w:hAnsi="Cambria" w:cs="Cambria"/>
        <w:b/>
        <w:bCs/>
        <w:color w:val="FF0000"/>
        <w:position w:val="0"/>
        <w:u w:color="FF0000"/>
        <w:lang w:val="es-ES_tradnl"/>
      </w:rPr>
    </w:lvl>
    <w:lvl w:ilvl="5">
      <w:start w:val="1"/>
      <w:numFmt w:val="lowerRoman"/>
      <w:lvlText w:val="%6."/>
      <w:lvlJc w:val="left"/>
      <w:rPr>
        <w:rFonts w:ascii="Cambria" w:eastAsia="Cambria" w:hAnsi="Cambria" w:cs="Cambria"/>
        <w:b/>
        <w:bCs/>
        <w:color w:val="FF0000"/>
        <w:position w:val="0"/>
        <w:u w:color="FF0000"/>
        <w:lang w:val="es-ES_tradnl"/>
      </w:rPr>
    </w:lvl>
    <w:lvl w:ilvl="6">
      <w:start w:val="1"/>
      <w:numFmt w:val="decimal"/>
      <w:lvlText w:val="%7."/>
      <w:lvlJc w:val="left"/>
      <w:rPr>
        <w:rFonts w:ascii="Cambria" w:eastAsia="Cambria" w:hAnsi="Cambria" w:cs="Cambria"/>
        <w:b/>
        <w:bCs/>
        <w:color w:val="FF0000"/>
        <w:position w:val="0"/>
        <w:u w:color="FF0000"/>
        <w:lang w:val="es-ES_tradnl"/>
      </w:rPr>
    </w:lvl>
    <w:lvl w:ilvl="7">
      <w:start w:val="1"/>
      <w:numFmt w:val="lowerLetter"/>
      <w:lvlText w:val="%8."/>
      <w:lvlJc w:val="left"/>
      <w:rPr>
        <w:rFonts w:ascii="Cambria" w:eastAsia="Cambria" w:hAnsi="Cambria" w:cs="Cambria"/>
        <w:b/>
        <w:bCs/>
        <w:color w:val="FF0000"/>
        <w:position w:val="0"/>
        <w:u w:color="FF0000"/>
        <w:lang w:val="es-ES_tradnl"/>
      </w:rPr>
    </w:lvl>
    <w:lvl w:ilvl="8">
      <w:start w:val="1"/>
      <w:numFmt w:val="lowerRoman"/>
      <w:lvlText w:val="%9."/>
      <w:lvlJc w:val="left"/>
      <w:rPr>
        <w:rFonts w:ascii="Cambria" w:eastAsia="Cambria" w:hAnsi="Cambria" w:cs="Cambria"/>
        <w:b/>
        <w:bCs/>
        <w:color w:val="FF0000"/>
        <w:position w:val="0"/>
        <w:u w:color="FF0000"/>
        <w:lang w:val="es-ES_tradnl"/>
      </w:rPr>
    </w:lvl>
  </w:abstractNum>
  <w:abstractNum w:abstractNumId="17" w15:restartNumberingAfterBreak="0">
    <w:nsid w:val="37B31F19"/>
    <w:multiLevelType w:val="multilevel"/>
    <w:tmpl w:val="77881B08"/>
    <w:styleLink w:val="List15"/>
    <w:lvl w:ilvl="0">
      <w:start w:val="2"/>
      <w:numFmt w:val="decimal"/>
      <w:lvlText w:val="%1."/>
      <w:lvlJc w:val="left"/>
      <w:rPr>
        <w:rFonts w:ascii="Times New Roman" w:eastAsia="Times New Roman" w:hAnsi="Times New Roman" w:cs="Times New Roman"/>
        <w:b/>
        <w:bCs/>
        <w:position w:val="0"/>
      </w:rPr>
    </w:lvl>
    <w:lvl w:ilvl="1">
      <w:start w:val="1"/>
      <w:numFmt w:val="lowerLetter"/>
      <w:lvlText w:val="%2."/>
      <w:lvlJc w:val="left"/>
      <w:rPr>
        <w:rFonts w:ascii="Cambria" w:eastAsia="Cambria" w:hAnsi="Cambria" w:cs="Cambria"/>
        <w:b/>
        <w:bCs/>
        <w:position w:val="0"/>
      </w:rPr>
    </w:lvl>
    <w:lvl w:ilvl="2">
      <w:start w:val="1"/>
      <w:numFmt w:val="lowerRoman"/>
      <w:lvlText w:val="%3."/>
      <w:lvlJc w:val="left"/>
      <w:rPr>
        <w:rFonts w:ascii="Cambria" w:eastAsia="Cambria" w:hAnsi="Cambria" w:cs="Cambria"/>
        <w:b/>
        <w:bCs/>
        <w:position w:val="0"/>
      </w:rPr>
    </w:lvl>
    <w:lvl w:ilvl="3">
      <w:start w:val="1"/>
      <w:numFmt w:val="decimal"/>
      <w:lvlText w:val="%4."/>
      <w:lvlJc w:val="left"/>
      <w:rPr>
        <w:rFonts w:ascii="Cambria" w:eastAsia="Cambria" w:hAnsi="Cambria" w:cs="Cambria"/>
        <w:b/>
        <w:bCs/>
        <w:position w:val="0"/>
      </w:rPr>
    </w:lvl>
    <w:lvl w:ilvl="4">
      <w:start w:val="1"/>
      <w:numFmt w:val="lowerLetter"/>
      <w:lvlText w:val="%5."/>
      <w:lvlJc w:val="left"/>
      <w:rPr>
        <w:rFonts w:ascii="Cambria" w:eastAsia="Cambria" w:hAnsi="Cambria" w:cs="Cambria"/>
        <w:b/>
        <w:bCs/>
        <w:position w:val="0"/>
      </w:rPr>
    </w:lvl>
    <w:lvl w:ilvl="5">
      <w:start w:val="1"/>
      <w:numFmt w:val="lowerRoman"/>
      <w:lvlText w:val="%6."/>
      <w:lvlJc w:val="left"/>
      <w:rPr>
        <w:rFonts w:ascii="Cambria" w:eastAsia="Cambria" w:hAnsi="Cambria" w:cs="Cambria"/>
        <w:b/>
        <w:bCs/>
        <w:position w:val="0"/>
      </w:rPr>
    </w:lvl>
    <w:lvl w:ilvl="6">
      <w:start w:val="1"/>
      <w:numFmt w:val="decimal"/>
      <w:lvlText w:val="%7."/>
      <w:lvlJc w:val="left"/>
      <w:rPr>
        <w:rFonts w:ascii="Cambria" w:eastAsia="Cambria" w:hAnsi="Cambria" w:cs="Cambria"/>
        <w:b/>
        <w:bCs/>
        <w:position w:val="0"/>
      </w:rPr>
    </w:lvl>
    <w:lvl w:ilvl="7">
      <w:start w:val="1"/>
      <w:numFmt w:val="lowerLetter"/>
      <w:lvlText w:val="%8."/>
      <w:lvlJc w:val="left"/>
      <w:rPr>
        <w:rFonts w:ascii="Cambria" w:eastAsia="Cambria" w:hAnsi="Cambria" w:cs="Cambria"/>
        <w:b/>
        <w:bCs/>
        <w:position w:val="0"/>
      </w:rPr>
    </w:lvl>
    <w:lvl w:ilvl="8">
      <w:start w:val="1"/>
      <w:numFmt w:val="lowerRoman"/>
      <w:lvlText w:val="%9."/>
      <w:lvlJc w:val="left"/>
      <w:rPr>
        <w:rFonts w:ascii="Cambria" w:eastAsia="Cambria" w:hAnsi="Cambria" w:cs="Cambria"/>
        <w:b/>
        <w:bCs/>
        <w:position w:val="0"/>
      </w:rPr>
    </w:lvl>
  </w:abstractNum>
  <w:abstractNum w:abstractNumId="18" w15:restartNumberingAfterBreak="0">
    <w:nsid w:val="38392973"/>
    <w:multiLevelType w:val="hybridMultilevel"/>
    <w:tmpl w:val="2FF4FC0A"/>
    <w:lvl w:ilvl="0" w:tplc="82602046">
      <w:start w:val="1"/>
      <w:numFmt w:val="decimal"/>
      <w:lvlText w:val="%1."/>
      <w:lvlJc w:val="left"/>
      <w:pPr>
        <w:tabs>
          <w:tab w:val="num" w:pos="1170"/>
        </w:tabs>
        <w:ind w:left="1170" w:hanging="360"/>
      </w:pPr>
      <w:rPr>
        <w:b w:val="0"/>
      </w:rPr>
    </w:lvl>
    <w:lvl w:ilvl="1" w:tplc="5B509156">
      <w:start w:val="2"/>
      <w:numFmt w:val="bullet"/>
      <w:lvlText w:val="-"/>
      <w:lvlJc w:val="left"/>
      <w:pPr>
        <w:tabs>
          <w:tab w:val="num" w:pos="1440"/>
        </w:tabs>
        <w:ind w:left="1440" w:hanging="360"/>
      </w:pPr>
      <w:rPr>
        <w:rFonts w:ascii="Calibri" w:eastAsia="Times New Roman" w:hAnsi="Calibri" w:cs="Arial" w:hint="default"/>
      </w:rPr>
    </w:lvl>
    <w:lvl w:ilvl="2" w:tplc="B374DD64">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BC2481"/>
    <w:multiLevelType w:val="multilevel"/>
    <w:tmpl w:val="3290149C"/>
    <w:styleLink w:val="List12"/>
    <w:lvl w:ilvl="0">
      <w:start w:val="1"/>
      <w:numFmt w:val="decimal"/>
      <w:lvlText w:val="%1."/>
      <w:lvlJc w:val="left"/>
      <w:rPr>
        <w:rFonts w:ascii="Cambria" w:eastAsia="Cambria" w:hAnsi="Cambria" w:cs="Cambria"/>
        <w:color w:val="000000"/>
        <w:position w:val="0"/>
        <w:rtl w:val="0"/>
        <w:lang w:val="es-ES_tradnl"/>
      </w:rPr>
    </w:lvl>
    <w:lvl w:ilvl="1">
      <w:start w:val="1"/>
      <w:numFmt w:val="lowerLetter"/>
      <w:lvlText w:val="%2."/>
      <w:lvlJc w:val="left"/>
      <w:rPr>
        <w:rFonts w:ascii="Cambria" w:eastAsia="Cambria" w:hAnsi="Cambria" w:cs="Cambria"/>
        <w:color w:val="000000"/>
        <w:position w:val="0"/>
        <w:rtl w:val="0"/>
        <w:lang w:val="es-ES_tradnl"/>
      </w:rPr>
    </w:lvl>
    <w:lvl w:ilvl="2">
      <w:start w:val="1"/>
      <w:numFmt w:val="lowerRoman"/>
      <w:lvlText w:val="%3."/>
      <w:lvlJc w:val="left"/>
      <w:rPr>
        <w:rFonts w:ascii="Cambria" w:eastAsia="Cambria" w:hAnsi="Cambria" w:cs="Cambria"/>
        <w:color w:val="000000"/>
        <w:position w:val="0"/>
        <w:rtl w:val="0"/>
        <w:lang w:val="es-ES_tradnl"/>
      </w:rPr>
    </w:lvl>
    <w:lvl w:ilvl="3">
      <w:start w:val="1"/>
      <w:numFmt w:val="decimal"/>
      <w:lvlText w:val="%4."/>
      <w:lvlJc w:val="left"/>
      <w:rPr>
        <w:rFonts w:ascii="Cambria" w:eastAsia="Cambria" w:hAnsi="Cambria" w:cs="Cambria"/>
        <w:color w:val="000000"/>
        <w:position w:val="0"/>
        <w:rtl w:val="0"/>
        <w:lang w:val="es-ES_tradnl"/>
      </w:rPr>
    </w:lvl>
    <w:lvl w:ilvl="4">
      <w:start w:val="1"/>
      <w:numFmt w:val="lowerLetter"/>
      <w:lvlText w:val="%5."/>
      <w:lvlJc w:val="left"/>
      <w:rPr>
        <w:rFonts w:ascii="Cambria" w:eastAsia="Cambria" w:hAnsi="Cambria" w:cs="Cambria"/>
        <w:color w:val="000000"/>
        <w:position w:val="0"/>
        <w:rtl w:val="0"/>
        <w:lang w:val="es-ES_tradnl"/>
      </w:rPr>
    </w:lvl>
    <w:lvl w:ilvl="5">
      <w:start w:val="1"/>
      <w:numFmt w:val="lowerRoman"/>
      <w:lvlText w:val="%6."/>
      <w:lvlJc w:val="left"/>
      <w:rPr>
        <w:rFonts w:ascii="Cambria" w:eastAsia="Cambria" w:hAnsi="Cambria" w:cs="Cambria"/>
        <w:color w:val="000000"/>
        <w:position w:val="0"/>
        <w:rtl w:val="0"/>
        <w:lang w:val="es-ES_tradnl"/>
      </w:rPr>
    </w:lvl>
    <w:lvl w:ilvl="6">
      <w:start w:val="1"/>
      <w:numFmt w:val="decimal"/>
      <w:lvlText w:val="%7."/>
      <w:lvlJc w:val="left"/>
      <w:rPr>
        <w:rFonts w:ascii="Cambria" w:eastAsia="Cambria" w:hAnsi="Cambria" w:cs="Cambria"/>
        <w:color w:val="000000"/>
        <w:position w:val="0"/>
        <w:rtl w:val="0"/>
        <w:lang w:val="es-ES_tradnl"/>
      </w:rPr>
    </w:lvl>
    <w:lvl w:ilvl="7">
      <w:start w:val="1"/>
      <w:numFmt w:val="lowerLetter"/>
      <w:lvlText w:val="%8."/>
      <w:lvlJc w:val="left"/>
      <w:rPr>
        <w:rFonts w:ascii="Cambria" w:eastAsia="Cambria" w:hAnsi="Cambria" w:cs="Cambria"/>
        <w:color w:val="000000"/>
        <w:position w:val="0"/>
        <w:rtl w:val="0"/>
        <w:lang w:val="es-ES_tradnl"/>
      </w:rPr>
    </w:lvl>
    <w:lvl w:ilvl="8">
      <w:start w:val="1"/>
      <w:numFmt w:val="lowerRoman"/>
      <w:lvlText w:val="%9."/>
      <w:lvlJc w:val="left"/>
      <w:rPr>
        <w:rFonts w:ascii="Cambria" w:eastAsia="Cambria" w:hAnsi="Cambria" w:cs="Cambria"/>
        <w:color w:val="000000"/>
        <w:position w:val="0"/>
        <w:rtl w:val="0"/>
        <w:lang w:val="es-ES_tradnl"/>
      </w:rPr>
    </w:lvl>
  </w:abstractNum>
  <w:abstractNum w:abstractNumId="20" w15:restartNumberingAfterBreak="0">
    <w:nsid w:val="3B2005A7"/>
    <w:multiLevelType w:val="multilevel"/>
    <w:tmpl w:val="23B0950C"/>
    <w:styleLink w:val="List31"/>
    <w:lvl w:ilvl="0">
      <w:start w:val="1"/>
      <w:numFmt w:val="upperLetter"/>
      <w:lvlText w:val="%1."/>
      <w:lvlJc w:val="left"/>
      <w:pPr>
        <w:tabs>
          <w:tab w:val="num" w:pos="1331"/>
        </w:tabs>
        <w:ind w:left="1331" w:hanging="86"/>
      </w:pPr>
      <w:rPr>
        <w:rFonts w:ascii="Times New Roman" w:eastAsia="Times New Roman" w:hAnsi="Times New Roman" w:cs="Times New Roman"/>
        <w:b/>
        <w:bCs/>
        <w:color w:val="000000"/>
        <w:position w:val="0"/>
        <w:sz w:val="20"/>
        <w:szCs w:val="20"/>
        <w:u w:color="000000"/>
        <w:lang w:val="es-ES_tradnl"/>
      </w:rPr>
    </w:lvl>
    <w:lvl w:ilvl="1">
      <w:start w:val="1"/>
      <w:numFmt w:val="lowerLetter"/>
      <w:lvlText w:val="%2."/>
      <w:lvlJc w:val="left"/>
      <w:pPr>
        <w:tabs>
          <w:tab w:val="num" w:pos="2625"/>
        </w:tabs>
        <w:ind w:left="2625" w:hanging="300"/>
      </w:pPr>
      <w:rPr>
        <w:rFonts w:ascii="Cambria" w:eastAsia="Cambria" w:hAnsi="Cambria" w:cs="Cambria"/>
        <w:b/>
        <w:bCs/>
        <w:color w:val="000000"/>
        <w:position w:val="0"/>
        <w:sz w:val="20"/>
        <w:szCs w:val="20"/>
        <w:u w:color="000000"/>
        <w:lang w:val="es-ES_tradnl"/>
      </w:rPr>
    </w:lvl>
    <w:lvl w:ilvl="2">
      <w:start w:val="1"/>
      <w:numFmt w:val="lowerRoman"/>
      <w:lvlText w:val="%3."/>
      <w:lvlJc w:val="left"/>
      <w:pPr>
        <w:tabs>
          <w:tab w:val="num" w:pos="3356"/>
        </w:tabs>
        <w:ind w:left="3356" w:hanging="247"/>
      </w:pPr>
      <w:rPr>
        <w:rFonts w:ascii="Cambria" w:eastAsia="Cambria" w:hAnsi="Cambria" w:cs="Cambria"/>
        <w:b/>
        <w:bCs/>
        <w:color w:val="000000"/>
        <w:position w:val="0"/>
        <w:sz w:val="20"/>
        <w:szCs w:val="20"/>
        <w:u w:color="000000"/>
        <w:lang w:val="es-ES_tradnl"/>
      </w:rPr>
    </w:lvl>
    <w:lvl w:ilvl="3">
      <w:start w:val="1"/>
      <w:numFmt w:val="decimal"/>
      <w:lvlText w:val="%4."/>
      <w:lvlJc w:val="left"/>
      <w:pPr>
        <w:tabs>
          <w:tab w:val="num" w:pos="4065"/>
        </w:tabs>
        <w:ind w:left="4065" w:hanging="300"/>
      </w:pPr>
      <w:rPr>
        <w:rFonts w:ascii="Cambria" w:eastAsia="Cambria" w:hAnsi="Cambria" w:cs="Cambria"/>
        <w:b/>
        <w:bCs/>
        <w:color w:val="000000"/>
        <w:position w:val="0"/>
        <w:sz w:val="20"/>
        <w:szCs w:val="20"/>
        <w:u w:color="000000"/>
        <w:lang w:val="es-ES_tradnl"/>
      </w:rPr>
    </w:lvl>
    <w:lvl w:ilvl="4">
      <w:start w:val="1"/>
      <w:numFmt w:val="lowerLetter"/>
      <w:lvlText w:val="%5."/>
      <w:lvlJc w:val="left"/>
      <w:pPr>
        <w:tabs>
          <w:tab w:val="num" w:pos="4785"/>
        </w:tabs>
        <w:ind w:left="4785" w:hanging="300"/>
      </w:pPr>
      <w:rPr>
        <w:rFonts w:ascii="Cambria" w:eastAsia="Cambria" w:hAnsi="Cambria" w:cs="Cambria"/>
        <w:b/>
        <w:bCs/>
        <w:color w:val="000000"/>
        <w:position w:val="0"/>
        <w:sz w:val="20"/>
        <w:szCs w:val="20"/>
        <w:u w:color="000000"/>
        <w:lang w:val="es-ES_tradnl"/>
      </w:rPr>
    </w:lvl>
    <w:lvl w:ilvl="5">
      <w:start w:val="1"/>
      <w:numFmt w:val="lowerRoman"/>
      <w:lvlText w:val="%6."/>
      <w:lvlJc w:val="left"/>
      <w:pPr>
        <w:tabs>
          <w:tab w:val="num" w:pos="5516"/>
        </w:tabs>
        <w:ind w:left="5516" w:hanging="247"/>
      </w:pPr>
      <w:rPr>
        <w:rFonts w:ascii="Cambria" w:eastAsia="Cambria" w:hAnsi="Cambria" w:cs="Cambria"/>
        <w:b/>
        <w:bCs/>
        <w:color w:val="000000"/>
        <w:position w:val="0"/>
        <w:sz w:val="20"/>
        <w:szCs w:val="20"/>
        <w:u w:color="000000"/>
        <w:lang w:val="es-ES_tradnl"/>
      </w:rPr>
    </w:lvl>
    <w:lvl w:ilvl="6">
      <w:start w:val="1"/>
      <w:numFmt w:val="decimal"/>
      <w:lvlText w:val="%7."/>
      <w:lvlJc w:val="left"/>
      <w:pPr>
        <w:tabs>
          <w:tab w:val="num" w:pos="6225"/>
        </w:tabs>
        <w:ind w:left="6225" w:hanging="300"/>
      </w:pPr>
      <w:rPr>
        <w:rFonts w:ascii="Cambria" w:eastAsia="Cambria" w:hAnsi="Cambria" w:cs="Cambria"/>
        <w:b/>
        <w:bCs/>
        <w:color w:val="000000"/>
        <w:position w:val="0"/>
        <w:sz w:val="20"/>
        <w:szCs w:val="20"/>
        <w:u w:color="000000"/>
        <w:lang w:val="es-ES_tradnl"/>
      </w:rPr>
    </w:lvl>
    <w:lvl w:ilvl="7">
      <w:start w:val="1"/>
      <w:numFmt w:val="lowerLetter"/>
      <w:lvlText w:val="%8."/>
      <w:lvlJc w:val="left"/>
      <w:pPr>
        <w:tabs>
          <w:tab w:val="num" w:pos="6945"/>
        </w:tabs>
        <w:ind w:left="6945" w:hanging="300"/>
      </w:pPr>
      <w:rPr>
        <w:rFonts w:ascii="Cambria" w:eastAsia="Cambria" w:hAnsi="Cambria" w:cs="Cambria"/>
        <w:b/>
        <w:bCs/>
        <w:color w:val="000000"/>
        <w:position w:val="0"/>
        <w:sz w:val="20"/>
        <w:szCs w:val="20"/>
        <w:u w:color="000000"/>
        <w:lang w:val="es-ES_tradnl"/>
      </w:rPr>
    </w:lvl>
    <w:lvl w:ilvl="8">
      <w:start w:val="1"/>
      <w:numFmt w:val="lowerRoman"/>
      <w:lvlText w:val="%9."/>
      <w:lvlJc w:val="left"/>
      <w:pPr>
        <w:tabs>
          <w:tab w:val="num" w:pos="7676"/>
        </w:tabs>
        <w:ind w:left="7676" w:hanging="247"/>
      </w:pPr>
      <w:rPr>
        <w:rFonts w:ascii="Cambria" w:eastAsia="Cambria" w:hAnsi="Cambria" w:cs="Cambria"/>
        <w:b/>
        <w:bCs/>
        <w:color w:val="000000"/>
        <w:position w:val="0"/>
        <w:sz w:val="20"/>
        <w:szCs w:val="20"/>
        <w:u w:color="000000"/>
        <w:lang w:val="es-ES_tradnl"/>
      </w:rPr>
    </w:lvl>
  </w:abstractNum>
  <w:abstractNum w:abstractNumId="21" w15:restartNumberingAfterBreak="0">
    <w:nsid w:val="3D2C735F"/>
    <w:multiLevelType w:val="multilevel"/>
    <w:tmpl w:val="D10C3E3A"/>
    <w:lvl w:ilvl="0">
      <w:start w:val="1"/>
      <w:numFmt w:val="decimal"/>
      <w:lvlText w:val="%1."/>
      <w:lvlJc w:val="left"/>
      <w:rPr>
        <w:rFonts w:ascii="Cambria" w:eastAsia="Cambria" w:hAnsi="Cambria" w:cs="Cambria"/>
        <w:b w:val="0"/>
        <w:color w:val="000000"/>
        <w:position w:val="0"/>
        <w:sz w:val="20"/>
        <w:szCs w:val="20"/>
        <w:u w:color="FF0000"/>
        <w:rtl w:val="0"/>
        <w:lang w:val="es-ES_tradnl"/>
      </w:rPr>
    </w:lvl>
    <w:lvl w:ilvl="1">
      <w:start w:val="1"/>
      <w:numFmt w:val="lowerLetter"/>
      <w:lvlText w:val="%2."/>
      <w:lvlJc w:val="left"/>
      <w:rPr>
        <w:rFonts w:ascii="Cambria" w:eastAsia="Cambria" w:hAnsi="Cambria" w:cs="Cambria"/>
        <w:color w:val="000000"/>
        <w:position w:val="0"/>
        <w:u w:color="000000"/>
        <w:rtl w:val="0"/>
        <w:lang w:val="es-ES_tradnl"/>
      </w:rPr>
    </w:lvl>
    <w:lvl w:ilvl="2">
      <w:start w:val="1"/>
      <w:numFmt w:val="lowerRoman"/>
      <w:lvlText w:val="%3."/>
      <w:lvlJc w:val="left"/>
      <w:rPr>
        <w:rFonts w:ascii="Cambria" w:eastAsia="Cambria" w:hAnsi="Cambria" w:cs="Cambria"/>
        <w:color w:val="000000"/>
        <w:position w:val="0"/>
        <w:u w:color="000000"/>
        <w:rtl w:val="0"/>
        <w:lang w:val="es-ES_tradnl"/>
      </w:rPr>
    </w:lvl>
    <w:lvl w:ilvl="3">
      <w:start w:val="1"/>
      <w:numFmt w:val="decimal"/>
      <w:lvlText w:val="%4."/>
      <w:lvlJc w:val="left"/>
      <w:rPr>
        <w:rFonts w:ascii="Cambria" w:eastAsia="Cambria" w:hAnsi="Cambria" w:cs="Cambria"/>
        <w:color w:val="000000"/>
        <w:position w:val="0"/>
        <w:u w:color="000000"/>
        <w:rtl w:val="0"/>
        <w:lang w:val="es-ES_tradnl"/>
      </w:rPr>
    </w:lvl>
    <w:lvl w:ilvl="4">
      <w:start w:val="1"/>
      <w:numFmt w:val="lowerLetter"/>
      <w:lvlText w:val="%5."/>
      <w:lvlJc w:val="left"/>
      <w:rPr>
        <w:rFonts w:ascii="Cambria" w:eastAsia="Cambria" w:hAnsi="Cambria" w:cs="Cambria"/>
        <w:color w:val="000000"/>
        <w:position w:val="0"/>
        <w:u w:color="000000"/>
        <w:rtl w:val="0"/>
        <w:lang w:val="es-ES_tradnl"/>
      </w:rPr>
    </w:lvl>
    <w:lvl w:ilvl="5">
      <w:start w:val="1"/>
      <w:numFmt w:val="lowerRoman"/>
      <w:lvlText w:val="%6."/>
      <w:lvlJc w:val="left"/>
      <w:rPr>
        <w:rFonts w:ascii="Cambria" w:eastAsia="Cambria" w:hAnsi="Cambria" w:cs="Cambria"/>
        <w:color w:val="000000"/>
        <w:position w:val="0"/>
        <w:u w:color="000000"/>
        <w:rtl w:val="0"/>
        <w:lang w:val="es-ES_tradnl"/>
      </w:rPr>
    </w:lvl>
    <w:lvl w:ilvl="6">
      <w:start w:val="1"/>
      <w:numFmt w:val="decimal"/>
      <w:lvlText w:val="%7."/>
      <w:lvlJc w:val="left"/>
      <w:rPr>
        <w:rFonts w:ascii="Cambria" w:eastAsia="Cambria" w:hAnsi="Cambria" w:cs="Cambria"/>
        <w:color w:val="000000"/>
        <w:position w:val="0"/>
        <w:u w:color="000000"/>
        <w:rtl w:val="0"/>
        <w:lang w:val="es-ES_tradnl"/>
      </w:rPr>
    </w:lvl>
    <w:lvl w:ilvl="7">
      <w:start w:val="1"/>
      <w:numFmt w:val="lowerLetter"/>
      <w:lvlText w:val="%8."/>
      <w:lvlJc w:val="left"/>
      <w:rPr>
        <w:rFonts w:ascii="Cambria" w:eastAsia="Cambria" w:hAnsi="Cambria" w:cs="Cambria"/>
        <w:color w:val="000000"/>
        <w:position w:val="0"/>
        <w:u w:color="000000"/>
        <w:rtl w:val="0"/>
        <w:lang w:val="es-ES_tradnl"/>
      </w:rPr>
    </w:lvl>
    <w:lvl w:ilvl="8">
      <w:start w:val="1"/>
      <w:numFmt w:val="lowerRoman"/>
      <w:lvlText w:val="%9."/>
      <w:lvlJc w:val="left"/>
      <w:rPr>
        <w:rFonts w:ascii="Cambria" w:eastAsia="Cambria" w:hAnsi="Cambria" w:cs="Cambria"/>
        <w:color w:val="000000"/>
        <w:position w:val="0"/>
        <w:u w:color="000000"/>
        <w:rtl w:val="0"/>
        <w:lang w:val="es-ES_tradnl"/>
      </w:rPr>
    </w:lvl>
  </w:abstractNum>
  <w:abstractNum w:abstractNumId="22" w15:restartNumberingAfterBreak="0">
    <w:nsid w:val="42E51BF1"/>
    <w:multiLevelType w:val="multilevel"/>
    <w:tmpl w:val="BE40186C"/>
    <w:styleLink w:val="List0"/>
    <w:lvl w:ilvl="0">
      <w:start w:val="1"/>
      <w:numFmt w:val="upperRoman"/>
      <w:pStyle w:val="Heading1"/>
      <w:lvlText w:val="%1."/>
      <w:lvlJc w:val="left"/>
      <w:pPr>
        <w:tabs>
          <w:tab w:val="num" w:pos="86"/>
        </w:tabs>
        <w:ind w:left="86" w:hanging="86"/>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b/>
        <w:bCs/>
        <w:position w:val="0"/>
        <w:sz w:val="20"/>
        <w:szCs w:val="20"/>
        <w:lang w:val="es-ES_tradnl"/>
      </w:rPr>
    </w:lvl>
  </w:abstractNum>
  <w:abstractNum w:abstractNumId="23" w15:restartNumberingAfterBreak="0">
    <w:nsid w:val="42FD1FC8"/>
    <w:multiLevelType w:val="hybridMultilevel"/>
    <w:tmpl w:val="DDCA1770"/>
    <w:lvl w:ilvl="0" w:tplc="A1A6D6C8">
      <w:start w:val="1"/>
      <w:numFmt w:val="decimal"/>
      <w:lvlText w:val="%1."/>
      <w:lvlJc w:val="left"/>
      <w:pPr>
        <w:ind w:left="1080" w:hanging="360"/>
      </w:pPr>
      <w:rPr>
        <w:rFonts w:ascii="Cambria" w:hAnsi="Cambria" w:hint="default"/>
        <w:b w:val="0"/>
        <w:i w:val="0"/>
        <w:color w:val="auto"/>
        <w:sz w:val="22"/>
        <w:szCs w:val="22"/>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2342E"/>
    <w:multiLevelType w:val="multilevel"/>
    <w:tmpl w:val="1ADE2FB2"/>
    <w:styleLink w:val="List19"/>
    <w:lvl w:ilvl="0">
      <w:start w:val="1"/>
      <w:numFmt w:val="decimal"/>
      <w:lvlText w:val="%1."/>
      <w:lvlJc w:val="left"/>
      <w:pPr>
        <w:tabs>
          <w:tab w:val="num" w:pos="806"/>
        </w:tabs>
        <w:ind w:left="806" w:hanging="806"/>
      </w:pPr>
      <w:rPr>
        <w:rFonts w:ascii="Cambria" w:eastAsia="Cambria" w:hAnsi="Cambria" w:cs="Cambria"/>
        <w:position w:val="0"/>
        <w:sz w:val="20"/>
        <w:szCs w:val="20"/>
        <w:rtl w:val="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rtl w:val="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rtl w:val="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rtl w:val="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rtl w:val="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rtl w:val="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rtl w:val="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rtl w:val="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rtl w:val="0"/>
        <w:lang w:val="es-ES_tradnl"/>
      </w:rPr>
    </w:lvl>
  </w:abstractNum>
  <w:abstractNum w:abstractNumId="25" w15:restartNumberingAfterBreak="0">
    <w:nsid w:val="44F64E70"/>
    <w:multiLevelType w:val="hybridMultilevel"/>
    <w:tmpl w:val="FD66BECE"/>
    <w:lvl w:ilvl="0" w:tplc="C86A0E1E">
      <w:start w:val="2"/>
      <w:numFmt w:val="bullet"/>
      <w:lvlText w:val="-"/>
      <w:lvlJc w:val="left"/>
      <w:pPr>
        <w:ind w:left="927" w:hanging="360"/>
      </w:pPr>
      <w:rPr>
        <w:rFonts w:ascii="Cambria" w:eastAsia="Times New Roman" w:hAnsi="Cambria"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94E79DF"/>
    <w:multiLevelType w:val="hybridMultilevel"/>
    <w:tmpl w:val="BB482B94"/>
    <w:lvl w:ilvl="0" w:tplc="4C5499BC">
      <w:start w:val="1"/>
      <w:numFmt w:val="decimal"/>
      <w:lvlText w:val="%1."/>
      <w:lvlJc w:val="left"/>
      <w:pPr>
        <w:ind w:left="1080" w:hanging="360"/>
      </w:pPr>
      <w:rPr>
        <w:rFonts w:hint="default"/>
        <w:color w:val="2626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22865"/>
    <w:multiLevelType w:val="hybridMultilevel"/>
    <w:tmpl w:val="5A6418EA"/>
    <w:lvl w:ilvl="0" w:tplc="A8728A88">
      <w:start w:val="2"/>
      <w:numFmt w:val="decimal"/>
      <w:lvlText w:val="%1."/>
      <w:lvlJc w:val="left"/>
      <w:pPr>
        <w:ind w:left="720" w:hanging="360"/>
      </w:pPr>
      <w:rPr>
        <w:rFonts w:eastAsia="Cambria" w:cs="Cambria"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B75436"/>
    <w:multiLevelType w:val="multilevel"/>
    <w:tmpl w:val="B84259C4"/>
    <w:styleLink w:val="List51"/>
    <w:lvl w:ilvl="0">
      <w:start w:val="1"/>
      <w:numFmt w:val="decimal"/>
      <w:lvlText w:val="%1."/>
      <w:lvlJc w:val="left"/>
      <w:pPr>
        <w:tabs>
          <w:tab w:val="num" w:pos="1020"/>
        </w:tabs>
        <w:ind w:left="1020" w:hanging="300"/>
      </w:pPr>
      <w:rPr>
        <w:rFonts w:ascii="Cambria" w:eastAsia="Cambria" w:hAnsi="Cambria" w:cs="Cambria"/>
        <w:b/>
        <w:bCs/>
        <w:color w:val="000000"/>
        <w:position w:val="0"/>
        <w:sz w:val="20"/>
        <w:szCs w:val="20"/>
        <w:u w:color="000000"/>
        <w:lang w:val="es-ES_tradnl"/>
      </w:rPr>
    </w:lvl>
    <w:lvl w:ilvl="1">
      <w:start w:val="3"/>
      <w:numFmt w:val="decimal"/>
      <w:lvlText w:val="%1.%2."/>
      <w:lvlJc w:val="left"/>
      <w:pPr>
        <w:tabs>
          <w:tab w:val="num" w:pos="86"/>
        </w:tabs>
        <w:ind w:left="86" w:hanging="86"/>
      </w:pPr>
      <w:rPr>
        <w:rFonts w:ascii="Times New Roman" w:eastAsia="Times New Roman" w:hAnsi="Times New Roman" w:cs="Times New Roman"/>
        <w:b/>
        <w:bCs/>
        <w:color w:val="000000"/>
        <w:position w:val="0"/>
        <w:sz w:val="20"/>
        <w:szCs w:val="20"/>
        <w:u w:color="000000"/>
        <w:lang w:val="es-ES_tradnl"/>
      </w:rPr>
    </w:lvl>
    <w:lvl w:ilvl="2">
      <w:start w:val="1"/>
      <w:numFmt w:val="decimal"/>
      <w:lvlText w:val="%1.%2.%3."/>
      <w:lvlJc w:val="left"/>
      <w:pPr>
        <w:tabs>
          <w:tab w:val="num" w:pos="2040"/>
        </w:tabs>
        <w:ind w:left="2040" w:hanging="600"/>
      </w:pPr>
      <w:rPr>
        <w:rFonts w:ascii="Cambria" w:eastAsia="Cambria" w:hAnsi="Cambria" w:cs="Cambria"/>
        <w:b/>
        <w:bCs/>
        <w:color w:val="000000"/>
        <w:position w:val="0"/>
        <w:sz w:val="20"/>
        <w:szCs w:val="20"/>
        <w:u w:color="00000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u w:color="00000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u w:color="00000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u w:color="00000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u w:color="00000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u w:color="00000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u w:color="000000"/>
        <w:lang w:val="es-ES_tradnl"/>
      </w:rPr>
    </w:lvl>
  </w:abstractNum>
  <w:abstractNum w:abstractNumId="29" w15:restartNumberingAfterBreak="0">
    <w:nsid w:val="5D7D4B9D"/>
    <w:multiLevelType w:val="hybridMultilevel"/>
    <w:tmpl w:val="DCDEE94E"/>
    <w:lvl w:ilvl="0" w:tplc="EE56DE66">
      <w:start w:val="1"/>
      <w:numFmt w:val="decimal"/>
      <w:pStyle w:val="parrafos"/>
      <w:lvlText w:val="%1."/>
      <w:lvlJc w:val="left"/>
      <w:pPr>
        <w:ind w:left="502" w:hanging="360"/>
      </w:pPr>
      <w:rPr>
        <w:rFonts w:ascii="Cambria" w:hAnsi="Cambria" w:hint="default"/>
        <w:b w:val="0"/>
        <w:color w:val="auto"/>
        <w:sz w:val="20"/>
        <w:szCs w:val="20"/>
        <w:lang w:val="es-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F728FB"/>
    <w:multiLevelType w:val="multilevel"/>
    <w:tmpl w:val="AE38332A"/>
    <w:lvl w:ilvl="0">
      <w:start w:val="49"/>
      <w:numFmt w:val="decimal"/>
      <w:lvlText w:val="%1."/>
      <w:lvlJc w:val="left"/>
      <w:rPr>
        <w:rFonts w:ascii="Times New Roman" w:eastAsia="Times New Roman" w:hAnsi="Times New Roman" w:cs="Times New Roman"/>
        <w:b w:val="0"/>
        <w:color w:val="000000"/>
        <w:position w:val="0"/>
        <w:lang w:val="es-ES_tradnl"/>
      </w:rPr>
    </w:lvl>
    <w:lvl w:ilvl="1">
      <w:start w:val="1"/>
      <w:numFmt w:val="lowerLetter"/>
      <w:lvlText w:val="%2."/>
      <w:lvlJc w:val="left"/>
      <w:rPr>
        <w:rFonts w:ascii="Cambria" w:eastAsia="Cambria" w:hAnsi="Cambria" w:cs="Cambria"/>
        <w:color w:val="000000"/>
        <w:position w:val="0"/>
        <w:lang w:val="es-ES_tradnl"/>
      </w:rPr>
    </w:lvl>
    <w:lvl w:ilvl="2">
      <w:start w:val="1"/>
      <w:numFmt w:val="lowerRoman"/>
      <w:lvlText w:val="%3."/>
      <w:lvlJc w:val="left"/>
      <w:rPr>
        <w:rFonts w:ascii="Cambria" w:eastAsia="Cambria" w:hAnsi="Cambria" w:cs="Cambria"/>
        <w:color w:val="000000"/>
        <w:position w:val="0"/>
        <w:lang w:val="es-ES_tradnl"/>
      </w:rPr>
    </w:lvl>
    <w:lvl w:ilvl="3">
      <w:start w:val="1"/>
      <w:numFmt w:val="decimal"/>
      <w:pStyle w:val="Heading3"/>
      <w:lvlText w:val="%4."/>
      <w:lvlJc w:val="left"/>
      <w:rPr>
        <w:rFonts w:ascii="Cambria" w:eastAsia="Cambria" w:hAnsi="Cambria" w:cs="Cambria"/>
        <w:color w:val="000000"/>
        <w:position w:val="0"/>
        <w:lang w:val="es-ES"/>
      </w:rPr>
    </w:lvl>
    <w:lvl w:ilvl="4">
      <w:start w:val="1"/>
      <w:numFmt w:val="lowerLetter"/>
      <w:lvlText w:val="%5."/>
      <w:lvlJc w:val="left"/>
      <w:rPr>
        <w:rFonts w:ascii="Cambria" w:eastAsia="Cambria" w:hAnsi="Cambria" w:cs="Cambria"/>
        <w:color w:val="000000"/>
        <w:position w:val="0"/>
        <w:lang w:val="es-ES_tradnl"/>
      </w:rPr>
    </w:lvl>
    <w:lvl w:ilvl="5">
      <w:start w:val="1"/>
      <w:numFmt w:val="lowerRoman"/>
      <w:lvlText w:val="%6."/>
      <w:lvlJc w:val="left"/>
      <w:rPr>
        <w:rFonts w:ascii="Cambria" w:eastAsia="Cambria" w:hAnsi="Cambria" w:cs="Cambria"/>
        <w:color w:val="000000"/>
        <w:position w:val="0"/>
        <w:lang w:val="es-ES_tradnl"/>
      </w:rPr>
    </w:lvl>
    <w:lvl w:ilvl="6">
      <w:start w:val="1"/>
      <w:numFmt w:val="decimal"/>
      <w:lvlText w:val="%7."/>
      <w:lvlJc w:val="left"/>
      <w:rPr>
        <w:rFonts w:ascii="Cambria" w:eastAsia="Cambria" w:hAnsi="Cambria" w:cs="Cambria"/>
        <w:color w:val="000000"/>
        <w:position w:val="0"/>
        <w:lang w:val="es-ES_tradnl"/>
      </w:rPr>
    </w:lvl>
    <w:lvl w:ilvl="7">
      <w:start w:val="1"/>
      <w:numFmt w:val="lowerLetter"/>
      <w:lvlText w:val="%8."/>
      <w:lvlJc w:val="left"/>
      <w:rPr>
        <w:rFonts w:ascii="Cambria" w:eastAsia="Cambria" w:hAnsi="Cambria" w:cs="Cambria"/>
        <w:color w:val="000000"/>
        <w:position w:val="0"/>
        <w:lang w:val="es-ES_tradnl"/>
      </w:rPr>
    </w:lvl>
    <w:lvl w:ilvl="8">
      <w:start w:val="1"/>
      <w:numFmt w:val="lowerRoman"/>
      <w:lvlText w:val="%9."/>
      <w:lvlJc w:val="left"/>
      <w:rPr>
        <w:rFonts w:ascii="Cambria" w:eastAsia="Cambria" w:hAnsi="Cambria" w:cs="Cambria"/>
        <w:color w:val="000000"/>
        <w:position w:val="0"/>
        <w:lang w:val="es-ES_tradnl"/>
      </w:rPr>
    </w:lvl>
  </w:abstractNum>
  <w:abstractNum w:abstractNumId="31" w15:restartNumberingAfterBreak="0">
    <w:nsid w:val="63F86BCD"/>
    <w:multiLevelType w:val="multilevel"/>
    <w:tmpl w:val="F1725050"/>
    <w:styleLink w:val="List1"/>
    <w:lvl w:ilvl="0">
      <w:start w:val="99"/>
      <w:numFmt w:val="decimal"/>
      <w:lvlText w:val="%1."/>
      <w:lvlJc w:val="left"/>
      <w:rPr>
        <w:rFonts w:ascii="Cambria" w:eastAsia="Cambria" w:hAnsi="Cambria" w:cs="Cambria"/>
        <w:color w:val="000000"/>
        <w:position w:val="0"/>
        <w:rtl w:val="0"/>
      </w:rPr>
    </w:lvl>
    <w:lvl w:ilvl="1">
      <w:start w:val="1"/>
      <w:numFmt w:val="lowerLetter"/>
      <w:lvlText w:val="%2."/>
      <w:lvlJc w:val="left"/>
      <w:rPr>
        <w:rFonts w:ascii="Cambria" w:eastAsia="Cambria" w:hAnsi="Cambria" w:cs="Cambria"/>
        <w:color w:val="000000"/>
        <w:position w:val="0"/>
        <w:rtl w:val="0"/>
      </w:rPr>
    </w:lvl>
    <w:lvl w:ilvl="2">
      <w:start w:val="1"/>
      <w:numFmt w:val="lowerRoman"/>
      <w:lvlText w:val="%3."/>
      <w:lvlJc w:val="left"/>
      <w:rPr>
        <w:rFonts w:ascii="Cambria" w:eastAsia="Cambria" w:hAnsi="Cambria" w:cs="Cambria"/>
        <w:color w:val="000000"/>
        <w:position w:val="0"/>
        <w:rtl w:val="0"/>
      </w:rPr>
    </w:lvl>
    <w:lvl w:ilvl="3">
      <w:start w:val="1"/>
      <w:numFmt w:val="decimal"/>
      <w:lvlText w:val="%4."/>
      <w:lvlJc w:val="left"/>
      <w:rPr>
        <w:rFonts w:ascii="Cambria" w:eastAsia="Cambria" w:hAnsi="Cambria" w:cs="Cambria"/>
        <w:color w:val="000000"/>
        <w:position w:val="0"/>
        <w:rtl w:val="0"/>
      </w:rPr>
    </w:lvl>
    <w:lvl w:ilvl="4">
      <w:start w:val="1"/>
      <w:numFmt w:val="lowerLetter"/>
      <w:lvlText w:val="%5."/>
      <w:lvlJc w:val="left"/>
      <w:rPr>
        <w:rFonts w:ascii="Cambria" w:eastAsia="Cambria" w:hAnsi="Cambria" w:cs="Cambria"/>
        <w:color w:val="000000"/>
        <w:position w:val="0"/>
        <w:rtl w:val="0"/>
      </w:rPr>
    </w:lvl>
    <w:lvl w:ilvl="5">
      <w:start w:val="1"/>
      <w:numFmt w:val="lowerRoman"/>
      <w:lvlText w:val="%6."/>
      <w:lvlJc w:val="left"/>
      <w:rPr>
        <w:rFonts w:ascii="Cambria" w:eastAsia="Cambria" w:hAnsi="Cambria" w:cs="Cambria"/>
        <w:color w:val="000000"/>
        <w:position w:val="0"/>
        <w:rtl w:val="0"/>
      </w:rPr>
    </w:lvl>
    <w:lvl w:ilvl="6">
      <w:start w:val="1"/>
      <w:numFmt w:val="decimal"/>
      <w:lvlText w:val="%7."/>
      <w:lvlJc w:val="left"/>
      <w:rPr>
        <w:rFonts w:ascii="Cambria" w:eastAsia="Cambria" w:hAnsi="Cambria" w:cs="Cambria"/>
        <w:color w:val="000000"/>
        <w:position w:val="0"/>
        <w:rtl w:val="0"/>
      </w:rPr>
    </w:lvl>
    <w:lvl w:ilvl="7">
      <w:start w:val="1"/>
      <w:numFmt w:val="lowerLetter"/>
      <w:lvlText w:val="%8."/>
      <w:lvlJc w:val="left"/>
      <w:rPr>
        <w:rFonts w:ascii="Cambria" w:eastAsia="Cambria" w:hAnsi="Cambria" w:cs="Cambria"/>
        <w:color w:val="000000"/>
        <w:position w:val="0"/>
        <w:rtl w:val="0"/>
      </w:rPr>
    </w:lvl>
    <w:lvl w:ilvl="8">
      <w:start w:val="1"/>
      <w:numFmt w:val="lowerRoman"/>
      <w:lvlText w:val="%9."/>
      <w:lvlJc w:val="left"/>
      <w:rPr>
        <w:rFonts w:ascii="Cambria" w:eastAsia="Cambria" w:hAnsi="Cambria" w:cs="Cambria"/>
        <w:color w:val="000000"/>
        <w:position w:val="0"/>
        <w:rtl w:val="0"/>
      </w:rPr>
    </w:lvl>
  </w:abstractNum>
  <w:abstractNum w:abstractNumId="32" w15:restartNumberingAfterBreak="0">
    <w:nsid w:val="647A7665"/>
    <w:multiLevelType w:val="hybridMultilevel"/>
    <w:tmpl w:val="C68C9EA4"/>
    <w:lvl w:ilvl="0" w:tplc="A8728A88">
      <w:start w:val="2"/>
      <w:numFmt w:val="decimal"/>
      <w:lvlText w:val="%1."/>
      <w:lvlJc w:val="left"/>
      <w:pPr>
        <w:ind w:left="720" w:hanging="360"/>
      </w:pPr>
      <w:rPr>
        <w:rFonts w:eastAsia="Cambria" w:cs="Cambria" w:hint="default"/>
        <w:color w:val="auto"/>
      </w:rPr>
    </w:lvl>
    <w:lvl w:ilvl="1" w:tplc="605289F0">
      <w:start w:val="1"/>
      <w:numFmt w:val="lowerLetter"/>
      <w:lvlText w:val="%2)"/>
      <w:lvlJc w:val="left"/>
      <w:pPr>
        <w:ind w:left="1440" w:hanging="360"/>
      </w:pPr>
      <w:rPr>
        <w:rFonts w:hint="default"/>
      </w:rPr>
    </w:lvl>
    <w:lvl w:ilvl="2" w:tplc="A1606B6A">
      <w:start w:val="1"/>
      <w:numFmt w:val="bullet"/>
      <w:lvlText w:val="-"/>
      <w:lvlJc w:val="left"/>
      <w:pPr>
        <w:ind w:left="2340" w:hanging="360"/>
      </w:pPr>
      <w:rPr>
        <w:rFonts w:ascii="Cambria" w:eastAsia="Cambria" w:hAnsi="Cambria" w:cs="Cambria"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8642AE"/>
    <w:multiLevelType w:val="multilevel"/>
    <w:tmpl w:val="BE7292C4"/>
    <w:styleLink w:val="List18"/>
    <w:lvl w:ilvl="0">
      <w:start w:val="1"/>
      <w:numFmt w:val="decimal"/>
      <w:lvlText w:val="%1."/>
      <w:lvlJc w:val="left"/>
      <w:rPr>
        <w:rFonts w:ascii="Cambria" w:eastAsia="Cambria" w:hAnsi="Cambria" w:cs="Cambria"/>
        <w:position w:val="0"/>
        <w:rtl w:val="0"/>
        <w:lang w:val="es-ES_tradnl"/>
      </w:rPr>
    </w:lvl>
    <w:lvl w:ilvl="1">
      <w:start w:val="1"/>
      <w:numFmt w:val="lowerLetter"/>
      <w:lvlText w:val="%2."/>
      <w:lvlJc w:val="left"/>
      <w:rPr>
        <w:rFonts w:ascii="Cambria" w:eastAsia="Cambria" w:hAnsi="Cambria" w:cs="Cambria"/>
        <w:position w:val="0"/>
        <w:rtl w:val="0"/>
        <w:lang w:val="es-ES_tradnl"/>
      </w:rPr>
    </w:lvl>
    <w:lvl w:ilvl="2">
      <w:start w:val="1"/>
      <w:numFmt w:val="lowerRoman"/>
      <w:lvlText w:val="%3."/>
      <w:lvlJc w:val="left"/>
      <w:rPr>
        <w:rFonts w:ascii="Cambria" w:eastAsia="Cambria" w:hAnsi="Cambria" w:cs="Cambria"/>
        <w:position w:val="0"/>
        <w:rtl w:val="0"/>
        <w:lang w:val="es-ES_tradnl"/>
      </w:rPr>
    </w:lvl>
    <w:lvl w:ilvl="3">
      <w:start w:val="1"/>
      <w:numFmt w:val="decimal"/>
      <w:lvlText w:val="%4."/>
      <w:lvlJc w:val="left"/>
      <w:rPr>
        <w:rFonts w:ascii="Cambria" w:eastAsia="Cambria" w:hAnsi="Cambria" w:cs="Cambria"/>
        <w:position w:val="0"/>
        <w:rtl w:val="0"/>
        <w:lang w:val="es-ES_tradnl"/>
      </w:rPr>
    </w:lvl>
    <w:lvl w:ilvl="4">
      <w:start w:val="1"/>
      <w:numFmt w:val="lowerLetter"/>
      <w:lvlText w:val="%5."/>
      <w:lvlJc w:val="left"/>
      <w:rPr>
        <w:rFonts w:ascii="Cambria" w:eastAsia="Cambria" w:hAnsi="Cambria" w:cs="Cambria"/>
        <w:position w:val="0"/>
        <w:rtl w:val="0"/>
        <w:lang w:val="es-ES_tradnl"/>
      </w:rPr>
    </w:lvl>
    <w:lvl w:ilvl="5">
      <w:start w:val="1"/>
      <w:numFmt w:val="lowerRoman"/>
      <w:lvlText w:val="%6."/>
      <w:lvlJc w:val="left"/>
      <w:rPr>
        <w:rFonts w:ascii="Cambria" w:eastAsia="Cambria" w:hAnsi="Cambria" w:cs="Cambria"/>
        <w:position w:val="0"/>
        <w:rtl w:val="0"/>
        <w:lang w:val="es-ES_tradnl"/>
      </w:rPr>
    </w:lvl>
    <w:lvl w:ilvl="6">
      <w:start w:val="1"/>
      <w:numFmt w:val="decimal"/>
      <w:lvlText w:val="%7."/>
      <w:lvlJc w:val="left"/>
      <w:rPr>
        <w:rFonts w:ascii="Cambria" w:eastAsia="Cambria" w:hAnsi="Cambria" w:cs="Cambria"/>
        <w:position w:val="0"/>
        <w:rtl w:val="0"/>
        <w:lang w:val="es-ES_tradnl"/>
      </w:rPr>
    </w:lvl>
    <w:lvl w:ilvl="7">
      <w:start w:val="1"/>
      <w:numFmt w:val="lowerLetter"/>
      <w:lvlText w:val="%8."/>
      <w:lvlJc w:val="left"/>
      <w:rPr>
        <w:rFonts w:ascii="Cambria" w:eastAsia="Cambria" w:hAnsi="Cambria" w:cs="Cambria"/>
        <w:position w:val="0"/>
        <w:rtl w:val="0"/>
        <w:lang w:val="es-ES_tradnl"/>
      </w:rPr>
    </w:lvl>
    <w:lvl w:ilvl="8">
      <w:start w:val="1"/>
      <w:numFmt w:val="lowerRoman"/>
      <w:lvlText w:val="%9."/>
      <w:lvlJc w:val="left"/>
      <w:rPr>
        <w:rFonts w:ascii="Cambria" w:eastAsia="Cambria" w:hAnsi="Cambria" w:cs="Cambria"/>
        <w:position w:val="0"/>
        <w:rtl w:val="0"/>
        <w:lang w:val="es-ES_tradnl"/>
      </w:rPr>
    </w:lvl>
  </w:abstractNum>
  <w:abstractNum w:abstractNumId="34" w15:restartNumberingAfterBreak="0">
    <w:nsid w:val="6ED12955"/>
    <w:multiLevelType w:val="multilevel"/>
    <w:tmpl w:val="B4E2EBF6"/>
    <w:styleLink w:val="List17"/>
    <w:lvl w:ilvl="0">
      <w:start w:val="1"/>
      <w:numFmt w:val="decimal"/>
      <w:lvlText w:val="%1."/>
      <w:lvlJc w:val="left"/>
      <w:rPr>
        <w:rFonts w:ascii="Times New Roman" w:eastAsia="Times New Roman" w:hAnsi="Times New Roman" w:cs="Times New Roman"/>
        <w:b/>
        <w:bCs/>
        <w:position w:val="0"/>
      </w:rPr>
    </w:lvl>
    <w:lvl w:ilvl="1">
      <w:start w:val="1"/>
      <w:numFmt w:val="lowerLetter"/>
      <w:lvlText w:val="%2."/>
      <w:lvlJc w:val="left"/>
      <w:rPr>
        <w:rFonts w:ascii="Cambria" w:eastAsia="Cambria" w:hAnsi="Cambria" w:cs="Cambria"/>
        <w:b/>
        <w:bCs/>
        <w:position w:val="0"/>
      </w:rPr>
    </w:lvl>
    <w:lvl w:ilvl="2">
      <w:start w:val="1"/>
      <w:numFmt w:val="lowerRoman"/>
      <w:lvlText w:val="%3."/>
      <w:lvlJc w:val="left"/>
      <w:rPr>
        <w:rFonts w:ascii="Cambria" w:eastAsia="Cambria" w:hAnsi="Cambria" w:cs="Cambria"/>
        <w:b/>
        <w:bCs/>
        <w:position w:val="0"/>
      </w:rPr>
    </w:lvl>
    <w:lvl w:ilvl="3">
      <w:start w:val="1"/>
      <w:numFmt w:val="decimal"/>
      <w:lvlText w:val="%4."/>
      <w:lvlJc w:val="left"/>
      <w:rPr>
        <w:rFonts w:ascii="Cambria" w:eastAsia="Cambria" w:hAnsi="Cambria" w:cs="Cambria"/>
        <w:b/>
        <w:bCs/>
        <w:position w:val="0"/>
      </w:rPr>
    </w:lvl>
    <w:lvl w:ilvl="4">
      <w:start w:val="1"/>
      <w:numFmt w:val="lowerLetter"/>
      <w:lvlText w:val="%5."/>
      <w:lvlJc w:val="left"/>
      <w:rPr>
        <w:rFonts w:ascii="Cambria" w:eastAsia="Cambria" w:hAnsi="Cambria" w:cs="Cambria"/>
        <w:b/>
        <w:bCs/>
        <w:position w:val="0"/>
      </w:rPr>
    </w:lvl>
    <w:lvl w:ilvl="5">
      <w:start w:val="1"/>
      <w:numFmt w:val="lowerRoman"/>
      <w:lvlText w:val="%6."/>
      <w:lvlJc w:val="left"/>
      <w:rPr>
        <w:rFonts w:ascii="Cambria" w:eastAsia="Cambria" w:hAnsi="Cambria" w:cs="Cambria"/>
        <w:b/>
        <w:bCs/>
        <w:position w:val="0"/>
      </w:rPr>
    </w:lvl>
    <w:lvl w:ilvl="6">
      <w:start w:val="1"/>
      <w:numFmt w:val="decimal"/>
      <w:lvlText w:val="%7."/>
      <w:lvlJc w:val="left"/>
      <w:rPr>
        <w:rFonts w:ascii="Cambria" w:eastAsia="Cambria" w:hAnsi="Cambria" w:cs="Cambria"/>
        <w:b/>
        <w:bCs/>
        <w:position w:val="0"/>
      </w:rPr>
    </w:lvl>
    <w:lvl w:ilvl="7">
      <w:start w:val="1"/>
      <w:numFmt w:val="lowerLetter"/>
      <w:lvlText w:val="%8."/>
      <w:lvlJc w:val="left"/>
      <w:rPr>
        <w:rFonts w:ascii="Cambria" w:eastAsia="Cambria" w:hAnsi="Cambria" w:cs="Cambria"/>
        <w:b/>
        <w:bCs/>
        <w:position w:val="0"/>
      </w:rPr>
    </w:lvl>
    <w:lvl w:ilvl="8">
      <w:start w:val="1"/>
      <w:numFmt w:val="lowerRoman"/>
      <w:lvlText w:val="%9."/>
      <w:lvlJc w:val="left"/>
      <w:rPr>
        <w:rFonts w:ascii="Cambria" w:eastAsia="Cambria" w:hAnsi="Cambria" w:cs="Cambria"/>
        <w:b/>
        <w:bCs/>
        <w:position w:val="0"/>
      </w:rPr>
    </w:lvl>
  </w:abstractNum>
  <w:abstractNum w:abstractNumId="35" w15:restartNumberingAfterBreak="0">
    <w:nsid w:val="70A94F71"/>
    <w:multiLevelType w:val="multilevel"/>
    <w:tmpl w:val="8C12F900"/>
    <w:styleLink w:val="List21"/>
    <w:lvl w:ilvl="0">
      <w:start w:val="1"/>
      <w:numFmt w:val="upperLetter"/>
      <w:pStyle w:val="Heading2"/>
      <w:lvlText w:val="%1."/>
      <w:lvlJc w:val="left"/>
      <w:pPr>
        <w:tabs>
          <w:tab w:val="num" w:pos="86"/>
        </w:tabs>
        <w:ind w:left="86" w:hanging="86"/>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2100"/>
        </w:tabs>
        <w:ind w:left="2100" w:hanging="300"/>
      </w:pPr>
      <w:rPr>
        <w:rFonts w:ascii="Cambria" w:eastAsia="Cambria" w:hAnsi="Cambria" w:cs="Cambria"/>
        <w:b/>
        <w:bCs/>
        <w:position w:val="0"/>
        <w:sz w:val="20"/>
        <w:szCs w:val="20"/>
        <w:lang w:val="es-ES_tradnl"/>
      </w:rPr>
    </w:lvl>
    <w:lvl w:ilvl="2">
      <w:start w:val="1"/>
      <w:numFmt w:val="lowerRoman"/>
      <w:lvlText w:val="%3."/>
      <w:lvlJc w:val="left"/>
      <w:pPr>
        <w:tabs>
          <w:tab w:val="num" w:pos="2831"/>
        </w:tabs>
        <w:ind w:left="2831" w:hanging="247"/>
      </w:pPr>
      <w:rPr>
        <w:rFonts w:ascii="Cambria" w:eastAsia="Cambria" w:hAnsi="Cambria" w:cs="Cambria"/>
        <w:b/>
        <w:bCs/>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b/>
        <w:bCs/>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b/>
        <w:bCs/>
        <w:position w:val="0"/>
        <w:sz w:val="20"/>
        <w:szCs w:val="20"/>
        <w:lang w:val="es-ES_tradnl"/>
      </w:rPr>
    </w:lvl>
    <w:lvl w:ilvl="5">
      <w:start w:val="1"/>
      <w:numFmt w:val="lowerRoman"/>
      <w:lvlText w:val="%6."/>
      <w:lvlJc w:val="left"/>
      <w:pPr>
        <w:tabs>
          <w:tab w:val="num" w:pos="4991"/>
        </w:tabs>
        <w:ind w:left="4991" w:hanging="247"/>
      </w:pPr>
      <w:rPr>
        <w:rFonts w:ascii="Cambria" w:eastAsia="Cambria" w:hAnsi="Cambria" w:cs="Cambria"/>
        <w:b/>
        <w:bCs/>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b/>
        <w:bCs/>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b/>
        <w:bCs/>
        <w:position w:val="0"/>
        <w:sz w:val="20"/>
        <w:szCs w:val="20"/>
        <w:lang w:val="es-ES_tradnl"/>
      </w:rPr>
    </w:lvl>
    <w:lvl w:ilvl="8">
      <w:start w:val="1"/>
      <w:numFmt w:val="lowerRoman"/>
      <w:lvlText w:val="%9."/>
      <w:lvlJc w:val="left"/>
      <w:pPr>
        <w:tabs>
          <w:tab w:val="num" w:pos="7151"/>
        </w:tabs>
        <w:ind w:left="7151" w:hanging="247"/>
      </w:pPr>
      <w:rPr>
        <w:rFonts w:ascii="Cambria" w:eastAsia="Cambria" w:hAnsi="Cambria" w:cs="Cambria"/>
        <w:b/>
        <w:bCs/>
        <w:position w:val="0"/>
        <w:sz w:val="20"/>
        <w:szCs w:val="20"/>
        <w:lang w:val="es-ES_tradnl"/>
      </w:rPr>
    </w:lvl>
  </w:abstractNum>
  <w:abstractNum w:abstractNumId="36" w15:restartNumberingAfterBreak="0">
    <w:nsid w:val="71EB0D25"/>
    <w:multiLevelType w:val="multilevel"/>
    <w:tmpl w:val="E2A69C98"/>
    <w:styleLink w:val="List8"/>
    <w:lvl w:ilvl="0">
      <w:start w:val="1"/>
      <w:numFmt w:val="decimal"/>
      <w:lvlText w:val="%1."/>
      <w:lvlJc w:val="left"/>
      <w:pPr>
        <w:tabs>
          <w:tab w:val="num" w:pos="1020"/>
        </w:tabs>
        <w:ind w:left="1020" w:hanging="300"/>
      </w:pPr>
      <w:rPr>
        <w:rFonts w:ascii="Cambria" w:eastAsia="Cambria" w:hAnsi="Cambria" w:cs="Cambria"/>
        <w:b/>
        <w:bCs/>
        <w:color w:val="000000"/>
        <w:position w:val="0"/>
        <w:sz w:val="20"/>
        <w:szCs w:val="20"/>
        <w:u w:color="000000"/>
        <w:lang w:val="es-ES_tradnl"/>
      </w:rPr>
    </w:lvl>
    <w:lvl w:ilvl="1">
      <w:start w:val="2"/>
      <w:numFmt w:val="decimal"/>
      <w:lvlText w:val="%1.%2."/>
      <w:lvlJc w:val="left"/>
      <w:pPr>
        <w:tabs>
          <w:tab w:val="num" w:pos="1440"/>
        </w:tabs>
        <w:ind w:left="1440" w:hanging="360"/>
      </w:pPr>
      <w:rPr>
        <w:rFonts w:ascii="Times New Roman" w:eastAsia="Times New Roman" w:hAnsi="Times New Roman" w:cs="Times New Roman"/>
        <w:b/>
        <w:bCs/>
        <w:color w:val="000000"/>
        <w:position w:val="0"/>
        <w:sz w:val="20"/>
        <w:szCs w:val="20"/>
        <w:u w:color="000000"/>
        <w:lang w:val="es-ES_tradnl"/>
      </w:rPr>
    </w:lvl>
    <w:lvl w:ilvl="2">
      <w:start w:val="1"/>
      <w:numFmt w:val="decimal"/>
      <w:lvlText w:val="%1.%2.%3."/>
      <w:lvlJc w:val="left"/>
      <w:pPr>
        <w:tabs>
          <w:tab w:val="num" w:pos="2040"/>
        </w:tabs>
        <w:ind w:left="2040" w:hanging="600"/>
      </w:pPr>
      <w:rPr>
        <w:rFonts w:ascii="Cambria" w:eastAsia="Cambria" w:hAnsi="Cambria" w:cs="Cambria"/>
        <w:b/>
        <w:bCs/>
        <w:color w:val="000000"/>
        <w:position w:val="0"/>
        <w:sz w:val="20"/>
        <w:szCs w:val="20"/>
        <w:u w:color="00000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u w:color="00000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u w:color="00000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u w:color="00000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u w:color="00000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u w:color="00000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u w:color="000000"/>
        <w:lang w:val="es-ES_tradnl"/>
      </w:rPr>
    </w:lvl>
  </w:abstractNum>
  <w:abstractNum w:abstractNumId="37" w15:restartNumberingAfterBreak="0">
    <w:nsid w:val="778748F7"/>
    <w:multiLevelType w:val="multilevel"/>
    <w:tmpl w:val="F4AC0AA6"/>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8" w15:restartNumberingAfterBreak="0">
    <w:nsid w:val="7AF72D5B"/>
    <w:multiLevelType w:val="multilevel"/>
    <w:tmpl w:val="F4AC0AA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16cid:durableId="586501741">
    <w:abstractNumId w:val="22"/>
    <w:lvlOverride w:ilvl="0">
      <w:lvl w:ilvl="0">
        <w:start w:val="1"/>
        <w:numFmt w:val="upperRoman"/>
        <w:pStyle w:val="Heading1"/>
        <w:lvlText w:val="%1."/>
        <w:lvlJc w:val="left"/>
        <w:pPr>
          <w:tabs>
            <w:tab w:val="num" w:pos="86"/>
          </w:tabs>
          <w:ind w:left="86" w:hanging="86"/>
        </w:pPr>
        <w:rPr>
          <w:rFonts w:ascii="Cambria" w:eastAsia="Times New Roman" w:hAnsi="Cambria" w:cs="Times New Roman" w:hint="default"/>
          <w:b/>
          <w:bCs/>
          <w:position w:val="0"/>
          <w:sz w:val="20"/>
          <w:szCs w:val="20"/>
          <w:lang w:val="es-ES_tradnl"/>
        </w:rPr>
      </w:lvl>
    </w:lvlOverride>
  </w:num>
  <w:num w:numId="2" w16cid:durableId="157354528">
    <w:abstractNumId w:val="6"/>
  </w:num>
  <w:num w:numId="3" w16cid:durableId="2051608261">
    <w:abstractNumId w:val="35"/>
    <w:lvlOverride w:ilvl="0">
      <w:lvl w:ilvl="0">
        <w:start w:val="1"/>
        <w:numFmt w:val="upperLetter"/>
        <w:pStyle w:val="Heading2"/>
        <w:lvlText w:val="%1."/>
        <w:lvlJc w:val="left"/>
        <w:pPr>
          <w:tabs>
            <w:tab w:val="num" w:pos="806"/>
          </w:tabs>
          <w:ind w:left="806" w:hanging="86"/>
        </w:pPr>
        <w:rPr>
          <w:rFonts w:ascii="Times New Roman" w:eastAsia="Times New Roman" w:hAnsi="Times New Roman" w:cs="Times New Roman"/>
          <w:b/>
          <w:bCs/>
          <w:position w:val="0"/>
          <w:sz w:val="20"/>
          <w:szCs w:val="20"/>
          <w:lang w:val="es-ES_tradnl"/>
        </w:rPr>
      </w:lvl>
    </w:lvlOverride>
    <w:lvlOverride w:ilvl="1">
      <w:lvl w:ilvl="1">
        <w:start w:val="1"/>
        <w:numFmt w:val="lowerLetter"/>
        <w:lvlText w:val="%2."/>
        <w:lvlJc w:val="left"/>
        <w:pPr>
          <w:tabs>
            <w:tab w:val="num" w:pos="2820"/>
          </w:tabs>
          <w:ind w:left="2820" w:hanging="300"/>
        </w:pPr>
        <w:rPr>
          <w:rFonts w:ascii="Cambria" w:eastAsia="Cambria" w:hAnsi="Cambria" w:cs="Cambria"/>
          <w:b/>
          <w:bCs/>
          <w:position w:val="0"/>
          <w:sz w:val="20"/>
          <w:szCs w:val="20"/>
          <w:lang w:val="es-ES_tradnl"/>
        </w:rPr>
      </w:lvl>
    </w:lvlOverride>
    <w:lvlOverride w:ilvl="2">
      <w:lvl w:ilvl="2">
        <w:start w:val="1"/>
        <w:numFmt w:val="lowerRoman"/>
        <w:lvlText w:val="%3."/>
        <w:lvlJc w:val="left"/>
        <w:pPr>
          <w:tabs>
            <w:tab w:val="num" w:pos="3551"/>
          </w:tabs>
          <w:ind w:left="3551" w:hanging="247"/>
        </w:pPr>
        <w:rPr>
          <w:rFonts w:ascii="Cambria" w:eastAsia="Cambria" w:hAnsi="Cambria" w:cs="Cambria"/>
          <w:b/>
          <w:bCs/>
          <w:position w:val="0"/>
          <w:sz w:val="20"/>
          <w:szCs w:val="20"/>
          <w:lang w:val="es-ES_tradnl"/>
        </w:rPr>
      </w:lvl>
    </w:lvlOverride>
    <w:lvlOverride w:ilvl="3">
      <w:lvl w:ilvl="3">
        <w:start w:val="1"/>
        <w:numFmt w:val="decimal"/>
        <w:lvlText w:val="%4."/>
        <w:lvlJc w:val="left"/>
        <w:pPr>
          <w:tabs>
            <w:tab w:val="num" w:pos="4260"/>
          </w:tabs>
          <w:ind w:left="4260" w:hanging="300"/>
        </w:pPr>
        <w:rPr>
          <w:rFonts w:ascii="Cambria" w:eastAsia="Cambria" w:hAnsi="Cambria" w:cs="Cambria"/>
          <w:b/>
          <w:bCs/>
          <w:position w:val="0"/>
          <w:sz w:val="20"/>
          <w:szCs w:val="20"/>
          <w:lang w:val="es-ES_tradnl"/>
        </w:rPr>
      </w:lvl>
    </w:lvlOverride>
    <w:lvlOverride w:ilvl="4">
      <w:lvl w:ilvl="4">
        <w:start w:val="1"/>
        <w:numFmt w:val="lowerLetter"/>
        <w:lvlText w:val="%5."/>
        <w:lvlJc w:val="left"/>
        <w:pPr>
          <w:tabs>
            <w:tab w:val="num" w:pos="4980"/>
          </w:tabs>
          <w:ind w:left="4980" w:hanging="300"/>
        </w:pPr>
        <w:rPr>
          <w:rFonts w:ascii="Cambria" w:eastAsia="Cambria" w:hAnsi="Cambria" w:cs="Cambria"/>
          <w:b/>
          <w:bCs/>
          <w:position w:val="0"/>
          <w:sz w:val="20"/>
          <w:szCs w:val="20"/>
          <w:lang w:val="es-ES_tradnl"/>
        </w:rPr>
      </w:lvl>
    </w:lvlOverride>
    <w:lvlOverride w:ilvl="5">
      <w:lvl w:ilvl="5">
        <w:start w:val="1"/>
        <w:numFmt w:val="lowerRoman"/>
        <w:lvlText w:val="%6."/>
        <w:lvlJc w:val="left"/>
        <w:pPr>
          <w:tabs>
            <w:tab w:val="num" w:pos="5711"/>
          </w:tabs>
          <w:ind w:left="5711" w:hanging="247"/>
        </w:pPr>
        <w:rPr>
          <w:rFonts w:ascii="Cambria" w:eastAsia="Cambria" w:hAnsi="Cambria" w:cs="Cambria"/>
          <w:b/>
          <w:bCs/>
          <w:position w:val="0"/>
          <w:sz w:val="20"/>
          <w:szCs w:val="20"/>
          <w:lang w:val="es-ES_tradnl"/>
        </w:rPr>
      </w:lvl>
    </w:lvlOverride>
    <w:lvlOverride w:ilvl="6">
      <w:lvl w:ilvl="6">
        <w:start w:val="1"/>
        <w:numFmt w:val="decimal"/>
        <w:lvlText w:val="%7."/>
        <w:lvlJc w:val="left"/>
        <w:pPr>
          <w:tabs>
            <w:tab w:val="num" w:pos="6420"/>
          </w:tabs>
          <w:ind w:left="6420" w:hanging="300"/>
        </w:pPr>
        <w:rPr>
          <w:rFonts w:ascii="Cambria" w:eastAsia="Cambria" w:hAnsi="Cambria" w:cs="Cambria"/>
          <w:b/>
          <w:bCs/>
          <w:position w:val="0"/>
          <w:sz w:val="20"/>
          <w:szCs w:val="20"/>
          <w:lang w:val="es-ES_tradnl"/>
        </w:rPr>
      </w:lvl>
    </w:lvlOverride>
    <w:lvlOverride w:ilvl="7">
      <w:lvl w:ilvl="7">
        <w:start w:val="1"/>
        <w:numFmt w:val="lowerLetter"/>
        <w:lvlText w:val="%8."/>
        <w:lvlJc w:val="left"/>
        <w:pPr>
          <w:tabs>
            <w:tab w:val="num" w:pos="7140"/>
          </w:tabs>
          <w:ind w:left="7140" w:hanging="300"/>
        </w:pPr>
        <w:rPr>
          <w:rFonts w:ascii="Cambria" w:eastAsia="Cambria" w:hAnsi="Cambria" w:cs="Cambria"/>
          <w:b/>
          <w:bCs/>
          <w:position w:val="0"/>
          <w:sz w:val="20"/>
          <w:szCs w:val="20"/>
          <w:lang w:val="es-ES_tradnl"/>
        </w:rPr>
      </w:lvl>
    </w:lvlOverride>
    <w:lvlOverride w:ilvl="8">
      <w:lvl w:ilvl="8">
        <w:start w:val="1"/>
        <w:numFmt w:val="lowerRoman"/>
        <w:lvlText w:val="%9."/>
        <w:lvlJc w:val="left"/>
        <w:pPr>
          <w:tabs>
            <w:tab w:val="num" w:pos="7871"/>
          </w:tabs>
          <w:ind w:left="7871" w:hanging="247"/>
        </w:pPr>
        <w:rPr>
          <w:rFonts w:ascii="Cambria" w:eastAsia="Cambria" w:hAnsi="Cambria" w:cs="Cambria"/>
          <w:b/>
          <w:bCs/>
          <w:position w:val="0"/>
          <w:sz w:val="20"/>
          <w:szCs w:val="20"/>
          <w:lang w:val="es-ES_tradnl"/>
        </w:rPr>
      </w:lvl>
    </w:lvlOverride>
  </w:num>
  <w:num w:numId="4" w16cid:durableId="446511164">
    <w:abstractNumId w:val="30"/>
  </w:num>
  <w:num w:numId="5" w16cid:durableId="1330476157">
    <w:abstractNumId w:val="36"/>
  </w:num>
  <w:num w:numId="6" w16cid:durableId="1996834702">
    <w:abstractNumId w:val="1"/>
  </w:num>
  <w:num w:numId="7" w16cid:durableId="451942212">
    <w:abstractNumId w:val="11"/>
  </w:num>
  <w:num w:numId="8" w16cid:durableId="2114667868">
    <w:abstractNumId w:val="15"/>
  </w:num>
  <w:num w:numId="9" w16cid:durableId="933325870">
    <w:abstractNumId w:val="12"/>
  </w:num>
  <w:num w:numId="10" w16cid:durableId="619530501">
    <w:abstractNumId w:val="28"/>
  </w:num>
  <w:num w:numId="11" w16cid:durableId="1312322133">
    <w:abstractNumId w:val="14"/>
  </w:num>
  <w:num w:numId="12" w16cid:durableId="1143307568">
    <w:abstractNumId w:val="19"/>
  </w:num>
  <w:num w:numId="13" w16cid:durableId="1268273054">
    <w:abstractNumId w:val="17"/>
  </w:num>
  <w:num w:numId="14" w16cid:durableId="238178331">
    <w:abstractNumId w:val="0"/>
  </w:num>
  <w:num w:numId="15" w16cid:durableId="30808913">
    <w:abstractNumId w:val="9"/>
  </w:num>
  <w:num w:numId="16" w16cid:durableId="1699424999">
    <w:abstractNumId w:val="34"/>
  </w:num>
  <w:num w:numId="17" w16cid:durableId="2064022346">
    <w:abstractNumId w:val="31"/>
  </w:num>
  <w:num w:numId="18" w16cid:durableId="725490228">
    <w:abstractNumId w:val="33"/>
  </w:num>
  <w:num w:numId="19" w16cid:durableId="324817817">
    <w:abstractNumId w:val="24"/>
  </w:num>
  <w:num w:numId="20" w16cid:durableId="250552734">
    <w:abstractNumId w:val="16"/>
  </w:num>
  <w:num w:numId="21" w16cid:durableId="1066681182">
    <w:abstractNumId w:val="20"/>
  </w:num>
  <w:num w:numId="22" w16cid:durableId="852457488">
    <w:abstractNumId w:val="3"/>
  </w:num>
  <w:num w:numId="23" w16cid:durableId="662897889">
    <w:abstractNumId w:val="22"/>
  </w:num>
  <w:num w:numId="24" w16cid:durableId="816797783">
    <w:abstractNumId w:val="35"/>
  </w:num>
  <w:num w:numId="25" w16cid:durableId="773138219">
    <w:abstractNumId w:val="35"/>
    <w:lvlOverride w:ilvl="0">
      <w:startOverride w:val="1"/>
      <w:lvl w:ilvl="0">
        <w:start w:val="1"/>
        <w:numFmt w:val="upperLetter"/>
        <w:pStyle w:val="Heading2"/>
        <w:lvlText w:val="%1."/>
        <w:lvlJc w:val="left"/>
        <w:pPr>
          <w:tabs>
            <w:tab w:val="num" w:pos="86"/>
          </w:tabs>
          <w:ind w:left="86" w:hanging="86"/>
        </w:pPr>
        <w:rPr>
          <w:rFonts w:ascii="Cambria" w:eastAsia="Times New Roman" w:hAnsi="Cambria" w:cs="Times New Roman" w:hint="default"/>
          <w:b/>
          <w:bCs/>
          <w:position w:val="0"/>
          <w:sz w:val="20"/>
          <w:szCs w:val="20"/>
          <w:lang w:val="es-ES_tradnl"/>
        </w:rPr>
      </w:lvl>
    </w:lvlOverride>
    <w:lvlOverride w:ilvl="1">
      <w:startOverride w:val="1"/>
      <w:lvl w:ilvl="1">
        <w:start w:val="1"/>
        <w:numFmt w:val="lowerLetter"/>
        <w:lvlText w:val="%2."/>
        <w:lvlJc w:val="left"/>
        <w:pPr>
          <w:tabs>
            <w:tab w:val="num" w:pos="2100"/>
          </w:tabs>
          <w:ind w:left="2100" w:hanging="300"/>
        </w:pPr>
        <w:rPr>
          <w:rFonts w:ascii="Cambria" w:eastAsia="Cambria" w:hAnsi="Cambria" w:cs="Cambria"/>
          <w:b/>
          <w:bCs/>
          <w:position w:val="0"/>
          <w:sz w:val="20"/>
          <w:szCs w:val="20"/>
          <w:lang w:val="es-ES_tradnl"/>
        </w:rPr>
      </w:lvl>
    </w:lvlOverride>
    <w:lvlOverride w:ilvl="2">
      <w:startOverride w:val="1"/>
      <w:lvl w:ilvl="2">
        <w:start w:val="1"/>
        <w:numFmt w:val="lowerRoman"/>
        <w:lvlText w:val="%3."/>
        <w:lvlJc w:val="left"/>
        <w:pPr>
          <w:tabs>
            <w:tab w:val="num" w:pos="2831"/>
          </w:tabs>
          <w:ind w:left="2831" w:hanging="247"/>
        </w:pPr>
        <w:rPr>
          <w:rFonts w:ascii="Cambria" w:eastAsia="Cambria" w:hAnsi="Cambria" w:cs="Cambria"/>
          <w:b/>
          <w:bCs/>
          <w:position w:val="0"/>
          <w:sz w:val="20"/>
          <w:szCs w:val="20"/>
          <w:lang w:val="es-ES_tradnl"/>
        </w:rPr>
      </w:lvl>
    </w:lvlOverride>
    <w:lvlOverride w:ilvl="3">
      <w:startOverride w:val="1"/>
      <w:lvl w:ilvl="3">
        <w:start w:val="1"/>
        <w:numFmt w:val="decimal"/>
        <w:lvlText w:val="%4."/>
        <w:lvlJc w:val="left"/>
        <w:pPr>
          <w:tabs>
            <w:tab w:val="num" w:pos="3540"/>
          </w:tabs>
          <w:ind w:left="3540" w:hanging="300"/>
        </w:pPr>
        <w:rPr>
          <w:rFonts w:ascii="Cambria" w:eastAsia="Cambria" w:hAnsi="Cambria" w:cs="Cambria"/>
          <w:b/>
          <w:bCs/>
          <w:position w:val="0"/>
          <w:sz w:val="20"/>
          <w:szCs w:val="20"/>
          <w:lang w:val="es-ES_tradnl"/>
        </w:rPr>
      </w:lvl>
    </w:lvlOverride>
    <w:lvlOverride w:ilvl="4">
      <w:startOverride w:val="1"/>
      <w:lvl w:ilvl="4">
        <w:start w:val="1"/>
        <w:numFmt w:val="lowerLetter"/>
        <w:lvlText w:val="%5."/>
        <w:lvlJc w:val="left"/>
        <w:pPr>
          <w:tabs>
            <w:tab w:val="num" w:pos="4260"/>
          </w:tabs>
          <w:ind w:left="4260" w:hanging="300"/>
        </w:pPr>
        <w:rPr>
          <w:rFonts w:ascii="Cambria" w:eastAsia="Cambria" w:hAnsi="Cambria" w:cs="Cambria"/>
          <w:b/>
          <w:bCs/>
          <w:position w:val="0"/>
          <w:sz w:val="20"/>
          <w:szCs w:val="20"/>
          <w:lang w:val="es-ES_tradnl"/>
        </w:rPr>
      </w:lvl>
    </w:lvlOverride>
    <w:lvlOverride w:ilvl="5">
      <w:startOverride w:val="1"/>
      <w:lvl w:ilvl="5">
        <w:start w:val="1"/>
        <w:numFmt w:val="lowerRoman"/>
        <w:lvlText w:val="%6."/>
        <w:lvlJc w:val="left"/>
        <w:pPr>
          <w:tabs>
            <w:tab w:val="num" w:pos="4991"/>
          </w:tabs>
          <w:ind w:left="4991" w:hanging="247"/>
        </w:pPr>
        <w:rPr>
          <w:rFonts w:ascii="Cambria" w:eastAsia="Cambria" w:hAnsi="Cambria" w:cs="Cambria"/>
          <w:b/>
          <w:bCs/>
          <w:position w:val="0"/>
          <w:sz w:val="20"/>
          <w:szCs w:val="20"/>
          <w:lang w:val="es-ES_tradnl"/>
        </w:rPr>
      </w:lvl>
    </w:lvlOverride>
    <w:lvlOverride w:ilvl="6">
      <w:startOverride w:val="1"/>
      <w:lvl w:ilvl="6">
        <w:start w:val="1"/>
        <w:numFmt w:val="decimal"/>
        <w:lvlText w:val="%7."/>
        <w:lvlJc w:val="left"/>
        <w:pPr>
          <w:tabs>
            <w:tab w:val="num" w:pos="5700"/>
          </w:tabs>
          <w:ind w:left="5700" w:hanging="300"/>
        </w:pPr>
        <w:rPr>
          <w:rFonts w:ascii="Cambria" w:eastAsia="Cambria" w:hAnsi="Cambria" w:cs="Cambria"/>
          <w:b/>
          <w:bCs/>
          <w:position w:val="0"/>
          <w:sz w:val="20"/>
          <w:szCs w:val="20"/>
          <w:lang w:val="es-ES_tradnl"/>
        </w:rPr>
      </w:lvl>
    </w:lvlOverride>
    <w:lvlOverride w:ilvl="7">
      <w:startOverride w:val="1"/>
      <w:lvl w:ilvl="7">
        <w:start w:val="1"/>
        <w:numFmt w:val="lowerLetter"/>
        <w:lvlText w:val="%8."/>
        <w:lvlJc w:val="left"/>
        <w:pPr>
          <w:tabs>
            <w:tab w:val="num" w:pos="6420"/>
          </w:tabs>
          <w:ind w:left="6420" w:hanging="300"/>
        </w:pPr>
        <w:rPr>
          <w:rFonts w:ascii="Cambria" w:eastAsia="Cambria" w:hAnsi="Cambria" w:cs="Cambria"/>
          <w:b/>
          <w:bCs/>
          <w:position w:val="0"/>
          <w:sz w:val="20"/>
          <w:szCs w:val="20"/>
          <w:lang w:val="es-ES_tradnl"/>
        </w:rPr>
      </w:lvl>
    </w:lvlOverride>
    <w:lvlOverride w:ilvl="8">
      <w:startOverride w:val="1"/>
      <w:lvl w:ilvl="8">
        <w:start w:val="1"/>
        <w:numFmt w:val="lowerRoman"/>
        <w:lvlText w:val="%9."/>
        <w:lvlJc w:val="left"/>
        <w:pPr>
          <w:tabs>
            <w:tab w:val="num" w:pos="7151"/>
          </w:tabs>
          <w:ind w:left="7151" w:hanging="247"/>
        </w:pPr>
        <w:rPr>
          <w:rFonts w:ascii="Cambria" w:eastAsia="Cambria" w:hAnsi="Cambria" w:cs="Cambria"/>
          <w:b/>
          <w:bCs/>
          <w:position w:val="0"/>
          <w:sz w:val="20"/>
          <w:szCs w:val="20"/>
          <w:lang w:val="es-ES_tradnl"/>
        </w:rPr>
      </w:lvl>
    </w:lvlOverride>
  </w:num>
  <w:num w:numId="26" w16cid:durableId="978270509">
    <w:abstractNumId w:val="35"/>
    <w:lvlOverride w:ilvl="0">
      <w:startOverride w:val="1"/>
      <w:lvl w:ilvl="0">
        <w:start w:val="1"/>
        <w:numFmt w:val="upperLetter"/>
        <w:pStyle w:val="Heading2"/>
        <w:lvlText w:val="%1."/>
        <w:lvlJc w:val="left"/>
        <w:pPr>
          <w:tabs>
            <w:tab w:val="num" w:pos="86"/>
          </w:tabs>
          <w:ind w:left="86" w:hanging="86"/>
        </w:pPr>
        <w:rPr>
          <w:rFonts w:ascii="Cambria" w:eastAsia="Times New Roman" w:hAnsi="Cambria" w:cs="Times New Roman" w:hint="default"/>
          <w:b/>
          <w:bCs/>
          <w:position w:val="0"/>
          <w:sz w:val="20"/>
          <w:szCs w:val="20"/>
          <w:lang w:val="es-ES_tradnl"/>
        </w:rPr>
      </w:lvl>
    </w:lvlOverride>
  </w:num>
  <w:num w:numId="27" w16cid:durableId="43255597">
    <w:abstractNumId w:val="29"/>
  </w:num>
  <w:num w:numId="28" w16cid:durableId="1574125237">
    <w:abstractNumId w:val="27"/>
  </w:num>
  <w:num w:numId="29" w16cid:durableId="105389515">
    <w:abstractNumId w:val="32"/>
  </w:num>
  <w:num w:numId="30" w16cid:durableId="1470126683">
    <w:abstractNumId w:val="18"/>
  </w:num>
  <w:num w:numId="31" w16cid:durableId="250283283">
    <w:abstractNumId w:val="23"/>
  </w:num>
  <w:num w:numId="32" w16cid:durableId="151944512">
    <w:abstractNumId w:val="2"/>
  </w:num>
  <w:num w:numId="33" w16cid:durableId="1620641706">
    <w:abstractNumId w:val="26"/>
  </w:num>
  <w:num w:numId="34" w16cid:durableId="1951280771">
    <w:abstractNumId w:val="7"/>
  </w:num>
  <w:num w:numId="35" w16cid:durableId="359671541">
    <w:abstractNumId w:val="10"/>
  </w:num>
  <w:num w:numId="36" w16cid:durableId="1271862176">
    <w:abstractNumId w:val="21"/>
  </w:num>
  <w:num w:numId="37" w16cid:durableId="1639601529">
    <w:abstractNumId w:val="37"/>
  </w:num>
  <w:num w:numId="38" w16cid:durableId="776830605">
    <w:abstractNumId w:val="4"/>
  </w:num>
  <w:num w:numId="39" w16cid:durableId="190845374">
    <w:abstractNumId w:val="38"/>
  </w:num>
  <w:num w:numId="40" w16cid:durableId="478545999">
    <w:abstractNumId w:val="5"/>
  </w:num>
  <w:num w:numId="41" w16cid:durableId="106170018">
    <w:abstractNumId w:val="25"/>
  </w:num>
  <w:num w:numId="42" w16cid:durableId="1157110348">
    <w:abstractNumId w:val="13"/>
  </w:num>
  <w:num w:numId="43" w16cid:durableId="526262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FF"/>
    <w:rsid w:val="00004B86"/>
    <w:rsid w:val="000113DA"/>
    <w:rsid w:val="000249C9"/>
    <w:rsid w:val="00030872"/>
    <w:rsid w:val="00037713"/>
    <w:rsid w:val="00041BA3"/>
    <w:rsid w:val="00043552"/>
    <w:rsid w:val="0004603B"/>
    <w:rsid w:val="0005669D"/>
    <w:rsid w:val="000567D8"/>
    <w:rsid w:val="000647E7"/>
    <w:rsid w:val="00075CF1"/>
    <w:rsid w:val="0007789C"/>
    <w:rsid w:val="00080444"/>
    <w:rsid w:val="00085ED9"/>
    <w:rsid w:val="0009548B"/>
    <w:rsid w:val="00095E35"/>
    <w:rsid w:val="000B43BC"/>
    <w:rsid w:val="000B76D2"/>
    <w:rsid w:val="000C137A"/>
    <w:rsid w:val="000E4ED7"/>
    <w:rsid w:val="00113752"/>
    <w:rsid w:val="0011415A"/>
    <w:rsid w:val="00122210"/>
    <w:rsid w:val="001409FA"/>
    <w:rsid w:val="00152314"/>
    <w:rsid w:val="00155439"/>
    <w:rsid w:val="00156299"/>
    <w:rsid w:val="001606D1"/>
    <w:rsid w:val="00174328"/>
    <w:rsid w:val="00174BAC"/>
    <w:rsid w:val="00177686"/>
    <w:rsid w:val="00177FC1"/>
    <w:rsid w:val="001E1942"/>
    <w:rsid w:val="001E51C2"/>
    <w:rsid w:val="001E7AAE"/>
    <w:rsid w:val="002150B7"/>
    <w:rsid w:val="00216D82"/>
    <w:rsid w:val="00232F8C"/>
    <w:rsid w:val="00237B60"/>
    <w:rsid w:val="0027183E"/>
    <w:rsid w:val="00272AFD"/>
    <w:rsid w:val="0027362F"/>
    <w:rsid w:val="00276135"/>
    <w:rsid w:val="00290396"/>
    <w:rsid w:val="00293222"/>
    <w:rsid w:val="002A0195"/>
    <w:rsid w:val="002A3A75"/>
    <w:rsid w:val="002B79C2"/>
    <w:rsid w:val="002C28EF"/>
    <w:rsid w:val="002D0F14"/>
    <w:rsid w:val="002F71E6"/>
    <w:rsid w:val="003033BC"/>
    <w:rsid w:val="00307176"/>
    <w:rsid w:val="0031318D"/>
    <w:rsid w:val="003170B6"/>
    <w:rsid w:val="0032098B"/>
    <w:rsid w:val="0032438B"/>
    <w:rsid w:val="00325266"/>
    <w:rsid w:val="00327421"/>
    <w:rsid w:val="003318E3"/>
    <w:rsid w:val="00356146"/>
    <w:rsid w:val="00370F69"/>
    <w:rsid w:val="003714E7"/>
    <w:rsid w:val="003863BC"/>
    <w:rsid w:val="00387592"/>
    <w:rsid w:val="00387A05"/>
    <w:rsid w:val="003B70B7"/>
    <w:rsid w:val="00403526"/>
    <w:rsid w:val="00404693"/>
    <w:rsid w:val="004169FF"/>
    <w:rsid w:val="00420AD3"/>
    <w:rsid w:val="00434666"/>
    <w:rsid w:val="00447CE9"/>
    <w:rsid w:val="00464FC4"/>
    <w:rsid w:val="00477238"/>
    <w:rsid w:val="00483681"/>
    <w:rsid w:val="004839E6"/>
    <w:rsid w:val="00487AEA"/>
    <w:rsid w:val="004908D8"/>
    <w:rsid w:val="004A09A4"/>
    <w:rsid w:val="004B6B6D"/>
    <w:rsid w:val="004B7168"/>
    <w:rsid w:val="004E2344"/>
    <w:rsid w:val="004E34BD"/>
    <w:rsid w:val="004E3BF4"/>
    <w:rsid w:val="004F566B"/>
    <w:rsid w:val="005030FB"/>
    <w:rsid w:val="00507393"/>
    <w:rsid w:val="0051580F"/>
    <w:rsid w:val="005246D4"/>
    <w:rsid w:val="005445BB"/>
    <w:rsid w:val="00546BE6"/>
    <w:rsid w:val="00550D57"/>
    <w:rsid w:val="00554885"/>
    <w:rsid w:val="00555251"/>
    <w:rsid w:val="0055723B"/>
    <w:rsid w:val="00562871"/>
    <w:rsid w:val="0056636A"/>
    <w:rsid w:val="0056645F"/>
    <w:rsid w:val="00566CD5"/>
    <w:rsid w:val="00581C4B"/>
    <w:rsid w:val="00581E10"/>
    <w:rsid w:val="005D32FC"/>
    <w:rsid w:val="005E1E7B"/>
    <w:rsid w:val="005E3532"/>
    <w:rsid w:val="005E3B29"/>
    <w:rsid w:val="005F071E"/>
    <w:rsid w:val="005F104F"/>
    <w:rsid w:val="005F7ED8"/>
    <w:rsid w:val="00601FE9"/>
    <w:rsid w:val="00612B96"/>
    <w:rsid w:val="006513A4"/>
    <w:rsid w:val="0066289E"/>
    <w:rsid w:val="0066385C"/>
    <w:rsid w:val="00666BD2"/>
    <w:rsid w:val="00672863"/>
    <w:rsid w:val="00672C46"/>
    <w:rsid w:val="0068027E"/>
    <w:rsid w:val="0068635C"/>
    <w:rsid w:val="00695183"/>
    <w:rsid w:val="00696C0B"/>
    <w:rsid w:val="006A43EE"/>
    <w:rsid w:val="006A4BC7"/>
    <w:rsid w:val="006B3DCE"/>
    <w:rsid w:val="006C41D8"/>
    <w:rsid w:val="006D0E11"/>
    <w:rsid w:val="006E75C3"/>
    <w:rsid w:val="006E76DA"/>
    <w:rsid w:val="006F662C"/>
    <w:rsid w:val="007076A6"/>
    <w:rsid w:val="007157BA"/>
    <w:rsid w:val="00720C17"/>
    <w:rsid w:val="00735E8B"/>
    <w:rsid w:val="007427DF"/>
    <w:rsid w:val="0075504C"/>
    <w:rsid w:val="007605F1"/>
    <w:rsid w:val="00775908"/>
    <w:rsid w:val="007818F1"/>
    <w:rsid w:val="00781B54"/>
    <w:rsid w:val="00792F76"/>
    <w:rsid w:val="007A7F22"/>
    <w:rsid w:val="007B0180"/>
    <w:rsid w:val="007B0ED7"/>
    <w:rsid w:val="007C2EFF"/>
    <w:rsid w:val="007C57E8"/>
    <w:rsid w:val="007C5BE3"/>
    <w:rsid w:val="007D61AB"/>
    <w:rsid w:val="007F3905"/>
    <w:rsid w:val="007F3A32"/>
    <w:rsid w:val="007F409A"/>
    <w:rsid w:val="007F5904"/>
    <w:rsid w:val="00801230"/>
    <w:rsid w:val="00806ECD"/>
    <w:rsid w:val="00814379"/>
    <w:rsid w:val="00817E3A"/>
    <w:rsid w:val="00820504"/>
    <w:rsid w:val="00822822"/>
    <w:rsid w:val="00836B20"/>
    <w:rsid w:val="008406AA"/>
    <w:rsid w:val="008417AF"/>
    <w:rsid w:val="00843A91"/>
    <w:rsid w:val="00855A1C"/>
    <w:rsid w:val="00863FF4"/>
    <w:rsid w:val="00872B8C"/>
    <w:rsid w:val="00884749"/>
    <w:rsid w:val="0089023D"/>
    <w:rsid w:val="00897D9F"/>
    <w:rsid w:val="008A3067"/>
    <w:rsid w:val="008A3154"/>
    <w:rsid w:val="008C3011"/>
    <w:rsid w:val="008D3006"/>
    <w:rsid w:val="00902D4F"/>
    <w:rsid w:val="00903D0A"/>
    <w:rsid w:val="00920395"/>
    <w:rsid w:val="00920BA4"/>
    <w:rsid w:val="00922F53"/>
    <w:rsid w:val="009248D5"/>
    <w:rsid w:val="00926BE8"/>
    <w:rsid w:val="009321AC"/>
    <w:rsid w:val="00932CAA"/>
    <w:rsid w:val="009360AE"/>
    <w:rsid w:val="00940607"/>
    <w:rsid w:val="009612D9"/>
    <w:rsid w:val="009640A1"/>
    <w:rsid w:val="009714E6"/>
    <w:rsid w:val="009803F4"/>
    <w:rsid w:val="00982B1B"/>
    <w:rsid w:val="0099170B"/>
    <w:rsid w:val="009976BC"/>
    <w:rsid w:val="009A2072"/>
    <w:rsid w:val="009B2FAF"/>
    <w:rsid w:val="009C26C4"/>
    <w:rsid w:val="009C520E"/>
    <w:rsid w:val="009C593B"/>
    <w:rsid w:val="009D091D"/>
    <w:rsid w:val="009E7FD4"/>
    <w:rsid w:val="009F6550"/>
    <w:rsid w:val="00A1671D"/>
    <w:rsid w:val="00A344B6"/>
    <w:rsid w:val="00A40692"/>
    <w:rsid w:val="00A539E9"/>
    <w:rsid w:val="00A547E9"/>
    <w:rsid w:val="00A56A2A"/>
    <w:rsid w:val="00A74C86"/>
    <w:rsid w:val="00A96001"/>
    <w:rsid w:val="00AA1FCB"/>
    <w:rsid w:val="00AB2020"/>
    <w:rsid w:val="00AB3666"/>
    <w:rsid w:val="00AD53E0"/>
    <w:rsid w:val="00AD5FD9"/>
    <w:rsid w:val="00AE2A37"/>
    <w:rsid w:val="00AF31EC"/>
    <w:rsid w:val="00AF65FE"/>
    <w:rsid w:val="00B127F9"/>
    <w:rsid w:val="00B144F6"/>
    <w:rsid w:val="00B244EB"/>
    <w:rsid w:val="00B3754C"/>
    <w:rsid w:val="00B42E6A"/>
    <w:rsid w:val="00B521A9"/>
    <w:rsid w:val="00B5417B"/>
    <w:rsid w:val="00B55AFE"/>
    <w:rsid w:val="00B668B3"/>
    <w:rsid w:val="00B853BD"/>
    <w:rsid w:val="00B94C3A"/>
    <w:rsid w:val="00B94E17"/>
    <w:rsid w:val="00BA6393"/>
    <w:rsid w:val="00BA7F1C"/>
    <w:rsid w:val="00BB3B83"/>
    <w:rsid w:val="00BC08E6"/>
    <w:rsid w:val="00BC0B08"/>
    <w:rsid w:val="00BC59AD"/>
    <w:rsid w:val="00BD2F66"/>
    <w:rsid w:val="00BD4407"/>
    <w:rsid w:val="00BF79CA"/>
    <w:rsid w:val="00C01B55"/>
    <w:rsid w:val="00C2294F"/>
    <w:rsid w:val="00C53B2A"/>
    <w:rsid w:val="00C609EC"/>
    <w:rsid w:val="00C62DF2"/>
    <w:rsid w:val="00C65D9F"/>
    <w:rsid w:val="00C7545F"/>
    <w:rsid w:val="00C85C61"/>
    <w:rsid w:val="00CA27DE"/>
    <w:rsid w:val="00CC263C"/>
    <w:rsid w:val="00CC74FA"/>
    <w:rsid w:val="00CE12D9"/>
    <w:rsid w:val="00CF08D0"/>
    <w:rsid w:val="00CF315C"/>
    <w:rsid w:val="00CF4638"/>
    <w:rsid w:val="00D002EA"/>
    <w:rsid w:val="00D00B25"/>
    <w:rsid w:val="00D03435"/>
    <w:rsid w:val="00D042DF"/>
    <w:rsid w:val="00D05F11"/>
    <w:rsid w:val="00D07848"/>
    <w:rsid w:val="00D1021E"/>
    <w:rsid w:val="00D25674"/>
    <w:rsid w:val="00D328C5"/>
    <w:rsid w:val="00D32C91"/>
    <w:rsid w:val="00D52F02"/>
    <w:rsid w:val="00D7106C"/>
    <w:rsid w:val="00D71543"/>
    <w:rsid w:val="00D76BC3"/>
    <w:rsid w:val="00D827DF"/>
    <w:rsid w:val="00D90E5A"/>
    <w:rsid w:val="00D93F2D"/>
    <w:rsid w:val="00DA3AB9"/>
    <w:rsid w:val="00DA5DAC"/>
    <w:rsid w:val="00DA6AA6"/>
    <w:rsid w:val="00DB5913"/>
    <w:rsid w:val="00DD3179"/>
    <w:rsid w:val="00E05420"/>
    <w:rsid w:val="00E13122"/>
    <w:rsid w:val="00E23F4D"/>
    <w:rsid w:val="00E35671"/>
    <w:rsid w:val="00E57808"/>
    <w:rsid w:val="00E619D9"/>
    <w:rsid w:val="00E638BF"/>
    <w:rsid w:val="00E67625"/>
    <w:rsid w:val="00E75B41"/>
    <w:rsid w:val="00E819C7"/>
    <w:rsid w:val="00E86492"/>
    <w:rsid w:val="00EC3D35"/>
    <w:rsid w:val="00EE590B"/>
    <w:rsid w:val="00EF472D"/>
    <w:rsid w:val="00F01582"/>
    <w:rsid w:val="00F11B99"/>
    <w:rsid w:val="00F12D3B"/>
    <w:rsid w:val="00F131BD"/>
    <w:rsid w:val="00F30BAF"/>
    <w:rsid w:val="00F401AB"/>
    <w:rsid w:val="00F4407F"/>
    <w:rsid w:val="00F57670"/>
    <w:rsid w:val="00F66BE4"/>
    <w:rsid w:val="00F8129C"/>
    <w:rsid w:val="00FB3EFE"/>
    <w:rsid w:val="00FB5D44"/>
    <w:rsid w:val="00FC0CB6"/>
    <w:rsid w:val="00FD1B08"/>
    <w:rsid w:val="00FE2531"/>
    <w:rsid w:val="00FF4794"/>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7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FF"/>
    <w:rPr>
      <w:rFonts w:ascii="Times New Roman" w:eastAsia="Times New Roman" w:hAnsi="Times New Roman" w:cs="Times New Roman"/>
      <w:lang w:val="pt-BR" w:eastAsia="pt-BR"/>
    </w:rPr>
  </w:style>
  <w:style w:type="paragraph" w:styleId="Heading1">
    <w:name w:val="heading 1"/>
    <w:basedOn w:val="ListParagraph"/>
    <w:next w:val="Normal"/>
    <w:link w:val="Heading1Char"/>
    <w:uiPriority w:val="9"/>
    <w:qFormat/>
    <w:rsid w:val="007C2EFF"/>
    <w:pPr>
      <w:numPr>
        <w:numId w:val="1"/>
      </w:numPr>
      <w:suppressAutoHyphens/>
      <w:ind w:firstLine="634"/>
      <w:outlineLvl w:val="0"/>
    </w:pPr>
    <w:rPr>
      <w:b/>
      <w:bCs/>
      <w:sz w:val="20"/>
      <w:szCs w:val="20"/>
      <w:lang w:val="es-ES"/>
    </w:rPr>
  </w:style>
  <w:style w:type="paragraph" w:styleId="Heading2">
    <w:name w:val="heading 2"/>
    <w:basedOn w:val="ListParagraph"/>
    <w:next w:val="Normal"/>
    <w:link w:val="Heading2Char"/>
    <w:uiPriority w:val="9"/>
    <w:unhideWhenUsed/>
    <w:qFormat/>
    <w:rsid w:val="007C2EFF"/>
    <w:pPr>
      <w:numPr>
        <w:numId w:val="3"/>
      </w:numPr>
      <w:suppressAutoHyphens/>
      <w:outlineLvl w:val="1"/>
    </w:pPr>
    <w:rPr>
      <w:b/>
      <w:bCs/>
      <w:sz w:val="20"/>
      <w:szCs w:val="20"/>
      <w:lang w:val="es-ES"/>
    </w:rPr>
  </w:style>
  <w:style w:type="paragraph" w:styleId="Heading3">
    <w:name w:val="heading 3"/>
    <w:basedOn w:val="ListParagraph"/>
    <w:next w:val="Normal"/>
    <w:link w:val="Heading3Char"/>
    <w:unhideWhenUsed/>
    <w:qFormat/>
    <w:rsid w:val="007C2EFF"/>
    <w:pPr>
      <w:numPr>
        <w:ilvl w:val="3"/>
        <w:numId w:val="4"/>
      </w:numPr>
      <w:outlineLvl w:val="2"/>
    </w:pPr>
    <w:rPr>
      <w:b/>
      <w:bCs/>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EFF"/>
    <w:rPr>
      <w:rFonts w:ascii="Cambria" w:eastAsia="Cambria" w:hAnsi="Cambria" w:cs="Cambria"/>
      <w:b/>
      <w:bCs/>
      <w:color w:val="000000"/>
      <w:sz w:val="20"/>
      <w:szCs w:val="20"/>
      <w:u w:color="000000"/>
      <w:bdr w:val="nil"/>
      <w:lang w:val="es-ES" w:eastAsia="es-CL"/>
    </w:rPr>
  </w:style>
  <w:style w:type="character" w:customStyle="1" w:styleId="Heading2Char">
    <w:name w:val="Heading 2 Char"/>
    <w:basedOn w:val="DefaultParagraphFont"/>
    <w:link w:val="Heading2"/>
    <w:uiPriority w:val="9"/>
    <w:rsid w:val="007C2EFF"/>
    <w:rPr>
      <w:rFonts w:ascii="Cambria" w:eastAsia="Cambria" w:hAnsi="Cambria" w:cs="Cambria"/>
      <w:b/>
      <w:bCs/>
      <w:color w:val="000000"/>
      <w:sz w:val="20"/>
      <w:szCs w:val="20"/>
      <w:u w:color="000000"/>
      <w:bdr w:val="nil"/>
      <w:lang w:val="es-ES" w:eastAsia="es-CL"/>
    </w:rPr>
  </w:style>
  <w:style w:type="character" w:customStyle="1" w:styleId="Heading3Char">
    <w:name w:val="Heading 3 Char"/>
    <w:basedOn w:val="DefaultParagraphFont"/>
    <w:link w:val="Heading3"/>
    <w:rsid w:val="007C2EFF"/>
    <w:rPr>
      <w:rFonts w:ascii="Cambria" w:eastAsia="Cambria" w:hAnsi="Cambria" w:cs="Cambria"/>
      <w:b/>
      <w:bCs/>
      <w:color w:val="000000"/>
      <w:sz w:val="20"/>
      <w:szCs w:val="20"/>
      <w:u w:color="000000"/>
      <w:bdr w:val="nil"/>
      <w:lang w:val="es-ES" w:eastAsia="es-CL"/>
    </w:rPr>
  </w:style>
  <w:style w:type="character" w:styleId="Hyperlink">
    <w:name w:val="Hyperlink"/>
    <w:uiPriority w:val="99"/>
    <w:rsid w:val="007C2EFF"/>
    <w:rPr>
      <w:u w:val="single"/>
    </w:rPr>
  </w:style>
  <w:style w:type="paragraph" w:styleId="Header">
    <w:name w:val="header"/>
    <w:link w:val="HeaderChar"/>
    <w:rsid w:val="007C2EFF"/>
    <w:pPr>
      <w:widowControl w:val="0"/>
      <w:pBdr>
        <w:top w:val="nil"/>
        <w:left w:val="nil"/>
        <w:bottom w:val="nil"/>
        <w:right w:val="nil"/>
        <w:between w:val="nil"/>
        <w:bar w:val="nil"/>
      </w:pBdr>
      <w:tabs>
        <w:tab w:val="center" w:pos="4320"/>
        <w:tab w:val="right" w:pos="8640"/>
      </w:tabs>
      <w:ind w:firstLine="634"/>
      <w:jc w:val="both"/>
    </w:pPr>
    <w:rPr>
      <w:rFonts w:ascii="Arial" w:eastAsia="Arial Unicode MS" w:hAnsi="Arial Unicode MS" w:cs="Arial Unicode MS"/>
      <w:color w:val="000000"/>
      <w:sz w:val="20"/>
      <w:szCs w:val="20"/>
      <w:u w:color="000000"/>
      <w:bdr w:val="nil"/>
      <w:lang w:val="es-ES_tradnl" w:eastAsia="es-CL"/>
    </w:rPr>
  </w:style>
  <w:style w:type="character" w:customStyle="1" w:styleId="HeaderChar">
    <w:name w:val="Header Char"/>
    <w:basedOn w:val="DefaultParagraphFont"/>
    <w:link w:val="Header"/>
    <w:rsid w:val="007C2EFF"/>
    <w:rPr>
      <w:rFonts w:ascii="Arial" w:eastAsia="Arial Unicode MS" w:hAnsi="Arial Unicode MS" w:cs="Arial Unicode MS"/>
      <w:color w:val="000000"/>
      <w:sz w:val="20"/>
      <w:szCs w:val="20"/>
      <w:u w:color="000000"/>
      <w:bdr w:val="nil"/>
      <w:lang w:val="es-ES_tradnl" w:eastAsia="es-CL"/>
    </w:rPr>
  </w:style>
  <w:style w:type="paragraph" w:styleId="Footer">
    <w:name w:val="footer"/>
    <w:link w:val="FooterChar"/>
    <w:rsid w:val="007C2EFF"/>
    <w:pPr>
      <w:pBdr>
        <w:top w:val="nil"/>
        <w:left w:val="nil"/>
        <w:bottom w:val="nil"/>
        <w:right w:val="nil"/>
        <w:between w:val="nil"/>
        <w:bar w:val="nil"/>
      </w:pBdr>
      <w:tabs>
        <w:tab w:val="center" w:pos="4513"/>
        <w:tab w:val="right" w:pos="9026"/>
      </w:tabs>
      <w:ind w:firstLine="634"/>
      <w:jc w:val="both"/>
    </w:pPr>
    <w:rPr>
      <w:rFonts w:ascii="Cambria" w:eastAsia="Cambria" w:hAnsi="Cambria" w:cs="Cambria"/>
      <w:color w:val="000000"/>
      <w:u w:color="000000"/>
      <w:bdr w:val="nil"/>
      <w:lang w:eastAsia="es-CL"/>
    </w:rPr>
  </w:style>
  <w:style w:type="character" w:customStyle="1" w:styleId="FooterChar">
    <w:name w:val="Footer Char"/>
    <w:basedOn w:val="DefaultParagraphFont"/>
    <w:link w:val="Footer"/>
    <w:rsid w:val="007C2EFF"/>
    <w:rPr>
      <w:rFonts w:ascii="Cambria" w:eastAsia="Cambria" w:hAnsi="Cambria" w:cs="Cambria"/>
      <w:color w:val="000000"/>
      <w:u w:color="000000"/>
      <w:bdr w:val="nil"/>
      <w:lang w:eastAsia="es-CL"/>
    </w:rPr>
  </w:style>
  <w:style w:type="paragraph" w:customStyle="1" w:styleId="HeaderFooter">
    <w:name w:val="Header &amp; Footer"/>
    <w:rsid w:val="007C2EFF"/>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CL" w:eastAsia="es-CL"/>
    </w:rPr>
  </w:style>
  <w:style w:type="paragraph" w:customStyle="1" w:styleId="Body">
    <w:name w:val="Body"/>
    <w:rsid w:val="007C2EFF"/>
    <w:pPr>
      <w:pBdr>
        <w:top w:val="nil"/>
        <w:left w:val="nil"/>
        <w:bottom w:val="nil"/>
        <w:right w:val="nil"/>
        <w:between w:val="nil"/>
        <w:bar w:val="nil"/>
      </w:pBdr>
      <w:ind w:firstLine="634"/>
      <w:jc w:val="both"/>
    </w:pPr>
    <w:rPr>
      <w:rFonts w:ascii="Cambria" w:eastAsia="Cambria" w:hAnsi="Cambria" w:cs="Cambria"/>
      <w:color w:val="000000"/>
      <w:sz w:val="20"/>
      <w:szCs w:val="20"/>
      <w:u w:color="000000"/>
      <w:bdr w:val="nil"/>
      <w:lang w:val="es-CL" w:eastAsia="es-CL"/>
    </w:rPr>
  </w:style>
  <w:style w:type="paragraph" w:styleId="NoSpacing">
    <w:name w:val="No Spacing"/>
    <w:rsid w:val="007C2EFF"/>
    <w:pPr>
      <w:pBdr>
        <w:top w:val="nil"/>
        <w:left w:val="nil"/>
        <w:bottom w:val="nil"/>
        <w:right w:val="nil"/>
        <w:between w:val="nil"/>
        <w:bar w:val="nil"/>
      </w:pBdr>
      <w:ind w:firstLine="634"/>
      <w:jc w:val="both"/>
    </w:pPr>
    <w:rPr>
      <w:rFonts w:ascii="Cambria" w:eastAsia="Cambria" w:hAnsi="Cambria" w:cs="Cambria"/>
      <w:color w:val="000000"/>
      <w:sz w:val="20"/>
      <w:szCs w:val="20"/>
      <w:u w:color="000000"/>
      <w:bdr w:val="nil"/>
      <w:lang w:val="es-ES_tradnl" w:eastAsia="es-CL"/>
    </w:rPr>
  </w:style>
  <w:style w:type="paragraph" w:styleId="ListParagraph">
    <w:name w:val="List Paragraph"/>
    <w:aliases w:val="Párrafo de lista1,List Paragraph1,List Paragraph11,List Paragraph2,Lista vistosa - Énfasis 11,Subtle Emphasis1,Footnote1,Medium Grid 1 - Accent 21,Colorful List - Accent 12,Grade Clara - Ênfase 31,Parragrap,Superíndice,Dot pt"/>
    <w:link w:val="ListParagraphChar"/>
    <w:qFormat/>
    <w:rsid w:val="007C2EFF"/>
    <w:pPr>
      <w:pBdr>
        <w:top w:val="nil"/>
        <w:left w:val="nil"/>
        <w:bottom w:val="nil"/>
        <w:right w:val="nil"/>
        <w:between w:val="nil"/>
        <w:bar w:val="nil"/>
      </w:pBdr>
      <w:ind w:left="720" w:firstLine="634"/>
      <w:jc w:val="both"/>
    </w:pPr>
    <w:rPr>
      <w:rFonts w:ascii="Cambria" w:eastAsia="Cambria" w:hAnsi="Cambria" w:cs="Cambria"/>
      <w:color w:val="000000"/>
      <w:u w:color="000000"/>
      <w:bdr w:val="nil"/>
      <w:lang w:eastAsia="es-CL"/>
    </w:rPr>
  </w:style>
  <w:style w:type="numbering" w:customStyle="1" w:styleId="List0">
    <w:name w:val="List 0"/>
    <w:basedOn w:val="ImportedStyle2"/>
    <w:rsid w:val="007C2EFF"/>
    <w:pPr>
      <w:numPr>
        <w:numId w:val="23"/>
      </w:numPr>
    </w:pPr>
  </w:style>
  <w:style w:type="numbering" w:customStyle="1" w:styleId="ImportedStyle2">
    <w:name w:val="Imported Style 2"/>
    <w:rsid w:val="007C2EFF"/>
  </w:style>
  <w:style w:type="numbering" w:customStyle="1" w:styleId="List1">
    <w:name w:val="List 1"/>
    <w:basedOn w:val="ImportedStyle3"/>
    <w:rsid w:val="007C2EFF"/>
    <w:pPr>
      <w:numPr>
        <w:numId w:val="17"/>
      </w:numPr>
    </w:pPr>
  </w:style>
  <w:style w:type="numbering" w:customStyle="1" w:styleId="ImportedStyle3">
    <w:name w:val="Imported Style 3"/>
    <w:rsid w:val="007C2EFF"/>
  </w:style>
  <w:style w:type="numbering" w:customStyle="1" w:styleId="List21">
    <w:name w:val="List 21"/>
    <w:basedOn w:val="ImportedStyle4"/>
    <w:rsid w:val="007C2EFF"/>
    <w:pPr>
      <w:numPr>
        <w:numId w:val="24"/>
      </w:numPr>
    </w:pPr>
  </w:style>
  <w:style w:type="numbering" w:customStyle="1" w:styleId="ImportedStyle4">
    <w:name w:val="Imported Style 4"/>
    <w:rsid w:val="007C2EFF"/>
  </w:style>
  <w:style w:type="numbering" w:customStyle="1" w:styleId="List31">
    <w:name w:val="List 31"/>
    <w:basedOn w:val="ImportedStyle5"/>
    <w:rsid w:val="007C2EFF"/>
    <w:pPr>
      <w:numPr>
        <w:numId w:val="21"/>
      </w:numPr>
    </w:pPr>
  </w:style>
  <w:style w:type="numbering" w:customStyle="1" w:styleId="ImportedStyle5">
    <w:name w:val="Imported Style 5"/>
    <w:rsid w:val="007C2EFF"/>
  </w:style>
  <w:style w:type="numbering" w:customStyle="1" w:styleId="List41">
    <w:name w:val="List 41"/>
    <w:basedOn w:val="ImportedStyle6"/>
    <w:rsid w:val="007C2EFF"/>
    <w:pPr>
      <w:numPr>
        <w:numId w:val="22"/>
      </w:numPr>
    </w:pPr>
  </w:style>
  <w:style w:type="numbering" w:customStyle="1" w:styleId="ImportedStyle6">
    <w:name w:val="Imported Style 6"/>
    <w:rsid w:val="007C2EFF"/>
  </w:style>
  <w:style w:type="numbering" w:customStyle="1" w:styleId="List51">
    <w:name w:val="List 51"/>
    <w:basedOn w:val="ImportedStyle6"/>
    <w:rsid w:val="007C2EFF"/>
    <w:pPr>
      <w:numPr>
        <w:numId w:val="10"/>
      </w:numPr>
    </w:pPr>
  </w:style>
  <w:style w:type="numbering" w:customStyle="1" w:styleId="List6">
    <w:name w:val="List 6"/>
    <w:basedOn w:val="ImportedStyle3"/>
    <w:rsid w:val="007C2EFF"/>
    <w:pPr>
      <w:numPr>
        <w:numId w:val="6"/>
      </w:numPr>
    </w:pPr>
  </w:style>
  <w:style w:type="numbering" w:customStyle="1" w:styleId="List7">
    <w:name w:val="List 7"/>
    <w:basedOn w:val="ImportedStyle6"/>
    <w:rsid w:val="007C2EFF"/>
    <w:pPr>
      <w:numPr>
        <w:numId w:val="9"/>
      </w:numPr>
    </w:pPr>
  </w:style>
  <w:style w:type="numbering" w:customStyle="1" w:styleId="List8">
    <w:name w:val="List 8"/>
    <w:basedOn w:val="ImportedStyle6"/>
    <w:rsid w:val="007C2EFF"/>
    <w:pPr>
      <w:numPr>
        <w:numId w:val="5"/>
      </w:numPr>
    </w:pPr>
  </w:style>
  <w:style w:type="numbering" w:customStyle="1" w:styleId="List9">
    <w:name w:val="List 9"/>
    <w:basedOn w:val="ImportedStyle6"/>
    <w:rsid w:val="007C2EFF"/>
    <w:pPr>
      <w:numPr>
        <w:numId w:val="7"/>
      </w:numPr>
    </w:pPr>
  </w:style>
  <w:style w:type="numbering" w:customStyle="1" w:styleId="List10">
    <w:name w:val="List 10"/>
    <w:basedOn w:val="ImportedStyle6"/>
    <w:rsid w:val="007C2EFF"/>
    <w:pPr>
      <w:numPr>
        <w:numId w:val="8"/>
      </w:numPr>
    </w:pPr>
  </w:style>
  <w:style w:type="numbering" w:customStyle="1" w:styleId="List11">
    <w:name w:val="List 11"/>
    <w:basedOn w:val="ImportedStyle7"/>
    <w:rsid w:val="007C2EFF"/>
    <w:pPr>
      <w:numPr>
        <w:numId w:val="11"/>
      </w:numPr>
    </w:pPr>
  </w:style>
  <w:style w:type="numbering" w:customStyle="1" w:styleId="ImportedStyle7">
    <w:name w:val="Imported Style 7"/>
    <w:rsid w:val="007C2EFF"/>
  </w:style>
  <w:style w:type="paragraph" w:customStyle="1" w:styleId="Default">
    <w:name w:val="Default"/>
    <w:rsid w:val="007C2EFF"/>
    <w:pPr>
      <w:pBdr>
        <w:top w:val="nil"/>
        <w:left w:val="nil"/>
        <w:bottom w:val="nil"/>
        <w:right w:val="nil"/>
        <w:between w:val="nil"/>
        <w:bar w:val="nil"/>
      </w:pBdr>
    </w:pPr>
    <w:rPr>
      <w:rFonts w:ascii="Helvetica" w:eastAsia="Helvetica" w:hAnsi="Helvetica" w:cs="Helvetica"/>
      <w:color w:val="000000"/>
      <w:sz w:val="22"/>
      <w:szCs w:val="22"/>
      <w:bdr w:val="nil"/>
      <w:lang w:val="es-CL" w:eastAsia="es-CL"/>
    </w:rPr>
  </w:style>
  <w:style w:type="numbering" w:customStyle="1" w:styleId="List12">
    <w:name w:val="List 12"/>
    <w:basedOn w:val="ImportedStyle8"/>
    <w:rsid w:val="007C2EFF"/>
    <w:pPr>
      <w:numPr>
        <w:numId w:val="12"/>
      </w:numPr>
    </w:pPr>
  </w:style>
  <w:style w:type="numbering" w:customStyle="1" w:styleId="ImportedStyle8">
    <w:name w:val="Imported Style 8"/>
    <w:rsid w:val="007C2EFF"/>
  </w:style>
  <w:style w:type="numbering" w:customStyle="1" w:styleId="List13">
    <w:name w:val="List 13"/>
    <w:basedOn w:val="ImportedStyle9"/>
    <w:rsid w:val="007C2EFF"/>
    <w:pPr>
      <w:numPr>
        <w:numId w:val="20"/>
      </w:numPr>
    </w:pPr>
  </w:style>
  <w:style w:type="numbering" w:customStyle="1" w:styleId="ImportedStyle9">
    <w:name w:val="Imported Style 9"/>
    <w:rsid w:val="007C2EFF"/>
  </w:style>
  <w:style w:type="numbering" w:customStyle="1" w:styleId="List14">
    <w:name w:val="List 14"/>
    <w:basedOn w:val="ImportedStyle10"/>
    <w:rsid w:val="007C2EFF"/>
    <w:pPr>
      <w:numPr>
        <w:numId w:val="15"/>
      </w:numPr>
    </w:pPr>
  </w:style>
  <w:style w:type="numbering" w:customStyle="1" w:styleId="ImportedStyle10">
    <w:name w:val="Imported Style 10"/>
    <w:rsid w:val="007C2EFF"/>
  </w:style>
  <w:style w:type="character" w:customStyle="1" w:styleId="Link">
    <w:name w:val="Link"/>
    <w:rsid w:val="007C2EFF"/>
    <w:rPr>
      <w:u w:val="single"/>
    </w:rPr>
  </w:style>
  <w:style w:type="character" w:customStyle="1" w:styleId="Hyperlink0">
    <w:name w:val="Hyperlink.0"/>
    <w:basedOn w:val="Link"/>
    <w:rsid w:val="007C2EFF"/>
    <w:rPr>
      <w:sz w:val="16"/>
      <w:szCs w:val="16"/>
      <w:u w:val="none"/>
      <w:shd w:val="clear" w:color="auto" w:fill="FFFFFF"/>
      <w:lang w:val="es-ES_tradnl"/>
    </w:rPr>
  </w:style>
  <w:style w:type="numbering" w:customStyle="1" w:styleId="List15">
    <w:name w:val="List 15"/>
    <w:basedOn w:val="ImportedStyle10"/>
    <w:rsid w:val="007C2EFF"/>
    <w:pPr>
      <w:numPr>
        <w:numId w:val="13"/>
      </w:numPr>
    </w:pPr>
  </w:style>
  <w:style w:type="numbering" w:customStyle="1" w:styleId="List16">
    <w:name w:val="List 16"/>
    <w:basedOn w:val="ImportedStyle11"/>
    <w:rsid w:val="007C2EFF"/>
    <w:pPr>
      <w:numPr>
        <w:numId w:val="14"/>
      </w:numPr>
    </w:pPr>
  </w:style>
  <w:style w:type="numbering" w:customStyle="1" w:styleId="ImportedStyle11">
    <w:name w:val="Imported Style 11"/>
    <w:rsid w:val="007C2EFF"/>
  </w:style>
  <w:style w:type="paragraph" w:customStyle="1" w:styleId="Style2">
    <w:name w:val="Style2"/>
    <w:link w:val="Style2Char"/>
    <w:qFormat/>
    <w:rsid w:val="007C2EFF"/>
    <w:pPr>
      <w:pBdr>
        <w:top w:val="nil"/>
        <w:left w:val="nil"/>
        <w:bottom w:val="nil"/>
        <w:right w:val="nil"/>
        <w:between w:val="nil"/>
        <w:bar w:val="nil"/>
      </w:pBdr>
      <w:tabs>
        <w:tab w:val="left" w:pos="720"/>
      </w:tabs>
      <w:ind w:firstLine="720"/>
      <w:jc w:val="both"/>
    </w:pPr>
    <w:rPr>
      <w:rFonts w:ascii="Cambria" w:eastAsia="Cambria" w:hAnsi="Cambria" w:cs="Cambria"/>
      <w:color w:val="000000"/>
      <w:sz w:val="20"/>
      <w:szCs w:val="20"/>
      <w:u w:color="000000"/>
      <w:bdr w:val="nil"/>
      <w:lang w:val="es-ES_tradnl" w:eastAsia="es-CL"/>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5"/>
    <w:link w:val="FootnoteTextChar"/>
    <w:qFormat/>
    <w:rsid w:val="007C2EFF"/>
    <w:pPr>
      <w:pBdr>
        <w:top w:val="nil"/>
        <w:left w:val="nil"/>
        <w:bottom w:val="nil"/>
        <w:right w:val="nil"/>
        <w:between w:val="nil"/>
        <w:bar w:val="nil"/>
      </w:pBdr>
      <w:ind w:firstLine="634"/>
      <w:jc w:val="both"/>
    </w:pPr>
    <w:rPr>
      <w:rFonts w:ascii="Cambria" w:eastAsia="Cambria" w:hAnsi="Cambria" w:cs="Cambria"/>
      <w:color w:val="000000"/>
      <w:sz w:val="16"/>
      <w:szCs w:val="16"/>
      <w:u w:color="000000"/>
      <w:bdr w:val="nil"/>
      <w:lang w:eastAsia="es-CL"/>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7C2EFF"/>
    <w:rPr>
      <w:rFonts w:ascii="Cambria" w:eastAsia="Cambria" w:hAnsi="Cambria" w:cs="Cambria"/>
      <w:color w:val="000000"/>
      <w:sz w:val="16"/>
      <w:szCs w:val="16"/>
      <w:u w:color="000000"/>
      <w:bdr w:val="nil"/>
      <w:lang w:eastAsia="es-CL"/>
    </w:rPr>
  </w:style>
  <w:style w:type="paragraph" w:customStyle="1" w:styleId="ColorfulList-Accent11">
    <w:name w:val="Colorful List - Accent 11"/>
    <w:rsid w:val="007C2EFF"/>
    <w:pPr>
      <w:pBdr>
        <w:top w:val="nil"/>
        <w:left w:val="nil"/>
        <w:bottom w:val="nil"/>
        <w:right w:val="nil"/>
        <w:between w:val="nil"/>
        <w:bar w:val="nil"/>
      </w:pBdr>
      <w:ind w:left="720"/>
    </w:pPr>
    <w:rPr>
      <w:rFonts w:ascii="Cambria" w:eastAsia="Cambria" w:hAnsi="Cambria" w:cs="Cambria"/>
      <w:color w:val="000000"/>
      <w:u w:color="000000"/>
      <w:bdr w:val="nil"/>
      <w:lang w:eastAsia="es-CL"/>
    </w:rPr>
  </w:style>
  <w:style w:type="numbering" w:customStyle="1" w:styleId="List17">
    <w:name w:val="List 17"/>
    <w:basedOn w:val="ImportedStyle13"/>
    <w:rsid w:val="007C2EFF"/>
    <w:pPr>
      <w:numPr>
        <w:numId w:val="16"/>
      </w:numPr>
    </w:pPr>
  </w:style>
  <w:style w:type="numbering" w:customStyle="1" w:styleId="ImportedStyle13">
    <w:name w:val="Imported Style 13"/>
    <w:rsid w:val="007C2EFF"/>
  </w:style>
  <w:style w:type="character" w:customStyle="1" w:styleId="st">
    <w:name w:val="st"/>
    <w:rsid w:val="007C2EFF"/>
  </w:style>
  <w:style w:type="character" w:customStyle="1" w:styleId="Hyperlink1">
    <w:name w:val="Hyperlink.1"/>
    <w:basedOn w:val="st"/>
    <w:rsid w:val="007C2EFF"/>
    <w:rPr>
      <w:sz w:val="16"/>
      <w:szCs w:val="16"/>
    </w:rPr>
  </w:style>
  <w:style w:type="numbering" w:customStyle="1" w:styleId="List18">
    <w:name w:val="List 18"/>
    <w:basedOn w:val="ImportedStyle14"/>
    <w:rsid w:val="007C2EFF"/>
    <w:pPr>
      <w:numPr>
        <w:numId w:val="18"/>
      </w:numPr>
    </w:pPr>
  </w:style>
  <w:style w:type="numbering" w:customStyle="1" w:styleId="ImportedStyle14">
    <w:name w:val="Imported Style 14"/>
    <w:rsid w:val="007C2EFF"/>
  </w:style>
  <w:style w:type="numbering" w:customStyle="1" w:styleId="List19">
    <w:name w:val="List 19"/>
    <w:basedOn w:val="ImportedStyle15"/>
    <w:rsid w:val="007C2EFF"/>
    <w:pPr>
      <w:numPr>
        <w:numId w:val="19"/>
      </w:numPr>
    </w:pPr>
  </w:style>
  <w:style w:type="numbering" w:customStyle="1" w:styleId="ImportedStyle15">
    <w:name w:val="Imported Style 15"/>
    <w:rsid w:val="007C2EFF"/>
  </w:style>
  <w:style w:type="paragraph" w:styleId="CommentText">
    <w:name w:val="annotation text"/>
    <w:basedOn w:val="Normal"/>
    <w:link w:val="CommentTextChar"/>
    <w:uiPriority w:val="99"/>
    <w:unhideWhenUsed/>
    <w:rsid w:val="007C2EFF"/>
    <w:rPr>
      <w:sz w:val="20"/>
      <w:szCs w:val="20"/>
    </w:rPr>
  </w:style>
  <w:style w:type="character" w:customStyle="1" w:styleId="CommentTextChar">
    <w:name w:val="Comment Text Char"/>
    <w:basedOn w:val="DefaultParagraphFont"/>
    <w:link w:val="CommentText"/>
    <w:uiPriority w:val="99"/>
    <w:rsid w:val="007C2EFF"/>
    <w:rPr>
      <w:rFonts w:ascii="Times New Roman" w:eastAsia="Times New Roman" w:hAnsi="Times New Roman" w:cs="Times New Roman"/>
      <w:sz w:val="20"/>
      <w:szCs w:val="20"/>
      <w:lang w:val="pt-BR" w:eastAsia="pt-BR"/>
    </w:rPr>
  </w:style>
  <w:style w:type="character" w:styleId="CommentReference">
    <w:name w:val="annotation reference"/>
    <w:basedOn w:val="DefaultParagraphFont"/>
    <w:uiPriority w:val="99"/>
    <w:semiHidden/>
    <w:unhideWhenUsed/>
    <w:rsid w:val="007C2EFF"/>
    <w:rPr>
      <w:sz w:val="16"/>
      <w:szCs w:val="16"/>
    </w:rPr>
  </w:style>
  <w:style w:type="paragraph" w:styleId="BalloonText">
    <w:name w:val="Balloon Text"/>
    <w:basedOn w:val="Normal"/>
    <w:link w:val="BalloonTextChar"/>
    <w:uiPriority w:val="99"/>
    <w:semiHidden/>
    <w:unhideWhenUsed/>
    <w:rsid w:val="007C2EFF"/>
    <w:rPr>
      <w:rFonts w:ascii="Tahoma" w:hAnsi="Tahoma" w:cs="Tahoma"/>
      <w:sz w:val="16"/>
      <w:szCs w:val="16"/>
    </w:rPr>
  </w:style>
  <w:style w:type="character" w:customStyle="1" w:styleId="BalloonTextChar">
    <w:name w:val="Balloon Text Char"/>
    <w:basedOn w:val="DefaultParagraphFont"/>
    <w:link w:val="BalloonText"/>
    <w:uiPriority w:val="99"/>
    <w:semiHidden/>
    <w:rsid w:val="007C2EFF"/>
    <w:rPr>
      <w:rFonts w:ascii="Tahoma" w:eastAsia="Times New Roman" w:hAnsi="Tahoma" w:cs="Tahoma"/>
      <w:sz w:val="16"/>
      <w:szCs w:val="16"/>
      <w:lang w:val="pt-BR" w:eastAsia="pt-BR"/>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
    <w:link w:val="FootnotesrefssChar1Char"/>
    <w:uiPriority w:val="99"/>
    <w:unhideWhenUsed/>
    <w:qFormat/>
    <w:rsid w:val="007C2EFF"/>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7C2EFF"/>
    <w:pPr>
      <w:spacing w:after="160" w:line="240" w:lineRule="exact"/>
    </w:pPr>
    <w:rPr>
      <w:rFonts w:asciiTheme="minorHAnsi" w:eastAsiaTheme="minorHAnsi" w:hAnsiTheme="minorHAnsi" w:cstheme="minorBidi"/>
      <w:vertAlign w:val="superscript"/>
      <w:lang w:val="en-US" w:eastAsia="en-US"/>
    </w:rPr>
  </w:style>
  <w:style w:type="character" w:customStyle="1" w:styleId="ListParagraphChar">
    <w:name w:val="List Paragraph Char"/>
    <w:aliases w:val="Párrafo de lista1 Char,List Paragraph1 Char,List Paragraph11 Char,List Paragraph2 Char,Lista vistosa - Énfasis 11 Char,Subtle Emphasis1 Char,Footnote1 Char,Medium Grid 1 - Accent 21 Char,Colorful List - Accent 12 Char,Parragrap Char"/>
    <w:link w:val="ListParagraph"/>
    <w:qFormat/>
    <w:locked/>
    <w:rsid w:val="007C2EFF"/>
    <w:rPr>
      <w:rFonts w:ascii="Cambria" w:eastAsia="Cambria" w:hAnsi="Cambria" w:cs="Cambria"/>
      <w:color w:val="000000"/>
      <w:u w:color="000000"/>
      <w:bdr w:val="nil"/>
      <w:lang w:eastAsia="es-CL"/>
    </w:rPr>
  </w:style>
  <w:style w:type="paragraph" w:styleId="NormalWeb">
    <w:name w:val="Normal (Web)"/>
    <w:basedOn w:val="Normal"/>
    <w:uiPriority w:val="99"/>
    <w:unhideWhenUsed/>
    <w:rsid w:val="007C2EFF"/>
  </w:style>
  <w:style w:type="paragraph" w:styleId="BodyTextIndent">
    <w:name w:val="Body Text Indent"/>
    <w:link w:val="BodyTextIndentChar"/>
    <w:semiHidden/>
    <w:unhideWhenUsed/>
    <w:rsid w:val="007C2EFF"/>
    <w:pPr>
      <w:ind w:left="2160" w:hanging="720"/>
    </w:pPr>
    <w:rPr>
      <w:rFonts w:ascii="Times New Roman" w:eastAsia="Times New Roman" w:hAnsi="Times New Roman" w:cs="Times New Roman"/>
      <w:color w:val="000000"/>
      <w:u w:color="000000"/>
      <w:lang w:val="es-ES_tradnl" w:eastAsia="es-ES"/>
    </w:rPr>
  </w:style>
  <w:style w:type="character" w:customStyle="1" w:styleId="BodyTextIndentChar">
    <w:name w:val="Body Text Indent Char"/>
    <w:basedOn w:val="DefaultParagraphFont"/>
    <w:link w:val="BodyTextIndent"/>
    <w:semiHidden/>
    <w:rsid w:val="007C2EFF"/>
    <w:rPr>
      <w:rFonts w:ascii="Times New Roman" w:eastAsia="Times New Roman" w:hAnsi="Times New Roman" w:cs="Times New Roman"/>
      <w:color w:val="000000"/>
      <w:u w:color="000000"/>
      <w:lang w:val="es-ES_tradnl" w:eastAsia="es-ES"/>
    </w:rPr>
  </w:style>
  <w:style w:type="character" w:styleId="Strong">
    <w:name w:val="Strong"/>
    <w:basedOn w:val="DefaultParagraphFont"/>
    <w:uiPriority w:val="22"/>
    <w:qFormat/>
    <w:rsid w:val="007C2EFF"/>
    <w:rPr>
      <w:b/>
      <w:bCs/>
    </w:rPr>
  </w:style>
  <w:style w:type="paragraph" w:styleId="CommentSubject">
    <w:name w:val="annotation subject"/>
    <w:basedOn w:val="CommentText"/>
    <w:next w:val="CommentText"/>
    <w:link w:val="CommentSubjectChar"/>
    <w:uiPriority w:val="99"/>
    <w:semiHidden/>
    <w:unhideWhenUsed/>
    <w:rsid w:val="007C2EFF"/>
    <w:rPr>
      <w:b/>
      <w:bCs/>
    </w:rPr>
  </w:style>
  <w:style w:type="character" w:customStyle="1" w:styleId="CommentSubjectChar">
    <w:name w:val="Comment Subject Char"/>
    <w:basedOn w:val="CommentTextChar"/>
    <w:link w:val="CommentSubject"/>
    <w:uiPriority w:val="99"/>
    <w:semiHidden/>
    <w:rsid w:val="007C2EFF"/>
    <w:rPr>
      <w:rFonts w:ascii="Times New Roman" w:eastAsia="Times New Roman" w:hAnsi="Times New Roman" w:cs="Times New Roman"/>
      <w:b/>
      <w:bCs/>
      <w:sz w:val="20"/>
      <w:szCs w:val="20"/>
      <w:lang w:val="pt-BR" w:eastAsia="pt-BR"/>
    </w:rPr>
  </w:style>
  <w:style w:type="paragraph" w:styleId="Revision">
    <w:name w:val="Revision"/>
    <w:hidden/>
    <w:uiPriority w:val="99"/>
    <w:semiHidden/>
    <w:rsid w:val="007C2EFF"/>
    <w:rPr>
      <w:rFonts w:ascii="Times New Roman" w:eastAsia="Arial Unicode MS" w:hAnsi="Times New Roman" w:cs="Times New Roman"/>
      <w:bdr w:val="nil"/>
    </w:rPr>
  </w:style>
  <w:style w:type="character" w:customStyle="1" w:styleId="Style2Char">
    <w:name w:val="Style2 Char"/>
    <w:link w:val="Style2"/>
    <w:rsid w:val="007C2EFF"/>
    <w:rPr>
      <w:rFonts w:ascii="Cambria" w:eastAsia="Cambria" w:hAnsi="Cambria" w:cs="Cambria"/>
      <w:color w:val="000000"/>
      <w:sz w:val="20"/>
      <w:szCs w:val="20"/>
      <w:u w:color="000000"/>
      <w:bdr w:val="nil"/>
      <w:lang w:val="es-ES_tradnl" w:eastAsia="es-C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7C2EFF"/>
    <w:pPr>
      <w:spacing w:before="200" w:after="160" w:line="240" w:lineRule="exact"/>
    </w:pPr>
    <w:rPr>
      <w:rFonts w:ascii="Verdana" w:hAnsi="Verdana"/>
      <w:sz w:val="22"/>
      <w:szCs w:val="20"/>
      <w:vertAlign w:val="superscript"/>
      <w:lang w:val="es-ES" w:eastAsia="es-ES"/>
    </w:rPr>
  </w:style>
  <w:style w:type="character" w:styleId="PlaceholderText">
    <w:name w:val="Placeholder Text"/>
    <w:basedOn w:val="DefaultParagraphFont"/>
    <w:uiPriority w:val="99"/>
    <w:semiHidden/>
    <w:rsid w:val="007C2EFF"/>
    <w:rPr>
      <w:color w:val="808080"/>
    </w:rPr>
  </w:style>
  <w:style w:type="paragraph" w:customStyle="1" w:styleId="Cabeceraypie">
    <w:name w:val="Cabecera y pie"/>
    <w:rsid w:val="007C2EFF"/>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customStyle="1" w:styleId="1">
    <w:name w:val="1"/>
    <w:basedOn w:val="Normal"/>
    <w:rsid w:val="007C2EFF"/>
    <w:pPr>
      <w:spacing w:after="160" w:line="240" w:lineRule="exact"/>
    </w:pPr>
    <w:rPr>
      <w:rFonts w:asciiTheme="minorHAnsi" w:eastAsiaTheme="minorHAnsi" w:hAnsiTheme="minorHAnsi" w:cstheme="minorBidi"/>
      <w:vertAlign w:val="superscript"/>
    </w:rPr>
  </w:style>
  <w:style w:type="paragraph" w:styleId="TOCHeading">
    <w:name w:val="TOC Heading"/>
    <w:basedOn w:val="Heading1"/>
    <w:next w:val="Normal"/>
    <w:uiPriority w:val="39"/>
    <w:unhideWhenUsed/>
    <w:qFormat/>
    <w:rsid w:val="007C2EFF"/>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line="276" w:lineRule="auto"/>
      <w:jc w:val="left"/>
      <w:outlineLvl w:val="9"/>
    </w:pPr>
    <w:rPr>
      <w:rFonts w:asciiTheme="majorHAnsi" w:eastAsiaTheme="majorEastAsia" w:hAnsiTheme="majorHAnsi" w:cstheme="majorBidi"/>
      <w:color w:val="2F5496" w:themeColor="accent1" w:themeShade="BF"/>
      <w:sz w:val="28"/>
      <w:szCs w:val="28"/>
      <w:bdr w:val="none" w:sz="0" w:space="0" w:color="auto"/>
      <w:lang w:val="en-US" w:eastAsia="ja-JP"/>
    </w:rPr>
  </w:style>
  <w:style w:type="paragraph" w:styleId="TOC1">
    <w:name w:val="toc 1"/>
    <w:basedOn w:val="Normal"/>
    <w:next w:val="Normal"/>
    <w:autoRedefine/>
    <w:uiPriority w:val="39"/>
    <w:unhideWhenUsed/>
    <w:rsid w:val="007C2EFF"/>
    <w:pPr>
      <w:tabs>
        <w:tab w:val="left" w:pos="480"/>
        <w:tab w:val="right" w:leader="dot" w:pos="9771"/>
      </w:tabs>
      <w:spacing w:after="100"/>
    </w:pPr>
    <w:rPr>
      <w:rFonts w:ascii="Cambria" w:hAnsi="Cambria"/>
      <w:b/>
      <w:noProof/>
      <w:sz w:val="20"/>
      <w:szCs w:val="20"/>
      <w:lang w:val="es-ES_tradnl"/>
    </w:rPr>
  </w:style>
  <w:style w:type="paragraph" w:styleId="TOC2">
    <w:name w:val="toc 2"/>
    <w:basedOn w:val="Normal"/>
    <w:next w:val="Normal"/>
    <w:autoRedefine/>
    <w:uiPriority w:val="39"/>
    <w:unhideWhenUsed/>
    <w:rsid w:val="007C2EFF"/>
    <w:pPr>
      <w:tabs>
        <w:tab w:val="left" w:pos="540"/>
        <w:tab w:val="right" w:leader="dot" w:pos="9771"/>
      </w:tabs>
      <w:spacing w:after="100"/>
      <w:ind w:left="540" w:hanging="540"/>
    </w:pPr>
  </w:style>
  <w:style w:type="paragraph" w:styleId="TOC3">
    <w:name w:val="toc 3"/>
    <w:basedOn w:val="Normal"/>
    <w:next w:val="Normal"/>
    <w:autoRedefine/>
    <w:uiPriority w:val="39"/>
    <w:unhideWhenUsed/>
    <w:rsid w:val="007C2EFF"/>
    <w:pPr>
      <w:tabs>
        <w:tab w:val="left" w:pos="540"/>
        <w:tab w:val="right" w:leader="dot" w:pos="9771"/>
      </w:tabs>
      <w:spacing w:after="100"/>
    </w:pPr>
  </w:style>
  <w:style w:type="character" w:customStyle="1" w:styleId="apple-converted-space">
    <w:name w:val="apple-converted-space"/>
    <w:basedOn w:val="DefaultParagraphFont"/>
    <w:rsid w:val="007C2EFF"/>
  </w:style>
  <w:style w:type="character" w:styleId="Emphasis">
    <w:name w:val="Emphasis"/>
    <w:basedOn w:val="DefaultParagraphFont"/>
    <w:uiPriority w:val="20"/>
    <w:qFormat/>
    <w:rsid w:val="007C2EFF"/>
    <w:rPr>
      <w:i/>
      <w:iCs/>
    </w:rPr>
  </w:style>
  <w:style w:type="character" w:styleId="FollowedHyperlink">
    <w:name w:val="FollowedHyperlink"/>
    <w:basedOn w:val="DefaultParagraphFont"/>
    <w:uiPriority w:val="99"/>
    <w:semiHidden/>
    <w:unhideWhenUsed/>
    <w:rsid w:val="007C2EFF"/>
    <w:rPr>
      <w:color w:val="954F72" w:themeColor="followedHyperlink"/>
      <w:u w:val="single"/>
    </w:rPr>
  </w:style>
  <w:style w:type="character" w:customStyle="1" w:styleId="MenoPendente1">
    <w:name w:val="Menção Pendente1"/>
    <w:basedOn w:val="DefaultParagraphFont"/>
    <w:uiPriority w:val="99"/>
    <w:semiHidden/>
    <w:unhideWhenUsed/>
    <w:rsid w:val="007C2EFF"/>
    <w:rPr>
      <w:color w:val="605E5C"/>
      <w:shd w:val="clear" w:color="auto" w:fill="E1DFDD"/>
    </w:rPr>
  </w:style>
  <w:style w:type="paragraph" w:customStyle="1" w:styleId="msonormal0">
    <w:name w:val="msonormal"/>
    <w:basedOn w:val="Normal"/>
    <w:rsid w:val="007C2EFF"/>
    <w:pPr>
      <w:spacing w:before="100" w:beforeAutospacing="1" w:after="100" w:afterAutospacing="1"/>
    </w:pPr>
  </w:style>
  <w:style w:type="table" w:styleId="TableGrid">
    <w:name w:val="Table Grid"/>
    <w:basedOn w:val="TableNormal"/>
    <w:rsid w:val="007C2EFF"/>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tcMar>
        <w:left w:w="68" w:type="dxa"/>
        <w:right w:w="68" w:type="dxa"/>
      </w:tcMar>
    </w:tcPr>
  </w:style>
  <w:style w:type="paragraph" w:customStyle="1" w:styleId="gmail-body">
    <w:name w:val="gmail-body"/>
    <w:basedOn w:val="Normal"/>
    <w:rsid w:val="007C2EFF"/>
    <w:pPr>
      <w:spacing w:before="100" w:beforeAutospacing="1" w:after="100" w:afterAutospacing="1"/>
    </w:pPr>
    <w:rPr>
      <w:rFonts w:eastAsiaTheme="minorHAnsi"/>
    </w:rPr>
  </w:style>
  <w:style w:type="character" w:customStyle="1" w:styleId="gmail-msofootnotereference">
    <w:name w:val="gmail-msofootnotereference"/>
    <w:basedOn w:val="DefaultParagraphFont"/>
    <w:rsid w:val="007C2EFF"/>
  </w:style>
  <w:style w:type="paragraph" w:customStyle="1" w:styleId="gmail-msofootnotetext">
    <w:name w:val="gmail-msofootnotetext"/>
    <w:basedOn w:val="Normal"/>
    <w:rsid w:val="007C2EFF"/>
    <w:pPr>
      <w:spacing w:before="100" w:beforeAutospacing="1" w:after="100" w:afterAutospacing="1"/>
    </w:pPr>
    <w:rPr>
      <w:rFonts w:eastAsiaTheme="minorHAnsi"/>
    </w:rPr>
  </w:style>
  <w:style w:type="paragraph" w:customStyle="1" w:styleId="parrafos">
    <w:name w:val="parrafos"/>
    <w:basedOn w:val="Normal"/>
    <w:link w:val="parrafosChar"/>
    <w:qFormat/>
    <w:rsid w:val="007C2EFF"/>
    <w:pPr>
      <w:numPr>
        <w:numId w:val="27"/>
      </w:numPr>
      <w:tabs>
        <w:tab w:val="left" w:pos="360"/>
      </w:tabs>
      <w:jc w:val="both"/>
    </w:pPr>
    <w:rPr>
      <w:rFonts w:ascii="Cambria" w:eastAsia="Arial Unicode MS" w:hAnsi="Cambria"/>
      <w:color w:val="000000"/>
      <w:sz w:val="20"/>
      <w:szCs w:val="20"/>
      <w:bdr w:val="nil"/>
      <w:lang w:val="es-VE" w:eastAsia="en-US"/>
    </w:rPr>
  </w:style>
  <w:style w:type="character" w:customStyle="1" w:styleId="parrafosChar">
    <w:name w:val="parrafos Char"/>
    <w:link w:val="parrafos"/>
    <w:rsid w:val="007C2EFF"/>
    <w:rPr>
      <w:rFonts w:ascii="Cambria" w:eastAsia="Arial Unicode MS" w:hAnsi="Cambria" w:cs="Times New Roman"/>
      <w:color w:val="000000"/>
      <w:sz w:val="20"/>
      <w:szCs w:val="20"/>
      <w:bdr w:val="nil"/>
      <w:lang w:val="es-VE"/>
    </w:rPr>
  </w:style>
  <w:style w:type="paragraph" w:styleId="HTMLPreformatted">
    <w:name w:val="HTML Preformatted"/>
    <w:basedOn w:val="Normal"/>
    <w:link w:val="HTMLPreformattedChar"/>
    <w:uiPriority w:val="99"/>
    <w:semiHidden/>
    <w:unhideWhenUsed/>
    <w:rsid w:val="007C2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C2EFF"/>
    <w:rPr>
      <w:rFonts w:ascii="Courier New" w:eastAsia="Times New Roman" w:hAnsi="Courier New" w:cs="Courier New"/>
      <w:sz w:val="20"/>
      <w:szCs w:val="20"/>
      <w:lang w:val="pt-BR" w:eastAsia="pt-BR"/>
    </w:rPr>
  </w:style>
  <w:style w:type="character" w:customStyle="1" w:styleId="cf01">
    <w:name w:val="cf01"/>
    <w:basedOn w:val="DefaultParagraphFont"/>
    <w:rsid w:val="007C2EFF"/>
    <w:rPr>
      <w:rFonts w:ascii="Segoe UI" w:hAnsi="Segoe UI" w:cs="Segoe UI" w:hint="default"/>
      <w:sz w:val="18"/>
      <w:szCs w:val="18"/>
    </w:rPr>
  </w:style>
  <w:style w:type="paragraph" w:customStyle="1" w:styleId="Char2">
    <w:name w:val="Char2"/>
    <w:basedOn w:val="Normal"/>
    <w:rsid w:val="007C2EFF"/>
    <w:pPr>
      <w:spacing w:after="160" w:line="240" w:lineRule="exact"/>
    </w:pPr>
    <w:rPr>
      <w:rFonts w:ascii="Verdana" w:hAnsi="Verdana"/>
      <w:sz w:val="22"/>
      <w:szCs w:val="20"/>
      <w:vertAlign w:val="superscript"/>
    </w:rPr>
  </w:style>
  <w:style w:type="character" w:customStyle="1" w:styleId="st1">
    <w:name w:val="st1"/>
    <w:basedOn w:val="DefaultParagraphFont"/>
    <w:rsid w:val="007C2EFF"/>
  </w:style>
  <w:style w:type="character" w:customStyle="1" w:styleId="hps">
    <w:name w:val="hps"/>
    <w:rsid w:val="007C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9918">
      <w:bodyDiv w:val="1"/>
      <w:marLeft w:val="0"/>
      <w:marRight w:val="0"/>
      <w:marTop w:val="0"/>
      <w:marBottom w:val="0"/>
      <w:divBdr>
        <w:top w:val="none" w:sz="0" w:space="0" w:color="auto"/>
        <w:left w:val="none" w:sz="0" w:space="0" w:color="auto"/>
        <w:bottom w:val="none" w:sz="0" w:space="0" w:color="auto"/>
        <w:right w:val="none" w:sz="0" w:space="0" w:color="auto"/>
      </w:divBdr>
    </w:div>
    <w:div w:id="1073546561">
      <w:bodyDiv w:val="1"/>
      <w:marLeft w:val="0"/>
      <w:marRight w:val="0"/>
      <w:marTop w:val="0"/>
      <w:marBottom w:val="0"/>
      <w:divBdr>
        <w:top w:val="none" w:sz="0" w:space="0" w:color="auto"/>
        <w:left w:val="none" w:sz="0" w:space="0" w:color="auto"/>
        <w:bottom w:val="none" w:sz="0" w:space="0" w:color="auto"/>
        <w:right w:val="none" w:sz="0" w:space="0" w:color="auto"/>
      </w:divBdr>
    </w:div>
    <w:div w:id="1172834189">
      <w:bodyDiv w:val="1"/>
      <w:marLeft w:val="0"/>
      <w:marRight w:val="0"/>
      <w:marTop w:val="0"/>
      <w:marBottom w:val="0"/>
      <w:divBdr>
        <w:top w:val="none" w:sz="0" w:space="0" w:color="auto"/>
        <w:left w:val="none" w:sz="0" w:space="0" w:color="auto"/>
        <w:bottom w:val="none" w:sz="0" w:space="0" w:color="auto"/>
        <w:right w:val="none" w:sz="0" w:space="0" w:color="auto"/>
      </w:divBdr>
    </w:div>
    <w:div w:id="17032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nodc.org/mexicoandcentralamerica/es/webstories/12_18_unodc-participa-en-capacitacin-para-fortalecer-la-produccin-de-datos-sobre-delincuencia-y-justicia-penal-en-fric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p/professionalinterest/pages/bangkokrules.aspx" TargetMode="External"/><Relationship Id="rId13" Type="http://schemas.openxmlformats.org/officeDocument/2006/relationships/hyperlink" Target="https://www.unodc.org/documents/ropan/Manual_Mujeres_2da_edicion.compressed.pdf" TargetMode="External"/><Relationship Id="rId18" Type="http://schemas.openxmlformats.org/officeDocument/2006/relationships/hyperlink" Target="https://www.ohchr.org/sp/professionalinterest/pages/bangkokrules.aspx" TargetMode="External"/><Relationship Id="rId26" Type="http://schemas.openxmlformats.org/officeDocument/2006/relationships/hyperlink" Target="http://www.cidh.oas.org/Basicos/Spanish/Principiosybuenaspracticas.htm" TargetMode="External"/><Relationship Id="rId3" Type="http://schemas.openxmlformats.org/officeDocument/2006/relationships/hyperlink" Target="https://www.europarl.europa.eu/sides/getDoc.do?pubRef=-//EP//TEXT+TA+P6-TA-2008-0102+0+DOC+XML+V0//ES" TargetMode="External"/><Relationship Id="rId21" Type="http://schemas.openxmlformats.org/officeDocument/2006/relationships/hyperlink" Target="http://www.cidh.oas.org/Basicos/Spanish/Principiosybuenaspracticas.htm" TargetMode="External"/><Relationship Id="rId7" Type="http://schemas.openxmlformats.org/officeDocument/2006/relationships/hyperlink" Target="https://www.ohchr.org/sp/professionalinterest/pages/bangkokrules.aspx" TargetMode="External"/><Relationship Id="rId12" Type="http://schemas.openxmlformats.org/officeDocument/2006/relationships/hyperlink" Target="https://www.ohchr.org/sp/professionalinterest/pages/bangkokrules.aspx" TargetMode="External"/><Relationship Id="rId17" Type="http://schemas.openxmlformats.org/officeDocument/2006/relationships/hyperlink" Target="https://rm.coe.int/cm-recommendation-2018-5-concerning-children-with-imprisoned-parents-e/16807b3438" TargetMode="External"/><Relationship Id="rId25" Type="http://schemas.openxmlformats.org/officeDocument/2006/relationships/hyperlink" Target="https://www.unodc.org/documents/ropan/Manual_Mujeres_2da_edicion.compressed.pdf" TargetMode="External"/><Relationship Id="rId2" Type="http://schemas.openxmlformats.org/officeDocument/2006/relationships/hyperlink" Target="https://www.ohchr.org/sp/professionalinterest/pages/bangkokrules.aspx" TargetMode="External"/><Relationship Id="rId16" Type="http://schemas.openxmlformats.org/officeDocument/2006/relationships/hyperlink" Target="https://www.europarl.europa.eu/sides/getDoc.do?pubRef=-//EP//TEXT+TA+P6-TA-2008-0102+0+DOC+XML+V0//ES" TargetMode="External"/><Relationship Id="rId20" Type="http://schemas.openxmlformats.org/officeDocument/2006/relationships/hyperlink" Target="http://www.cidh.oas.org/Basicos/Spanish/Principiosybuenaspracticas.htm" TargetMode="External"/><Relationship Id="rId1" Type="http://schemas.openxmlformats.org/officeDocument/2006/relationships/hyperlink" Target="http://www.planalto.gov.br/ccivil_03/leis/L6683.htm" TargetMode="External"/><Relationship Id="rId6" Type="http://schemas.openxmlformats.org/officeDocument/2006/relationships/hyperlink" Target="https://www.europarl.europa.eu/sides/getDoc.do?pubRef=-//EP//TEXT+TA+P6-TA-2008-0102+0+DOC+XML+V0//ES" TargetMode="External"/><Relationship Id="rId11" Type="http://schemas.openxmlformats.org/officeDocument/2006/relationships/hyperlink" Target="https://www.europarl.europa.eu/sides/getDoc.do?pubRef=-//EP//TEXT+TA+P6-TA-2008-0102+0+DOC+XML+V0//ES" TargetMode="External"/><Relationship Id="rId24" Type="http://schemas.openxmlformats.org/officeDocument/2006/relationships/hyperlink" Target="https://www.unodc.org/documents/ropan/Manual_Mujeres_2da_edicion.compressed.pdf" TargetMode="External"/><Relationship Id="rId5" Type="http://schemas.openxmlformats.org/officeDocument/2006/relationships/hyperlink" Target="https://www.unodc.org/documents/ropan/Manual_Mujeres_2da_edicion.compressed.pdf" TargetMode="External"/><Relationship Id="rId15" Type="http://schemas.openxmlformats.org/officeDocument/2006/relationships/hyperlink" Target="https://www.unodc.org/documents/justice-and-prison-reform/Brochure_on_the_The_UN_Standard_Minimum_the_Nelson_Mandela_Rules-S.pdf" TargetMode="External"/><Relationship Id="rId23" Type="http://schemas.openxmlformats.org/officeDocument/2006/relationships/hyperlink" Target="https://rm.coe.int/cm-recommendation-2018-5-concerning-children-with-imprisoned-parents-e/16807b3438" TargetMode="External"/><Relationship Id="rId28" Type="http://schemas.openxmlformats.org/officeDocument/2006/relationships/hyperlink" Target="https://www.unodc.org/documents/ropan/Manual_Mujeres_2da_edicion.compressed.pdf" TargetMode="External"/><Relationship Id="rId10" Type="http://schemas.openxmlformats.org/officeDocument/2006/relationships/hyperlink" Target="https://www.ohchr.org/sp/professionalinterest/pages/bangkokrules.aspx" TargetMode="External"/><Relationship Id="rId19" Type="http://schemas.openxmlformats.org/officeDocument/2006/relationships/hyperlink" Target="http://theprisonbirthproject.org/wp-content/uploads/2016/05/Breaking-Promises_May2016.pdf" TargetMode="External"/><Relationship Id="rId4" Type="http://schemas.openxmlformats.org/officeDocument/2006/relationships/hyperlink" Target="https://www.ohchr.org/sp/professionalinterest/pages/bangkokrules.aspx" TargetMode="External"/><Relationship Id="rId9" Type="http://schemas.openxmlformats.org/officeDocument/2006/relationships/hyperlink" Target="https://www.unodc.org/documents/ropan/Manual_Mujeres_2da_edicion.compressed.pdf" TargetMode="External"/><Relationship Id="rId14" Type="http://schemas.openxmlformats.org/officeDocument/2006/relationships/hyperlink" Target="http://www.cidh.oas.org/Basicos/Spanish/Principiosybuenaspracticas.htm" TargetMode="External"/><Relationship Id="rId22" Type="http://schemas.openxmlformats.org/officeDocument/2006/relationships/hyperlink" Target="https://www.unodc.org/documents/justice-and-prison-reform/Brochure_on_the_The_UN_Standard_Minimum_the_Nelson_Mandela_Rules-S.pdf" TargetMode="External"/><Relationship Id="rId27" Type="http://schemas.openxmlformats.org/officeDocument/2006/relationships/hyperlink" Target="https://www.unodc.org/documents/justice-and-prison-reform/Brochure_on_the_The_UN_Standard_Minimum_the_Nelson_Mandela_Rule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F444-6DCD-4DDB-81EA-18AD47B8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21058</Words>
  <Characters>120032</Characters>
  <Application>Microsoft Office Word</Application>
  <DocSecurity>0</DocSecurity>
  <Lines>1000</Lines>
  <Paragraphs>281</Paragraphs>
  <ScaleCrop>false</ScaleCrop>
  <Company/>
  <LinksUpToDate>false</LinksUpToDate>
  <CharactersWithSpaces>140809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2024-06-24T15:14:00Z</dcterms:created>
  <dcterms:modified xsi:type="dcterms:W3CDTF">2024-06-24T15:14:00Z</dcterms:modified>
</cp:coreProperties>
</file>