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9E08E" w14:textId="5A978183" w:rsidR="00EB26F7" w:rsidRPr="008455A8" w:rsidRDefault="00EB26F7" w:rsidP="002E431E">
      <w:pPr>
        <w:jc w:val="center"/>
        <w:rPr>
          <w:rFonts w:ascii="Cambria" w:eastAsia="Times New Roman" w:hAnsi="Cambria" w:cs="Times New Roman"/>
          <w:b/>
          <w:u w:val="single"/>
          <w:lang w:val="pt-BR"/>
        </w:rPr>
      </w:pPr>
      <w:r w:rsidRPr="008455A8">
        <w:rPr>
          <w:rFonts w:ascii="Cambria" w:eastAsia="Times New Roman" w:hAnsi="Cambria" w:cs="Times New Roman"/>
          <w:b/>
          <w:u w:val="single"/>
          <w:lang w:val="pt-BR"/>
        </w:rPr>
        <w:t xml:space="preserve">QUESTIONÁRIO DE CONSULTA PARA A ELABORAÇÃO DO </w:t>
      </w:r>
      <w:r w:rsidR="002E431E" w:rsidRPr="008455A8">
        <w:rPr>
          <w:rFonts w:ascii="Cambria" w:eastAsia="Times New Roman" w:hAnsi="Cambria" w:cs="Times New Roman"/>
          <w:b/>
          <w:u w:val="single"/>
          <w:lang w:val="pt-BR"/>
        </w:rPr>
        <w:t>INFORME</w:t>
      </w:r>
      <w:r w:rsidRPr="008455A8">
        <w:rPr>
          <w:rFonts w:ascii="Cambria" w:eastAsia="Times New Roman" w:hAnsi="Cambria" w:cs="Times New Roman"/>
          <w:b/>
          <w:u w:val="single"/>
          <w:lang w:val="pt-BR"/>
        </w:rPr>
        <w:t xml:space="preserve"> TEMÁTICO</w:t>
      </w:r>
    </w:p>
    <w:p w14:paraId="524119F0" w14:textId="015070B6" w:rsidR="00EB26F7" w:rsidRPr="008455A8" w:rsidRDefault="00EB26F7" w:rsidP="002E431E">
      <w:pPr>
        <w:jc w:val="center"/>
        <w:rPr>
          <w:rFonts w:ascii="Cambria" w:eastAsia="Times New Roman" w:hAnsi="Cambria" w:cs="Times New Roman"/>
          <w:b/>
          <w:u w:val="single"/>
          <w:lang w:val="pt-BR"/>
        </w:rPr>
      </w:pPr>
    </w:p>
    <w:p w14:paraId="268CFBD5" w14:textId="0E7BE266" w:rsidR="00EB26F7" w:rsidRPr="008455A8" w:rsidRDefault="0051618C" w:rsidP="002E431E">
      <w:pPr>
        <w:jc w:val="center"/>
        <w:rPr>
          <w:rFonts w:ascii="Cambria" w:eastAsia="Times New Roman" w:hAnsi="Cambria" w:cs="Times New Roman"/>
          <w:b/>
          <w:lang w:val="pt-BR"/>
        </w:rPr>
      </w:pPr>
      <w:r w:rsidRPr="008455A8">
        <w:rPr>
          <w:rFonts w:ascii="Cambria" w:eastAsia="Times New Roman" w:hAnsi="Cambria" w:cs="Times New Roman"/>
          <w:b/>
          <w:lang w:val="pt-BR"/>
        </w:rPr>
        <w:t>INFORME</w:t>
      </w:r>
      <w:r w:rsidR="00EB26F7" w:rsidRPr="008455A8">
        <w:rPr>
          <w:rFonts w:ascii="Cambria" w:eastAsia="Times New Roman" w:hAnsi="Cambria" w:cs="Times New Roman"/>
          <w:b/>
          <w:lang w:val="pt-BR"/>
        </w:rPr>
        <w:t xml:space="preserve"> SOBRE AS PESSOAS E OS DIREITOS ECONÓMICOS, SOCIAIS E CULTURAIS</w:t>
      </w:r>
    </w:p>
    <w:p w14:paraId="09A5E696" w14:textId="06009BBC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606335D1" w14:textId="39D8640E" w:rsidR="002E431E" w:rsidRDefault="002E431E" w:rsidP="00D14E51">
      <w:pPr>
        <w:jc w:val="both"/>
        <w:rPr>
          <w:rFonts w:ascii="Cambria" w:hAnsi="Cambria"/>
          <w:lang w:val="pt-BR"/>
        </w:rPr>
      </w:pPr>
    </w:p>
    <w:p w14:paraId="3D834906" w14:textId="77777777" w:rsidR="00044FE5" w:rsidRPr="004E2511" w:rsidRDefault="00044FE5" w:rsidP="00D14E51">
      <w:pPr>
        <w:jc w:val="both"/>
        <w:rPr>
          <w:rFonts w:ascii="Cambria" w:hAnsi="Cambria"/>
          <w:lang w:val="pt-BR"/>
        </w:rPr>
      </w:pPr>
    </w:p>
    <w:p w14:paraId="3C8BB18E" w14:textId="77777777" w:rsidR="00EB26F7" w:rsidRPr="008455A8" w:rsidRDefault="00EB26F7" w:rsidP="004E2511">
      <w:pPr>
        <w:spacing w:line="276" w:lineRule="auto"/>
        <w:ind w:left="720" w:hanging="360"/>
        <w:jc w:val="both"/>
        <w:rPr>
          <w:rFonts w:ascii="Cambria" w:eastAsia="Calibri" w:hAnsi="Cambria" w:cs="Calibri"/>
          <w:b/>
          <w:color w:val="000000" w:themeColor="text1"/>
          <w:lang w:val="pt-BR"/>
        </w:rPr>
      </w:pPr>
      <w:r w:rsidRPr="008455A8">
        <w:rPr>
          <w:rFonts w:ascii="Cambria" w:eastAsia="Calibri" w:hAnsi="Cambria" w:cs="Calibri"/>
          <w:b/>
          <w:color w:val="000000" w:themeColor="text1"/>
          <w:lang w:val="pt-BR"/>
        </w:rPr>
        <w:t>1. APRESENTAÇÃO</w:t>
      </w:r>
    </w:p>
    <w:p w14:paraId="56275CBE" w14:textId="70954025" w:rsidR="00EB26F7" w:rsidRDefault="00EB26F7" w:rsidP="00D14E51">
      <w:pPr>
        <w:jc w:val="both"/>
        <w:rPr>
          <w:rFonts w:ascii="Cambria" w:hAnsi="Cambria"/>
          <w:lang w:val="pt-BR"/>
        </w:rPr>
      </w:pPr>
    </w:p>
    <w:p w14:paraId="28CACAE5" w14:textId="77777777" w:rsidR="00044FE5" w:rsidRPr="004E2511" w:rsidRDefault="00044FE5" w:rsidP="00D14E51">
      <w:pPr>
        <w:jc w:val="both"/>
        <w:rPr>
          <w:rFonts w:ascii="Cambria" w:hAnsi="Cambria"/>
          <w:lang w:val="pt-BR"/>
        </w:rPr>
      </w:pPr>
    </w:p>
    <w:p w14:paraId="3F1DBBCA" w14:textId="193A686D" w:rsidR="00EB26F7" w:rsidRPr="004E2511" w:rsidRDefault="000F3604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A Relatoria </w:t>
      </w:r>
      <w:r w:rsidR="00EB26F7" w:rsidRPr="004E2511">
        <w:rPr>
          <w:rFonts w:ascii="Cambria" w:hAnsi="Cambria"/>
          <w:lang w:val="pt-BR"/>
        </w:rPr>
        <w:t>sobre os Direitos das</w:t>
      </w:r>
      <w:r w:rsidRPr="004E2511">
        <w:rPr>
          <w:rFonts w:ascii="Cambria" w:hAnsi="Cambria"/>
          <w:lang w:val="pt-BR"/>
        </w:rPr>
        <w:t xml:space="preserve"> Pessoas </w:t>
      </w:r>
      <w:r w:rsidR="00EB26F7" w:rsidRPr="004E2511">
        <w:rPr>
          <w:rFonts w:ascii="Cambria" w:hAnsi="Cambria"/>
          <w:lang w:val="pt-BR"/>
        </w:rPr>
        <w:t>Lésbicas, Gay</w:t>
      </w:r>
      <w:r w:rsidR="008455A8">
        <w:rPr>
          <w:rFonts w:ascii="Cambria" w:hAnsi="Cambria"/>
          <w:lang w:val="pt-BR"/>
        </w:rPr>
        <w:t>s, Bissexuais, Trans e Intersex</w:t>
      </w:r>
      <w:r w:rsidR="00622CA5" w:rsidRPr="004E2511">
        <w:rPr>
          <w:rFonts w:ascii="Cambria" w:hAnsi="Cambria"/>
          <w:lang w:val="pt-BR"/>
        </w:rPr>
        <w:t xml:space="preserve"> (doravante Relatoria LGBTI), da Comissão Interamericana de Direitos Humanos (doravante denominada Comissão ou CIDH) realiza </w:t>
      </w:r>
      <w:r w:rsidR="0051618C" w:rsidRPr="004E2511">
        <w:rPr>
          <w:rFonts w:ascii="Cambria" w:hAnsi="Cambria"/>
          <w:lang w:val="pt-BR"/>
        </w:rPr>
        <w:t>a presente</w:t>
      </w:r>
      <w:r w:rsidR="00622CA5" w:rsidRPr="004E2511">
        <w:rPr>
          <w:rFonts w:ascii="Cambria" w:hAnsi="Cambria"/>
          <w:lang w:val="pt-BR"/>
        </w:rPr>
        <w:t xml:space="preserve"> </w:t>
      </w:r>
      <w:r w:rsidR="0051618C" w:rsidRPr="004E2511">
        <w:rPr>
          <w:rFonts w:ascii="Cambria" w:hAnsi="Cambria"/>
          <w:lang w:val="pt-BR"/>
        </w:rPr>
        <w:t>consulta pública,</w:t>
      </w:r>
      <w:r w:rsidR="00EB26F7" w:rsidRPr="004E2511">
        <w:rPr>
          <w:rFonts w:ascii="Cambria" w:hAnsi="Cambria"/>
          <w:lang w:val="pt-BR"/>
        </w:rPr>
        <w:t xml:space="preserve"> </w:t>
      </w:r>
      <w:r w:rsidR="0051618C" w:rsidRPr="004E2511">
        <w:rPr>
          <w:rFonts w:ascii="Cambria" w:hAnsi="Cambria"/>
          <w:lang w:val="pt-BR"/>
        </w:rPr>
        <w:t>a fim</w:t>
      </w:r>
      <w:r w:rsidRPr="004E2511">
        <w:rPr>
          <w:rFonts w:ascii="Cambria" w:hAnsi="Cambria"/>
          <w:lang w:val="pt-BR"/>
        </w:rPr>
        <w:t xml:space="preserve"> de </w:t>
      </w:r>
      <w:r w:rsidR="00EB26F7" w:rsidRPr="004E2511">
        <w:rPr>
          <w:rFonts w:ascii="Cambria" w:hAnsi="Cambria"/>
          <w:lang w:val="pt-BR"/>
        </w:rPr>
        <w:t xml:space="preserve">receber informações sobre os desafios e as </w:t>
      </w:r>
      <w:r w:rsidRPr="004E2511">
        <w:rPr>
          <w:rFonts w:ascii="Cambria" w:hAnsi="Cambria"/>
          <w:lang w:val="pt-BR"/>
        </w:rPr>
        <w:t>boas práticas dos Estados M</w:t>
      </w:r>
      <w:r w:rsidR="00EB26F7" w:rsidRPr="004E2511">
        <w:rPr>
          <w:rFonts w:ascii="Cambria" w:hAnsi="Cambria"/>
          <w:lang w:val="pt-BR"/>
        </w:rPr>
        <w:t xml:space="preserve">embros da </w:t>
      </w:r>
      <w:r w:rsidR="00622CA5" w:rsidRPr="004E2511">
        <w:rPr>
          <w:rFonts w:ascii="Cambria" w:hAnsi="Cambria"/>
          <w:lang w:val="pt-BR"/>
        </w:rPr>
        <w:t xml:space="preserve">Organização dos Estados Americanos (doravante </w:t>
      </w:r>
      <w:r w:rsidR="00EB26F7" w:rsidRPr="004E2511">
        <w:rPr>
          <w:rFonts w:ascii="Cambria" w:hAnsi="Cambria"/>
          <w:lang w:val="pt-BR"/>
        </w:rPr>
        <w:t>OEA</w:t>
      </w:r>
      <w:r w:rsidR="00622CA5" w:rsidRPr="004E2511">
        <w:rPr>
          <w:rFonts w:ascii="Cambria" w:hAnsi="Cambria"/>
          <w:lang w:val="pt-BR"/>
        </w:rPr>
        <w:t>)</w:t>
      </w:r>
      <w:r w:rsidR="00590945" w:rsidRPr="004E2511">
        <w:rPr>
          <w:rFonts w:ascii="Cambria" w:hAnsi="Cambria"/>
          <w:lang w:val="pt-BR"/>
        </w:rPr>
        <w:t xml:space="preserve">, </w:t>
      </w:r>
      <w:r w:rsidR="00622CA5" w:rsidRPr="004E2511">
        <w:rPr>
          <w:rFonts w:ascii="Cambria" w:hAnsi="Cambria"/>
          <w:lang w:val="pt-BR"/>
        </w:rPr>
        <w:t>em relação ao</w:t>
      </w:r>
      <w:r w:rsidR="00EB26F7" w:rsidRPr="004E2511">
        <w:rPr>
          <w:rFonts w:ascii="Cambria" w:hAnsi="Cambria"/>
          <w:lang w:val="pt-BR"/>
        </w:rPr>
        <w:t xml:space="preserve"> reconhecimento e</w:t>
      </w:r>
      <w:r w:rsidR="00622CA5" w:rsidRPr="004E2511">
        <w:rPr>
          <w:rFonts w:ascii="Cambria" w:hAnsi="Cambria"/>
          <w:lang w:val="pt-BR"/>
        </w:rPr>
        <w:t xml:space="preserve"> à </w:t>
      </w:r>
      <w:r w:rsidR="00EB26F7" w:rsidRPr="004E2511">
        <w:rPr>
          <w:rFonts w:ascii="Cambria" w:hAnsi="Cambria"/>
          <w:lang w:val="pt-BR"/>
        </w:rPr>
        <w:t xml:space="preserve">garantia efetiva </w:t>
      </w:r>
      <w:r w:rsidR="00622CA5" w:rsidRPr="004E2511">
        <w:rPr>
          <w:rFonts w:ascii="Cambria" w:hAnsi="Cambria"/>
          <w:lang w:val="pt-BR"/>
        </w:rPr>
        <w:t>d</w:t>
      </w:r>
      <w:r w:rsidR="00EB26F7" w:rsidRPr="004E2511">
        <w:rPr>
          <w:rFonts w:ascii="Cambria" w:hAnsi="Cambria"/>
          <w:lang w:val="pt-BR"/>
        </w:rPr>
        <w:t>os direitos econômicos, sociais e culturais</w:t>
      </w:r>
      <w:r w:rsidR="00590945" w:rsidRPr="004E2511">
        <w:rPr>
          <w:rStyle w:val="FootnoteReference"/>
          <w:rFonts w:ascii="Cambria" w:hAnsi="Cambria"/>
          <w:lang w:val="pt-BR"/>
        </w:rPr>
        <w:footnoteReference w:id="1"/>
      </w:r>
      <w:r w:rsidR="00EB26F7" w:rsidRPr="004E2511">
        <w:rPr>
          <w:rFonts w:ascii="Cambria" w:hAnsi="Cambria"/>
          <w:lang w:val="pt-BR"/>
        </w:rPr>
        <w:t xml:space="preserve"> das pessoas trans</w:t>
      </w:r>
      <w:r w:rsidR="00590945" w:rsidRPr="004E2511">
        <w:rPr>
          <w:rStyle w:val="FootnoteReference"/>
          <w:rFonts w:ascii="Cambria" w:hAnsi="Cambria"/>
          <w:lang w:val="pt-BR"/>
        </w:rPr>
        <w:footnoteReference w:id="2"/>
      </w:r>
      <w:r w:rsidR="00EB26F7" w:rsidRPr="004E2511">
        <w:rPr>
          <w:rFonts w:ascii="Cambria" w:hAnsi="Cambria"/>
          <w:lang w:val="pt-BR"/>
        </w:rPr>
        <w:t>.</w:t>
      </w:r>
    </w:p>
    <w:p w14:paraId="032CAF12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72BA1B42" w14:textId="7EC624B1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A Declaração Americana </w:t>
      </w:r>
      <w:r w:rsidR="0051618C" w:rsidRPr="004E2511">
        <w:rPr>
          <w:rFonts w:ascii="Cambria" w:hAnsi="Cambria"/>
          <w:lang w:val="pt-BR"/>
        </w:rPr>
        <w:t>dos Direitos e Deveres do Homem reconhece</w:t>
      </w:r>
      <w:r w:rsidRPr="004E2511">
        <w:rPr>
          <w:rFonts w:ascii="Cambria" w:hAnsi="Cambria"/>
          <w:lang w:val="pt-BR"/>
        </w:rPr>
        <w:t xml:space="preserve"> que todos os direitos humanos são universais, complementares, indivisíveis e interdependentes</w:t>
      </w:r>
      <w:r w:rsidR="0051618C" w:rsidRPr="004E2511">
        <w:rPr>
          <w:rFonts w:ascii="Cambria" w:hAnsi="Cambria"/>
          <w:lang w:val="pt-BR"/>
        </w:rPr>
        <w:t xml:space="preserve"> e, também estabelece que </w:t>
      </w:r>
      <w:r w:rsidRPr="004E2511">
        <w:rPr>
          <w:rFonts w:ascii="Cambria" w:hAnsi="Cambria"/>
          <w:lang w:val="pt-BR"/>
        </w:rPr>
        <w:t>todos os seres humanos nascem livres e iguais em dignidade e direitos</w:t>
      </w:r>
      <w:r w:rsidR="00D14E51" w:rsidRPr="004E2511">
        <w:rPr>
          <w:rStyle w:val="FootnoteReference"/>
          <w:rFonts w:ascii="Cambria" w:hAnsi="Cambria"/>
          <w:lang w:val="pt-BR"/>
        </w:rPr>
        <w:footnoteReference w:id="3"/>
      </w:r>
      <w:r w:rsidRPr="004E2511">
        <w:rPr>
          <w:rFonts w:ascii="Cambria" w:hAnsi="Cambria"/>
          <w:lang w:val="pt-BR"/>
        </w:rPr>
        <w:t xml:space="preserve">. </w:t>
      </w:r>
      <w:r w:rsidR="0051618C" w:rsidRPr="004E2511">
        <w:rPr>
          <w:rFonts w:ascii="Cambria" w:hAnsi="Cambria"/>
          <w:lang w:val="pt-BR"/>
        </w:rPr>
        <w:t>A</w:t>
      </w:r>
      <w:r w:rsidRPr="004E2511">
        <w:rPr>
          <w:rFonts w:ascii="Cambria" w:hAnsi="Cambria"/>
          <w:lang w:val="pt-BR"/>
        </w:rPr>
        <w:t xml:space="preserve"> Convenção Americana</w:t>
      </w:r>
      <w:r w:rsidR="0051618C" w:rsidRPr="004E2511">
        <w:rPr>
          <w:rFonts w:ascii="Cambria" w:hAnsi="Cambria"/>
          <w:lang w:val="pt-BR"/>
        </w:rPr>
        <w:t xml:space="preserve"> de Direitos Humanos, por sua vez,</w:t>
      </w:r>
      <w:r w:rsidRPr="004E2511">
        <w:rPr>
          <w:rFonts w:ascii="Cambria" w:hAnsi="Cambria"/>
          <w:lang w:val="pt-BR"/>
        </w:rPr>
        <w:t xml:space="preserve"> </w:t>
      </w:r>
      <w:r w:rsidR="0051618C" w:rsidRPr="004E2511">
        <w:rPr>
          <w:rFonts w:ascii="Cambria" w:hAnsi="Cambria"/>
          <w:lang w:val="pt-BR"/>
        </w:rPr>
        <w:t>determina</w:t>
      </w:r>
      <w:r w:rsidR="00D14E51" w:rsidRPr="004E2511">
        <w:rPr>
          <w:rFonts w:ascii="Cambria" w:hAnsi="Cambria"/>
          <w:lang w:val="pt-BR"/>
        </w:rPr>
        <w:t xml:space="preserve"> que</w:t>
      </w:r>
      <w:r w:rsidRPr="004E2511">
        <w:rPr>
          <w:rFonts w:ascii="Cambria" w:hAnsi="Cambria"/>
          <w:lang w:val="pt-BR"/>
        </w:rPr>
        <w:t xml:space="preserve"> vida "</w:t>
      </w:r>
      <w:r w:rsidR="0051618C" w:rsidRPr="004E2511">
        <w:rPr>
          <w:rFonts w:ascii="Cambria" w:hAnsi="Cambria"/>
          <w:color w:val="000000"/>
          <w:spacing w:val="-3"/>
          <w:lang w:val="pt-BR"/>
        </w:rPr>
        <w:t>isent</w:t>
      </w:r>
      <w:r w:rsidR="00D14E51" w:rsidRPr="004E2511">
        <w:rPr>
          <w:rFonts w:ascii="Cambria" w:hAnsi="Cambria"/>
          <w:color w:val="000000"/>
          <w:spacing w:val="-3"/>
          <w:lang w:val="pt-BR"/>
        </w:rPr>
        <w:t xml:space="preserve">[a] </w:t>
      </w:r>
      <w:r w:rsidR="0051618C" w:rsidRPr="004E2511">
        <w:rPr>
          <w:rFonts w:ascii="Cambria" w:hAnsi="Cambria"/>
          <w:color w:val="000000"/>
          <w:spacing w:val="-3"/>
          <w:lang w:val="pt-BR"/>
        </w:rPr>
        <w:t>do temor e da miséria</w:t>
      </w:r>
      <w:r w:rsidR="00D14E51" w:rsidRPr="004E2511">
        <w:rPr>
          <w:rFonts w:ascii="Cambria" w:hAnsi="Cambria"/>
          <w:color w:val="000000"/>
          <w:spacing w:val="-3"/>
          <w:lang w:val="pt-BR"/>
        </w:rPr>
        <w:t xml:space="preserve">” somente é possível </w:t>
      </w:r>
      <w:r w:rsidR="00D14E51" w:rsidRPr="004E2511">
        <w:rPr>
          <w:rFonts w:ascii="Cambria" w:hAnsi="Cambria"/>
          <w:lang w:val="pt-BR"/>
        </w:rPr>
        <w:t>“</w:t>
      </w:r>
      <w:r w:rsidR="00D14E51" w:rsidRPr="004E2511">
        <w:rPr>
          <w:rFonts w:ascii="Cambria" w:eastAsia="Times New Roman" w:hAnsi="Cambria" w:cs="Times New Roman"/>
          <w:color w:val="000000"/>
          <w:spacing w:val="-3"/>
          <w:lang w:val="pt-BR"/>
        </w:rPr>
        <w:t>se forem criadas condições que permitam a cada pessoa gozar dos seus direitos econômicos, sociais e culturais”</w:t>
      </w:r>
      <w:r w:rsidR="00D14E51" w:rsidRPr="004E2511">
        <w:rPr>
          <w:rStyle w:val="FootnoteReference"/>
          <w:rFonts w:ascii="Cambria" w:eastAsia="Times New Roman" w:hAnsi="Cambria" w:cs="Times New Roman"/>
          <w:color w:val="000000"/>
          <w:spacing w:val="-3"/>
          <w:lang w:val="pt-BR"/>
        </w:rPr>
        <w:footnoteReference w:id="4"/>
      </w:r>
      <w:r w:rsidR="00D14E51" w:rsidRPr="004E2511">
        <w:rPr>
          <w:rFonts w:ascii="Cambria" w:eastAsia="Times New Roman" w:hAnsi="Cambria" w:cs="Times New Roman"/>
          <w:color w:val="000000"/>
          <w:spacing w:val="-3"/>
          <w:lang w:val="pt-BR"/>
        </w:rPr>
        <w:t xml:space="preserve"> </w:t>
      </w:r>
      <w:r w:rsidR="00D14E51" w:rsidRPr="004E2511">
        <w:rPr>
          <w:rFonts w:ascii="Cambria" w:hAnsi="Cambria"/>
          <w:lang w:val="pt-BR"/>
        </w:rPr>
        <w:t>e</w:t>
      </w:r>
      <w:r w:rsidRPr="004E2511">
        <w:rPr>
          <w:rFonts w:ascii="Cambria" w:hAnsi="Cambria"/>
          <w:lang w:val="pt-BR"/>
        </w:rPr>
        <w:t xml:space="preserve"> convoca os Estados a "</w:t>
      </w:r>
      <w:r w:rsidR="00D14E51" w:rsidRPr="004E2511">
        <w:rPr>
          <w:rFonts w:ascii="Cambria" w:hAnsi="Cambria"/>
          <w:color w:val="000000"/>
          <w:spacing w:val="-3"/>
          <w:lang w:val="pt-BR"/>
        </w:rPr>
        <w:t xml:space="preserve"> </w:t>
      </w:r>
      <w:r w:rsidR="00D14E51" w:rsidRPr="004E2511">
        <w:rPr>
          <w:rFonts w:ascii="Cambria" w:eastAsia="Times New Roman" w:hAnsi="Cambria" w:cs="Times New Roman"/>
          <w:color w:val="000000"/>
          <w:spacing w:val="-3"/>
          <w:lang w:val="pt-BR"/>
        </w:rPr>
        <w:t xml:space="preserve">adotar providências, tanto no âmbito interno como mediante cooperação internacional </w:t>
      </w:r>
      <w:r w:rsidRPr="004E2511">
        <w:rPr>
          <w:rFonts w:ascii="Cambria" w:hAnsi="Cambria"/>
          <w:lang w:val="pt-BR"/>
        </w:rPr>
        <w:t xml:space="preserve"> (...), </w:t>
      </w:r>
      <w:r w:rsidR="00D14E51" w:rsidRPr="004E2511">
        <w:rPr>
          <w:rFonts w:ascii="Cambria" w:hAnsi="Cambria"/>
          <w:color w:val="000000"/>
          <w:spacing w:val="-3"/>
          <w:lang w:val="pt-BR"/>
        </w:rPr>
        <w:t>a fim de conseguir progressivamente a plena efetividade dos direitos que decorrem das normas econômicas, sociais e sobre educação, ciência e cultura</w:t>
      </w:r>
      <w:r w:rsidRPr="004E2511">
        <w:rPr>
          <w:rFonts w:ascii="Cambria" w:hAnsi="Cambria"/>
          <w:lang w:val="pt-BR"/>
        </w:rPr>
        <w:t>"</w:t>
      </w:r>
      <w:r w:rsidR="00D14E51" w:rsidRPr="004E2511">
        <w:rPr>
          <w:rStyle w:val="FootnoteReference"/>
          <w:rFonts w:ascii="Cambria" w:hAnsi="Cambria"/>
          <w:lang w:val="pt-BR"/>
        </w:rPr>
        <w:footnoteReference w:id="5"/>
      </w:r>
      <w:r w:rsidRPr="004E2511">
        <w:rPr>
          <w:rFonts w:ascii="Cambria" w:hAnsi="Cambria"/>
          <w:lang w:val="pt-BR"/>
        </w:rPr>
        <w:t>.</w:t>
      </w:r>
    </w:p>
    <w:p w14:paraId="424EBFF1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1C86D2A5" w14:textId="4A0B7246" w:rsidR="001C1D76" w:rsidRPr="004E2511" w:rsidRDefault="00622CA5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Entretanto</w:t>
      </w:r>
      <w:r w:rsidR="00EB26F7" w:rsidRPr="004E2511">
        <w:rPr>
          <w:rFonts w:ascii="Cambria" w:hAnsi="Cambria"/>
          <w:lang w:val="pt-BR"/>
        </w:rPr>
        <w:t xml:space="preserve">, conforme demonstrado no </w:t>
      </w:r>
      <w:r w:rsidR="000F3604" w:rsidRPr="004E2511">
        <w:rPr>
          <w:rFonts w:ascii="Cambria" w:hAnsi="Cambria"/>
          <w:lang w:val="pt-BR"/>
        </w:rPr>
        <w:t xml:space="preserve">informe </w:t>
      </w:r>
      <w:r w:rsidR="00EB26F7" w:rsidRPr="004E2511">
        <w:rPr>
          <w:rFonts w:ascii="Cambria" w:hAnsi="Cambria"/>
          <w:lang w:val="pt-BR"/>
        </w:rPr>
        <w:t xml:space="preserve">sobre </w:t>
      </w:r>
      <w:r w:rsidR="004E2511" w:rsidRPr="004E2511">
        <w:rPr>
          <w:rFonts w:ascii="Cambria" w:hAnsi="Cambria"/>
          <w:lang w:val="pt-BR"/>
        </w:rPr>
        <w:t>Violência</w:t>
      </w:r>
      <w:r w:rsidR="00D14E51" w:rsidRPr="004E2511">
        <w:rPr>
          <w:rFonts w:ascii="Cambria" w:hAnsi="Cambria"/>
          <w:lang w:val="pt-BR"/>
        </w:rPr>
        <w:t xml:space="preserve"> contra Pessoas Lésbicas, Gay</w:t>
      </w:r>
      <w:r w:rsidR="008455A8">
        <w:rPr>
          <w:rFonts w:ascii="Cambria" w:hAnsi="Cambria"/>
          <w:lang w:val="pt-BR"/>
        </w:rPr>
        <w:t>s, Bissexuais, Trans e Intersex</w:t>
      </w:r>
      <w:r w:rsidR="00D14E51" w:rsidRPr="004E2511">
        <w:rPr>
          <w:rFonts w:ascii="Cambria" w:hAnsi="Cambria"/>
          <w:lang w:val="pt-BR"/>
        </w:rPr>
        <w:t xml:space="preserve"> nas Américas,</w:t>
      </w:r>
      <w:r w:rsidR="00EB26F7" w:rsidRPr="004E2511">
        <w:rPr>
          <w:rFonts w:ascii="Cambria" w:hAnsi="Cambria"/>
          <w:lang w:val="pt-BR"/>
        </w:rPr>
        <w:t xml:space="preserve"> </w:t>
      </w:r>
      <w:r w:rsidRPr="004E2511">
        <w:rPr>
          <w:rFonts w:ascii="Cambria" w:hAnsi="Cambria"/>
          <w:lang w:val="pt-BR"/>
        </w:rPr>
        <w:t>existe uma alta prevalência da</w:t>
      </w:r>
      <w:r w:rsidR="00EB26F7" w:rsidRPr="004E2511">
        <w:rPr>
          <w:rFonts w:ascii="Cambria" w:hAnsi="Cambria"/>
          <w:lang w:val="pt-BR"/>
        </w:rPr>
        <w:t xml:space="preserve"> violência contr</w:t>
      </w:r>
      <w:r w:rsidR="000F3604" w:rsidRPr="004E2511">
        <w:rPr>
          <w:rFonts w:ascii="Cambria" w:hAnsi="Cambria"/>
          <w:lang w:val="pt-BR"/>
        </w:rPr>
        <w:t xml:space="preserve">a pessoas LGBTI nas Américas, e, </w:t>
      </w:r>
      <w:r w:rsidR="00EB26F7" w:rsidRPr="004E2511">
        <w:rPr>
          <w:rFonts w:ascii="Cambria" w:hAnsi="Cambria"/>
          <w:lang w:val="pt-BR"/>
        </w:rPr>
        <w:t xml:space="preserve">entre </w:t>
      </w:r>
      <w:r w:rsidRPr="004E2511">
        <w:rPr>
          <w:rFonts w:ascii="Cambria" w:hAnsi="Cambria"/>
          <w:lang w:val="pt-BR"/>
        </w:rPr>
        <w:t>estas pessoas</w:t>
      </w:r>
      <w:r w:rsidR="00EB26F7" w:rsidRPr="004E2511">
        <w:rPr>
          <w:rFonts w:ascii="Cambria" w:hAnsi="Cambria"/>
          <w:lang w:val="pt-BR"/>
        </w:rPr>
        <w:t xml:space="preserve">, </w:t>
      </w:r>
      <w:r w:rsidR="000F3604" w:rsidRPr="004E2511">
        <w:rPr>
          <w:rFonts w:ascii="Cambria" w:hAnsi="Cambria"/>
          <w:lang w:val="pt-BR"/>
        </w:rPr>
        <w:t xml:space="preserve">as </w:t>
      </w:r>
      <w:r w:rsidR="00EB26F7" w:rsidRPr="004E2511">
        <w:rPr>
          <w:rFonts w:ascii="Cambria" w:hAnsi="Cambria"/>
          <w:lang w:val="pt-BR"/>
        </w:rPr>
        <w:t xml:space="preserve">pessoas trans </w:t>
      </w:r>
      <w:r w:rsidR="000F3604" w:rsidRPr="004E2511">
        <w:rPr>
          <w:rFonts w:ascii="Cambria" w:hAnsi="Cambria"/>
          <w:lang w:val="pt-BR"/>
        </w:rPr>
        <w:t>estão</w:t>
      </w:r>
      <w:r w:rsidR="00EB26F7" w:rsidRPr="004E2511">
        <w:rPr>
          <w:rFonts w:ascii="Cambria" w:hAnsi="Cambria"/>
          <w:lang w:val="pt-BR"/>
        </w:rPr>
        <w:t xml:space="preserve"> mais suscetíveis a serem submetid</w:t>
      </w:r>
      <w:r w:rsidRPr="004E2511">
        <w:rPr>
          <w:rFonts w:ascii="Cambria" w:hAnsi="Cambria"/>
          <w:lang w:val="pt-BR"/>
        </w:rPr>
        <w:t xml:space="preserve">as </w:t>
      </w:r>
      <w:r w:rsidR="005F6865" w:rsidRPr="004E2511">
        <w:rPr>
          <w:rFonts w:ascii="Cambria" w:hAnsi="Cambria"/>
          <w:lang w:val="pt-BR"/>
        </w:rPr>
        <w:t xml:space="preserve">às </w:t>
      </w:r>
      <w:r w:rsidRPr="004E2511">
        <w:rPr>
          <w:rFonts w:ascii="Cambria" w:hAnsi="Cambria"/>
          <w:lang w:val="pt-BR"/>
        </w:rPr>
        <w:t>várias formas de violência</w:t>
      </w:r>
      <w:r w:rsidR="000F3604" w:rsidRPr="004E2511">
        <w:rPr>
          <w:rFonts w:ascii="Cambria" w:hAnsi="Cambria"/>
          <w:lang w:val="pt-BR"/>
        </w:rPr>
        <w:t xml:space="preserve"> </w:t>
      </w:r>
      <w:r w:rsidR="00EB26F7" w:rsidRPr="004E2511">
        <w:rPr>
          <w:rFonts w:ascii="Cambria" w:hAnsi="Cambria"/>
          <w:lang w:val="pt-BR"/>
        </w:rPr>
        <w:t>por fatores</w:t>
      </w:r>
      <w:r w:rsidRPr="004E2511">
        <w:rPr>
          <w:rFonts w:ascii="Cambria" w:hAnsi="Cambria"/>
          <w:lang w:val="pt-BR"/>
        </w:rPr>
        <w:t xml:space="preserve"> como</w:t>
      </w:r>
      <w:r w:rsidR="00EB26F7" w:rsidRPr="004E2511">
        <w:rPr>
          <w:rFonts w:ascii="Cambria" w:hAnsi="Cambria"/>
          <w:lang w:val="pt-BR"/>
        </w:rPr>
        <w:t>: exclusão, discrimi</w:t>
      </w:r>
      <w:r w:rsidR="000F3604" w:rsidRPr="004E2511">
        <w:rPr>
          <w:rFonts w:ascii="Cambria" w:hAnsi="Cambria"/>
          <w:lang w:val="pt-BR"/>
        </w:rPr>
        <w:t>nação e violência na família, nos centros</w:t>
      </w:r>
      <w:r w:rsidR="00EB26F7" w:rsidRPr="004E2511">
        <w:rPr>
          <w:rFonts w:ascii="Cambria" w:hAnsi="Cambria"/>
          <w:lang w:val="pt-BR"/>
        </w:rPr>
        <w:t xml:space="preserve"> </w:t>
      </w:r>
      <w:r w:rsidR="000F3604" w:rsidRPr="004E2511">
        <w:rPr>
          <w:rFonts w:ascii="Cambria" w:hAnsi="Cambria"/>
          <w:lang w:val="pt-BR"/>
        </w:rPr>
        <w:t>educativos</w:t>
      </w:r>
      <w:r w:rsidR="00EB26F7" w:rsidRPr="004E2511">
        <w:rPr>
          <w:rFonts w:ascii="Cambria" w:hAnsi="Cambria"/>
          <w:lang w:val="pt-BR"/>
        </w:rPr>
        <w:t xml:space="preserve"> e na sociedade em geral; falta de reconhecimento de sua identidade de gênero; envolvimento em ocupações que </w:t>
      </w:r>
      <w:r w:rsidRPr="004E2511">
        <w:rPr>
          <w:rFonts w:ascii="Cambria" w:hAnsi="Cambria"/>
          <w:lang w:val="pt-BR"/>
        </w:rPr>
        <w:t xml:space="preserve">às </w:t>
      </w:r>
      <w:r w:rsidR="00EB26F7" w:rsidRPr="004E2511">
        <w:rPr>
          <w:rFonts w:ascii="Cambria" w:hAnsi="Cambria"/>
          <w:lang w:val="pt-BR"/>
        </w:rPr>
        <w:t>expõem a um maior risco de viol</w:t>
      </w:r>
      <w:r w:rsidRPr="004E2511">
        <w:rPr>
          <w:rFonts w:ascii="Cambria" w:hAnsi="Cambria"/>
          <w:lang w:val="pt-BR"/>
        </w:rPr>
        <w:t>ência</w:t>
      </w:r>
      <w:r w:rsidR="00EB26F7" w:rsidRPr="004E2511">
        <w:rPr>
          <w:rFonts w:ascii="Cambria" w:hAnsi="Cambria"/>
          <w:lang w:val="pt-BR"/>
        </w:rPr>
        <w:t xml:space="preserve"> e alta criminalização.</w:t>
      </w:r>
    </w:p>
    <w:p w14:paraId="747A9F18" w14:textId="1F363EA0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37156240" w14:textId="3E301921" w:rsidR="00EB26F7" w:rsidRPr="004E2511" w:rsidRDefault="00622CA5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lastRenderedPageBreak/>
        <w:t>Para além</w:t>
      </w:r>
      <w:r w:rsidR="00EB26F7" w:rsidRPr="004E2511">
        <w:rPr>
          <w:rFonts w:ascii="Cambria" w:hAnsi="Cambria"/>
          <w:lang w:val="pt-BR"/>
        </w:rPr>
        <w:t>, a Comissão Interamericana de Direitos Humanos salientou que</w:t>
      </w:r>
      <w:r w:rsidR="005009FA" w:rsidRPr="004E2511">
        <w:rPr>
          <w:rFonts w:ascii="Cambria" w:hAnsi="Cambria"/>
          <w:lang w:val="pt-BR"/>
        </w:rPr>
        <w:t>,</w:t>
      </w:r>
      <w:r w:rsidR="00EB26F7" w:rsidRPr="004E2511">
        <w:rPr>
          <w:rFonts w:ascii="Cambria" w:hAnsi="Cambria"/>
          <w:lang w:val="pt-BR"/>
        </w:rPr>
        <w:t xml:space="preserve"> nas Américas</w:t>
      </w:r>
      <w:r w:rsidR="005009FA" w:rsidRPr="004E2511">
        <w:rPr>
          <w:rFonts w:ascii="Cambria" w:hAnsi="Cambria"/>
          <w:lang w:val="pt-BR"/>
        </w:rPr>
        <w:t>,</w:t>
      </w:r>
      <w:r w:rsidR="00EB26F7" w:rsidRPr="004E2511">
        <w:rPr>
          <w:rFonts w:ascii="Cambria" w:hAnsi="Cambria"/>
          <w:lang w:val="pt-BR"/>
        </w:rPr>
        <w:t xml:space="preserve"> "pessoas trans enfrentam altas taxas de exclusão de oportunidades </w:t>
      </w:r>
      <w:r w:rsidR="00ED0B11" w:rsidRPr="004E2511">
        <w:rPr>
          <w:rFonts w:ascii="Cambria" w:hAnsi="Cambria"/>
          <w:lang w:val="pt-BR"/>
        </w:rPr>
        <w:t>na</w:t>
      </w:r>
      <w:r w:rsidR="00EB26F7" w:rsidRPr="004E2511">
        <w:rPr>
          <w:rFonts w:ascii="Cambria" w:hAnsi="Cambria"/>
          <w:lang w:val="pt-BR"/>
        </w:rPr>
        <w:t xml:space="preserve"> geração de renda e programas sociais que</w:t>
      </w:r>
      <w:r w:rsidRPr="004E2511">
        <w:rPr>
          <w:rFonts w:ascii="Cambria" w:hAnsi="Cambria"/>
          <w:lang w:val="pt-BR"/>
        </w:rPr>
        <w:t>,</w:t>
      </w:r>
      <w:r w:rsidR="00EB26F7" w:rsidRPr="004E2511">
        <w:rPr>
          <w:rFonts w:ascii="Cambria" w:hAnsi="Cambria"/>
          <w:lang w:val="pt-BR"/>
        </w:rPr>
        <w:t xml:space="preserve"> muitas vezes</w:t>
      </w:r>
      <w:r w:rsidRPr="004E2511">
        <w:rPr>
          <w:rFonts w:ascii="Cambria" w:hAnsi="Cambria"/>
          <w:lang w:val="pt-BR"/>
        </w:rPr>
        <w:t>,</w:t>
      </w:r>
      <w:r w:rsidR="00EB26F7" w:rsidRPr="004E2511">
        <w:rPr>
          <w:rFonts w:ascii="Cambria" w:hAnsi="Cambria"/>
          <w:lang w:val="pt-BR"/>
        </w:rPr>
        <w:t xml:space="preserve"> relega</w:t>
      </w:r>
      <w:r w:rsidRPr="004E2511">
        <w:rPr>
          <w:rFonts w:ascii="Cambria" w:hAnsi="Cambria"/>
          <w:lang w:val="pt-BR"/>
        </w:rPr>
        <w:t>-as</w:t>
      </w:r>
      <w:r w:rsidR="00EB26F7" w:rsidRPr="004E2511">
        <w:rPr>
          <w:rFonts w:ascii="Cambria" w:hAnsi="Cambria"/>
          <w:lang w:val="pt-BR"/>
        </w:rPr>
        <w:t xml:space="preserve"> ao desemprego e faz com que essas </w:t>
      </w:r>
      <w:r w:rsidR="00ED0B11" w:rsidRPr="004E2511">
        <w:rPr>
          <w:rFonts w:ascii="Cambria" w:hAnsi="Cambria"/>
          <w:lang w:val="pt-BR"/>
        </w:rPr>
        <w:t>pessoas acabem no</w:t>
      </w:r>
      <w:r w:rsidRPr="004E2511">
        <w:rPr>
          <w:rFonts w:ascii="Cambria" w:hAnsi="Cambria"/>
          <w:lang w:val="pt-BR"/>
        </w:rPr>
        <w:t xml:space="preserve"> trabalho sexual; para além,</w:t>
      </w:r>
      <w:r w:rsidR="00EB26F7" w:rsidRPr="004E2511">
        <w:rPr>
          <w:rFonts w:ascii="Cambria" w:hAnsi="Cambria"/>
          <w:lang w:val="pt-BR"/>
        </w:rPr>
        <w:t xml:space="preserve"> </w:t>
      </w:r>
      <w:r w:rsidR="00ED0B11" w:rsidRPr="004E2511">
        <w:rPr>
          <w:rFonts w:ascii="Cambria" w:hAnsi="Cambria"/>
          <w:lang w:val="pt-BR"/>
        </w:rPr>
        <w:t xml:space="preserve">as pessoas trans </w:t>
      </w:r>
      <w:r w:rsidR="00EB26F7" w:rsidRPr="004E2511">
        <w:rPr>
          <w:rFonts w:ascii="Cambria" w:hAnsi="Cambria"/>
          <w:lang w:val="pt-BR"/>
        </w:rPr>
        <w:t xml:space="preserve">enfrentam uma crônica falta de acesso aos serviços </w:t>
      </w:r>
      <w:r w:rsidRPr="004E2511">
        <w:rPr>
          <w:rFonts w:ascii="Cambria" w:hAnsi="Cambria"/>
          <w:lang w:val="pt-BR"/>
        </w:rPr>
        <w:t>de</w:t>
      </w:r>
      <w:r w:rsidR="00EB26F7" w:rsidRPr="004E2511">
        <w:rPr>
          <w:rFonts w:ascii="Cambria" w:hAnsi="Cambria"/>
          <w:lang w:val="pt-BR"/>
        </w:rPr>
        <w:t xml:space="preserve"> educação e saúde, oportunidades de emprego e moradia adequada, de modo que sofre de grave empobrecimento </w:t>
      </w:r>
      <w:r w:rsidRPr="004E2511">
        <w:rPr>
          <w:rFonts w:ascii="Cambria" w:hAnsi="Cambria"/>
          <w:lang w:val="pt-BR"/>
        </w:rPr>
        <w:t xml:space="preserve">na </w:t>
      </w:r>
      <w:r w:rsidR="006A7F74" w:rsidRPr="004E2511">
        <w:rPr>
          <w:rFonts w:ascii="Cambria" w:hAnsi="Cambria"/>
          <w:lang w:val="pt-BR"/>
        </w:rPr>
        <w:t>maioria de suas vidas</w:t>
      </w:r>
      <w:r w:rsidR="00EB26F7" w:rsidRPr="004E2511">
        <w:rPr>
          <w:rFonts w:ascii="Cambria" w:hAnsi="Cambria"/>
          <w:lang w:val="pt-BR"/>
        </w:rPr>
        <w:t>"</w:t>
      </w:r>
      <w:r w:rsidR="006A7F74" w:rsidRPr="004E2511">
        <w:rPr>
          <w:rStyle w:val="FootnoteReference"/>
          <w:rFonts w:ascii="Cambria" w:hAnsi="Cambria"/>
          <w:lang w:val="pt-BR"/>
        </w:rPr>
        <w:footnoteReference w:id="6"/>
      </w:r>
      <w:r w:rsidR="006A7F74" w:rsidRPr="004E2511">
        <w:rPr>
          <w:rFonts w:ascii="Cambria" w:hAnsi="Cambria"/>
          <w:lang w:val="pt-BR"/>
        </w:rPr>
        <w:t>.</w:t>
      </w:r>
    </w:p>
    <w:p w14:paraId="0B63F6F9" w14:textId="77777777" w:rsidR="00622CA5" w:rsidRPr="004E2511" w:rsidRDefault="00622CA5" w:rsidP="00D14E51">
      <w:pPr>
        <w:jc w:val="both"/>
        <w:rPr>
          <w:rFonts w:ascii="Cambria" w:hAnsi="Cambria"/>
          <w:lang w:val="pt-BR"/>
        </w:rPr>
      </w:pPr>
    </w:p>
    <w:p w14:paraId="4A670FE2" w14:textId="4BBE437D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A Comissão </w:t>
      </w:r>
      <w:r w:rsidR="00622CA5" w:rsidRPr="004E2511">
        <w:rPr>
          <w:rFonts w:ascii="Cambria" w:hAnsi="Cambria"/>
          <w:lang w:val="pt-BR"/>
        </w:rPr>
        <w:t xml:space="preserve">também </w:t>
      </w:r>
      <w:r w:rsidRPr="004E2511">
        <w:rPr>
          <w:rFonts w:ascii="Cambria" w:hAnsi="Cambria"/>
          <w:lang w:val="pt-BR"/>
        </w:rPr>
        <w:t xml:space="preserve">reconheceu que a identidade de gênero - real ou percebida - é um elemento constitutivo da personalidade </w:t>
      </w:r>
      <w:r w:rsidR="00BA115D" w:rsidRPr="004E2511">
        <w:rPr>
          <w:rFonts w:ascii="Cambria" w:hAnsi="Cambria"/>
          <w:lang w:val="pt-BR"/>
        </w:rPr>
        <w:t>de cada pessoa</w:t>
      </w:r>
      <w:r w:rsidRPr="004E2511">
        <w:rPr>
          <w:rFonts w:ascii="Cambria" w:hAnsi="Cambria"/>
          <w:lang w:val="pt-BR"/>
        </w:rPr>
        <w:t xml:space="preserve"> e é</w:t>
      </w:r>
      <w:r w:rsidR="00622CA5" w:rsidRPr="004E2511">
        <w:rPr>
          <w:rFonts w:ascii="Cambria" w:hAnsi="Cambria"/>
          <w:lang w:val="pt-BR"/>
        </w:rPr>
        <w:t xml:space="preserve"> vital que os Estados reconheçam</w:t>
      </w:r>
      <w:r w:rsidRPr="004E2511">
        <w:rPr>
          <w:rFonts w:ascii="Cambria" w:hAnsi="Cambria"/>
          <w:lang w:val="pt-BR"/>
        </w:rPr>
        <w:t xml:space="preserve"> plenamente </w:t>
      </w:r>
      <w:r w:rsidR="00622CA5" w:rsidRPr="004E2511">
        <w:rPr>
          <w:rFonts w:ascii="Cambria" w:hAnsi="Cambria"/>
          <w:lang w:val="pt-BR"/>
        </w:rPr>
        <w:t>a</w:t>
      </w:r>
      <w:r w:rsidRPr="004E2511">
        <w:rPr>
          <w:rFonts w:ascii="Cambria" w:hAnsi="Cambria"/>
          <w:lang w:val="pt-BR"/>
        </w:rPr>
        <w:t xml:space="preserve"> diversidade de gênero</w:t>
      </w:r>
      <w:r w:rsidR="00622CA5" w:rsidRPr="004E2511">
        <w:rPr>
          <w:rFonts w:ascii="Cambria" w:hAnsi="Cambria"/>
          <w:lang w:val="pt-BR"/>
        </w:rPr>
        <w:t>,</w:t>
      </w:r>
      <w:r w:rsidRPr="004E2511">
        <w:rPr>
          <w:rFonts w:ascii="Cambria" w:hAnsi="Cambria"/>
          <w:lang w:val="pt-BR"/>
        </w:rPr>
        <w:t xml:space="preserve"> para garantir o pleno gozo dos direitos humanos de todos pessoa</w:t>
      </w:r>
      <w:r w:rsidR="00BA115D" w:rsidRPr="004E2511">
        <w:rPr>
          <w:rFonts w:ascii="Cambria" w:hAnsi="Cambria"/>
          <w:lang w:val="pt-BR"/>
        </w:rPr>
        <w:t>s, inclusive das pessoas trans ou</w:t>
      </w:r>
      <w:r w:rsidRPr="004E2511">
        <w:rPr>
          <w:rFonts w:ascii="Cambria" w:hAnsi="Cambria"/>
          <w:lang w:val="pt-BR"/>
        </w:rPr>
        <w:t xml:space="preserve"> de gênero diverso, incluindo proteção</w:t>
      </w:r>
      <w:r w:rsidR="00BA115D" w:rsidRPr="004E2511">
        <w:rPr>
          <w:rFonts w:ascii="Cambria" w:hAnsi="Cambria"/>
          <w:lang w:val="pt-BR"/>
        </w:rPr>
        <w:t xml:space="preserve"> a contra violência, o </w:t>
      </w:r>
      <w:r w:rsidRPr="004E2511">
        <w:rPr>
          <w:rFonts w:ascii="Cambria" w:hAnsi="Cambria"/>
          <w:lang w:val="pt-BR"/>
        </w:rPr>
        <w:t xml:space="preserve">devido acesso a saúde, </w:t>
      </w:r>
      <w:r w:rsidR="00BA115D" w:rsidRPr="004E2511">
        <w:rPr>
          <w:rFonts w:ascii="Cambria" w:hAnsi="Cambria"/>
          <w:lang w:val="pt-BR"/>
        </w:rPr>
        <w:t xml:space="preserve">à </w:t>
      </w:r>
      <w:r w:rsidRPr="004E2511">
        <w:rPr>
          <w:rFonts w:ascii="Cambria" w:hAnsi="Cambria"/>
          <w:lang w:val="pt-BR"/>
        </w:rPr>
        <w:t xml:space="preserve">educação, </w:t>
      </w:r>
      <w:r w:rsidR="00BA115D" w:rsidRPr="004E2511">
        <w:rPr>
          <w:rFonts w:ascii="Cambria" w:hAnsi="Cambria"/>
          <w:lang w:val="pt-BR"/>
        </w:rPr>
        <w:t xml:space="preserve">ao </w:t>
      </w:r>
      <w:r w:rsidRPr="004E2511">
        <w:rPr>
          <w:rFonts w:ascii="Cambria" w:hAnsi="Cambria"/>
          <w:lang w:val="pt-BR"/>
        </w:rPr>
        <w:t xml:space="preserve">emprego e </w:t>
      </w:r>
      <w:r w:rsidR="00BA115D" w:rsidRPr="004E2511">
        <w:rPr>
          <w:rFonts w:ascii="Cambria" w:hAnsi="Cambria"/>
          <w:lang w:val="pt-BR"/>
        </w:rPr>
        <w:t xml:space="preserve">à </w:t>
      </w:r>
      <w:r w:rsidRPr="004E2511">
        <w:rPr>
          <w:rFonts w:ascii="Cambria" w:hAnsi="Cambria"/>
          <w:lang w:val="pt-BR"/>
        </w:rPr>
        <w:t>moradia</w:t>
      </w:r>
      <w:r w:rsidR="00590945" w:rsidRPr="004E2511">
        <w:rPr>
          <w:rStyle w:val="FootnoteReference"/>
          <w:rFonts w:ascii="Cambria" w:hAnsi="Cambria"/>
          <w:lang w:val="pt-BR"/>
        </w:rPr>
        <w:footnoteReference w:id="7"/>
      </w:r>
      <w:r w:rsidRPr="004E2511">
        <w:rPr>
          <w:rFonts w:ascii="Cambria" w:hAnsi="Cambria"/>
          <w:lang w:val="pt-BR"/>
        </w:rPr>
        <w:t>.</w:t>
      </w:r>
    </w:p>
    <w:p w14:paraId="4F5782D0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6ED93ABF" w14:textId="306667FE" w:rsidR="00EB26F7" w:rsidRPr="004E2511" w:rsidRDefault="00622CA5" w:rsidP="00732B96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O </w:t>
      </w:r>
      <w:r w:rsidR="00EB26F7" w:rsidRPr="004E2511">
        <w:rPr>
          <w:rFonts w:ascii="Cambria" w:hAnsi="Cambria"/>
          <w:lang w:val="pt-BR"/>
        </w:rPr>
        <w:t>Protocolo de San Salvador</w:t>
      </w:r>
      <w:r w:rsidRPr="004E2511">
        <w:rPr>
          <w:rFonts w:ascii="Cambria" w:hAnsi="Cambria"/>
          <w:lang w:val="pt-BR"/>
        </w:rPr>
        <w:t>, a este respeito,</w:t>
      </w:r>
      <w:r w:rsidR="00EB26F7" w:rsidRPr="004E2511">
        <w:rPr>
          <w:rFonts w:ascii="Cambria" w:hAnsi="Cambria"/>
          <w:lang w:val="pt-BR"/>
        </w:rPr>
        <w:t xml:space="preserve"> afirmou que "</w:t>
      </w:r>
      <w:r w:rsidR="00DD3134" w:rsidRPr="004E2511">
        <w:rPr>
          <w:rFonts w:ascii="Cambria" w:hAnsi="Cambria"/>
          <w:lang w:val="pt-BR"/>
        </w:rPr>
        <w:t>o ideal do ser humano livre, isento de temor e da miséria</w:t>
      </w:r>
      <w:r w:rsidR="00732B96" w:rsidRPr="004E2511">
        <w:rPr>
          <w:rFonts w:ascii="Cambria" w:hAnsi="Cambria"/>
          <w:lang w:val="pt-BR"/>
        </w:rPr>
        <w:t>”</w:t>
      </w:r>
      <w:r w:rsidR="00590945" w:rsidRPr="004E2511">
        <w:rPr>
          <w:rStyle w:val="FootnoteReference"/>
          <w:rFonts w:ascii="Cambria" w:hAnsi="Cambria"/>
          <w:lang w:val="pt-BR"/>
        </w:rPr>
        <w:footnoteReference w:id="8"/>
      </w:r>
      <w:r w:rsidR="00732B96" w:rsidRPr="004E2511">
        <w:rPr>
          <w:rFonts w:ascii="Cambria" w:hAnsi="Cambria"/>
          <w:lang w:val="pt-BR"/>
        </w:rPr>
        <w:t xml:space="preserve"> só pode ser concebido “</w:t>
      </w:r>
      <w:r w:rsidR="00DD3134" w:rsidRPr="004E2511">
        <w:rPr>
          <w:rFonts w:ascii="Cambria" w:hAnsi="Cambria"/>
          <w:lang w:val="pt-BR"/>
        </w:rPr>
        <w:t>se forem criadas condições que permitam a cada pessoa gozar de seus direitos econômicos, sociais e culturais</w:t>
      </w:r>
      <w:r w:rsidR="00EB26F7" w:rsidRPr="004E2511">
        <w:rPr>
          <w:rFonts w:ascii="Cambria" w:hAnsi="Cambria"/>
          <w:lang w:val="pt-BR"/>
        </w:rPr>
        <w:t>"</w:t>
      </w:r>
      <w:r w:rsidR="00732B96" w:rsidRPr="004E2511">
        <w:rPr>
          <w:rStyle w:val="FootnoteReference"/>
          <w:rFonts w:ascii="Cambria" w:hAnsi="Cambria"/>
          <w:lang w:val="pt-BR"/>
        </w:rPr>
        <w:footnoteReference w:id="9"/>
      </w:r>
      <w:r w:rsidR="00732B96" w:rsidRPr="004E2511">
        <w:rPr>
          <w:rFonts w:ascii="Cambria" w:hAnsi="Cambria"/>
          <w:lang w:val="pt-BR"/>
        </w:rPr>
        <w:t>.</w:t>
      </w:r>
      <w:r w:rsidR="00EB26F7" w:rsidRPr="004E2511">
        <w:rPr>
          <w:rFonts w:ascii="Cambria" w:hAnsi="Cambria"/>
          <w:lang w:val="pt-BR"/>
        </w:rPr>
        <w:t xml:space="preserve"> </w:t>
      </w:r>
      <w:r w:rsidR="00BA115D" w:rsidRPr="004E2511">
        <w:rPr>
          <w:rFonts w:ascii="Cambria" w:hAnsi="Cambria"/>
          <w:lang w:val="pt-BR"/>
        </w:rPr>
        <w:t xml:space="preserve">Já </w:t>
      </w:r>
      <w:r w:rsidR="00EB26F7" w:rsidRPr="004E2511">
        <w:rPr>
          <w:rFonts w:ascii="Cambria" w:hAnsi="Cambria"/>
          <w:lang w:val="pt-BR"/>
        </w:rPr>
        <w:t xml:space="preserve">os Princípios de Yogyakarta </w:t>
      </w:r>
      <w:r w:rsidRPr="004E2511">
        <w:rPr>
          <w:rFonts w:ascii="Cambria" w:hAnsi="Cambria"/>
          <w:lang w:val="pt-BR"/>
        </w:rPr>
        <w:t>estabeleceram</w:t>
      </w:r>
      <w:r w:rsidR="00EB26F7" w:rsidRPr="004E2511">
        <w:rPr>
          <w:rFonts w:ascii="Cambria" w:hAnsi="Cambria"/>
          <w:lang w:val="pt-BR"/>
        </w:rPr>
        <w:t xml:space="preserve"> a importância de proteger os direitos econômicos, sociais e culturais das p</w:t>
      </w:r>
      <w:r w:rsidRPr="004E2511">
        <w:rPr>
          <w:rFonts w:ascii="Cambria" w:hAnsi="Cambria"/>
          <w:lang w:val="pt-BR"/>
        </w:rPr>
        <w:t xml:space="preserve">essoas LGBTI no âmbito </w:t>
      </w:r>
      <w:r w:rsidR="00EB26F7" w:rsidRPr="004E2511">
        <w:rPr>
          <w:rFonts w:ascii="Cambria" w:hAnsi="Cambria"/>
          <w:lang w:val="pt-BR"/>
        </w:rPr>
        <w:t>internacional</w:t>
      </w:r>
      <w:r w:rsidR="00732B96" w:rsidRPr="004E2511">
        <w:rPr>
          <w:rStyle w:val="FootnoteReference"/>
          <w:rFonts w:ascii="Cambria" w:hAnsi="Cambria"/>
          <w:lang w:val="pt-BR"/>
        </w:rPr>
        <w:footnoteReference w:id="10"/>
      </w:r>
      <w:r w:rsidR="00EB26F7" w:rsidRPr="004E2511">
        <w:rPr>
          <w:rFonts w:ascii="Cambria" w:hAnsi="Cambria"/>
          <w:lang w:val="pt-BR"/>
        </w:rPr>
        <w:t xml:space="preserve">. </w:t>
      </w:r>
      <w:r w:rsidR="00BA115D" w:rsidRPr="004E2511">
        <w:rPr>
          <w:rFonts w:ascii="Cambria" w:hAnsi="Cambria"/>
          <w:lang w:val="pt-BR"/>
        </w:rPr>
        <w:t>Em quanto isso,</w:t>
      </w:r>
      <w:r w:rsidR="00EB26F7" w:rsidRPr="004E2511">
        <w:rPr>
          <w:rFonts w:ascii="Cambria" w:hAnsi="Cambria"/>
          <w:lang w:val="pt-BR"/>
        </w:rPr>
        <w:t xml:space="preserve"> os Objetivos de Desenv</w:t>
      </w:r>
      <w:r w:rsidR="00BA115D" w:rsidRPr="004E2511">
        <w:rPr>
          <w:rFonts w:ascii="Cambria" w:hAnsi="Cambria"/>
          <w:lang w:val="pt-BR"/>
        </w:rPr>
        <w:t>olvimento Sustentável</w:t>
      </w:r>
      <w:r w:rsidRPr="004E2511">
        <w:rPr>
          <w:rFonts w:ascii="Cambria" w:hAnsi="Cambria"/>
          <w:lang w:val="pt-BR"/>
        </w:rPr>
        <w:t xml:space="preserve"> salientaram</w:t>
      </w:r>
      <w:r w:rsidR="00EB26F7" w:rsidRPr="004E2511">
        <w:rPr>
          <w:rFonts w:ascii="Cambria" w:hAnsi="Cambria"/>
          <w:lang w:val="pt-BR"/>
        </w:rPr>
        <w:t xml:space="preserve"> a importância de "</w:t>
      </w:r>
      <w:r w:rsidRPr="004E2511">
        <w:rPr>
          <w:rFonts w:ascii="Cambria" w:hAnsi="Cambria"/>
          <w:lang w:val="pt-BR"/>
        </w:rPr>
        <w:t xml:space="preserve">não </w:t>
      </w:r>
      <w:r w:rsidR="00EB26F7" w:rsidRPr="004E2511">
        <w:rPr>
          <w:rFonts w:ascii="Cambria" w:hAnsi="Cambria"/>
          <w:lang w:val="pt-BR"/>
        </w:rPr>
        <w:t>deixar ninguém para trás",</w:t>
      </w:r>
      <w:r w:rsidR="00BA115D" w:rsidRPr="004E2511">
        <w:rPr>
          <w:rFonts w:ascii="Cambria" w:hAnsi="Cambria"/>
          <w:lang w:val="pt-BR"/>
        </w:rPr>
        <w:t xml:space="preserve"> que é interpretado</w:t>
      </w:r>
      <w:r w:rsidR="00EB26F7" w:rsidRPr="004E2511">
        <w:rPr>
          <w:rFonts w:ascii="Cambria" w:hAnsi="Cambria"/>
          <w:lang w:val="pt-BR"/>
        </w:rPr>
        <w:t xml:space="preserve"> internacionalmente como</w:t>
      </w:r>
      <w:r w:rsidR="00BA115D" w:rsidRPr="004E2511">
        <w:rPr>
          <w:rFonts w:ascii="Cambria" w:hAnsi="Cambria"/>
          <w:lang w:val="pt-BR"/>
        </w:rPr>
        <w:t xml:space="preserve"> um mecanismo para a inclusão das</w:t>
      </w:r>
      <w:r w:rsidR="00EB26F7" w:rsidRPr="004E2511">
        <w:rPr>
          <w:rFonts w:ascii="Cambria" w:hAnsi="Cambria"/>
          <w:lang w:val="pt-BR"/>
        </w:rPr>
        <w:t xml:space="preserve"> pessoas LGBTI</w:t>
      </w:r>
      <w:r w:rsidR="00590945" w:rsidRPr="004E2511">
        <w:rPr>
          <w:rStyle w:val="FootnoteReference"/>
          <w:rFonts w:ascii="Cambria" w:hAnsi="Cambria"/>
          <w:lang w:val="pt-BR"/>
        </w:rPr>
        <w:footnoteReference w:id="11"/>
      </w:r>
      <w:r w:rsidR="00BA115D" w:rsidRPr="004E2511">
        <w:rPr>
          <w:rFonts w:ascii="Cambria" w:hAnsi="Cambria"/>
          <w:lang w:val="pt-BR"/>
        </w:rPr>
        <w:t xml:space="preserve"> </w:t>
      </w:r>
      <w:r w:rsidR="00EB26F7" w:rsidRPr="004E2511">
        <w:rPr>
          <w:rFonts w:ascii="Cambria" w:hAnsi="Cambria"/>
          <w:lang w:val="pt-BR"/>
        </w:rPr>
        <w:t>e seus direitos económicos, sociais e culturais</w:t>
      </w:r>
      <w:r w:rsidRPr="004E2511">
        <w:rPr>
          <w:rFonts w:ascii="Cambria" w:hAnsi="Cambria"/>
          <w:lang w:val="pt-BR"/>
        </w:rPr>
        <w:t>,</w:t>
      </w:r>
      <w:r w:rsidR="00EB26F7" w:rsidRPr="004E2511">
        <w:rPr>
          <w:rFonts w:ascii="Cambria" w:hAnsi="Cambria"/>
          <w:lang w:val="pt-BR"/>
        </w:rPr>
        <w:t xml:space="preserve"> na Agenda 2030.</w:t>
      </w:r>
    </w:p>
    <w:p w14:paraId="69D189B5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7F0D50F8" w14:textId="444157F6" w:rsidR="00EB26F7" w:rsidRPr="004E2511" w:rsidRDefault="00BA115D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Por isso, a</w:t>
      </w:r>
      <w:r w:rsidR="00EB26F7" w:rsidRPr="004E2511">
        <w:rPr>
          <w:rFonts w:ascii="Cambria" w:hAnsi="Cambria"/>
          <w:lang w:val="pt-BR"/>
        </w:rPr>
        <w:t xml:space="preserve"> Comissão entende que, para alcançar a plena inclusão das pessoas trans em diferentes áreas, bem como </w:t>
      </w:r>
      <w:r w:rsidR="00622CA5" w:rsidRPr="004E2511">
        <w:rPr>
          <w:rFonts w:ascii="Cambria" w:hAnsi="Cambria"/>
          <w:lang w:val="pt-BR"/>
        </w:rPr>
        <w:t>reduzir</w:t>
      </w:r>
      <w:r w:rsidR="00EB26F7" w:rsidRPr="004E2511">
        <w:rPr>
          <w:rFonts w:ascii="Cambria" w:hAnsi="Cambria"/>
          <w:lang w:val="pt-BR"/>
        </w:rPr>
        <w:t xml:space="preserve"> </w:t>
      </w:r>
      <w:r w:rsidR="00622CA5" w:rsidRPr="004E2511">
        <w:rPr>
          <w:rFonts w:ascii="Cambria" w:hAnsi="Cambria"/>
          <w:lang w:val="pt-BR"/>
        </w:rPr>
        <w:t xml:space="preserve">as </w:t>
      </w:r>
      <w:r w:rsidR="00EB26F7" w:rsidRPr="004E2511">
        <w:rPr>
          <w:rFonts w:ascii="Cambria" w:hAnsi="Cambria"/>
          <w:lang w:val="pt-BR"/>
        </w:rPr>
        <w:t>taxas de pobreza que lhes dizem respeito</w:t>
      </w:r>
      <w:r w:rsidR="00622CA5" w:rsidRPr="004E2511">
        <w:rPr>
          <w:rFonts w:ascii="Cambria" w:hAnsi="Cambria"/>
          <w:lang w:val="pt-BR"/>
        </w:rPr>
        <w:t xml:space="preserve">, é necessário que os Estados redobrem os </w:t>
      </w:r>
      <w:r w:rsidR="00EB26F7" w:rsidRPr="004E2511">
        <w:rPr>
          <w:rFonts w:ascii="Cambria" w:hAnsi="Cambria"/>
          <w:lang w:val="pt-BR"/>
        </w:rPr>
        <w:t>esforços na formulação e implementação de leis e políticas públicas que</w:t>
      </w:r>
      <w:r w:rsidRPr="004E2511">
        <w:rPr>
          <w:rFonts w:ascii="Cambria" w:hAnsi="Cambria"/>
          <w:lang w:val="pt-BR"/>
        </w:rPr>
        <w:t xml:space="preserve"> complementam o reconhecimento à</w:t>
      </w:r>
      <w:r w:rsidR="00EB26F7" w:rsidRPr="004E2511">
        <w:rPr>
          <w:rFonts w:ascii="Cambria" w:hAnsi="Cambria"/>
          <w:lang w:val="pt-BR"/>
        </w:rPr>
        <w:t xml:space="preserve"> identidade e expressão de gênero. Além disso, é necessário implementar políticas públicas específicas para garantir que as pessoas trans tenham acesso, sem discriminação e em condições de segurança, </w:t>
      </w:r>
      <w:r w:rsidR="00FF7055" w:rsidRPr="004E2511">
        <w:rPr>
          <w:rFonts w:ascii="Cambria" w:hAnsi="Cambria"/>
          <w:lang w:val="pt-BR"/>
        </w:rPr>
        <w:t xml:space="preserve">ao </w:t>
      </w:r>
      <w:r w:rsidR="00EB26F7" w:rsidRPr="004E2511">
        <w:rPr>
          <w:rFonts w:ascii="Cambria" w:hAnsi="Cambria"/>
          <w:lang w:val="pt-BR"/>
        </w:rPr>
        <w:t xml:space="preserve">emprego e </w:t>
      </w:r>
      <w:r w:rsidR="00FF7055" w:rsidRPr="004E2511">
        <w:rPr>
          <w:rFonts w:ascii="Cambria" w:hAnsi="Cambria"/>
          <w:lang w:val="pt-BR"/>
        </w:rPr>
        <w:t xml:space="preserve">à </w:t>
      </w:r>
      <w:r w:rsidR="00EB26F7" w:rsidRPr="004E2511">
        <w:rPr>
          <w:rFonts w:ascii="Cambria" w:hAnsi="Cambria"/>
          <w:lang w:val="pt-BR"/>
        </w:rPr>
        <w:t xml:space="preserve">segurança social, </w:t>
      </w:r>
      <w:r w:rsidR="00FF7055" w:rsidRPr="004E2511">
        <w:rPr>
          <w:rFonts w:ascii="Cambria" w:hAnsi="Cambria"/>
          <w:lang w:val="pt-BR"/>
        </w:rPr>
        <w:t xml:space="preserve">à </w:t>
      </w:r>
      <w:r w:rsidR="00EB26F7" w:rsidRPr="004E2511">
        <w:rPr>
          <w:rFonts w:ascii="Cambria" w:hAnsi="Cambria"/>
          <w:lang w:val="pt-BR"/>
        </w:rPr>
        <w:t xml:space="preserve">habitação, </w:t>
      </w:r>
      <w:r w:rsidR="00FF7055" w:rsidRPr="004E2511">
        <w:rPr>
          <w:rFonts w:ascii="Cambria" w:hAnsi="Cambria"/>
          <w:lang w:val="pt-BR"/>
        </w:rPr>
        <w:t xml:space="preserve">à </w:t>
      </w:r>
      <w:r w:rsidR="00EB26F7" w:rsidRPr="004E2511">
        <w:rPr>
          <w:rFonts w:ascii="Cambria" w:hAnsi="Cambria"/>
          <w:lang w:val="pt-BR"/>
        </w:rPr>
        <w:t xml:space="preserve">educação e </w:t>
      </w:r>
      <w:r w:rsidR="00FF7055" w:rsidRPr="004E2511">
        <w:rPr>
          <w:rFonts w:ascii="Cambria" w:hAnsi="Cambria"/>
          <w:lang w:val="pt-BR"/>
        </w:rPr>
        <w:t xml:space="preserve">à </w:t>
      </w:r>
      <w:r w:rsidR="00EB26F7" w:rsidRPr="004E2511">
        <w:rPr>
          <w:rFonts w:ascii="Cambria" w:hAnsi="Cambria"/>
          <w:lang w:val="pt-BR"/>
        </w:rPr>
        <w:t xml:space="preserve">saúde, </w:t>
      </w:r>
      <w:r w:rsidRPr="004E2511">
        <w:rPr>
          <w:rFonts w:ascii="Cambria" w:hAnsi="Cambria"/>
          <w:lang w:val="pt-BR"/>
        </w:rPr>
        <w:t xml:space="preserve">a medidas </w:t>
      </w:r>
      <w:r w:rsidR="00EB26F7" w:rsidRPr="004E2511">
        <w:rPr>
          <w:rFonts w:ascii="Cambria" w:hAnsi="Cambria"/>
          <w:lang w:val="pt-BR"/>
        </w:rPr>
        <w:t xml:space="preserve">de urgência com o objetivo de reduzir a desigualdade que </w:t>
      </w:r>
      <w:r w:rsidR="00FF7055" w:rsidRPr="004E2511">
        <w:rPr>
          <w:rFonts w:ascii="Cambria" w:hAnsi="Cambria"/>
          <w:lang w:val="pt-BR"/>
        </w:rPr>
        <w:t>as</w:t>
      </w:r>
      <w:r w:rsidR="00EB26F7" w:rsidRPr="004E2511">
        <w:rPr>
          <w:rFonts w:ascii="Cambria" w:hAnsi="Cambria"/>
          <w:lang w:val="pt-BR"/>
        </w:rPr>
        <w:t xml:space="preserve"> </w:t>
      </w:r>
      <w:r w:rsidR="00FF7055" w:rsidRPr="004E2511">
        <w:rPr>
          <w:rFonts w:ascii="Cambria" w:hAnsi="Cambria"/>
          <w:lang w:val="pt-BR"/>
        </w:rPr>
        <w:t>afeta e combater a violência a que estão submetidas</w:t>
      </w:r>
      <w:r w:rsidR="00EB26F7" w:rsidRPr="004E2511">
        <w:rPr>
          <w:rFonts w:ascii="Cambria" w:hAnsi="Cambria"/>
          <w:lang w:val="pt-BR"/>
        </w:rPr>
        <w:t>.</w:t>
      </w:r>
    </w:p>
    <w:p w14:paraId="128354F7" w14:textId="535F4133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68B8D3DF" w14:textId="1BE7281A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Com base nessas considerações e em resposta às informações apresentadas no Relatório sobre </w:t>
      </w:r>
      <w:r w:rsidR="00BA115D" w:rsidRPr="004E2511">
        <w:rPr>
          <w:rFonts w:ascii="Cambria" w:hAnsi="Cambria"/>
          <w:lang w:val="pt-BR"/>
        </w:rPr>
        <w:t>Violência contra Pessoas Lésbicas, Gays, Bissexuais,</w:t>
      </w:r>
      <w:r w:rsidR="008455A8">
        <w:rPr>
          <w:rFonts w:ascii="Cambria" w:hAnsi="Cambria"/>
          <w:lang w:val="pt-BR"/>
        </w:rPr>
        <w:t xml:space="preserve"> Trans e Intersex</w:t>
      </w:r>
      <w:r w:rsidR="00BA115D" w:rsidRPr="004E2511">
        <w:rPr>
          <w:rFonts w:ascii="Cambria" w:hAnsi="Cambria"/>
          <w:lang w:val="pt-BR"/>
        </w:rPr>
        <w:t xml:space="preserve"> nas Américas</w:t>
      </w:r>
      <w:r w:rsidRPr="004E2511">
        <w:rPr>
          <w:rFonts w:ascii="Cambria" w:hAnsi="Cambria"/>
          <w:lang w:val="pt-BR"/>
        </w:rPr>
        <w:t xml:space="preserve">, a CIDH considera necessário preparar um novo </w:t>
      </w:r>
      <w:r w:rsidR="00FF7055" w:rsidRPr="004E2511">
        <w:rPr>
          <w:rFonts w:ascii="Cambria" w:hAnsi="Cambria"/>
          <w:lang w:val="pt-BR"/>
        </w:rPr>
        <w:t>informe</w:t>
      </w:r>
      <w:r w:rsidRPr="004E2511">
        <w:rPr>
          <w:rFonts w:ascii="Cambria" w:hAnsi="Cambria"/>
          <w:lang w:val="pt-BR"/>
        </w:rPr>
        <w:t xml:space="preserve"> sobre o tema dos direitos humanos dos transexuais, analisando a situação dos direitos econômicos, </w:t>
      </w:r>
      <w:r w:rsidRPr="004E2511">
        <w:rPr>
          <w:rFonts w:ascii="Cambria" w:hAnsi="Cambria"/>
          <w:lang w:val="pt-BR"/>
        </w:rPr>
        <w:lastRenderedPageBreak/>
        <w:t>direitos sociais e culturais dessas pessoas à luz das ações legislativas, políticas e programáticas adotadas pelos Estados da região até o momento.</w:t>
      </w:r>
    </w:p>
    <w:p w14:paraId="10FA5E98" w14:textId="77777777" w:rsidR="00FF7055" w:rsidRPr="004E2511" w:rsidRDefault="00FF7055" w:rsidP="00D14E51">
      <w:pPr>
        <w:jc w:val="both"/>
        <w:rPr>
          <w:rFonts w:ascii="Cambria" w:hAnsi="Cambria"/>
          <w:lang w:val="pt-BR"/>
        </w:rPr>
      </w:pPr>
    </w:p>
    <w:p w14:paraId="15A4EF73" w14:textId="4136009E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O </w:t>
      </w:r>
      <w:r w:rsidR="00FF7055" w:rsidRPr="004E2511">
        <w:rPr>
          <w:rFonts w:ascii="Cambria" w:hAnsi="Cambria"/>
          <w:lang w:val="pt-BR"/>
        </w:rPr>
        <w:t>novo informe</w:t>
      </w:r>
      <w:r w:rsidRPr="004E2511">
        <w:rPr>
          <w:rFonts w:ascii="Cambria" w:hAnsi="Cambria"/>
          <w:lang w:val="pt-BR"/>
        </w:rPr>
        <w:t xml:space="preserve"> apresentará recomendações aos Estados em relação à proteção integral das pessoas trans </w:t>
      </w:r>
      <w:r w:rsidR="00CC532C" w:rsidRPr="004E2511">
        <w:rPr>
          <w:rFonts w:ascii="Cambria" w:hAnsi="Cambria"/>
          <w:lang w:val="pt-BR"/>
        </w:rPr>
        <w:t>e sua inclusão social, bem como</w:t>
      </w:r>
      <w:r w:rsidRPr="004E2511">
        <w:rPr>
          <w:rFonts w:ascii="Cambria" w:hAnsi="Cambria"/>
          <w:lang w:val="pt-BR"/>
        </w:rPr>
        <w:t xml:space="preserve"> a possibilidade de que elas alcancem uma vida digna, </w:t>
      </w:r>
      <w:r w:rsidR="00732B96" w:rsidRPr="004E2511">
        <w:rPr>
          <w:rFonts w:ascii="Cambria" w:hAnsi="Cambria"/>
          <w:lang w:val="pt-BR"/>
        </w:rPr>
        <w:t>"</w:t>
      </w:r>
      <w:r w:rsidR="00732B96" w:rsidRPr="004E2511">
        <w:rPr>
          <w:rFonts w:ascii="Cambria" w:hAnsi="Cambria"/>
          <w:color w:val="000000"/>
          <w:spacing w:val="-3"/>
          <w:lang w:val="pt-BR"/>
        </w:rPr>
        <w:t>isent[a] do temor e da miséria”</w:t>
      </w:r>
      <w:r w:rsidR="00732B96" w:rsidRPr="004E2511">
        <w:rPr>
          <w:rStyle w:val="FootnoteReference"/>
          <w:rFonts w:ascii="Cambria" w:hAnsi="Cambria"/>
          <w:color w:val="000000"/>
          <w:spacing w:val="-3"/>
          <w:lang w:val="pt-BR"/>
        </w:rPr>
        <w:footnoteReference w:id="12"/>
      </w:r>
      <w:r w:rsidR="00732B96" w:rsidRPr="004E2511">
        <w:rPr>
          <w:rFonts w:ascii="Cambria" w:hAnsi="Cambria"/>
          <w:color w:val="000000"/>
          <w:spacing w:val="-3"/>
          <w:lang w:val="pt-BR"/>
        </w:rPr>
        <w:t>.</w:t>
      </w:r>
    </w:p>
    <w:p w14:paraId="679ADF3E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7382D5A8" w14:textId="27D803DA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As informações apresentadas no relatório serão baseadas em fontes primárias e secundárias. Em relação às fontes primárias, a Comissão enviará </w:t>
      </w:r>
      <w:r w:rsidR="00CC532C" w:rsidRPr="004E2511">
        <w:rPr>
          <w:rFonts w:ascii="Cambria" w:hAnsi="Cambria"/>
          <w:lang w:val="pt-BR"/>
        </w:rPr>
        <w:t>o presente</w:t>
      </w:r>
      <w:r w:rsidRPr="004E2511">
        <w:rPr>
          <w:rFonts w:ascii="Cambria" w:hAnsi="Cambria"/>
          <w:lang w:val="pt-BR"/>
        </w:rPr>
        <w:t xml:space="preserve"> questionário aos Estados, à sociedade civil e aos especialistas na matéria, e utilizará as informações recebidas </w:t>
      </w:r>
      <w:r w:rsidR="00CC532C" w:rsidRPr="004E2511">
        <w:rPr>
          <w:rFonts w:ascii="Cambria" w:hAnsi="Cambria"/>
          <w:lang w:val="pt-BR"/>
        </w:rPr>
        <w:t>por meio</w:t>
      </w:r>
      <w:r w:rsidRPr="004E2511">
        <w:rPr>
          <w:rFonts w:ascii="Cambria" w:hAnsi="Cambria"/>
          <w:lang w:val="pt-BR"/>
        </w:rPr>
        <w:t xml:space="preserve"> das diferentes atividades realizadas no cumprimento de seu mandato, como, por exemplo, em audiências públicas e reuniões de trabalho realizadas </w:t>
      </w:r>
      <w:r w:rsidR="00CC532C" w:rsidRPr="004E2511">
        <w:rPr>
          <w:rFonts w:ascii="Cambria" w:hAnsi="Cambria"/>
          <w:lang w:val="pt-BR"/>
        </w:rPr>
        <w:t>pela C</w:t>
      </w:r>
      <w:r w:rsidRPr="004E2511">
        <w:rPr>
          <w:rFonts w:ascii="Cambria" w:hAnsi="Cambria"/>
          <w:lang w:val="pt-BR"/>
        </w:rPr>
        <w:t xml:space="preserve">omissão, bem como através </w:t>
      </w:r>
      <w:r w:rsidR="00CC532C" w:rsidRPr="004E2511">
        <w:rPr>
          <w:rFonts w:ascii="Cambria" w:hAnsi="Cambria"/>
          <w:lang w:val="pt-BR"/>
        </w:rPr>
        <w:t>do sistema de casos e medidas cautelares, bem como</w:t>
      </w:r>
      <w:r w:rsidRPr="004E2511">
        <w:rPr>
          <w:rFonts w:ascii="Cambria" w:hAnsi="Cambria"/>
          <w:lang w:val="pt-BR"/>
        </w:rPr>
        <w:t xml:space="preserve"> em outras atividades relacionadas.</w:t>
      </w:r>
    </w:p>
    <w:p w14:paraId="66985394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7D4B87C9" w14:textId="59744580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Além disso, em relação a fontes secundárias, o </w:t>
      </w:r>
      <w:r w:rsidR="00CC532C" w:rsidRPr="004E2511">
        <w:rPr>
          <w:rFonts w:ascii="Cambria" w:hAnsi="Cambria"/>
          <w:lang w:val="pt-BR"/>
        </w:rPr>
        <w:t>informe utilizará de</w:t>
      </w:r>
      <w:r w:rsidRPr="004E2511">
        <w:rPr>
          <w:rFonts w:ascii="Cambria" w:hAnsi="Cambria"/>
          <w:lang w:val="pt-BR"/>
        </w:rPr>
        <w:t xml:space="preserve"> informações públicas oficiais obtidas de fontes estatais; relatórios, resoluções e pronunciamentos de organizações intergovernamentais; estudos de organizações não-governamentais, nacionais e internacionais; pesquisa acadêmica e informações publicadas pela mídia.</w:t>
      </w:r>
    </w:p>
    <w:p w14:paraId="1BB62BBD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3D48D355" w14:textId="361D0A4C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A Comissão Interamerican</w:t>
      </w:r>
      <w:r w:rsidR="00CC532C" w:rsidRPr="004E2511">
        <w:rPr>
          <w:rFonts w:ascii="Cambria" w:hAnsi="Cambria"/>
          <w:lang w:val="pt-BR"/>
        </w:rPr>
        <w:t>a de Direitos Humanos</w:t>
      </w:r>
      <w:r w:rsidRPr="004E2511">
        <w:rPr>
          <w:rFonts w:ascii="Cambria" w:hAnsi="Cambria"/>
          <w:lang w:val="pt-BR"/>
        </w:rPr>
        <w:t xml:space="preserve"> agradece o </w:t>
      </w:r>
      <w:r w:rsidR="00CC532C" w:rsidRPr="004E2511">
        <w:rPr>
          <w:rFonts w:ascii="Cambria" w:hAnsi="Cambria"/>
          <w:lang w:val="pt-BR"/>
        </w:rPr>
        <w:t>financiamento</w:t>
      </w:r>
      <w:r w:rsidRPr="004E2511">
        <w:rPr>
          <w:rFonts w:ascii="Cambria" w:hAnsi="Cambria"/>
          <w:lang w:val="pt-BR"/>
        </w:rPr>
        <w:t xml:space="preserve"> </w:t>
      </w:r>
      <w:r w:rsidR="00CC532C" w:rsidRPr="004E2511">
        <w:rPr>
          <w:rFonts w:ascii="Cambria" w:hAnsi="Cambria"/>
          <w:lang w:val="pt-BR"/>
        </w:rPr>
        <w:t>fornecido pelo Trust das Amé</w:t>
      </w:r>
      <w:r w:rsidRPr="004E2511">
        <w:rPr>
          <w:rFonts w:ascii="Cambria" w:hAnsi="Cambria"/>
          <w:lang w:val="pt-BR"/>
        </w:rPr>
        <w:t xml:space="preserve">ricas, a Fundação Arcus e o Reino dos Países Baixos. Este apoio financeiro permitirá a preparação e publicação do </w:t>
      </w:r>
      <w:r w:rsidR="00CC532C" w:rsidRPr="004E2511">
        <w:rPr>
          <w:rFonts w:ascii="Cambria" w:hAnsi="Cambria"/>
          <w:lang w:val="pt-BR"/>
        </w:rPr>
        <w:t>informe</w:t>
      </w:r>
      <w:r w:rsidRPr="004E2511">
        <w:rPr>
          <w:rFonts w:ascii="Cambria" w:hAnsi="Cambria"/>
          <w:lang w:val="pt-BR"/>
        </w:rPr>
        <w:t>.</w:t>
      </w:r>
    </w:p>
    <w:p w14:paraId="2DE03B19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0E47F20C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53956A2A" w14:textId="77777777" w:rsidR="00EB26F7" w:rsidRPr="008455A8" w:rsidRDefault="00EB26F7" w:rsidP="004E2511">
      <w:pPr>
        <w:spacing w:line="276" w:lineRule="auto"/>
        <w:ind w:left="720" w:hanging="360"/>
        <w:jc w:val="both"/>
        <w:rPr>
          <w:rFonts w:ascii="Cambria" w:eastAsia="Calibri" w:hAnsi="Cambria" w:cs="Calibri"/>
          <w:b/>
          <w:color w:val="000000" w:themeColor="text1"/>
          <w:lang w:val="pt-BR"/>
        </w:rPr>
      </w:pPr>
      <w:r w:rsidRPr="008455A8">
        <w:rPr>
          <w:rFonts w:ascii="Cambria" w:eastAsia="Calibri" w:hAnsi="Cambria" w:cs="Calibri"/>
          <w:b/>
          <w:color w:val="000000" w:themeColor="text1"/>
          <w:lang w:val="pt-BR"/>
        </w:rPr>
        <w:t>2. OBJETIVOS</w:t>
      </w:r>
    </w:p>
    <w:p w14:paraId="2616ADB1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4F0098EE" w14:textId="0515386A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Este questionário busca reunir informações para a elaboração de um relatório regional sobre os direitos econômicos, sociais e culturais das pessoas trans. O questionário tem como </w:t>
      </w:r>
      <w:r w:rsidR="00CC532C" w:rsidRPr="004E2511">
        <w:rPr>
          <w:rFonts w:ascii="Cambria" w:hAnsi="Cambria"/>
          <w:lang w:val="pt-BR"/>
        </w:rPr>
        <w:t xml:space="preserve">meta, </w:t>
      </w:r>
      <w:r w:rsidRPr="004E2511">
        <w:rPr>
          <w:rFonts w:ascii="Cambria" w:hAnsi="Cambria"/>
          <w:lang w:val="pt-BR"/>
        </w:rPr>
        <w:t>obter informações dos Estados membros da Organização d</w:t>
      </w:r>
      <w:r w:rsidR="00CC532C" w:rsidRPr="004E2511">
        <w:rPr>
          <w:rFonts w:ascii="Cambria" w:hAnsi="Cambria"/>
          <w:lang w:val="pt-BR"/>
        </w:rPr>
        <w:t>os Estados Americanos</w:t>
      </w:r>
      <w:r w:rsidRPr="004E2511">
        <w:rPr>
          <w:rFonts w:ascii="Cambria" w:hAnsi="Cambria"/>
          <w:lang w:val="pt-BR"/>
        </w:rPr>
        <w:t xml:space="preserve">, de organizações da sociedade civil, entidades intergovernamentais, bem como de qualquer interessado </w:t>
      </w:r>
      <w:r w:rsidR="00CC532C" w:rsidRPr="004E2511">
        <w:rPr>
          <w:rFonts w:ascii="Cambria" w:hAnsi="Cambria"/>
          <w:lang w:val="pt-BR"/>
        </w:rPr>
        <w:t>que queira</w:t>
      </w:r>
      <w:r w:rsidRPr="004E2511">
        <w:rPr>
          <w:rFonts w:ascii="Cambria" w:hAnsi="Cambria"/>
          <w:lang w:val="pt-BR"/>
        </w:rPr>
        <w:t xml:space="preserve"> enviar informações sobre as questões</w:t>
      </w:r>
      <w:r w:rsidR="00CC532C" w:rsidRPr="004E2511">
        <w:rPr>
          <w:rFonts w:ascii="Cambria" w:hAnsi="Cambria"/>
          <w:lang w:val="pt-BR"/>
        </w:rPr>
        <w:t xml:space="preserve"> abordadas.</w:t>
      </w:r>
    </w:p>
    <w:p w14:paraId="4799D602" w14:textId="73B3E1A4" w:rsidR="00CC532C" w:rsidRPr="004E2511" w:rsidRDefault="00CC532C" w:rsidP="00D14E51">
      <w:pPr>
        <w:jc w:val="both"/>
        <w:rPr>
          <w:rFonts w:ascii="Cambria" w:hAnsi="Cambria"/>
          <w:lang w:val="pt-BR"/>
        </w:rPr>
      </w:pPr>
    </w:p>
    <w:p w14:paraId="4F9240EB" w14:textId="4604F5D8" w:rsidR="00EB26F7" w:rsidRPr="004E2511" w:rsidRDefault="00EB26F7" w:rsidP="004E2511">
      <w:pPr>
        <w:spacing w:line="276" w:lineRule="auto"/>
        <w:ind w:left="720" w:hanging="360"/>
        <w:jc w:val="both"/>
        <w:rPr>
          <w:rFonts w:ascii="Cambria" w:hAnsi="Cambria"/>
          <w:b/>
          <w:lang w:val="pt-BR"/>
        </w:rPr>
      </w:pPr>
      <w:r w:rsidRPr="004E2511">
        <w:rPr>
          <w:rFonts w:ascii="Cambria" w:eastAsia="Calibri" w:hAnsi="Cambria" w:cs="Calibri"/>
          <w:b/>
          <w:color w:val="000000" w:themeColor="text1"/>
          <w:lang w:val="en-US"/>
        </w:rPr>
        <w:t>3. INSTRUÇÕES</w:t>
      </w:r>
    </w:p>
    <w:p w14:paraId="38D167B0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5483AF7E" w14:textId="63AF79B5" w:rsidR="00EB26F7" w:rsidRPr="004E2511" w:rsidRDefault="00EB26F7" w:rsidP="00D14E51">
      <w:pPr>
        <w:pStyle w:val="ListParagraph"/>
        <w:numPr>
          <w:ilvl w:val="0"/>
          <w:numId w:val="2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O questionário pode ser respondido </w:t>
      </w:r>
      <w:r w:rsidR="00CC532C" w:rsidRPr="004E2511">
        <w:rPr>
          <w:rFonts w:ascii="Cambria" w:hAnsi="Cambria"/>
          <w:lang w:val="pt-BR"/>
        </w:rPr>
        <w:t>total ou parcia</w:t>
      </w:r>
      <w:r w:rsidRPr="004E2511">
        <w:rPr>
          <w:rFonts w:ascii="Cambria" w:hAnsi="Cambria"/>
          <w:lang w:val="pt-BR"/>
        </w:rPr>
        <w:t xml:space="preserve">lmente, </w:t>
      </w:r>
      <w:r w:rsidR="00CC532C" w:rsidRPr="004E2511">
        <w:rPr>
          <w:rFonts w:ascii="Cambria" w:hAnsi="Cambria"/>
          <w:lang w:val="pt-BR"/>
        </w:rPr>
        <w:t xml:space="preserve">a depender </w:t>
      </w:r>
      <w:r w:rsidRPr="004E2511">
        <w:rPr>
          <w:rFonts w:ascii="Cambria" w:hAnsi="Cambria"/>
          <w:lang w:val="pt-BR"/>
        </w:rPr>
        <w:t>da informação disponível;</w:t>
      </w:r>
    </w:p>
    <w:p w14:paraId="5AF04578" w14:textId="0DFF8E6D" w:rsidR="00EB26F7" w:rsidRPr="004E2511" w:rsidRDefault="00EB26F7" w:rsidP="00D14E51">
      <w:pPr>
        <w:pStyle w:val="ListParagraph"/>
        <w:numPr>
          <w:ilvl w:val="0"/>
          <w:numId w:val="2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Você pode</w:t>
      </w:r>
      <w:r w:rsidR="00CC532C" w:rsidRPr="004E2511">
        <w:rPr>
          <w:rFonts w:ascii="Cambria" w:hAnsi="Cambria"/>
          <w:lang w:val="pt-BR"/>
        </w:rPr>
        <w:t>rá</w:t>
      </w:r>
      <w:r w:rsidRPr="004E2511">
        <w:rPr>
          <w:rFonts w:ascii="Cambria" w:hAnsi="Cambria"/>
          <w:lang w:val="pt-BR"/>
        </w:rPr>
        <w:t xml:space="preserve"> enviar pesquisas, relatórios e out</w:t>
      </w:r>
      <w:r w:rsidR="00BB6813">
        <w:rPr>
          <w:rFonts w:ascii="Cambria" w:hAnsi="Cambria"/>
          <w:lang w:val="pt-BR"/>
        </w:rPr>
        <w:t>ros documentos já preparados e/</w:t>
      </w:r>
      <w:bookmarkStart w:id="0" w:name="_GoBack"/>
      <w:bookmarkEnd w:id="0"/>
      <w:r w:rsidRPr="004E2511">
        <w:rPr>
          <w:rFonts w:ascii="Cambria" w:hAnsi="Cambria"/>
          <w:lang w:val="pt-BR"/>
        </w:rPr>
        <w:t xml:space="preserve">ou publicados que sejam relevantes para o </w:t>
      </w:r>
      <w:r w:rsidR="00CC532C" w:rsidRPr="004E2511">
        <w:rPr>
          <w:rFonts w:ascii="Cambria" w:hAnsi="Cambria"/>
          <w:lang w:val="pt-BR"/>
        </w:rPr>
        <w:t>tema</w:t>
      </w:r>
      <w:r w:rsidRPr="004E2511">
        <w:rPr>
          <w:rFonts w:ascii="Cambria" w:hAnsi="Cambria"/>
          <w:lang w:val="pt-BR"/>
        </w:rPr>
        <w:t>;</w:t>
      </w:r>
    </w:p>
    <w:p w14:paraId="4EA5FE7C" w14:textId="4CCAD0A8" w:rsidR="00EB26F7" w:rsidRPr="004E2511" w:rsidRDefault="00EB26F7" w:rsidP="00D14E51">
      <w:pPr>
        <w:pStyle w:val="ListParagraph"/>
        <w:numPr>
          <w:ilvl w:val="0"/>
          <w:numId w:val="2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As 14 perguntas podem ser respondidas com respeito à situação das pessoas trans dependendo da informação disponível ou da abordagem do trabalho dos Estados membros da Organização dos Estados Americanos, das organizações da </w:t>
      </w:r>
      <w:r w:rsidRPr="004E2511">
        <w:rPr>
          <w:rFonts w:ascii="Cambria" w:hAnsi="Cambria"/>
          <w:lang w:val="pt-BR"/>
        </w:rPr>
        <w:lastRenderedPageBreak/>
        <w:t>sociedade civil, das entidades intergovernamentai</w:t>
      </w:r>
      <w:r w:rsidR="00CC532C" w:rsidRPr="004E2511">
        <w:rPr>
          <w:rFonts w:ascii="Cambria" w:hAnsi="Cambria"/>
          <w:lang w:val="pt-BR"/>
        </w:rPr>
        <w:t xml:space="preserve">s, bem como de qualquer pessoa </w:t>
      </w:r>
      <w:r w:rsidRPr="004E2511">
        <w:rPr>
          <w:rFonts w:ascii="Cambria" w:hAnsi="Cambria"/>
          <w:lang w:val="pt-BR"/>
        </w:rPr>
        <w:t>que</w:t>
      </w:r>
      <w:r w:rsidR="00CC532C" w:rsidRPr="004E2511">
        <w:rPr>
          <w:rFonts w:ascii="Cambria" w:hAnsi="Cambria"/>
          <w:lang w:val="pt-BR"/>
        </w:rPr>
        <w:t xml:space="preserve"> esteja interessada</w:t>
      </w:r>
      <w:r w:rsidRPr="004E2511">
        <w:rPr>
          <w:rFonts w:ascii="Cambria" w:hAnsi="Cambria"/>
          <w:lang w:val="pt-BR"/>
        </w:rPr>
        <w:t xml:space="preserve"> em enviar informações sobre as questões.</w:t>
      </w:r>
    </w:p>
    <w:p w14:paraId="5120B87B" w14:textId="2222783C" w:rsidR="00EB26F7" w:rsidRPr="004E2511" w:rsidRDefault="00EB26F7" w:rsidP="00D14E51">
      <w:pPr>
        <w:pStyle w:val="ListParagraph"/>
        <w:numPr>
          <w:ilvl w:val="0"/>
          <w:numId w:val="2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Por favor, envie as respostas para o questionário </w:t>
      </w:r>
      <w:r w:rsidR="00CC532C" w:rsidRPr="004E2511">
        <w:rPr>
          <w:rFonts w:ascii="Cambria" w:hAnsi="Cambria"/>
          <w:lang w:val="pt-BR"/>
        </w:rPr>
        <w:t xml:space="preserve">até o dia </w:t>
      </w:r>
      <w:r w:rsidRPr="004E2511">
        <w:rPr>
          <w:rFonts w:ascii="Cambria" w:hAnsi="Cambria"/>
          <w:lang w:val="pt-BR"/>
        </w:rPr>
        <w:t xml:space="preserve">23 de julho de 2018, por e-mail: cidh_lgtbi@oas.org. Por favor, indique </w:t>
      </w:r>
      <w:r w:rsidR="00CC532C" w:rsidRPr="004E2511">
        <w:rPr>
          <w:rFonts w:ascii="Cambria" w:hAnsi="Cambria"/>
          <w:lang w:val="pt-BR"/>
        </w:rPr>
        <w:t xml:space="preserve">como assunto do </w:t>
      </w:r>
      <w:r w:rsidR="004E2511" w:rsidRPr="004E2511">
        <w:rPr>
          <w:rFonts w:ascii="Cambria" w:hAnsi="Cambria"/>
          <w:lang w:val="pt-BR"/>
        </w:rPr>
        <w:t>e-mail</w:t>
      </w:r>
      <w:r w:rsidR="00CC532C" w:rsidRPr="004E2511">
        <w:rPr>
          <w:rFonts w:ascii="Cambria" w:hAnsi="Cambria"/>
          <w:lang w:val="pt-BR"/>
        </w:rPr>
        <w:t xml:space="preserve"> </w:t>
      </w:r>
      <w:r w:rsidRPr="004E2511">
        <w:rPr>
          <w:rFonts w:ascii="Cambria" w:hAnsi="Cambria"/>
          <w:lang w:val="pt-BR"/>
        </w:rPr>
        <w:t xml:space="preserve">"Questionário sobre Pessoas Trans e </w:t>
      </w:r>
      <w:r w:rsidR="004E2511">
        <w:rPr>
          <w:rFonts w:ascii="Cambria" w:hAnsi="Cambria"/>
          <w:lang w:val="pt-BR"/>
        </w:rPr>
        <w:t>DESC</w:t>
      </w:r>
      <w:r w:rsidRPr="004E2511">
        <w:rPr>
          <w:rFonts w:ascii="Cambria" w:hAnsi="Cambria"/>
          <w:lang w:val="pt-BR"/>
        </w:rPr>
        <w:t xml:space="preserve"> - (Nome do País)"</w:t>
      </w:r>
      <w:r w:rsidR="00CC532C" w:rsidRPr="004E2511">
        <w:rPr>
          <w:rFonts w:ascii="Cambria" w:hAnsi="Cambria"/>
          <w:lang w:val="pt-BR"/>
        </w:rPr>
        <w:t>. Rogamos por não enviar materiais duplicados</w:t>
      </w:r>
      <w:r w:rsidRPr="004E2511">
        <w:rPr>
          <w:rFonts w:ascii="Cambria" w:hAnsi="Cambria"/>
          <w:lang w:val="pt-BR"/>
        </w:rPr>
        <w:t xml:space="preserve">. Caso não seja possível enviar </w:t>
      </w:r>
      <w:r w:rsidR="00CC532C" w:rsidRPr="004E2511">
        <w:rPr>
          <w:rFonts w:ascii="Cambria" w:hAnsi="Cambria"/>
          <w:lang w:val="pt-BR"/>
        </w:rPr>
        <w:t>por</w:t>
      </w:r>
      <w:r w:rsidRPr="004E2511">
        <w:rPr>
          <w:rFonts w:ascii="Cambria" w:hAnsi="Cambria"/>
          <w:lang w:val="pt-BR"/>
        </w:rPr>
        <w:t xml:space="preserve"> </w:t>
      </w:r>
      <w:r w:rsidR="004E2511" w:rsidRPr="004E2511">
        <w:rPr>
          <w:rFonts w:ascii="Cambria" w:hAnsi="Cambria"/>
          <w:lang w:val="pt-BR"/>
        </w:rPr>
        <w:t>e-mail</w:t>
      </w:r>
      <w:r w:rsidRPr="004E2511">
        <w:rPr>
          <w:rFonts w:ascii="Cambria" w:hAnsi="Cambria"/>
          <w:lang w:val="pt-BR"/>
        </w:rPr>
        <w:t>, você também pode</w:t>
      </w:r>
      <w:r w:rsidR="00CC532C" w:rsidRPr="004E2511">
        <w:rPr>
          <w:rFonts w:ascii="Cambria" w:hAnsi="Cambria"/>
          <w:lang w:val="pt-BR"/>
        </w:rPr>
        <w:t>rá enviar as respostas ao</w:t>
      </w:r>
      <w:r w:rsidRPr="004E2511">
        <w:rPr>
          <w:rFonts w:ascii="Cambria" w:hAnsi="Cambria"/>
          <w:lang w:val="pt-BR"/>
        </w:rPr>
        <w:t xml:space="preserve"> questionário via fax</w:t>
      </w:r>
      <w:r w:rsidR="00CC532C" w:rsidRPr="004E2511">
        <w:rPr>
          <w:rFonts w:ascii="Cambria" w:hAnsi="Cambria"/>
          <w:lang w:val="pt-BR"/>
        </w:rPr>
        <w:t>,</w:t>
      </w:r>
      <w:r w:rsidRPr="004E2511">
        <w:rPr>
          <w:rFonts w:ascii="Cambria" w:hAnsi="Cambria"/>
          <w:lang w:val="pt-BR"/>
        </w:rPr>
        <w:t xml:space="preserve"> para o número +1 202 458 3650, ou por correio para:</w:t>
      </w:r>
    </w:p>
    <w:p w14:paraId="6F5233ED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3F9F04DB" w14:textId="77777777" w:rsidR="00EB26F7" w:rsidRPr="004E2511" w:rsidRDefault="00EB26F7" w:rsidP="00393496">
      <w:pPr>
        <w:ind w:left="709"/>
        <w:jc w:val="both"/>
        <w:rPr>
          <w:rFonts w:ascii="Cambria" w:hAnsi="Cambria"/>
          <w:i/>
          <w:lang w:val="pt-BR"/>
        </w:rPr>
      </w:pPr>
      <w:r w:rsidRPr="004E2511">
        <w:rPr>
          <w:rFonts w:ascii="Cambria" w:hAnsi="Cambria"/>
          <w:i/>
          <w:lang w:val="pt-BR"/>
        </w:rPr>
        <w:t>Relatoria sobre os Direitos das Pessoas Lésbicas, Gays, Trans, Bissexuais e Intersexuais</w:t>
      </w:r>
    </w:p>
    <w:p w14:paraId="528A25D7" w14:textId="77777777" w:rsidR="00EB26F7" w:rsidRPr="004E2511" w:rsidRDefault="00EB26F7" w:rsidP="00393496">
      <w:pPr>
        <w:ind w:left="709"/>
        <w:jc w:val="both"/>
        <w:rPr>
          <w:rFonts w:ascii="Cambria" w:hAnsi="Cambria"/>
          <w:i/>
          <w:lang w:val="pt-BR"/>
        </w:rPr>
      </w:pPr>
      <w:r w:rsidRPr="004E2511">
        <w:rPr>
          <w:rFonts w:ascii="Cambria" w:hAnsi="Cambria"/>
          <w:i/>
          <w:lang w:val="pt-BR"/>
        </w:rPr>
        <w:t>Comissão Interamericana de Direitos Humanos</w:t>
      </w:r>
    </w:p>
    <w:p w14:paraId="18DA929B" w14:textId="77777777" w:rsidR="00EB26F7" w:rsidRPr="004E2511" w:rsidRDefault="00EB26F7" w:rsidP="00393496">
      <w:pPr>
        <w:ind w:left="709"/>
        <w:jc w:val="both"/>
        <w:rPr>
          <w:rFonts w:ascii="Cambria" w:hAnsi="Cambria"/>
          <w:i/>
          <w:lang w:val="pt-BR"/>
        </w:rPr>
      </w:pPr>
      <w:r w:rsidRPr="004E2511">
        <w:rPr>
          <w:rFonts w:ascii="Cambria" w:hAnsi="Cambria"/>
          <w:i/>
          <w:lang w:val="pt-BR"/>
        </w:rPr>
        <w:t>Organização dos Estados Americanos</w:t>
      </w:r>
    </w:p>
    <w:p w14:paraId="1437148F" w14:textId="77777777" w:rsidR="00EB26F7" w:rsidRPr="008455A8" w:rsidRDefault="00EB26F7" w:rsidP="00393496">
      <w:pPr>
        <w:ind w:left="709"/>
        <w:jc w:val="both"/>
        <w:rPr>
          <w:rFonts w:ascii="Cambria" w:hAnsi="Cambria"/>
          <w:i/>
          <w:lang w:val="en-US"/>
        </w:rPr>
      </w:pPr>
      <w:r w:rsidRPr="008455A8">
        <w:rPr>
          <w:rFonts w:ascii="Cambria" w:hAnsi="Cambria"/>
          <w:i/>
          <w:lang w:val="en-US"/>
        </w:rPr>
        <w:t>1889 F Street, NW</w:t>
      </w:r>
    </w:p>
    <w:p w14:paraId="201C7A08" w14:textId="77777777" w:rsidR="00EB26F7" w:rsidRPr="008455A8" w:rsidRDefault="00EB26F7" w:rsidP="00393496">
      <w:pPr>
        <w:ind w:left="709"/>
        <w:jc w:val="both"/>
        <w:rPr>
          <w:rFonts w:ascii="Cambria" w:hAnsi="Cambria"/>
          <w:i/>
          <w:lang w:val="en-US"/>
        </w:rPr>
      </w:pPr>
      <w:proofErr w:type="gramStart"/>
      <w:r w:rsidRPr="008455A8">
        <w:rPr>
          <w:rFonts w:ascii="Cambria" w:hAnsi="Cambria"/>
          <w:i/>
          <w:lang w:val="en-US"/>
        </w:rPr>
        <w:t>Washington D. C.</w:t>
      </w:r>
      <w:proofErr w:type="gramEnd"/>
    </w:p>
    <w:p w14:paraId="7F8254B4" w14:textId="77777777" w:rsidR="00EB26F7" w:rsidRPr="004E2511" w:rsidRDefault="00EB26F7" w:rsidP="00393496">
      <w:pPr>
        <w:ind w:left="709"/>
        <w:jc w:val="both"/>
        <w:rPr>
          <w:rFonts w:ascii="Cambria" w:hAnsi="Cambria"/>
          <w:i/>
          <w:lang w:val="pt-BR"/>
        </w:rPr>
      </w:pPr>
      <w:r w:rsidRPr="004E2511">
        <w:rPr>
          <w:rFonts w:ascii="Cambria" w:hAnsi="Cambria"/>
          <w:i/>
          <w:lang w:val="pt-BR"/>
        </w:rPr>
        <w:t>20006</w:t>
      </w:r>
    </w:p>
    <w:p w14:paraId="65C9867D" w14:textId="4EFAE4B9" w:rsidR="00EB26F7" w:rsidRPr="004E2511" w:rsidRDefault="00EB26F7" w:rsidP="004E2511">
      <w:pPr>
        <w:spacing w:line="276" w:lineRule="auto"/>
        <w:ind w:left="720" w:hanging="360"/>
        <w:jc w:val="both"/>
        <w:rPr>
          <w:rFonts w:ascii="Cambria" w:hAnsi="Cambria"/>
          <w:lang w:val="pt-BR"/>
        </w:rPr>
      </w:pPr>
    </w:p>
    <w:p w14:paraId="7F395228" w14:textId="77777777" w:rsidR="00EB26F7" w:rsidRPr="008455A8" w:rsidRDefault="00EB26F7" w:rsidP="004E2511">
      <w:pPr>
        <w:spacing w:line="276" w:lineRule="auto"/>
        <w:ind w:left="720" w:hanging="360"/>
        <w:jc w:val="both"/>
        <w:rPr>
          <w:rFonts w:ascii="Cambria" w:eastAsia="Calibri" w:hAnsi="Cambria" w:cs="Calibri"/>
          <w:b/>
          <w:color w:val="000000" w:themeColor="text1"/>
          <w:lang w:val="pt-BR"/>
        </w:rPr>
      </w:pPr>
      <w:r w:rsidRPr="008455A8">
        <w:rPr>
          <w:rFonts w:ascii="Cambria" w:eastAsia="Calibri" w:hAnsi="Cambria" w:cs="Calibri"/>
          <w:b/>
          <w:color w:val="000000" w:themeColor="text1"/>
          <w:lang w:val="pt-BR"/>
        </w:rPr>
        <w:t>4. QUESTIONÁRIO</w:t>
      </w:r>
    </w:p>
    <w:p w14:paraId="5511C62F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25ECEA71" w14:textId="01A3E14C" w:rsidR="00EB26F7" w:rsidRPr="004E2511" w:rsidRDefault="00CC532C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Solicitamos </w:t>
      </w:r>
      <w:r w:rsidR="00EB26F7" w:rsidRPr="004E2511">
        <w:rPr>
          <w:rFonts w:ascii="Cambria" w:hAnsi="Cambria"/>
          <w:lang w:val="pt-BR"/>
        </w:rPr>
        <w:t xml:space="preserve">que </w:t>
      </w:r>
      <w:r w:rsidRPr="004E2511">
        <w:rPr>
          <w:rFonts w:ascii="Cambria" w:hAnsi="Cambria"/>
          <w:lang w:val="pt-BR"/>
        </w:rPr>
        <w:t xml:space="preserve">você </w:t>
      </w:r>
      <w:r w:rsidR="00EB26F7" w:rsidRPr="004E2511">
        <w:rPr>
          <w:rFonts w:ascii="Cambria" w:hAnsi="Cambria"/>
          <w:lang w:val="pt-BR"/>
        </w:rPr>
        <w:t>forneça as informações</w:t>
      </w:r>
      <w:r w:rsidRPr="004E2511">
        <w:rPr>
          <w:rFonts w:ascii="Cambria" w:hAnsi="Cambria"/>
          <w:lang w:val="pt-BR"/>
        </w:rPr>
        <w:t xml:space="preserve"> consideradas mais relevantes e/ ou mais significativas e</w:t>
      </w:r>
      <w:r w:rsidR="00EB26F7" w:rsidRPr="004E2511">
        <w:rPr>
          <w:rFonts w:ascii="Cambria" w:hAnsi="Cambria"/>
          <w:lang w:val="pt-BR"/>
        </w:rPr>
        <w:t>/ ou relevantes em relação a cada um dos pontos mencionados abaixo.</w:t>
      </w:r>
    </w:p>
    <w:p w14:paraId="0CEAC413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505F0C2F" w14:textId="5BAB991E" w:rsidR="00094A79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Para </w:t>
      </w:r>
      <w:r w:rsidR="00C20652" w:rsidRPr="004E2511">
        <w:rPr>
          <w:rFonts w:ascii="Cambria" w:hAnsi="Cambria"/>
          <w:lang w:val="pt-BR"/>
        </w:rPr>
        <w:t>facilitar a análise</w:t>
      </w:r>
      <w:r w:rsidR="00EF23F7" w:rsidRPr="004E2511">
        <w:rPr>
          <w:rFonts w:ascii="Cambria" w:hAnsi="Cambria"/>
          <w:lang w:val="pt-BR"/>
        </w:rPr>
        <w:t xml:space="preserve"> sistemática </w:t>
      </w:r>
      <w:r w:rsidR="00C20652" w:rsidRPr="004E2511">
        <w:rPr>
          <w:rFonts w:ascii="Cambria" w:hAnsi="Cambria"/>
          <w:lang w:val="pt-BR"/>
        </w:rPr>
        <w:t>d</w:t>
      </w:r>
      <w:r w:rsidRPr="004E2511">
        <w:rPr>
          <w:rFonts w:ascii="Cambria" w:hAnsi="Cambria"/>
          <w:lang w:val="pt-BR"/>
        </w:rPr>
        <w:t xml:space="preserve">as informações coletadas, o formulário </w:t>
      </w:r>
      <w:r w:rsidR="00EF23F7" w:rsidRPr="004E2511">
        <w:rPr>
          <w:rFonts w:ascii="Cambria" w:hAnsi="Cambria"/>
          <w:lang w:val="pt-BR"/>
        </w:rPr>
        <w:t>está dividido</w:t>
      </w:r>
      <w:r w:rsidRPr="004E2511">
        <w:rPr>
          <w:rFonts w:ascii="Cambria" w:hAnsi="Cambria"/>
          <w:lang w:val="pt-BR"/>
        </w:rPr>
        <w:t xml:space="preserve"> em 4 blocos que buscam </w:t>
      </w:r>
      <w:r w:rsidR="00EF23F7" w:rsidRPr="004E2511">
        <w:rPr>
          <w:rFonts w:ascii="Cambria" w:hAnsi="Cambria"/>
          <w:lang w:val="pt-BR"/>
        </w:rPr>
        <w:t>receber</w:t>
      </w:r>
      <w:r w:rsidRPr="004E2511">
        <w:rPr>
          <w:rFonts w:ascii="Cambria" w:hAnsi="Cambria"/>
          <w:lang w:val="pt-BR"/>
        </w:rPr>
        <w:t xml:space="preserve"> informações relevantes (</w:t>
      </w:r>
      <w:r w:rsidR="00EF23F7" w:rsidRPr="004E2511">
        <w:rPr>
          <w:rFonts w:ascii="Cambria" w:hAnsi="Cambria"/>
          <w:lang w:val="pt-BR"/>
        </w:rPr>
        <w:t xml:space="preserve">mas </w:t>
      </w:r>
      <w:r w:rsidRPr="004E2511">
        <w:rPr>
          <w:rFonts w:ascii="Cambria" w:hAnsi="Cambria"/>
          <w:lang w:val="pt-BR"/>
        </w:rPr>
        <w:t>não exaustivas) sobre: ​​</w:t>
      </w:r>
      <w:r w:rsidR="00EF23F7" w:rsidRPr="004E2511">
        <w:rPr>
          <w:rFonts w:ascii="Cambria" w:hAnsi="Cambria"/>
          <w:lang w:val="pt-BR"/>
        </w:rPr>
        <w:t>a) I</w:t>
      </w:r>
      <w:r w:rsidRPr="004E2511">
        <w:rPr>
          <w:rFonts w:ascii="Cambria" w:hAnsi="Cambria"/>
          <w:lang w:val="pt-BR"/>
        </w:rPr>
        <w:t xml:space="preserve">nformações gerais sobre os direitos econômicos, sociais e </w:t>
      </w:r>
      <w:r w:rsidR="00EF23F7" w:rsidRPr="004E2511">
        <w:rPr>
          <w:rFonts w:ascii="Cambria" w:hAnsi="Cambria"/>
          <w:lang w:val="pt-BR"/>
        </w:rPr>
        <w:t xml:space="preserve">culturais das pessoas trans e o </w:t>
      </w:r>
      <w:r w:rsidRPr="004E2511">
        <w:rPr>
          <w:rFonts w:ascii="Cambria" w:hAnsi="Cambria"/>
          <w:lang w:val="pt-BR"/>
        </w:rPr>
        <w:t xml:space="preserve">atual arcabouço legal </w:t>
      </w:r>
      <w:r w:rsidR="00EF23F7" w:rsidRPr="004E2511">
        <w:rPr>
          <w:rFonts w:ascii="Cambria" w:hAnsi="Cambria"/>
          <w:lang w:val="pt-BR"/>
        </w:rPr>
        <w:t>existente (Bloco 1); b) Coleta de Dados (Bloco 2); c)</w:t>
      </w:r>
      <w:r w:rsidRPr="004E2511">
        <w:rPr>
          <w:rFonts w:ascii="Cambria" w:hAnsi="Cambria"/>
          <w:lang w:val="pt-BR"/>
        </w:rPr>
        <w:t xml:space="preserve"> Direito ao reconhecimento de identidade</w:t>
      </w:r>
      <w:r w:rsidR="00EF23F7" w:rsidRPr="004E2511">
        <w:rPr>
          <w:rFonts w:ascii="Cambria" w:hAnsi="Cambria"/>
          <w:lang w:val="pt-BR"/>
        </w:rPr>
        <w:t xml:space="preserve"> de gênero (Bloco 3); </w:t>
      </w:r>
      <w:r w:rsidR="00094A79" w:rsidRPr="004E2511">
        <w:rPr>
          <w:rFonts w:ascii="Cambria" w:hAnsi="Cambria"/>
          <w:lang w:val="pt-BR"/>
        </w:rPr>
        <w:t>d) Q</w:t>
      </w:r>
      <w:r w:rsidRPr="004E2511">
        <w:rPr>
          <w:rFonts w:ascii="Cambria" w:hAnsi="Cambria"/>
          <w:lang w:val="pt-BR"/>
        </w:rPr>
        <w:t>uestões específicas relacionadas aos Direitos Econômicos, Sociais e Culturais (Bloco 4) e</w:t>
      </w:r>
      <w:r w:rsidR="00094A79" w:rsidRPr="004E2511">
        <w:rPr>
          <w:rFonts w:ascii="Cambria" w:hAnsi="Cambria"/>
          <w:lang w:val="pt-BR"/>
        </w:rPr>
        <w:t>; e) Interseccionalidade</w:t>
      </w:r>
    </w:p>
    <w:p w14:paraId="2570CA45" w14:textId="31368A21" w:rsidR="00EB26F7" w:rsidRPr="004E2511" w:rsidRDefault="00094A79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 com outros grupos (Bloco 5)</w:t>
      </w:r>
      <w:r w:rsidR="00EB26F7" w:rsidRPr="004E2511">
        <w:rPr>
          <w:rFonts w:ascii="Cambria" w:hAnsi="Cambria"/>
          <w:lang w:val="pt-BR"/>
        </w:rPr>
        <w:t>.</w:t>
      </w:r>
    </w:p>
    <w:p w14:paraId="730C89D6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4310CF9A" w14:textId="77777777" w:rsidR="00EB26F7" w:rsidRPr="008455A8" w:rsidRDefault="00EB26F7" w:rsidP="004E2511">
      <w:pPr>
        <w:spacing w:line="276" w:lineRule="auto"/>
        <w:ind w:left="720" w:hanging="360"/>
        <w:jc w:val="both"/>
        <w:rPr>
          <w:rFonts w:ascii="Cambria" w:eastAsia="Calibri" w:hAnsi="Cambria" w:cs="Calibri"/>
          <w:b/>
          <w:color w:val="000000" w:themeColor="text1"/>
          <w:lang w:val="pt-BR"/>
        </w:rPr>
      </w:pPr>
      <w:r w:rsidRPr="008455A8">
        <w:rPr>
          <w:rFonts w:ascii="Cambria" w:eastAsia="Calibri" w:hAnsi="Cambria" w:cs="Calibri"/>
          <w:b/>
          <w:color w:val="000000" w:themeColor="text1"/>
          <w:lang w:val="pt-BR"/>
        </w:rPr>
        <w:t>I. PERGUNTAS</w:t>
      </w:r>
    </w:p>
    <w:p w14:paraId="76F92055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4E5A5177" w14:textId="77777777" w:rsidR="00EB26F7" w:rsidRPr="004E2511" w:rsidRDefault="00EB26F7" w:rsidP="002E431E">
      <w:pPr>
        <w:shd w:val="clear" w:color="auto" w:fill="4472C4"/>
        <w:jc w:val="both"/>
        <w:rPr>
          <w:rFonts w:ascii="Cambria" w:hAnsi="Cambria"/>
          <w:b/>
          <w:color w:val="FFFFFF" w:themeColor="background1"/>
          <w:lang w:val="pt-BR"/>
        </w:rPr>
      </w:pPr>
      <w:r w:rsidRPr="004E2511">
        <w:rPr>
          <w:rFonts w:ascii="Cambria" w:hAnsi="Cambria"/>
          <w:b/>
          <w:color w:val="FFFFFF" w:themeColor="background1"/>
          <w:lang w:val="pt-BR"/>
        </w:rPr>
        <w:t>BLOCO 1 - PERGUNTAS GERAIS</w:t>
      </w:r>
    </w:p>
    <w:p w14:paraId="79F43458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28890650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1. Fornecer todas as informações disponíveis sobre leis, regulamentos, diretrizes, decisões judiciais, projetos e políticas públicas que reconheçam ou desenvolvam os direitos das pessoas trans nas seguintes áreas:</w:t>
      </w:r>
    </w:p>
    <w:p w14:paraId="2BC3E5BC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15511964" w14:textId="1A9D2EFE" w:rsidR="00EB26F7" w:rsidRPr="004E2511" w:rsidRDefault="00EB26F7" w:rsidP="00D14E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Direito à educação;</w:t>
      </w:r>
    </w:p>
    <w:p w14:paraId="6347DEBA" w14:textId="17994B20" w:rsidR="00EB26F7" w:rsidRPr="004E2511" w:rsidRDefault="00EB26F7" w:rsidP="00D14E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Direito à saúde;</w:t>
      </w:r>
    </w:p>
    <w:p w14:paraId="573877C3" w14:textId="21FC3925" w:rsidR="00EB26F7" w:rsidRPr="004E2511" w:rsidRDefault="00EB26F7" w:rsidP="00D14E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Direito à alimentação;</w:t>
      </w:r>
    </w:p>
    <w:p w14:paraId="2C5746C9" w14:textId="1C1CA5A8" w:rsidR="00EB26F7" w:rsidRPr="004E2511" w:rsidRDefault="00EB26F7" w:rsidP="00D14E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Direito ao trabalho;</w:t>
      </w:r>
    </w:p>
    <w:p w14:paraId="2B4369C8" w14:textId="32F20ED8" w:rsidR="00EB26F7" w:rsidRPr="004E2511" w:rsidRDefault="00EB26F7" w:rsidP="00D14E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Direito à seguridade social;</w:t>
      </w:r>
    </w:p>
    <w:p w14:paraId="543DF28D" w14:textId="630C2A24" w:rsidR="00EB26F7" w:rsidRPr="004E2511" w:rsidRDefault="00EB26F7" w:rsidP="00D14E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Direito à moradia;</w:t>
      </w:r>
    </w:p>
    <w:p w14:paraId="678EDD58" w14:textId="62B05D8F" w:rsidR="00EB26F7" w:rsidRPr="004E2511" w:rsidRDefault="00EB26F7" w:rsidP="00D14E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Direitos culturais</w:t>
      </w:r>
      <w:r w:rsidR="0069580D" w:rsidRPr="004E2511">
        <w:rPr>
          <w:rFonts w:ascii="Cambria" w:hAnsi="Cambria"/>
          <w:lang w:val="pt-BR"/>
        </w:rPr>
        <w:t>; e</w:t>
      </w:r>
    </w:p>
    <w:p w14:paraId="6ECE55CD" w14:textId="3756639F" w:rsidR="00EB26F7" w:rsidRPr="004E2511" w:rsidRDefault="00EB26F7" w:rsidP="00D14E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lastRenderedPageBreak/>
        <w:t xml:space="preserve">Outros direitos econômicos, sociais e culturais que </w:t>
      </w:r>
      <w:r w:rsidR="0069580D" w:rsidRPr="004E2511">
        <w:rPr>
          <w:rFonts w:ascii="Cambria" w:hAnsi="Cambria"/>
          <w:lang w:val="pt-BR"/>
        </w:rPr>
        <w:t>considere</w:t>
      </w:r>
      <w:r w:rsidRPr="004E2511">
        <w:rPr>
          <w:rFonts w:ascii="Cambria" w:hAnsi="Cambria"/>
          <w:lang w:val="pt-BR"/>
        </w:rPr>
        <w:t>m relevantes.</w:t>
      </w:r>
    </w:p>
    <w:p w14:paraId="7CBE9BB2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3767F02E" w14:textId="18F539B2" w:rsidR="00EB26F7" w:rsidRPr="004E2511" w:rsidRDefault="00EB26F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2. Identificar os principais obstáculos e desafios encontrados na criação e implementação efetiva das referidas leis, regulamentos, diretrizes, decisões judiciais, projetos e p</w:t>
      </w:r>
      <w:r w:rsidR="0069580D" w:rsidRPr="004E2511">
        <w:rPr>
          <w:rFonts w:ascii="Cambria" w:hAnsi="Cambria"/>
          <w:lang w:val="pt-BR"/>
        </w:rPr>
        <w:t>olíticas públicas</w:t>
      </w:r>
      <w:r w:rsidRPr="004E2511">
        <w:rPr>
          <w:rFonts w:ascii="Cambria" w:hAnsi="Cambria"/>
          <w:lang w:val="pt-BR"/>
        </w:rPr>
        <w:t>.</w:t>
      </w:r>
    </w:p>
    <w:p w14:paraId="2975D992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p w14:paraId="34B61A58" w14:textId="735DF67E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3. Identificar formas de discriminação e violência que impedem o pleno exercício dos </w:t>
      </w:r>
      <w:r w:rsidR="000A0EFA" w:rsidRPr="004E2511">
        <w:rPr>
          <w:rFonts w:ascii="Cambria" w:hAnsi="Cambria"/>
          <w:lang w:val="pt-BR"/>
        </w:rPr>
        <w:t xml:space="preserve">direitos </w:t>
      </w:r>
      <w:r w:rsidRPr="004E2511">
        <w:rPr>
          <w:rFonts w:ascii="Cambria" w:hAnsi="Cambria"/>
          <w:lang w:val="pt-BR"/>
        </w:rPr>
        <w:t xml:space="preserve">DESC por pessoas trans, bem como os meios de </w:t>
      </w:r>
      <w:r w:rsidR="000A0EFA" w:rsidRPr="004E2511">
        <w:rPr>
          <w:rFonts w:ascii="Cambria" w:hAnsi="Cambria"/>
          <w:lang w:val="pt-BR"/>
        </w:rPr>
        <w:t xml:space="preserve">aceder </w:t>
      </w:r>
      <w:r w:rsidRPr="004E2511">
        <w:rPr>
          <w:rFonts w:ascii="Cambria" w:hAnsi="Cambria"/>
          <w:lang w:val="pt-BR"/>
        </w:rPr>
        <w:t xml:space="preserve">à justiça quando sofrem violação </w:t>
      </w:r>
      <w:r w:rsidR="000A0EFA" w:rsidRPr="004E2511">
        <w:rPr>
          <w:rFonts w:ascii="Cambria" w:hAnsi="Cambria"/>
          <w:lang w:val="pt-BR"/>
        </w:rPr>
        <w:t>desses</w:t>
      </w:r>
      <w:r w:rsidRPr="004E2511">
        <w:rPr>
          <w:rFonts w:ascii="Cambria" w:hAnsi="Cambria"/>
          <w:lang w:val="pt-BR"/>
        </w:rPr>
        <w:t xml:space="preserve"> direitos humanos.</w:t>
      </w:r>
    </w:p>
    <w:p w14:paraId="491D6135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06634AD2" w14:textId="012EBE38" w:rsidR="00EB26F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4. Mencione quais são os indicadores e mecanismos existentes para monitorar e avaliar os avanços e desafios mencionados.</w:t>
      </w:r>
    </w:p>
    <w:p w14:paraId="794426A8" w14:textId="468C03B4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2AA67CEC" w14:textId="77777777" w:rsidR="00095647" w:rsidRPr="004E2511" w:rsidRDefault="00095647" w:rsidP="002E431E">
      <w:pPr>
        <w:shd w:val="clear" w:color="auto" w:fill="4472C4"/>
        <w:jc w:val="both"/>
        <w:rPr>
          <w:rFonts w:ascii="Cambria" w:hAnsi="Cambria"/>
          <w:b/>
          <w:color w:val="FFFFFF" w:themeColor="background1"/>
          <w:lang w:val="pt-BR"/>
        </w:rPr>
      </w:pPr>
      <w:r w:rsidRPr="004E2511">
        <w:rPr>
          <w:rFonts w:ascii="Cambria" w:hAnsi="Cambria"/>
          <w:b/>
          <w:color w:val="FFFFFF" w:themeColor="background1"/>
          <w:lang w:val="pt-BR"/>
        </w:rPr>
        <w:t>BLOCO 2 - COLETA DE DADOS</w:t>
      </w:r>
    </w:p>
    <w:p w14:paraId="50133855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0C65037A" w14:textId="02DE1DE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5. Identificar políticas e práticas existentes </w:t>
      </w:r>
      <w:r w:rsidR="000A0EFA" w:rsidRPr="004E2511">
        <w:rPr>
          <w:rFonts w:ascii="Cambria" w:hAnsi="Cambria"/>
          <w:lang w:val="pt-BR"/>
        </w:rPr>
        <w:t xml:space="preserve">no seu </w:t>
      </w:r>
      <w:r w:rsidRPr="004E2511">
        <w:rPr>
          <w:rFonts w:ascii="Cambria" w:hAnsi="Cambria"/>
          <w:lang w:val="pt-BR"/>
        </w:rPr>
        <w:t>país para a coleta de dados sobre os direitos econômicos, sociais e culturais das pessoas trans; e, se possível, apresentar os resultados dessas políticas e práticas.</w:t>
      </w:r>
    </w:p>
    <w:p w14:paraId="1A4316B2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1ACA670F" w14:textId="77777777" w:rsidR="00095647" w:rsidRPr="004E2511" w:rsidRDefault="00095647" w:rsidP="002E431E">
      <w:pPr>
        <w:shd w:val="clear" w:color="auto" w:fill="4472C4"/>
        <w:jc w:val="both"/>
        <w:rPr>
          <w:rFonts w:ascii="Cambria" w:hAnsi="Cambria"/>
          <w:b/>
          <w:color w:val="FFFFFF" w:themeColor="background1"/>
          <w:lang w:val="pt-BR"/>
        </w:rPr>
      </w:pPr>
      <w:r w:rsidRPr="004E2511">
        <w:rPr>
          <w:rFonts w:ascii="Cambria" w:hAnsi="Cambria"/>
          <w:b/>
          <w:color w:val="FFFFFF" w:themeColor="background1"/>
          <w:lang w:val="pt-BR"/>
        </w:rPr>
        <w:t>BLOCO 3 - DIREITO AO RECONHECIMENTO DE IDENTIDADE</w:t>
      </w:r>
    </w:p>
    <w:p w14:paraId="61E06D5C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79D04420" w14:textId="313E9C4A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6. Identificar e fornecer informações (incluindo estatísticas, </w:t>
      </w:r>
      <w:r w:rsidR="000A0EFA" w:rsidRPr="004E2511">
        <w:rPr>
          <w:rFonts w:ascii="Cambria" w:hAnsi="Cambria"/>
          <w:lang w:val="pt-BR"/>
        </w:rPr>
        <w:t xml:space="preserve">caso </w:t>
      </w:r>
      <w:r w:rsidRPr="004E2511">
        <w:rPr>
          <w:rFonts w:ascii="Cambria" w:hAnsi="Cambria"/>
          <w:lang w:val="pt-BR"/>
        </w:rPr>
        <w:t>houver) sobre leis, regulamentos, diretrizes, decisões judiciais, projetos e políticas públicas que garantam a alteração do nome e identidade de gên</w:t>
      </w:r>
      <w:r w:rsidR="00A428CA">
        <w:rPr>
          <w:rFonts w:ascii="Cambria" w:hAnsi="Cambria"/>
          <w:lang w:val="pt-BR"/>
        </w:rPr>
        <w:t>ero no registro de nascimento e/</w:t>
      </w:r>
      <w:r w:rsidRPr="004E2511">
        <w:rPr>
          <w:rFonts w:ascii="Cambria" w:hAnsi="Cambria"/>
          <w:lang w:val="pt-BR"/>
        </w:rPr>
        <w:t>ou identificação Caso contrário, identifique se existe outra forma de reafirmação da identidade de gênero em documentos oficiais.</w:t>
      </w:r>
    </w:p>
    <w:p w14:paraId="45D27A6F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36AFC313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7. Fornecer informações sobre a existência de barreiras ao acesso a direitos econômicos, sociais e culturais relacionados à falta de reconhecimento do direito das pessoas trans à identidade.</w:t>
      </w:r>
    </w:p>
    <w:p w14:paraId="0FDB8613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73B33608" w14:textId="77777777" w:rsidR="00095647" w:rsidRPr="004E2511" w:rsidRDefault="00095647" w:rsidP="002E431E">
      <w:pPr>
        <w:shd w:val="clear" w:color="auto" w:fill="4472C4"/>
        <w:jc w:val="both"/>
        <w:rPr>
          <w:rFonts w:ascii="Cambria" w:hAnsi="Cambria"/>
          <w:b/>
          <w:color w:val="FFFFFF" w:themeColor="background1"/>
          <w:lang w:val="pt-BR"/>
        </w:rPr>
      </w:pPr>
      <w:r w:rsidRPr="004E2511">
        <w:rPr>
          <w:rFonts w:ascii="Cambria" w:hAnsi="Cambria"/>
          <w:b/>
          <w:color w:val="FFFFFF" w:themeColor="background1"/>
          <w:lang w:val="pt-BR"/>
        </w:rPr>
        <w:t>BLOCO 4 - DIREITOS ECONÔMICOS, SOCIAIS E CULTURAIS</w:t>
      </w:r>
    </w:p>
    <w:p w14:paraId="3D2CB469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7712025F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8. Direito à Educação</w:t>
      </w:r>
    </w:p>
    <w:p w14:paraId="08F1FBBD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465333A3" w14:textId="0A2E1432" w:rsidR="00095647" w:rsidRPr="004E2511" w:rsidRDefault="00095647" w:rsidP="002E431E">
      <w:pPr>
        <w:pStyle w:val="ListParagraph"/>
        <w:numPr>
          <w:ilvl w:val="0"/>
          <w:numId w:val="1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Fornecer dados sobre o acesso à educação formal por pessoas trans;</w:t>
      </w:r>
    </w:p>
    <w:p w14:paraId="00F0D3FA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3200D68B" w14:textId="4DC44CB8" w:rsidR="00095647" w:rsidRPr="004E2511" w:rsidRDefault="00095647" w:rsidP="002E431E">
      <w:pPr>
        <w:pStyle w:val="ListParagraph"/>
        <w:numPr>
          <w:ilvl w:val="0"/>
          <w:numId w:val="1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Fornecer dados sobre profissionais trans que trabalham no sistema educacional.</w:t>
      </w:r>
    </w:p>
    <w:p w14:paraId="6533593A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7DF2FD64" w14:textId="79258232" w:rsidR="00095647" w:rsidRPr="004E2511" w:rsidRDefault="00095647" w:rsidP="002E431E">
      <w:pPr>
        <w:pStyle w:val="ListParagraph"/>
        <w:numPr>
          <w:ilvl w:val="0"/>
          <w:numId w:val="1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Fornecer informações sobre currículos escolares inclusivos para pessoas trans, especialmente aquelas que incluem educação de gênero.</w:t>
      </w:r>
    </w:p>
    <w:p w14:paraId="6DEFDC76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25E993E1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9. Direito à saúde</w:t>
      </w:r>
    </w:p>
    <w:p w14:paraId="0CDADFB4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43C4C260" w14:textId="4BD2616B" w:rsidR="00095647" w:rsidRPr="004E2511" w:rsidRDefault="00095647" w:rsidP="002E431E">
      <w:pPr>
        <w:pStyle w:val="ListParagraph"/>
        <w:numPr>
          <w:ilvl w:val="0"/>
          <w:numId w:val="1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Identificar e fornecer informações sobre a disponibilidade, acessibilidade, aceitabilidade e qualidade dos sistemas de saúde para pessoas transexuais.</w:t>
      </w:r>
    </w:p>
    <w:p w14:paraId="6E61A960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33ABB32C" w14:textId="4DD92442" w:rsidR="00095647" w:rsidRPr="004E2511" w:rsidRDefault="00095647" w:rsidP="002E431E">
      <w:pPr>
        <w:pStyle w:val="ListParagraph"/>
        <w:numPr>
          <w:ilvl w:val="0"/>
          <w:numId w:val="14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Fornecer dados sobre a patologização ou despatologização de identidades de gênero pelo sistema de saúde, ou seja, o sistema considera ou estigmatiza a identidade de gênero como uma doença.</w:t>
      </w:r>
    </w:p>
    <w:p w14:paraId="5D057D05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369A0115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10. Direito ao trabalho</w:t>
      </w:r>
    </w:p>
    <w:p w14:paraId="4D285B6B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2047FB14" w14:textId="35D3C954" w:rsidR="00095647" w:rsidRPr="004E2511" w:rsidRDefault="00095647" w:rsidP="002E431E">
      <w:pPr>
        <w:pStyle w:val="ListParagraph"/>
        <w:numPr>
          <w:ilvl w:val="0"/>
          <w:numId w:val="12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Fornecer dados sobre o acesso ao trabalho formal de pessoas trans nos setores público e privado, bem como sobre a existência de leis ou políticas públicas que facilitem o direito de trabalhar para pessoas transexuais.</w:t>
      </w:r>
    </w:p>
    <w:p w14:paraId="0477F4A1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08F0671C" w14:textId="17C75408" w:rsidR="00095647" w:rsidRPr="004E2511" w:rsidRDefault="00095647" w:rsidP="002E431E">
      <w:pPr>
        <w:pStyle w:val="ListParagraph"/>
        <w:numPr>
          <w:ilvl w:val="0"/>
          <w:numId w:val="12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Fornecer informações sobre a participação de pessoas trans no mercado de trabalho informal e sobre as dificuldades de acesso ao mercado de trabalho formal.</w:t>
      </w:r>
    </w:p>
    <w:p w14:paraId="09B04D81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4B9A0768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11. Direito à segurança social</w:t>
      </w:r>
    </w:p>
    <w:p w14:paraId="6F1B0DCD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7BED5653" w14:textId="2DC3C78B" w:rsidR="00095647" w:rsidRPr="004E2511" w:rsidRDefault="00095647" w:rsidP="002E431E">
      <w:pPr>
        <w:pStyle w:val="ListParagraph"/>
        <w:numPr>
          <w:ilvl w:val="0"/>
          <w:numId w:val="10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Identifique e forneça dados sobre o acesso ao direito à seguridade social de pessoas trans e àqueles que não conseguem acessá-lo.</w:t>
      </w:r>
    </w:p>
    <w:p w14:paraId="5B159ADF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66E34C6E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12. Direito à moradia</w:t>
      </w:r>
    </w:p>
    <w:p w14:paraId="38F7F59F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0476DB66" w14:textId="7E9F65A1" w:rsidR="00095647" w:rsidRPr="004E2511" w:rsidRDefault="00095647" w:rsidP="00D14E51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Apresentar dados sobre avanços e desafios no acesso e controle dos bens e recursos econômicos das pessoas trans. Se existir, apresentar leis, regulamentos, diretrizes, decisões judiciais, projetos e políticas públicas que facilitem o direito à moradia para pessoas trans.</w:t>
      </w:r>
    </w:p>
    <w:p w14:paraId="3D12359C" w14:textId="5E07B4D2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249A55EE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13. Direitos Culturais</w:t>
      </w:r>
    </w:p>
    <w:p w14:paraId="4FDF4561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437583BD" w14:textId="0BB3787A" w:rsidR="00095647" w:rsidRPr="004E2511" w:rsidRDefault="00095647" w:rsidP="002E431E">
      <w:pPr>
        <w:pStyle w:val="ListParagraph"/>
        <w:numPr>
          <w:ilvl w:val="0"/>
          <w:numId w:val="8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Fornecer informações sobre leis, regulamentos, </w:t>
      </w:r>
      <w:r w:rsidR="00ED0B11" w:rsidRPr="004E2511">
        <w:rPr>
          <w:rFonts w:ascii="Cambria" w:hAnsi="Cambria"/>
          <w:lang w:val="pt-BR"/>
        </w:rPr>
        <w:t>diretivas</w:t>
      </w:r>
      <w:r w:rsidRPr="004E2511">
        <w:rPr>
          <w:rFonts w:ascii="Cambria" w:hAnsi="Cambria"/>
          <w:lang w:val="pt-BR"/>
        </w:rPr>
        <w:t>, decisões, projetos e políticas públicas que garantam e protejam os direitos culturais das pessoas trans, assim como as barreiras existentes para as pessoas trans têm a oportunidade de tomar parte na vida cultural.</w:t>
      </w:r>
    </w:p>
    <w:p w14:paraId="0E4BB9E9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0A27E7BB" w14:textId="77777777" w:rsidR="00095647" w:rsidRPr="004E2511" w:rsidRDefault="00095647" w:rsidP="002E431E">
      <w:pPr>
        <w:shd w:val="clear" w:color="auto" w:fill="4472C4"/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b/>
          <w:color w:val="FFFFFF" w:themeColor="background1"/>
          <w:lang w:val="pt-BR"/>
        </w:rPr>
        <w:t>BLOCO 5 - INTERSECCIONALIDADE COM OUTROS GRUPOS</w:t>
      </w:r>
    </w:p>
    <w:p w14:paraId="37F19A5F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4ABBF325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14. Fornecer informações sobre a vulnerabilidade das pessoas trans. Em particular:</w:t>
      </w:r>
    </w:p>
    <w:p w14:paraId="276BBAF8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6AF07E7A" w14:textId="20A888BD" w:rsidR="00095647" w:rsidRPr="004E2511" w:rsidRDefault="00095647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Mulheres;</w:t>
      </w:r>
    </w:p>
    <w:p w14:paraId="27310BFA" w14:textId="5030FB6B" w:rsidR="00095647" w:rsidRPr="004E2511" w:rsidRDefault="00ED0B11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Crianças</w:t>
      </w:r>
      <w:r w:rsidR="00095647" w:rsidRPr="004E2511">
        <w:rPr>
          <w:rFonts w:ascii="Cambria" w:hAnsi="Cambria"/>
          <w:lang w:val="pt-BR"/>
        </w:rPr>
        <w:t xml:space="preserve"> e adolescentes;</w:t>
      </w:r>
    </w:p>
    <w:p w14:paraId="1FA540D3" w14:textId="572619DD" w:rsidR="00095647" w:rsidRPr="004E2511" w:rsidRDefault="00095647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Povos indígenas;</w:t>
      </w:r>
    </w:p>
    <w:p w14:paraId="21B4B1AD" w14:textId="75E35814" w:rsidR="00095647" w:rsidRPr="004E2511" w:rsidRDefault="00095647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Afrodescendentes;</w:t>
      </w:r>
    </w:p>
    <w:p w14:paraId="2C10F737" w14:textId="45FBE141" w:rsidR="00095647" w:rsidRPr="004E2511" w:rsidRDefault="00095647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Defensores dos direitos humanos;</w:t>
      </w:r>
    </w:p>
    <w:p w14:paraId="21E8C9C1" w14:textId="3B8EA31A" w:rsidR="00095647" w:rsidRPr="004E2511" w:rsidRDefault="00095647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Pessoas privadas de liberdade (sob custódia do Estado, seja em sistemas penitenciários ou em outros centros de privação de liberdade);</w:t>
      </w:r>
    </w:p>
    <w:p w14:paraId="7A90C39B" w14:textId="3F627B79" w:rsidR="00095647" w:rsidRPr="004E2511" w:rsidRDefault="00095647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lastRenderedPageBreak/>
        <w:t>Migrantes, deslocados internos, refugiados, vítimas de tráfico de pessoas, requerentes de asilo e apátridas;</w:t>
      </w:r>
    </w:p>
    <w:p w14:paraId="1EAD10FD" w14:textId="42BD056A" w:rsidR="00095647" w:rsidRPr="004E2511" w:rsidRDefault="00095647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Pessoas vivendo com HIV;</w:t>
      </w:r>
    </w:p>
    <w:p w14:paraId="7071812A" w14:textId="5808D2DD" w:rsidR="00095647" w:rsidRPr="004E2511" w:rsidRDefault="00095647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Pessoas </w:t>
      </w:r>
      <w:r w:rsidR="00ED0B11" w:rsidRPr="004E2511">
        <w:rPr>
          <w:rFonts w:ascii="Cambria" w:hAnsi="Cambria"/>
          <w:lang w:val="pt-BR"/>
        </w:rPr>
        <w:t>com d</w:t>
      </w:r>
      <w:r w:rsidRPr="004E2511">
        <w:rPr>
          <w:rFonts w:ascii="Cambria" w:hAnsi="Cambria"/>
          <w:lang w:val="pt-BR"/>
        </w:rPr>
        <w:t>eficiências; e</w:t>
      </w:r>
    </w:p>
    <w:p w14:paraId="4D751E7F" w14:textId="294C1DB0" w:rsidR="00095647" w:rsidRPr="004E2511" w:rsidRDefault="00ED0B11" w:rsidP="00ED0B11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 xml:space="preserve">Pessoas </w:t>
      </w:r>
      <w:r w:rsidR="00BB6813">
        <w:rPr>
          <w:rFonts w:ascii="Cambria" w:hAnsi="Cambria"/>
          <w:lang w:val="pt-BR"/>
        </w:rPr>
        <w:t>idosas</w:t>
      </w:r>
      <w:r w:rsidR="00095647" w:rsidRPr="004E2511">
        <w:rPr>
          <w:rFonts w:ascii="Cambria" w:hAnsi="Cambria"/>
          <w:lang w:val="pt-BR"/>
        </w:rPr>
        <w:t>.</w:t>
      </w:r>
    </w:p>
    <w:p w14:paraId="211FB9E4" w14:textId="77777777" w:rsidR="00095647" w:rsidRPr="004E2511" w:rsidRDefault="00095647" w:rsidP="00D14E51">
      <w:pPr>
        <w:jc w:val="both"/>
        <w:rPr>
          <w:rFonts w:ascii="Cambria" w:hAnsi="Cambria"/>
          <w:lang w:val="pt-BR"/>
        </w:rPr>
      </w:pPr>
    </w:p>
    <w:p w14:paraId="68B0C0EA" w14:textId="7240B213" w:rsidR="00095647" w:rsidRPr="004E2511" w:rsidRDefault="00095647" w:rsidP="00D14E51">
      <w:pPr>
        <w:jc w:val="both"/>
        <w:rPr>
          <w:rFonts w:ascii="Cambria" w:hAnsi="Cambria"/>
          <w:lang w:val="pt-BR"/>
        </w:rPr>
      </w:pPr>
      <w:r w:rsidRPr="004E2511">
        <w:rPr>
          <w:rFonts w:ascii="Cambria" w:hAnsi="Cambria"/>
          <w:lang w:val="pt-BR"/>
        </w:rPr>
        <w:t>Por favor, adici</w:t>
      </w:r>
      <w:r w:rsidR="00BB6813">
        <w:rPr>
          <w:rFonts w:ascii="Cambria" w:hAnsi="Cambria"/>
          <w:lang w:val="pt-BR"/>
        </w:rPr>
        <w:t>one qualquer outra informação e/</w:t>
      </w:r>
      <w:r w:rsidRPr="004E2511">
        <w:rPr>
          <w:rFonts w:ascii="Cambria" w:hAnsi="Cambria"/>
          <w:lang w:val="pt-BR"/>
        </w:rPr>
        <w:t>ou documentação que julgue apropriada.</w:t>
      </w:r>
    </w:p>
    <w:p w14:paraId="12C40C22" w14:textId="77777777" w:rsidR="00EB26F7" w:rsidRPr="004E2511" w:rsidRDefault="00EB26F7" w:rsidP="00D14E51">
      <w:pPr>
        <w:jc w:val="both"/>
        <w:rPr>
          <w:rFonts w:ascii="Cambria" w:hAnsi="Cambria"/>
          <w:lang w:val="pt-BR"/>
        </w:rPr>
      </w:pPr>
    </w:p>
    <w:sectPr w:rsidR="00EB26F7" w:rsidRPr="004E2511" w:rsidSect="00D25F6D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8F5A7" w14:textId="77777777" w:rsidR="00370074" w:rsidRDefault="00370074" w:rsidP="00D14E51">
      <w:r>
        <w:separator/>
      </w:r>
    </w:p>
  </w:endnote>
  <w:endnote w:type="continuationSeparator" w:id="0">
    <w:p w14:paraId="7A9C3568" w14:textId="77777777" w:rsidR="00370074" w:rsidRDefault="00370074" w:rsidP="00D1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D8FCE" w14:textId="77777777" w:rsidR="00370074" w:rsidRDefault="00370074" w:rsidP="00D14E51">
      <w:r>
        <w:separator/>
      </w:r>
    </w:p>
  </w:footnote>
  <w:footnote w:type="continuationSeparator" w:id="0">
    <w:p w14:paraId="269BABD0" w14:textId="77777777" w:rsidR="00370074" w:rsidRDefault="00370074" w:rsidP="00D14E51">
      <w:r>
        <w:continuationSeparator/>
      </w:r>
    </w:p>
  </w:footnote>
  <w:footnote w:id="1">
    <w:p w14:paraId="3160CF67" w14:textId="4450A94F" w:rsidR="00590945" w:rsidRPr="004E2511" w:rsidRDefault="00590945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Para fins deste questionário, são considerados 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direitos econômicos, sociais e culturais, </w:t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>todos os direitos consagrados no art. 26 da Convenção Americana sobre Direitos Humanos,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bem como</w:t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os direitos contidos no Protocolo Adicional à Convenção Americana sobre Direitos Humanos (Pacto de San Salvador), 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e, também, </w:t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>os direitos consagrados no Pacto Internacional sobre Direitos Econ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ômicos, Sociais e Culturais das </w:t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>Nações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Unidas</w:t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>.</w:t>
      </w:r>
    </w:p>
  </w:footnote>
  <w:footnote w:id="2">
    <w:p w14:paraId="13AEB079" w14:textId="3373BEB2" w:rsidR="00590945" w:rsidRPr="004E2511" w:rsidRDefault="00590945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Para fins 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>deste questionário, pessoas trans são aquelas cujo sexo assignado no nascimento não corresponde com a identidade de gênero a qual essas pessoas se auto identificam (travestis, transformistas, dois espíritos, entre outras), assim como todos aqueles que se identificam for a do padrão binário mulher/ homem (CIDH, Violência contra as pessoas lésbicas, gays, bissexuais, trans e intersexuais nas Américas, OEA / Ser. L / V / II.rev.1 / Doc 36, 12 de novembro de 2015, parágrafos 20 e 21).</w:t>
      </w:r>
    </w:p>
  </w:footnote>
  <w:footnote w:id="3">
    <w:p w14:paraId="6E0E4E22" w14:textId="543AA1AB" w:rsidR="00D14E51" w:rsidRPr="004E2511" w:rsidRDefault="00D14E51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>Declaração Americana dos Direitos e Deveres do Homem, Preâmbulo.</w:t>
      </w:r>
    </w:p>
  </w:footnote>
  <w:footnote w:id="4">
    <w:p w14:paraId="628B9723" w14:textId="6437C53D" w:rsidR="00D14E51" w:rsidRPr="004E2511" w:rsidRDefault="00D14E51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>Convenção Americana sobre Direitos Humanos, Preâmbulo.</w:t>
      </w:r>
    </w:p>
  </w:footnote>
  <w:footnote w:id="5">
    <w:p w14:paraId="3FD1F3B7" w14:textId="5DA42DBD" w:rsidR="00D14E51" w:rsidRPr="004E2511" w:rsidRDefault="00D14E51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>Convenção Americana sobre Direitos Humanos, art. 26.</w:t>
      </w:r>
    </w:p>
  </w:footnote>
  <w:footnote w:id="6">
    <w:p w14:paraId="0AFF8EDB" w14:textId="7868658F" w:rsidR="006A7F74" w:rsidRPr="004E2511" w:rsidRDefault="006A7F74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>CIDH, Pobreza e direitos humanos, p. 158 (original em espanhol).</w:t>
      </w:r>
    </w:p>
  </w:footnote>
  <w:footnote w:id="7">
    <w:p w14:paraId="5D2FF550" w14:textId="7AB205F9" w:rsidR="00590945" w:rsidRPr="004E2511" w:rsidRDefault="00590945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8219C7" w:rsidRPr="004E2511">
        <w:rPr>
          <w:rStyle w:val="FootnoteReference"/>
          <w:rFonts w:ascii="Cambria" w:hAnsi="Cambria"/>
          <w:color w:val="000000" w:themeColor="text1"/>
          <w:sz w:val="18"/>
          <w:szCs w:val="18"/>
          <w:vertAlign w:val="baseline"/>
          <w:lang w:val="pt-BR"/>
        </w:rPr>
        <w:t xml:space="preserve">CIDH. </w:t>
      </w:r>
      <w:r w:rsidR="008219C7" w:rsidRPr="004E2511">
        <w:rPr>
          <w:rStyle w:val="FootnoteReference"/>
          <w:rFonts w:ascii="Cambria" w:hAnsi="Cambria"/>
          <w:color w:val="000000" w:themeColor="text1"/>
          <w:sz w:val="18"/>
          <w:szCs w:val="18"/>
          <w:vertAlign w:val="baseline"/>
          <w:lang w:val="pt-BR"/>
        </w:rPr>
        <w:t>Con el motivo del Día Internacional de la Visibilidad Transgénero, la CIDH y experto de la ONU urgen a los Estados a garantizar el ejercicio pleno de los derechos humanos de las personas transgénero. 29 de março de 2018</w:t>
      </w:r>
      <w:r w:rsidR="008219C7" w:rsidRPr="004E2511">
        <w:rPr>
          <w:rFonts w:ascii="Cambria" w:hAnsi="Cambria"/>
          <w:color w:val="000000" w:themeColor="text1"/>
          <w:sz w:val="18"/>
          <w:szCs w:val="18"/>
          <w:lang w:val="pt-BR"/>
        </w:rPr>
        <w:t>.</w:t>
      </w:r>
    </w:p>
  </w:footnote>
  <w:footnote w:id="8">
    <w:p w14:paraId="1F83ED30" w14:textId="72004057" w:rsidR="00590945" w:rsidRPr="004E2511" w:rsidRDefault="00590945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ED0B11" w:rsidRPr="004E2511">
        <w:rPr>
          <w:rFonts w:ascii="Cambria" w:hAnsi="Cambria"/>
          <w:color w:val="000000" w:themeColor="text1"/>
          <w:sz w:val="18"/>
          <w:szCs w:val="18"/>
          <w:lang w:val="pt-BR"/>
        </w:rPr>
        <w:t>Protocolo Adicional à Convenção Americana sobre Direitos Humanos (Pacto de San Salvador), preâmbulo.</w:t>
      </w:r>
    </w:p>
  </w:footnote>
  <w:footnote w:id="9">
    <w:p w14:paraId="0F63F285" w14:textId="26C682BE" w:rsidR="00732B96" w:rsidRPr="004E2511" w:rsidRDefault="00732B96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ED0B11" w:rsidRPr="004E2511">
        <w:rPr>
          <w:rFonts w:ascii="Cambria" w:hAnsi="Cambria"/>
          <w:color w:val="000000" w:themeColor="text1"/>
          <w:sz w:val="18"/>
          <w:szCs w:val="18"/>
          <w:lang w:val="pt-BR"/>
        </w:rPr>
        <w:t>Princípios de Yogyakarta, Princípios 12 a 18, 26, 28, 34 e 38.</w:t>
      </w:r>
    </w:p>
  </w:footnote>
  <w:footnote w:id="10">
    <w:p w14:paraId="3029DFA7" w14:textId="48078810" w:rsidR="00732B96" w:rsidRPr="004E2511" w:rsidRDefault="00732B96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ED0B11" w:rsidRPr="004E2511">
        <w:rPr>
          <w:rFonts w:ascii="Cambria" w:hAnsi="Cambria"/>
          <w:color w:val="000000" w:themeColor="text1"/>
          <w:sz w:val="18"/>
          <w:szCs w:val="18"/>
          <w:lang w:val="pt-BR"/>
        </w:rPr>
        <w:t>PNUD, Objetivos de Desenvolvimento Sustentável, http://www.undp.org/content/undp/en/home/sustainable-development-goals.html.</w:t>
      </w:r>
    </w:p>
  </w:footnote>
  <w:footnote w:id="11">
    <w:p w14:paraId="63B0411B" w14:textId="63B0A48E" w:rsidR="00590945" w:rsidRPr="008455A8" w:rsidRDefault="00590945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en-US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8455A8">
        <w:rPr>
          <w:rFonts w:ascii="Cambria" w:hAnsi="Cambria"/>
          <w:color w:val="000000" w:themeColor="text1"/>
          <w:sz w:val="18"/>
          <w:szCs w:val="18"/>
          <w:lang w:val="en-US"/>
        </w:rPr>
        <w:t xml:space="preserve"> </w:t>
      </w:r>
      <w:r w:rsidR="00ED0B11" w:rsidRPr="008455A8">
        <w:rPr>
          <w:rFonts w:ascii="Cambria" w:hAnsi="Cambria"/>
          <w:color w:val="000000" w:themeColor="text1"/>
          <w:sz w:val="18"/>
          <w:szCs w:val="18"/>
          <w:lang w:val="en-US"/>
        </w:rPr>
        <w:t>Stonewall, The Sustainable Development Goals and LGBT Inclusion, ttps://www.stonewall.org.uk/sites/default/files/sdg-guide_2.pdf.</w:t>
      </w:r>
    </w:p>
  </w:footnote>
  <w:footnote w:id="12">
    <w:p w14:paraId="28445AA1" w14:textId="11955AC2" w:rsidR="00732B96" w:rsidRPr="004E2511" w:rsidRDefault="00732B96" w:rsidP="00ED0B11">
      <w:pPr>
        <w:pStyle w:val="FootnoteText"/>
        <w:jc w:val="both"/>
        <w:rPr>
          <w:rFonts w:ascii="Cambria" w:hAnsi="Cambria"/>
          <w:color w:val="000000" w:themeColor="text1"/>
          <w:sz w:val="18"/>
          <w:szCs w:val="18"/>
          <w:lang w:val="pt-BR"/>
        </w:rPr>
      </w:pPr>
      <w:r w:rsidRPr="004E2511">
        <w:rPr>
          <w:rStyle w:val="FootnoteReference"/>
          <w:rFonts w:ascii="Cambria" w:hAnsi="Cambria"/>
          <w:color w:val="000000" w:themeColor="text1"/>
          <w:sz w:val="18"/>
          <w:szCs w:val="18"/>
          <w:lang w:val="pt-BR"/>
        </w:rPr>
        <w:footnoteRef/>
      </w:r>
      <w:r w:rsidRPr="004E2511">
        <w:rPr>
          <w:rFonts w:ascii="Cambria" w:hAnsi="Cambria"/>
          <w:color w:val="000000" w:themeColor="text1"/>
          <w:sz w:val="18"/>
          <w:szCs w:val="18"/>
          <w:lang w:val="pt-BR"/>
        </w:rPr>
        <w:t xml:space="preserve"> </w:t>
      </w:r>
      <w:r w:rsidR="00ED0B11" w:rsidRPr="004E2511">
        <w:rPr>
          <w:rFonts w:ascii="Cambria" w:hAnsi="Cambria"/>
          <w:color w:val="000000" w:themeColor="text1"/>
          <w:sz w:val="18"/>
          <w:szCs w:val="18"/>
          <w:lang w:val="pt-BR"/>
        </w:rPr>
        <w:t>Convenção Americana sobre Direitos Humanos, Preâmbulo.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C2289" w14:textId="77777777" w:rsidR="00EE1588" w:rsidRDefault="00EE1588" w:rsidP="00EE1588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9AFA460" wp14:editId="2241CE78">
          <wp:simplePos x="0" y="0"/>
          <wp:positionH relativeFrom="column">
            <wp:posOffset>3829685</wp:posOffset>
          </wp:positionH>
          <wp:positionV relativeFrom="paragraph">
            <wp:posOffset>-57150</wp:posOffset>
          </wp:positionV>
          <wp:extent cx="2132965" cy="590550"/>
          <wp:effectExtent l="0" t="0" r="0" b="0"/>
          <wp:wrapThrough wrapText="bothSides">
            <wp:wrapPolygon edited="0">
              <wp:start x="1543" y="0"/>
              <wp:lineTo x="257" y="6503"/>
              <wp:lineTo x="0" y="10219"/>
              <wp:lineTo x="772" y="16723"/>
              <wp:lineTo x="2315" y="20439"/>
              <wp:lineTo x="3601" y="20439"/>
              <wp:lineTo x="21092" y="16723"/>
              <wp:lineTo x="21092" y="5574"/>
              <wp:lineTo x="4373" y="0"/>
              <wp:lineTo x="1543" y="0"/>
            </wp:wrapPolygon>
          </wp:wrapThrough>
          <wp:docPr id="2" name="Picture 2" descr="OAS_Seal_POR_Principa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_Seal_POR_Principa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96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19A9208" wp14:editId="31E11ED7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2400300" cy="457835"/>
          <wp:effectExtent l="0" t="0" r="12700" b="0"/>
          <wp:wrapThrough wrapText="bothSides">
            <wp:wrapPolygon edited="0">
              <wp:start x="0" y="0"/>
              <wp:lineTo x="0" y="20372"/>
              <wp:lineTo x="21486" y="20372"/>
              <wp:lineTo x="21486" y="0"/>
              <wp:lineTo x="0" y="0"/>
            </wp:wrapPolygon>
          </wp:wrapThrough>
          <wp:docPr id="1" name="Picture 1" descr="cidh-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h-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04F5A968" w14:textId="77777777" w:rsidR="00EE1588" w:rsidRDefault="00EE1588" w:rsidP="00EE1588">
    <w:pPr>
      <w:pStyle w:val="Header"/>
    </w:pPr>
  </w:p>
  <w:p w14:paraId="5F70A0C5" w14:textId="77777777" w:rsidR="00EE1588" w:rsidRDefault="00EE1588" w:rsidP="00EE1588">
    <w:pPr>
      <w:pStyle w:val="Header"/>
    </w:pPr>
  </w:p>
  <w:p w14:paraId="7ED482EC" w14:textId="77777777" w:rsidR="00EE1588" w:rsidRDefault="00370074" w:rsidP="00EE1588">
    <w:pPr>
      <w:pStyle w:val="Header"/>
    </w:pPr>
    <w:r>
      <w:rPr>
        <w:noProof/>
      </w:rPr>
      <w:pict w14:anchorId="2468E118">
        <v:rect id="_x0000_i1025" alt="" style="width:451pt;height:.05pt;mso-width-percent:0;mso-height-percent:0;mso-width-percent:0;mso-height-percent:0" o:hralign="center" o:hrstd="t" o:hr="t" fillcolor="#a0a0a0" stroked="f"/>
      </w:pict>
    </w:r>
  </w:p>
  <w:p w14:paraId="23A64516" w14:textId="77777777" w:rsidR="00EE1588" w:rsidRDefault="00EE1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FD9"/>
    <w:multiLevelType w:val="hybridMultilevel"/>
    <w:tmpl w:val="FBF691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FA1"/>
    <w:multiLevelType w:val="hybridMultilevel"/>
    <w:tmpl w:val="8326BC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4FED"/>
    <w:multiLevelType w:val="hybridMultilevel"/>
    <w:tmpl w:val="BB1EDE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121F5"/>
    <w:multiLevelType w:val="hybridMultilevel"/>
    <w:tmpl w:val="E80EEF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4B63"/>
    <w:multiLevelType w:val="hybridMultilevel"/>
    <w:tmpl w:val="DDEE6F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14DDC"/>
    <w:multiLevelType w:val="hybridMultilevel"/>
    <w:tmpl w:val="61182D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960AF"/>
    <w:multiLevelType w:val="hybridMultilevel"/>
    <w:tmpl w:val="C9D6B5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53A4"/>
    <w:multiLevelType w:val="hybridMultilevel"/>
    <w:tmpl w:val="14CADAC4"/>
    <w:lvl w:ilvl="0" w:tplc="852665D4">
      <w:start w:val="1"/>
      <w:numFmt w:val="low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5F6D"/>
    <w:multiLevelType w:val="hybridMultilevel"/>
    <w:tmpl w:val="5D5283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C70E6"/>
    <w:multiLevelType w:val="hybridMultilevel"/>
    <w:tmpl w:val="E57E96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A6CA7"/>
    <w:multiLevelType w:val="hybridMultilevel"/>
    <w:tmpl w:val="BB7065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A6342"/>
    <w:multiLevelType w:val="hybridMultilevel"/>
    <w:tmpl w:val="948E6E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A4C09"/>
    <w:multiLevelType w:val="hybridMultilevel"/>
    <w:tmpl w:val="569AE5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F79CD"/>
    <w:multiLevelType w:val="hybridMultilevel"/>
    <w:tmpl w:val="D7DE0194"/>
    <w:lvl w:ilvl="0" w:tplc="852665D4">
      <w:start w:val="1"/>
      <w:numFmt w:val="low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11D7D"/>
    <w:multiLevelType w:val="hybridMultilevel"/>
    <w:tmpl w:val="05169A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0475F"/>
    <w:multiLevelType w:val="hybridMultilevel"/>
    <w:tmpl w:val="BB7065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F7"/>
    <w:rsid w:val="00044FE5"/>
    <w:rsid w:val="00094A79"/>
    <w:rsid w:val="00095647"/>
    <w:rsid w:val="000A0EFA"/>
    <w:rsid w:val="000F3604"/>
    <w:rsid w:val="001C0FBD"/>
    <w:rsid w:val="001E2E4A"/>
    <w:rsid w:val="002E431E"/>
    <w:rsid w:val="002E594B"/>
    <w:rsid w:val="00370074"/>
    <w:rsid w:val="00393496"/>
    <w:rsid w:val="004E2511"/>
    <w:rsid w:val="005009FA"/>
    <w:rsid w:val="0051618C"/>
    <w:rsid w:val="00590945"/>
    <w:rsid w:val="005F6865"/>
    <w:rsid w:val="00622CA5"/>
    <w:rsid w:val="0069580D"/>
    <w:rsid w:val="006A7F74"/>
    <w:rsid w:val="00721DAF"/>
    <w:rsid w:val="00732B96"/>
    <w:rsid w:val="008219C7"/>
    <w:rsid w:val="008455A8"/>
    <w:rsid w:val="00A428CA"/>
    <w:rsid w:val="00BA115D"/>
    <w:rsid w:val="00BB6813"/>
    <w:rsid w:val="00C20652"/>
    <w:rsid w:val="00CC532C"/>
    <w:rsid w:val="00D14E51"/>
    <w:rsid w:val="00D25F6D"/>
    <w:rsid w:val="00DD3134"/>
    <w:rsid w:val="00E7747A"/>
    <w:rsid w:val="00EB26F7"/>
    <w:rsid w:val="00ED0B11"/>
    <w:rsid w:val="00EE1588"/>
    <w:rsid w:val="00EF23F7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F844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9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6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4A79"/>
    <w:rPr>
      <w:i/>
      <w:iCs/>
    </w:rPr>
  </w:style>
  <w:style w:type="character" w:customStyle="1" w:styleId="apple-converted-space">
    <w:name w:val="apple-converted-space"/>
    <w:basedOn w:val="DefaultParagraphFont"/>
    <w:rsid w:val="0051618C"/>
  </w:style>
  <w:style w:type="paragraph" w:styleId="FootnoteText">
    <w:name w:val="footnote text"/>
    <w:basedOn w:val="Normal"/>
    <w:link w:val="FootnoteTextChar"/>
    <w:uiPriority w:val="99"/>
    <w:semiHidden/>
    <w:unhideWhenUsed/>
    <w:rsid w:val="00D14E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4E5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4E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21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D0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11"/>
  </w:style>
  <w:style w:type="paragraph" w:styleId="Footer">
    <w:name w:val="footer"/>
    <w:basedOn w:val="Normal"/>
    <w:link w:val="FooterChar"/>
    <w:uiPriority w:val="99"/>
    <w:unhideWhenUsed/>
    <w:rsid w:val="00ED0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9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6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4A79"/>
    <w:rPr>
      <w:i/>
      <w:iCs/>
    </w:rPr>
  </w:style>
  <w:style w:type="character" w:customStyle="1" w:styleId="apple-converted-space">
    <w:name w:val="apple-converted-space"/>
    <w:basedOn w:val="DefaultParagraphFont"/>
    <w:rsid w:val="0051618C"/>
  </w:style>
  <w:style w:type="paragraph" w:styleId="FootnoteText">
    <w:name w:val="footnote text"/>
    <w:basedOn w:val="Normal"/>
    <w:link w:val="FootnoteTextChar"/>
    <w:uiPriority w:val="99"/>
    <w:semiHidden/>
    <w:unhideWhenUsed/>
    <w:rsid w:val="00D14E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4E5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4E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21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D0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11"/>
  </w:style>
  <w:style w:type="paragraph" w:styleId="Footer">
    <w:name w:val="footer"/>
    <w:basedOn w:val="Normal"/>
    <w:link w:val="FooterChar"/>
    <w:uiPriority w:val="99"/>
    <w:unhideWhenUsed/>
    <w:rsid w:val="00ED0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Mesquita</dc:creator>
  <cp:lastModifiedBy>%username%</cp:lastModifiedBy>
  <cp:revision>4</cp:revision>
  <dcterms:created xsi:type="dcterms:W3CDTF">2018-06-26T14:10:00Z</dcterms:created>
  <dcterms:modified xsi:type="dcterms:W3CDTF">2018-06-26T14:19:00Z</dcterms:modified>
</cp:coreProperties>
</file>